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تصحیح و نقد کتاب نفحات الرحمن فی تفسیر القرآن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38585_1479056682">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1438587_147905668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438589_1479056682">
            <w:r>
              <w:rPr>
                <w:webHidden/>
                <w:rStyle w:val="IndexLink"/>
                <w:rtl w:val="true"/>
              </w:rPr>
              <w:t>فهرست اجمالی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438591_1479056682">
            <w:r>
              <w:rPr>
                <w:webHidden/>
                <w:rStyle w:val="IndexLink"/>
                <w:rtl w:val="true"/>
              </w:rPr>
              <w:t>پیشگفتار</w:t>
            </w:r>
            <w:r>
              <w:rPr>
                <w:rStyle w:val="IndexLink"/>
                <w:rtl w:val="true"/>
              </w:rPr>
              <w:tab/>
            </w:r>
            <w:r>
              <w:rPr>
                <w:rStyle w:val="IndexLink"/>
              </w:rPr>
              <w:t>12</w:t>
            </w:r>
          </w:hyperlink>
        </w:p>
        <w:p>
          <w:pPr>
            <w:pStyle w:val="Contents2"/>
            <w:tabs>
              <w:tab w:val="clear" w:pos="8743"/>
              <w:tab w:val="right" w:pos="9026" w:leader="dot"/>
            </w:tabs>
            <w:rPr/>
          </w:pPr>
          <w:hyperlink w:anchor="__RefHeading___Toc1438593_1479056682">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1438595_1479056682">
            <w:r>
              <w:rPr>
                <w:webHidden/>
                <w:rStyle w:val="IndexLink"/>
                <w:rtl w:val="true"/>
              </w:rPr>
              <w:t>بخش اوّل</w:t>
            </w:r>
            <w:r>
              <w:rPr>
                <w:rStyle w:val="IndexLink"/>
                <w:rtl w:val="true"/>
              </w:rPr>
              <w:tab/>
            </w:r>
            <w:r>
              <w:rPr>
                <w:rStyle w:val="IndexLink"/>
              </w:rPr>
              <w:t>18</w:t>
            </w:r>
          </w:hyperlink>
        </w:p>
        <w:p>
          <w:pPr>
            <w:pStyle w:val="Contents3"/>
            <w:tabs>
              <w:tab w:val="clear" w:pos="8459"/>
              <w:tab w:val="right" w:pos="9026" w:leader="dot"/>
            </w:tabs>
            <w:rPr/>
          </w:pPr>
          <w:hyperlink w:anchor="__RefHeading___Toc1438597_1479056682">
            <w:r>
              <w:rPr>
                <w:webHidden/>
                <w:rStyle w:val="IndexLink"/>
                <w:rtl w:val="true"/>
              </w:rPr>
              <w:t>باب اوّل</w:t>
            </w:r>
            <w:r>
              <w:rPr>
                <w:rStyle w:val="IndexLink"/>
                <w:rtl w:val="true"/>
              </w:rPr>
              <w:t xml:space="preserve">: </w:t>
            </w:r>
            <w:r>
              <w:rPr>
                <w:rStyle w:val="IndexLink"/>
                <w:rtl w:val="true"/>
              </w:rPr>
              <w:t>شناسایی مفسّر و کتاب نفحات الرّحمن فی تفسیر القرآن</w:t>
            </w:r>
            <w:r>
              <w:rPr>
                <w:rStyle w:val="IndexLink"/>
                <w:rtl w:val="true"/>
              </w:rPr>
              <w:tab/>
            </w:r>
            <w:r>
              <w:rPr>
                <w:rStyle w:val="IndexLink"/>
              </w:rPr>
              <w:t>18</w:t>
            </w:r>
          </w:hyperlink>
        </w:p>
        <w:p>
          <w:pPr>
            <w:pStyle w:val="Contents4"/>
            <w:tabs>
              <w:tab w:val="clear" w:pos="8176"/>
              <w:tab w:val="right" w:pos="9026" w:leader="dot"/>
            </w:tabs>
            <w:rPr/>
          </w:pPr>
          <w:hyperlink w:anchor="__RefHeading___Toc1438599_1479056682">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438601_1479056682">
            <w:r>
              <w:rPr>
                <w:webHidden/>
                <w:rStyle w:val="IndexLink"/>
                <w:rtl w:val="true"/>
              </w:rPr>
              <w:t xml:space="preserve">فصل اوّل </w:t>
            </w:r>
            <w:r>
              <w:rPr>
                <w:rStyle w:val="IndexLink"/>
                <w:rtl w:val="true"/>
              </w:rPr>
              <w:t xml:space="preserve">- </w:t>
            </w:r>
            <w:r>
              <w:rPr>
                <w:rStyle w:val="IndexLink"/>
                <w:rtl w:val="true"/>
              </w:rPr>
              <w:t>شرح حال مفسّر</w:t>
            </w:r>
            <w:r>
              <w:rPr>
                <w:rStyle w:val="IndexLink"/>
                <w:rtl w:val="true"/>
              </w:rPr>
              <w:tab/>
            </w:r>
            <w:r>
              <w:rPr>
                <w:rStyle w:val="IndexLink"/>
              </w:rPr>
              <w:t>19</w:t>
            </w:r>
          </w:hyperlink>
        </w:p>
        <w:p>
          <w:pPr>
            <w:pStyle w:val="Contents5"/>
            <w:tabs>
              <w:tab w:val="clear" w:pos="7892"/>
              <w:tab w:val="right" w:pos="9026" w:leader="dot"/>
            </w:tabs>
            <w:rPr/>
          </w:pPr>
          <w:hyperlink w:anchor="__RefHeading___Toc1438603_1479056682">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1438605_1479056682">
            <w:r>
              <w:rPr>
                <w:webHidden/>
                <w:rStyle w:val="IndexLink"/>
                <w:rtl w:val="true"/>
              </w:rPr>
              <w:t>خانواده مفسّر</w:t>
            </w:r>
            <w:r>
              <w:rPr>
                <w:rStyle w:val="IndexLink"/>
                <w:rtl w:val="true"/>
              </w:rPr>
              <w:tab/>
            </w:r>
            <w:r>
              <w:rPr>
                <w:rStyle w:val="IndexLink"/>
              </w:rPr>
              <w:t>20</w:t>
            </w:r>
          </w:hyperlink>
        </w:p>
        <w:p>
          <w:pPr>
            <w:pStyle w:val="Contents5"/>
            <w:tabs>
              <w:tab w:val="clear" w:pos="7892"/>
              <w:tab w:val="right" w:pos="9026" w:leader="dot"/>
            </w:tabs>
            <w:rPr/>
          </w:pPr>
          <w:hyperlink w:anchor="__RefHeading___Toc1438607_1479056682">
            <w:r>
              <w:rPr>
                <w:webHidden/>
                <w:rStyle w:val="IndexLink"/>
                <w:rtl w:val="true"/>
              </w:rPr>
              <w:t xml:space="preserve">شرح حال میرزا عبدالرّحیم نهاوندی </w:t>
            </w:r>
            <w:r>
              <w:rPr>
                <w:rStyle w:val="IndexLink"/>
                <w:rtl w:val="true"/>
              </w:rPr>
              <w:t>(</w:t>
            </w:r>
            <w:r>
              <w:rPr>
                <w:rStyle w:val="IndexLink"/>
              </w:rPr>
              <w:t>1237</w:t>
            </w:r>
            <w:r>
              <w:rPr>
                <w:rStyle w:val="IndexLink"/>
                <w:rtl w:val="true"/>
              </w:rPr>
              <w:t xml:space="preserve"> - </w:t>
            </w:r>
            <w:r>
              <w:rPr>
                <w:rStyle w:val="IndexLink"/>
              </w:rPr>
              <w:t>1304</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20</w:t>
            </w:r>
          </w:hyperlink>
        </w:p>
        <w:p>
          <w:pPr>
            <w:pStyle w:val="Contents5"/>
            <w:tabs>
              <w:tab w:val="clear" w:pos="7892"/>
              <w:tab w:val="right" w:pos="9026" w:leader="dot"/>
            </w:tabs>
            <w:rPr/>
          </w:pPr>
          <w:hyperlink w:anchor="__RefHeading___Toc1438609_1479056682">
            <w:r>
              <w:rPr>
                <w:webHidden/>
                <w:rStyle w:val="IndexLink"/>
                <w:rtl w:val="true"/>
              </w:rPr>
              <w:t>تألیفات میرزا عبدالرّحیم نهاوندی</w:t>
            </w:r>
            <w:r>
              <w:rPr>
                <w:rStyle w:val="IndexLink"/>
                <w:rtl w:val="true"/>
              </w:rPr>
              <w:tab/>
            </w:r>
            <w:r>
              <w:rPr>
                <w:rStyle w:val="IndexLink"/>
              </w:rPr>
              <w:t>23</w:t>
            </w:r>
          </w:hyperlink>
        </w:p>
        <w:p>
          <w:pPr>
            <w:pStyle w:val="Contents5"/>
            <w:tabs>
              <w:tab w:val="clear" w:pos="7892"/>
              <w:tab w:val="right" w:pos="9026" w:leader="dot"/>
            </w:tabs>
            <w:rPr/>
          </w:pPr>
          <w:hyperlink w:anchor="__RefHeading___Toc1438611_1479056682">
            <w:r>
              <w:rPr>
                <w:webHidden/>
                <w:rStyle w:val="IndexLink"/>
                <w:rtl w:val="true"/>
              </w:rPr>
              <w:t>استادان میرزا عبدالرّحیم نهاوندی</w:t>
            </w:r>
            <w:r>
              <w:rPr>
                <w:rStyle w:val="IndexLink"/>
                <w:rtl w:val="true"/>
              </w:rPr>
              <w:tab/>
            </w:r>
            <w:r>
              <w:rPr>
                <w:rStyle w:val="IndexLink"/>
              </w:rPr>
              <w:t>24</w:t>
            </w:r>
          </w:hyperlink>
        </w:p>
        <w:p>
          <w:pPr>
            <w:pStyle w:val="Contents5"/>
            <w:tabs>
              <w:tab w:val="clear" w:pos="7892"/>
              <w:tab w:val="right" w:pos="9026" w:leader="dot"/>
            </w:tabs>
            <w:rPr/>
          </w:pPr>
          <w:hyperlink w:anchor="__RefHeading___Toc1438613_1479056682">
            <w:r>
              <w:rPr>
                <w:webHidden/>
                <w:rStyle w:val="IndexLink"/>
                <w:rtl w:val="true"/>
              </w:rPr>
              <w:t xml:space="preserve">میرزا محمّد حسن نهاوندی </w:t>
            </w:r>
            <w:r>
              <w:rPr>
                <w:rStyle w:val="IndexLink"/>
                <w:rtl w:val="true"/>
              </w:rPr>
              <w:t xml:space="preserve">( - </w:t>
            </w:r>
            <w:r>
              <w:rPr>
                <w:rStyle w:val="IndexLink"/>
              </w:rPr>
              <w:t>1329</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25</w:t>
            </w:r>
          </w:hyperlink>
        </w:p>
        <w:p>
          <w:pPr>
            <w:pStyle w:val="Contents5"/>
            <w:tabs>
              <w:tab w:val="clear" w:pos="7892"/>
              <w:tab w:val="right" w:pos="9026" w:leader="dot"/>
            </w:tabs>
            <w:rPr/>
          </w:pPr>
          <w:hyperlink w:anchor="__RefHeading___Toc1438615_1479056682">
            <w:r>
              <w:rPr>
                <w:webHidden/>
                <w:rStyle w:val="IndexLink"/>
                <w:rtl w:val="true"/>
              </w:rPr>
              <w:t xml:space="preserve">شیخ محمّد نهاوندی </w:t>
            </w:r>
            <w:r>
              <w:rPr>
                <w:rStyle w:val="IndexLink"/>
                <w:rtl w:val="true"/>
              </w:rPr>
              <w:t>(</w:t>
            </w:r>
            <w:r>
              <w:rPr>
                <w:rStyle w:val="IndexLink"/>
              </w:rPr>
              <w:t>1291</w:t>
            </w:r>
            <w:r>
              <w:rPr>
                <w:rStyle w:val="IndexLink"/>
                <w:rtl w:val="true"/>
              </w:rPr>
              <w:t xml:space="preserve"> - </w:t>
            </w:r>
            <w:r>
              <w:rPr>
                <w:rStyle w:val="IndexLink"/>
              </w:rPr>
              <w:t>1371</w:t>
            </w:r>
            <w:r>
              <w:rPr>
                <w:rStyle w:val="IndexLink"/>
                <w:rtl w:val="true"/>
              </w:rPr>
              <w:t xml:space="preserve"> </w:t>
            </w:r>
            <w:r>
              <w:rPr>
                <w:rStyle w:val="IndexLink"/>
                <w:rtl w:val="true"/>
              </w:rPr>
              <w:t xml:space="preserve">ه </w:t>
            </w:r>
            <w:r>
              <w:rPr>
                <w:rStyle w:val="IndexLink"/>
                <w:rtl w:val="true"/>
              </w:rPr>
              <w:t xml:space="preserve">. </w:t>
            </w:r>
            <w:r>
              <w:rPr>
                <w:rStyle w:val="IndexLink"/>
                <w:rtl w:val="true"/>
              </w:rPr>
              <w:t>ق</w:t>
            </w:r>
            <w:r>
              <w:rPr>
                <w:rStyle w:val="IndexLink"/>
                <w:rtl w:val="true"/>
              </w:rPr>
              <w:t>)</w:t>
              <w:tab/>
            </w:r>
            <w:r>
              <w:rPr>
                <w:rStyle w:val="IndexLink"/>
              </w:rPr>
              <w:t>25</w:t>
            </w:r>
          </w:hyperlink>
        </w:p>
        <w:p>
          <w:pPr>
            <w:pStyle w:val="Contents5"/>
            <w:tabs>
              <w:tab w:val="clear" w:pos="7892"/>
              <w:tab w:val="right" w:pos="9026" w:leader="dot"/>
            </w:tabs>
            <w:rPr/>
          </w:pPr>
          <w:hyperlink w:anchor="__RefHeading___Toc1438617_1479056682">
            <w:r>
              <w:rPr>
                <w:webHidden/>
                <w:rStyle w:val="IndexLink"/>
                <w:rtl w:val="true"/>
              </w:rPr>
              <w:t>کتابنامه شرح حال مفسّر بزرگ، محمّد بن عبدالرّحیم نهاوندی</w:t>
            </w:r>
            <w:r>
              <w:rPr>
                <w:rStyle w:val="IndexLink"/>
                <w:rtl w:val="true"/>
              </w:rPr>
              <w:tab/>
            </w:r>
            <w:r>
              <w:rPr>
                <w:rStyle w:val="IndexLink"/>
              </w:rPr>
              <w:t>27</w:t>
            </w:r>
          </w:hyperlink>
        </w:p>
        <w:p>
          <w:pPr>
            <w:pStyle w:val="Contents5"/>
            <w:tabs>
              <w:tab w:val="clear" w:pos="7892"/>
              <w:tab w:val="right" w:pos="9026" w:leader="dot"/>
            </w:tabs>
            <w:rPr/>
          </w:pPr>
          <w:hyperlink w:anchor="__RefHeading___Toc1438619_1479056682">
            <w:r>
              <w:rPr>
                <w:webHidden/>
                <w:rStyle w:val="IndexLink"/>
                <w:rtl w:val="true"/>
              </w:rPr>
              <w:t>استادان شیخ محمّد نهاوندی</w:t>
            </w:r>
            <w:r>
              <w:rPr>
                <w:rStyle w:val="IndexLink"/>
                <w:rtl w:val="true"/>
              </w:rPr>
              <w:tab/>
            </w:r>
            <w:r>
              <w:rPr>
                <w:rStyle w:val="IndexLink"/>
              </w:rPr>
              <w:t>28</w:t>
            </w:r>
          </w:hyperlink>
        </w:p>
        <w:p>
          <w:pPr>
            <w:pStyle w:val="Contents5"/>
            <w:tabs>
              <w:tab w:val="clear" w:pos="7892"/>
              <w:tab w:val="right" w:pos="9026" w:leader="dot"/>
            </w:tabs>
            <w:rPr/>
          </w:pPr>
          <w:hyperlink w:anchor="__RefHeading___Toc1438621_1479056682">
            <w:r>
              <w:rPr>
                <w:webHidden/>
                <w:rStyle w:val="IndexLink"/>
                <w:rtl w:val="true"/>
              </w:rPr>
              <w:t>تألیفات و آثار علمی شیخ محمّد نهاوندی</w:t>
            </w:r>
            <w:r>
              <w:rPr>
                <w:rStyle w:val="IndexLink"/>
                <w:rtl w:val="true"/>
              </w:rPr>
              <w:tab/>
            </w:r>
            <w:r>
              <w:rPr>
                <w:rStyle w:val="IndexLink"/>
              </w:rPr>
              <w:t>29</w:t>
            </w:r>
          </w:hyperlink>
        </w:p>
        <w:p>
          <w:pPr>
            <w:pStyle w:val="Contents5"/>
            <w:tabs>
              <w:tab w:val="clear" w:pos="7892"/>
              <w:tab w:val="right" w:pos="9026" w:leader="dot"/>
            </w:tabs>
            <w:rPr/>
          </w:pPr>
          <w:hyperlink w:anchor="__RefHeading___Toc1438623_1479056682">
            <w:r>
              <w:rPr>
                <w:webHidden/>
                <w:rStyle w:val="IndexLink"/>
                <w:rtl w:val="true"/>
              </w:rPr>
              <w:t>کتابنامه شرح حال خاندان نهاوندی</w:t>
            </w:r>
            <w:r>
              <w:rPr>
                <w:rStyle w:val="IndexLink"/>
                <w:rtl w:val="true"/>
              </w:rPr>
              <w:tab/>
            </w:r>
            <w:r>
              <w:rPr>
                <w:rStyle w:val="IndexLink"/>
              </w:rPr>
              <w:t>31</w:t>
            </w:r>
          </w:hyperlink>
        </w:p>
        <w:p>
          <w:pPr>
            <w:pStyle w:val="Contents4"/>
            <w:tabs>
              <w:tab w:val="clear" w:pos="8176"/>
              <w:tab w:val="right" w:pos="9026" w:leader="dot"/>
            </w:tabs>
            <w:rPr/>
          </w:pPr>
          <w:hyperlink w:anchor="__RefHeading___Toc1438625_1479056682">
            <w:r>
              <w:rPr>
                <w:webHidden/>
                <w:rStyle w:val="IndexLink"/>
                <w:rtl w:val="true"/>
              </w:rPr>
              <w:t xml:space="preserve">فصل دوم </w:t>
            </w:r>
            <w:r>
              <w:rPr>
                <w:rStyle w:val="IndexLink"/>
                <w:rtl w:val="true"/>
              </w:rPr>
              <w:t xml:space="preserve">- </w:t>
            </w:r>
            <w:r>
              <w:rPr>
                <w:rStyle w:val="IndexLink"/>
                <w:rtl w:val="true"/>
              </w:rPr>
              <w:t>ویژگی‌های کلّی تفسیر نفحات الرّحمن در یک نگاه</w:t>
            </w:r>
            <w:r>
              <w:rPr>
                <w:rStyle w:val="IndexLink"/>
                <w:rtl w:val="true"/>
              </w:rPr>
              <w:tab/>
            </w:r>
            <w:r>
              <w:rPr>
                <w:rStyle w:val="IndexLink"/>
              </w:rPr>
              <w:t>33</w:t>
            </w:r>
          </w:hyperlink>
        </w:p>
        <w:p>
          <w:pPr>
            <w:pStyle w:val="Contents5"/>
            <w:tabs>
              <w:tab w:val="clear" w:pos="7892"/>
              <w:tab w:val="right" w:pos="9026" w:leader="dot"/>
            </w:tabs>
            <w:rPr/>
          </w:pPr>
          <w:hyperlink w:anchor="__RefHeading___Toc1438627_1479056682">
            <w:r>
              <w:rPr>
                <w:webHidden/>
                <w:rStyle w:val="IndexLink"/>
                <w:rtl w:val="true"/>
              </w:rPr>
              <w:t>جنبه‌های مثبت</w:t>
            </w:r>
            <w:r>
              <w:rPr>
                <w:rStyle w:val="IndexLink"/>
                <w:rtl w:val="true"/>
              </w:rPr>
              <w:tab/>
            </w:r>
            <w:r>
              <w:rPr>
                <w:rStyle w:val="IndexLink"/>
              </w:rPr>
              <w:t>33</w:t>
            </w:r>
          </w:hyperlink>
        </w:p>
        <w:p>
          <w:pPr>
            <w:pStyle w:val="Contents6"/>
            <w:tabs>
              <w:tab w:val="clear" w:pos="7609"/>
              <w:tab w:val="right" w:pos="9026" w:leader="dot"/>
            </w:tabs>
            <w:rPr/>
          </w:pPr>
          <w:hyperlink w:anchor="__RefHeading___Toc1438629_1479056682">
            <w:r>
              <w:rPr>
                <w:webHidden/>
                <w:rStyle w:val="IndexLink"/>
              </w:rPr>
              <w:t>1</w:t>
            </w:r>
            <w:r>
              <w:rPr>
                <w:rStyle w:val="IndexLink"/>
                <w:rtl w:val="true"/>
              </w:rPr>
              <w:t xml:space="preserve"> - </w:t>
            </w:r>
            <w:r>
              <w:rPr>
                <w:rStyle w:val="IndexLink"/>
                <w:rtl w:val="true"/>
              </w:rPr>
              <w:t>تفسیر قرآن به قرآن</w:t>
            </w:r>
            <w:r>
              <w:rPr>
                <w:rStyle w:val="IndexLink"/>
                <w:rtl w:val="true"/>
              </w:rPr>
              <w:tab/>
            </w:r>
            <w:r>
              <w:rPr>
                <w:rStyle w:val="IndexLink"/>
              </w:rPr>
              <w:t>33</w:t>
            </w:r>
          </w:hyperlink>
        </w:p>
        <w:p>
          <w:pPr>
            <w:pStyle w:val="Contents6"/>
            <w:tabs>
              <w:tab w:val="clear" w:pos="7609"/>
              <w:tab w:val="right" w:pos="9026" w:leader="dot"/>
            </w:tabs>
            <w:rPr/>
          </w:pPr>
          <w:hyperlink w:anchor="__RefHeading___Toc1438631_1479056682">
            <w:r>
              <w:rPr>
                <w:webHidden/>
                <w:rStyle w:val="IndexLink"/>
              </w:rPr>
              <w:t>2</w:t>
            </w:r>
            <w:r>
              <w:rPr>
                <w:rStyle w:val="IndexLink"/>
                <w:rtl w:val="true"/>
              </w:rPr>
              <w:t xml:space="preserve"> - </w:t>
            </w:r>
            <w:r>
              <w:rPr>
                <w:rStyle w:val="IndexLink"/>
                <w:rtl w:val="true"/>
              </w:rPr>
              <w:t>تفسیر قرآن به روایات</w:t>
            </w:r>
            <w:r>
              <w:rPr>
                <w:rStyle w:val="IndexLink"/>
                <w:rtl w:val="true"/>
              </w:rPr>
              <w:tab/>
            </w:r>
            <w:r>
              <w:rPr>
                <w:rStyle w:val="IndexLink"/>
              </w:rPr>
              <w:t>33</w:t>
            </w:r>
          </w:hyperlink>
        </w:p>
        <w:p>
          <w:pPr>
            <w:pStyle w:val="Contents6"/>
            <w:tabs>
              <w:tab w:val="clear" w:pos="7609"/>
              <w:tab w:val="right" w:pos="9026" w:leader="dot"/>
            </w:tabs>
            <w:rPr/>
          </w:pPr>
          <w:hyperlink w:anchor="__RefHeading___Toc1438633_1479056682">
            <w:r>
              <w:rPr>
                <w:webHidden/>
                <w:rStyle w:val="IndexLink"/>
              </w:rPr>
              <w:t>3</w:t>
            </w:r>
            <w:r>
              <w:rPr>
                <w:rStyle w:val="IndexLink"/>
                <w:rtl w:val="true"/>
              </w:rPr>
              <w:t xml:space="preserve"> - </w:t>
            </w:r>
            <w:r>
              <w:rPr>
                <w:rStyle w:val="IndexLink"/>
                <w:rtl w:val="true"/>
              </w:rPr>
              <w:t>اختصار در طرح مباحث ادبی، نحوی</w:t>
            </w:r>
            <w:r>
              <w:rPr>
                <w:rStyle w:val="IndexLink"/>
                <w:rtl w:val="true"/>
              </w:rPr>
              <w:tab/>
            </w:r>
            <w:r>
              <w:rPr>
                <w:rStyle w:val="IndexLink"/>
              </w:rPr>
              <w:t>34</w:t>
            </w:r>
          </w:hyperlink>
        </w:p>
        <w:p>
          <w:pPr>
            <w:pStyle w:val="Contents6"/>
            <w:tabs>
              <w:tab w:val="clear" w:pos="7609"/>
              <w:tab w:val="right" w:pos="9026" w:leader="dot"/>
            </w:tabs>
            <w:rPr/>
          </w:pPr>
          <w:hyperlink w:anchor="__RefHeading___Toc1438635_1479056682">
            <w:r>
              <w:rPr>
                <w:webHidden/>
                <w:rStyle w:val="IndexLink"/>
              </w:rPr>
              <w:t>4</w:t>
            </w:r>
            <w:r>
              <w:rPr>
                <w:rStyle w:val="IndexLink"/>
                <w:rtl w:val="true"/>
              </w:rPr>
              <w:t xml:space="preserve"> - </w:t>
            </w:r>
            <w:r>
              <w:rPr>
                <w:rStyle w:val="IndexLink"/>
                <w:rtl w:val="true"/>
              </w:rPr>
              <w:t>اجتناب از طرح نظریات مختلف مربوط به وجوهِ قراءات</w:t>
            </w:r>
            <w:r>
              <w:rPr>
                <w:rStyle w:val="IndexLink"/>
                <w:rtl w:val="true"/>
              </w:rPr>
              <w:tab/>
            </w:r>
            <w:r>
              <w:rPr>
                <w:rStyle w:val="IndexLink"/>
              </w:rPr>
              <w:t>34</w:t>
            </w:r>
          </w:hyperlink>
        </w:p>
        <w:p>
          <w:pPr>
            <w:pStyle w:val="Contents6"/>
            <w:tabs>
              <w:tab w:val="clear" w:pos="7609"/>
              <w:tab w:val="right" w:pos="9026" w:leader="dot"/>
            </w:tabs>
            <w:rPr/>
          </w:pPr>
          <w:hyperlink w:anchor="__RefHeading___Toc1438637_1479056682">
            <w:r>
              <w:rPr>
                <w:webHidden/>
                <w:rStyle w:val="IndexLink"/>
              </w:rPr>
              <w:t>5</w:t>
            </w:r>
            <w:r>
              <w:rPr>
                <w:rStyle w:val="IndexLink"/>
                <w:rtl w:val="true"/>
              </w:rPr>
              <w:t xml:space="preserve"> - </w:t>
            </w:r>
            <w:r>
              <w:rPr>
                <w:rStyle w:val="IndexLink"/>
                <w:rtl w:val="true"/>
              </w:rPr>
              <w:t>مزجی بودن تفسیر</w:t>
            </w:r>
            <w:r>
              <w:rPr>
                <w:rStyle w:val="IndexLink"/>
                <w:rtl w:val="true"/>
              </w:rPr>
              <w:tab/>
            </w:r>
            <w:r>
              <w:rPr>
                <w:rStyle w:val="IndexLink"/>
              </w:rPr>
              <w:t>34</w:t>
            </w:r>
          </w:hyperlink>
        </w:p>
        <w:p>
          <w:pPr>
            <w:pStyle w:val="Contents6"/>
            <w:tabs>
              <w:tab w:val="clear" w:pos="7609"/>
              <w:tab w:val="right" w:pos="9026" w:leader="dot"/>
            </w:tabs>
            <w:rPr/>
          </w:pPr>
          <w:hyperlink w:anchor="__RefHeading___Toc1438639_1479056682">
            <w:r>
              <w:rPr>
                <w:webHidden/>
                <w:rStyle w:val="IndexLink"/>
              </w:rPr>
              <w:t>6</w:t>
            </w:r>
            <w:r>
              <w:rPr>
                <w:rStyle w:val="IndexLink"/>
                <w:rtl w:val="true"/>
              </w:rPr>
              <w:t xml:space="preserve"> - </w:t>
            </w:r>
            <w:r>
              <w:rPr>
                <w:rStyle w:val="IndexLink"/>
                <w:rtl w:val="true"/>
              </w:rPr>
              <w:t>توجّه به نظم آیات</w:t>
            </w:r>
            <w:r>
              <w:rPr>
                <w:rStyle w:val="IndexLink"/>
                <w:rtl w:val="true"/>
              </w:rPr>
              <w:tab/>
            </w:r>
            <w:r>
              <w:rPr>
                <w:rStyle w:val="IndexLink"/>
              </w:rPr>
              <w:t>35</w:t>
            </w:r>
          </w:hyperlink>
        </w:p>
        <w:p>
          <w:pPr>
            <w:pStyle w:val="Contents6"/>
            <w:tabs>
              <w:tab w:val="clear" w:pos="7609"/>
              <w:tab w:val="right" w:pos="9026" w:leader="dot"/>
            </w:tabs>
            <w:rPr/>
          </w:pPr>
          <w:hyperlink w:anchor="__RefHeading___Toc1438641_1479056682">
            <w:r>
              <w:rPr>
                <w:webHidden/>
                <w:rStyle w:val="IndexLink"/>
              </w:rPr>
              <w:t>7</w:t>
            </w:r>
            <w:r>
              <w:rPr>
                <w:rStyle w:val="IndexLink"/>
                <w:rtl w:val="true"/>
              </w:rPr>
              <w:t xml:space="preserve"> - </w:t>
            </w:r>
            <w:r>
              <w:rPr>
                <w:rStyle w:val="IndexLink"/>
                <w:rtl w:val="true"/>
              </w:rPr>
              <w:t>برخورداری از مقدّمه کامل</w:t>
            </w:r>
            <w:r>
              <w:rPr>
                <w:rStyle w:val="IndexLink"/>
                <w:rtl w:val="true"/>
              </w:rPr>
              <w:tab/>
            </w:r>
            <w:r>
              <w:rPr>
                <w:rStyle w:val="IndexLink"/>
              </w:rPr>
              <w:t>35</w:t>
            </w:r>
          </w:hyperlink>
        </w:p>
        <w:p>
          <w:pPr>
            <w:pStyle w:val="Contents6"/>
            <w:tabs>
              <w:tab w:val="clear" w:pos="7609"/>
              <w:tab w:val="right" w:pos="9026" w:leader="dot"/>
            </w:tabs>
            <w:rPr/>
          </w:pPr>
          <w:hyperlink w:anchor="__RefHeading___Toc1438643_1479056682">
            <w:r>
              <w:rPr>
                <w:webHidden/>
                <w:rStyle w:val="IndexLink"/>
              </w:rPr>
              <w:t>8</w:t>
            </w:r>
            <w:r>
              <w:rPr>
                <w:rStyle w:val="IndexLink"/>
                <w:rtl w:val="true"/>
              </w:rPr>
              <w:t xml:space="preserve"> - </w:t>
            </w:r>
            <w:r>
              <w:rPr>
                <w:rStyle w:val="IndexLink"/>
                <w:rtl w:val="true"/>
              </w:rPr>
              <w:t>دیدگاههای کلامی در تفسیر</w:t>
            </w:r>
            <w:r>
              <w:rPr>
                <w:rStyle w:val="IndexLink"/>
                <w:rtl w:val="true"/>
              </w:rPr>
              <w:tab/>
            </w:r>
            <w:r>
              <w:rPr>
                <w:rStyle w:val="IndexLink"/>
              </w:rPr>
              <w:t>36</w:t>
            </w:r>
          </w:hyperlink>
        </w:p>
        <w:p>
          <w:pPr>
            <w:pStyle w:val="Contents6"/>
            <w:tabs>
              <w:tab w:val="clear" w:pos="7609"/>
              <w:tab w:val="right" w:pos="9026" w:leader="dot"/>
            </w:tabs>
            <w:rPr/>
          </w:pPr>
          <w:hyperlink w:anchor="__RefHeading___Toc1438645_1479056682">
            <w:r>
              <w:rPr>
                <w:webHidden/>
                <w:rStyle w:val="IndexLink"/>
              </w:rPr>
              <w:t>9</w:t>
            </w:r>
            <w:r>
              <w:rPr>
                <w:rStyle w:val="IndexLink"/>
                <w:rtl w:val="true"/>
              </w:rPr>
              <w:t xml:space="preserve"> - </w:t>
            </w:r>
            <w:r>
              <w:rPr>
                <w:rStyle w:val="IndexLink"/>
                <w:rtl w:val="true"/>
              </w:rPr>
              <w:t>مذهبی بودن تفسیر</w:t>
            </w:r>
            <w:r>
              <w:rPr>
                <w:rStyle w:val="IndexLink"/>
                <w:rtl w:val="true"/>
              </w:rPr>
              <w:tab/>
            </w:r>
            <w:r>
              <w:rPr>
                <w:rStyle w:val="IndexLink"/>
              </w:rPr>
              <w:t>36</w:t>
            </w:r>
          </w:hyperlink>
        </w:p>
        <w:p>
          <w:pPr>
            <w:pStyle w:val="Contents6"/>
            <w:tabs>
              <w:tab w:val="clear" w:pos="7609"/>
              <w:tab w:val="right" w:pos="9026" w:leader="dot"/>
            </w:tabs>
            <w:rPr/>
          </w:pPr>
          <w:hyperlink w:anchor="__RefHeading___Toc1438647_1479056682">
            <w:r>
              <w:rPr>
                <w:webHidden/>
                <w:rStyle w:val="IndexLink"/>
              </w:rPr>
              <w:t>10</w:t>
            </w:r>
            <w:r>
              <w:rPr>
                <w:rStyle w:val="IndexLink"/>
                <w:rtl w:val="true"/>
              </w:rPr>
              <w:t xml:space="preserve"> - </w:t>
            </w:r>
            <w:r>
              <w:rPr>
                <w:rStyle w:val="IndexLink"/>
                <w:rtl w:val="true"/>
              </w:rPr>
              <w:t>توجه به مسائل اجتماعی و عرفانی</w:t>
            </w:r>
            <w:r>
              <w:rPr>
                <w:rStyle w:val="IndexLink"/>
                <w:rtl w:val="true"/>
              </w:rPr>
              <w:tab/>
            </w:r>
            <w:r>
              <w:rPr>
                <w:rStyle w:val="IndexLink"/>
              </w:rPr>
              <w:t>36</w:t>
            </w:r>
          </w:hyperlink>
        </w:p>
        <w:p>
          <w:pPr>
            <w:pStyle w:val="Contents6"/>
            <w:tabs>
              <w:tab w:val="clear" w:pos="7609"/>
              <w:tab w:val="right" w:pos="9026" w:leader="dot"/>
            </w:tabs>
            <w:rPr/>
          </w:pPr>
          <w:hyperlink w:anchor="__RefHeading___Toc1438649_1479056682">
            <w:r>
              <w:rPr>
                <w:webHidden/>
                <w:rStyle w:val="IndexLink"/>
              </w:rPr>
              <w:t>11</w:t>
            </w:r>
            <w:r>
              <w:rPr>
                <w:rStyle w:val="IndexLink"/>
                <w:rtl w:val="true"/>
              </w:rPr>
              <w:t xml:space="preserve"> - </w:t>
            </w:r>
            <w:r>
              <w:rPr>
                <w:rStyle w:val="IndexLink"/>
                <w:rtl w:val="true"/>
              </w:rPr>
              <w:t>تفسیر مبهمات</w:t>
            </w:r>
            <w:r>
              <w:rPr>
                <w:rStyle w:val="IndexLink"/>
                <w:rtl w:val="true"/>
              </w:rPr>
              <w:tab/>
            </w:r>
            <w:r>
              <w:rPr>
                <w:rStyle w:val="IndexLink"/>
              </w:rPr>
              <w:t>36</w:t>
            </w:r>
          </w:hyperlink>
        </w:p>
        <w:p>
          <w:pPr>
            <w:pStyle w:val="Contents6"/>
            <w:tabs>
              <w:tab w:val="clear" w:pos="7609"/>
              <w:tab w:val="right" w:pos="9026" w:leader="dot"/>
            </w:tabs>
            <w:rPr/>
          </w:pPr>
          <w:hyperlink w:anchor="__RefHeading___Toc1438651_1479056682">
            <w:r>
              <w:rPr>
                <w:webHidden/>
                <w:rStyle w:val="IndexLink"/>
              </w:rPr>
              <w:t>12</w:t>
            </w:r>
            <w:r>
              <w:rPr>
                <w:rStyle w:val="IndexLink"/>
                <w:rtl w:val="true"/>
              </w:rPr>
              <w:t xml:space="preserve"> - </w:t>
            </w:r>
            <w:r>
              <w:rPr>
                <w:rStyle w:val="IndexLink"/>
                <w:rtl w:val="true"/>
              </w:rPr>
              <w:t>توجه به اسباب نزول</w:t>
            </w:r>
            <w:r>
              <w:rPr>
                <w:rStyle w:val="IndexLink"/>
                <w:rtl w:val="true"/>
              </w:rPr>
              <w:tab/>
            </w:r>
            <w:r>
              <w:rPr>
                <w:rStyle w:val="IndexLink"/>
              </w:rPr>
              <w:t>36</w:t>
            </w:r>
          </w:hyperlink>
        </w:p>
        <w:p>
          <w:pPr>
            <w:pStyle w:val="Contents6"/>
            <w:tabs>
              <w:tab w:val="clear" w:pos="7609"/>
              <w:tab w:val="right" w:pos="9026" w:leader="dot"/>
            </w:tabs>
            <w:rPr/>
          </w:pPr>
          <w:hyperlink w:anchor="__RefHeading___Toc1438653_1479056682">
            <w:r>
              <w:rPr>
                <w:webHidden/>
                <w:rStyle w:val="IndexLink"/>
              </w:rPr>
              <w:t>13</w:t>
            </w:r>
            <w:r>
              <w:rPr>
                <w:rStyle w:val="IndexLink"/>
                <w:rtl w:val="true"/>
              </w:rPr>
              <w:t xml:space="preserve"> - </w:t>
            </w:r>
            <w:r>
              <w:rPr>
                <w:rStyle w:val="IndexLink"/>
                <w:rtl w:val="true"/>
              </w:rPr>
              <w:t>اجتهاد در تفسیر</w:t>
            </w:r>
            <w:r>
              <w:rPr>
                <w:rStyle w:val="IndexLink"/>
                <w:rtl w:val="true"/>
              </w:rPr>
              <w:tab/>
            </w:r>
            <w:r>
              <w:rPr>
                <w:rStyle w:val="IndexLink"/>
              </w:rPr>
              <w:t>37</w:t>
            </w:r>
          </w:hyperlink>
        </w:p>
        <w:p>
          <w:pPr>
            <w:pStyle w:val="Contents6"/>
            <w:tabs>
              <w:tab w:val="clear" w:pos="7609"/>
              <w:tab w:val="right" w:pos="9026" w:leader="dot"/>
            </w:tabs>
            <w:rPr/>
          </w:pPr>
          <w:hyperlink w:anchor="__RefHeading___Toc1438655_1479056682">
            <w:r>
              <w:rPr>
                <w:webHidden/>
                <w:rStyle w:val="IndexLink"/>
              </w:rPr>
              <w:t>14</w:t>
            </w:r>
            <w:r>
              <w:rPr>
                <w:rStyle w:val="IndexLink"/>
                <w:rtl w:val="true"/>
              </w:rPr>
              <w:t xml:space="preserve"> - </w:t>
            </w:r>
            <w:r>
              <w:rPr>
                <w:rStyle w:val="IndexLink"/>
                <w:rtl w:val="true"/>
              </w:rPr>
              <w:t>توجّه به منابع تفسیری اهل تسنّن</w:t>
            </w:r>
            <w:r>
              <w:rPr>
                <w:rStyle w:val="IndexLink"/>
                <w:rtl w:val="true"/>
              </w:rPr>
              <w:tab/>
            </w:r>
            <w:r>
              <w:rPr>
                <w:rStyle w:val="IndexLink"/>
              </w:rPr>
              <w:t>37</w:t>
            </w:r>
          </w:hyperlink>
        </w:p>
        <w:p>
          <w:pPr>
            <w:pStyle w:val="Contents6"/>
            <w:tabs>
              <w:tab w:val="clear" w:pos="7609"/>
              <w:tab w:val="right" w:pos="9026" w:leader="dot"/>
            </w:tabs>
            <w:rPr/>
          </w:pPr>
          <w:hyperlink w:anchor="__RefHeading___Toc1438657_1479056682">
            <w:r>
              <w:rPr>
                <w:webHidden/>
                <w:rStyle w:val="IndexLink"/>
              </w:rPr>
              <w:t>15</w:t>
            </w:r>
            <w:r>
              <w:rPr>
                <w:rStyle w:val="IndexLink"/>
                <w:rtl w:val="true"/>
              </w:rPr>
              <w:t xml:space="preserve"> - </w:t>
            </w:r>
            <w:r>
              <w:rPr>
                <w:rStyle w:val="IndexLink"/>
                <w:rtl w:val="true"/>
              </w:rPr>
              <w:t>توجّه به اصل امامت</w:t>
            </w:r>
            <w:r>
              <w:rPr>
                <w:rStyle w:val="IndexLink"/>
                <w:rtl w:val="true"/>
              </w:rPr>
              <w:tab/>
            </w:r>
            <w:r>
              <w:rPr>
                <w:rStyle w:val="IndexLink"/>
              </w:rPr>
              <w:t>37</w:t>
            </w:r>
          </w:hyperlink>
        </w:p>
        <w:p>
          <w:pPr>
            <w:pStyle w:val="Contents6"/>
            <w:tabs>
              <w:tab w:val="clear" w:pos="7609"/>
              <w:tab w:val="right" w:pos="9026" w:leader="dot"/>
            </w:tabs>
            <w:rPr/>
          </w:pPr>
          <w:hyperlink w:anchor="__RefHeading___Toc1438659_1479056682">
            <w:r>
              <w:rPr>
                <w:webHidden/>
                <w:rStyle w:val="IndexLink"/>
              </w:rPr>
              <w:t>16</w:t>
            </w:r>
            <w:r>
              <w:rPr>
                <w:rStyle w:val="IndexLink"/>
                <w:rtl w:val="true"/>
              </w:rPr>
              <w:t xml:space="preserve"> - </w:t>
            </w:r>
            <w:r>
              <w:rPr>
                <w:rStyle w:val="IndexLink"/>
                <w:rtl w:val="true"/>
              </w:rPr>
              <w:t>تفسیر آیات الاحکام</w:t>
            </w:r>
            <w:r>
              <w:rPr>
                <w:rStyle w:val="IndexLink"/>
                <w:rtl w:val="true"/>
              </w:rPr>
              <w:tab/>
            </w:r>
            <w:r>
              <w:rPr>
                <w:rStyle w:val="IndexLink"/>
              </w:rPr>
              <w:t>37</w:t>
            </w:r>
          </w:hyperlink>
        </w:p>
        <w:p>
          <w:pPr>
            <w:pStyle w:val="Contents6"/>
            <w:tabs>
              <w:tab w:val="clear" w:pos="7609"/>
              <w:tab w:val="right" w:pos="9026" w:leader="dot"/>
            </w:tabs>
            <w:rPr/>
          </w:pPr>
          <w:hyperlink w:anchor="__RefHeading___Toc1438661_1479056682">
            <w:r>
              <w:rPr>
                <w:webHidden/>
                <w:rStyle w:val="IndexLink"/>
              </w:rPr>
              <w:t>17</w:t>
            </w:r>
            <w:r>
              <w:rPr>
                <w:rStyle w:val="IndexLink"/>
                <w:rtl w:val="true"/>
              </w:rPr>
              <w:t xml:space="preserve"> - </w:t>
            </w:r>
            <w:r>
              <w:rPr>
                <w:rStyle w:val="IndexLink"/>
                <w:rtl w:val="true"/>
              </w:rPr>
              <w:t>گستردگی موضوعات تفسیری</w:t>
            </w:r>
            <w:r>
              <w:rPr>
                <w:rStyle w:val="IndexLink"/>
                <w:rtl w:val="true"/>
              </w:rPr>
              <w:tab/>
            </w:r>
            <w:r>
              <w:rPr>
                <w:rStyle w:val="IndexLink"/>
              </w:rPr>
              <w:t>37</w:t>
            </w:r>
          </w:hyperlink>
        </w:p>
        <w:p>
          <w:pPr>
            <w:pStyle w:val="Contents6"/>
            <w:tabs>
              <w:tab w:val="clear" w:pos="7609"/>
              <w:tab w:val="right" w:pos="9026" w:leader="dot"/>
            </w:tabs>
            <w:rPr/>
          </w:pPr>
          <w:hyperlink w:anchor="__RefHeading___Toc1438663_1479056682">
            <w:r>
              <w:rPr>
                <w:webHidden/>
                <w:rStyle w:val="IndexLink"/>
              </w:rPr>
              <w:t>18</w:t>
            </w:r>
            <w:r>
              <w:rPr>
                <w:rStyle w:val="IndexLink"/>
                <w:rtl w:val="true"/>
              </w:rPr>
              <w:t xml:space="preserve"> - </w:t>
            </w:r>
            <w:r>
              <w:rPr>
                <w:rStyle w:val="IndexLink"/>
                <w:rtl w:val="true"/>
              </w:rPr>
              <w:t>قرآن منشأ علوم</w:t>
            </w:r>
            <w:r>
              <w:rPr>
                <w:rStyle w:val="IndexLink"/>
                <w:rtl w:val="true"/>
              </w:rPr>
              <w:tab/>
            </w:r>
            <w:r>
              <w:rPr>
                <w:rStyle w:val="IndexLink"/>
              </w:rPr>
              <w:t>38</w:t>
            </w:r>
          </w:hyperlink>
        </w:p>
        <w:p>
          <w:pPr>
            <w:pStyle w:val="Contents6"/>
            <w:tabs>
              <w:tab w:val="clear" w:pos="7609"/>
              <w:tab w:val="right" w:pos="9026" w:leader="dot"/>
            </w:tabs>
            <w:rPr/>
          </w:pPr>
          <w:hyperlink w:anchor="__RefHeading___Toc1438665_1479056682">
            <w:r>
              <w:rPr>
                <w:webHidden/>
                <w:rStyle w:val="IndexLink"/>
              </w:rPr>
              <w:t>19</w:t>
            </w:r>
            <w:r>
              <w:rPr>
                <w:rStyle w:val="IndexLink"/>
                <w:rtl w:val="true"/>
              </w:rPr>
              <w:t xml:space="preserve"> - </w:t>
            </w:r>
            <w:r>
              <w:rPr>
                <w:rStyle w:val="IndexLink"/>
                <w:rtl w:val="true"/>
              </w:rPr>
              <w:t>پایان ناپذیری تفسیر</w:t>
            </w:r>
            <w:r>
              <w:rPr>
                <w:rStyle w:val="IndexLink"/>
                <w:rtl w:val="true"/>
              </w:rPr>
              <w:tab/>
            </w:r>
            <w:r>
              <w:rPr>
                <w:rStyle w:val="IndexLink"/>
              </w:rPr>
              <w:t>38</w:t>
            </w:r>
          </w:hyperlink>
        </w:p>
        <w:p>
          <w:pPr>
            <w:pStyle w:val="Contents6"/>
            <w:tabs>
              <w:tab w:val="clear" w:pos="7609"/>
              <w:tab w:val="right" w:pos="9026" w:leader="dot"/>
            </w:tabs>
            <w:rPr/>
          </w:pPr>
          <w:hyperlink w:anchor="__RefHeading___Toc1438667_1479056682">
            <w:r>
              <w:rPr>
                <w:webHidden/>
                <w:rStyle w:val="IndexLink"/>
              </w:rPr>
              <w:t>20</w:t>
            </w:r>
            <w:r>
              <w:rPr>
                <w:rStyle w:val="IndexLink"/>
                <w:rtl w:val="true"/>
              </w:rPr>
              <w:t xml:space="preserve"> - </w:t>
            </w:r>
            <w:r>
              <w:rPr>
                <w:rStyle w:val="IndexLink"/>
                <w:rtl w:val="true"/>
              </w:rPr>
              <w:t>گستردگی مصادر و منابع تفسیری</w:t>
            </w:r>
            <w:r>
              <w:rPr>
                <w:rStyle w:val="IndexLink"/>
                <w:rtl w:val="true"/>
              </w:rPr>
              <w:tab/>
            </w:r>
            <w:r>
              <w:rPr>
                <w:rStyle w:val="IndexLink"/>
              </w:rPr>
              <w:t>38</w:t>
            </w:r>
          </w:hyperlink>
        </w:p>
        <w:p>
          <w:pPr>
            <w:pStyle w:val="Contents6"/>
            <w:tabs>
              <w:tab w:val="clear" w:pos="7609"/>
              <w:tab w:val="right" w:pos="9026" w:leader="dot"/>
            </w:tabs>
            <w:rPr/>
          </w:pPr>
          <w:hyperlink w:anchor="__RefHeading___Toc1438669_1479056682">
            <w:r>
              <w:rPr>
                <w:webHidden/>
                <w:rStyle w:val="IndexLink"/>
              </w:rPr>
              <w:t>21</w:t>
            </w:r>
            <w:r>
              <w:rPr>
                <w:rStyle w:val="IndexLink"/>
                <w:rtl w:val="true"/>
              </w:rPr>
              <w:t xml:space="preserve"> - </w:t>
            </w:r>
            <w:r>
              <w:rPr>
                <w:rStyle w:val="IndexLink"/>
                <w:rtl w:val="true"/>
              </w:rPr>
              <w:t>تحلیل روایات</w:t>
            </w:r>
            <w:r>
              <w:rPr>
                <w:rStyle w:val="IndexLink"/>
                <w:rtl w:val="true"/>
              </w:rPr>
              <w:tab/>
            </w:r>
            <w:r>
              <w:rPr>
                <w:rStyle w:val="IndexLink"/>
              </w:rPr>
              <w:t>39</w:t>
            </w:r>
          </w:hyperlink>
        </w:p>
        <w:p>
          <w:pPr>
            <w:pStyle w:val="Contents5"/>
            <w:tabs>
              <w:tab w:val="clear" w:pos="7892"/>
              <w:tab w:val="right" w:pos="9026" w:leader="dot"/>
            </w:tabs>
            <w:rPr/>
          </w:pPr>
          <w:hyperlink w:anchor="__RefHeading___Toc1438671_1479056682">
            <w:r>
              <w:rPr>
                <w:webHidden/>
                <w:rStyle w:val="IndexLink"/>
                <w:rtl w:val="true"/>
              </w:rPr>
              <w:t>جنبه‌های منفی یا کاستی‌های تفسیر</w:t>
            </w:r>
            <w:r>
              <w:rPr>
                <w:rStyle w:val="IndexLink"/>
                <w:rtl w:val="true"/>
              </w:rPr>
              <w:tab/>
            </w:r>
            <w:r>
              <w:rPr>
                <w:rStyle w:val="IndexLink"/>
              </w:rPr>
              <w:t>40</w:t>
            </w:r>
          </w:hyperlink>
        </w:p>
        <w:p>
          <w:pPr>
            <w:pStyle w:val="Contents6"/>
            <w:tabs>
              <w:tab w:val="clear" w:pos="7609"/>
              <w:tab w:val="right" w:pos="9026" w:leader="dot"/>
            </w:tabs>
            <w:rPr/>
          </w:pPr>
          <w:hyperlink w:anchor="__RefHeading___Toc1438673_1479056682">
            <w:r>
              <w:rPr>
                <w:webHidden/>
                <w:rStyle w:val="IndexLink"/>
                <w:rtl w:val="true"/>
              </w:rPr>
              <w:t>اشاره</w:t>
            </w:r>
            <w:r>
              <w:rPr>
                <w:rStyle w:val="IndexLink"/>
                <w:rtl w:val="true"/>
              </w:rPr>
              <w:tab/>
            </w:r>
            <w:r>
              <w:rPr>
                <w:rStyle w:val="IndexLink"/>
              </w:rPr>
              <w:t>40</w:t>
            </w:r>
          </w:hyperlink>
        </w:p>
        <w:p>
          <w:pPr>
            <w:pStyle w:val="Contents6"/>
            <w:tabs>
              <w:tab w:val="clear" w:pos="7609"/>
              <w:tab w:val="right" w:pos="9026" w:leader="dot"/>
            </w:tabs>
            <w:rPr/>
          </w:pPr>
          <w:hyperlink w:anchor="__RefHeading___Toc1438675_1479056682">
            <w:r>
              <w:rPr>
                <w:webHidden/>
                <w:rStyle w:val="IndexLink"/>
              </w:rPr>
              <w:t>1</w:t>
            </w:r>
            <w:r>
              <w:rPr>
                <w:rStyle w:val="IndexLink"/>
                <w:rtl w:val="true"/>
              </w:rPr>
              <w:t xml:space="preserve"> - </w:t>
            </w:r>
            <w:r>
              <w:rPr>
                <w:rStyle w:val="IndexLink"/>
                <w:rtl w:val="true"/>
              </w:rPr>
              <w:t>بی‌توجّهی به سند روایات</w:t>
            </w:r>
            <w:r>
              <w:rPr>
                <w:rStyle w:val="IndexLink"/>
                <w:rtl w:val="true"/>
              </w:rPr>
              <w:tab/>
            </w:r>
            <w:r>
              <w:rPr>
                <w:rStyle w:val="IndexLink"/>
              </w:rPr>
              <w:t>40</w:t>
            </w:r>
          </w:hyperlink>
        </w:p>
        <w:p>
          <w:pPr>
            <w:pStyle w:val="Contents6"/>
            <w:tabs>
              <w:tab w:val="clear" w:pos="7609"/>
              <w:tab w:val="right" w:pos="9026" w:leader="dot"/>
            </w:tabs>
            <w:rPr/>
          </w:pPr>
          <w:hyperlink w:anchor="__RefHeading___Toc1438677_1479056682">
            <w:r>
              <w:rPr>
                <w:webHidden/>
                <w:rStyle w:val="IndexLink"/>
              </w:rPr>
              <w:t>2</w:t>
            </w:r>
            <w:r>
              <w:rPr>
                <w:rStyle w:val="IndexLink"/>
                <w:rtl w:val="true"/>
              </w:rPr>
              <w:t xml:space="preserve"> - </w:t>
            </w:r>
            <w:r>
              <w:rPr>
                <w:rStyle w:val="IndexLink"/>
                <w:rtl w:val="true"/>
              </w:rPr>
              <w:t>عدم ذکر مآخذ و مصادر روایی</w:t>
            </w:r>
            <w:r>
              <w:rPr>
                <w:rStyle w:val="IndexLink"/>
                <w:rtl w:val="true"/>
              </w:rPr>
              <w:tab/>
            </w:r>
            <w:r>
              <w:rPr>
                <w:rStyle w:val="IndexLink"/>
              </w:rPr>
              <w:t>41</w:t>
            </w:r>
          </w:hyperlink>
        </w:p>
        <w:p>
          <w:pPr>
            <w:pStyle w:val="Contents6"/>
            <w:tabs>
              <w:tab w:val="clear" w:pos="7609"/>
              <w:tab w:val="right" w:pos="9026" w:leader="dot"/>
            </w:tabs>
            <w:rPr/>
          </w:pPr>
          <w:hyperlink w:anchor="__RefHeading___Toc1438679_1479056682">
            <w:r>
              <w:rPr>
                <w:webHidden/>
                <w:rStyle w:val="IndexLink"/>
              </w:rPr>
              <w:t>3</w:t>
            </w:r>
            <w:r>
              <w:rPr>
                <w:rStyle w:val="IndexLink"/>
                <w:rtl w:val="true"/>
              </w:rPr>
              <w:t xml:space="preserve"> - </w:t>
            </w:r>
            <w:r>
              <w:rPr>
                <w:rStyle w:val="IndexLink"/>
                <w:rtl w:val="true"/>
              </w:rPr>
              <w:t>بی‌نشان گذاردن آیات و سوره‌ها</w:t>
            </w:r>
            <w:r>
              <w:rPr>
                <w:rStyle w:val="IndexLink"/>
                <w:rtl w:val="true"/>
              </w:rPr>
              <w:tab/>
            </w:r>
            <w:r>
              <w:rPr>
                <w:rStyle w:val="IndexLink"/>
              </w:rPr>
              <w:t>41</w:t>
            </w:r>
          </w:hyperlink>
        </w:p>
        <w:p>
          <w:pPr>
            <w:pStyle w:val="Contents6"/>
            <w:tabs>
              <w:tab w:val="clear" w:pos="7609"/>
              <w:tab w:val="right" w:pos="9026" w:leader="dot"/>
            </w:tabs>
            <w:rPr/>
          </w:pPr>
          <w:hyperlink w:anchor="__RefHeading___Toc1438681_1479056682">
            <w:r>
              <w:rPr>
                <w:webHidden/>
                <w:rStyle w:val="IndexLink"/>
              </w:rPr>
              <w:t>4</w:t>
            </w:r>
            <w:r>
              <w:rPr>
                <w:rStyle w:val="IndexLink"/>
                <w:rtl w:val="true"/>
              </w:rPr>
              <w:t xml:space="preserve"> - </w:t>
            </w:r>
            <w:r>
              <w:rPr>
                <w:rStyle w:val="IndexLink"/>
                <w:rtl w:val="true"/>
              </w:rPr>
              <w:t>نقل ذهنی پاره‌ای از آیات و روایات</w:t>
            </w:r>
            <w:r>
              <w:rPr>
                <w:rStyle w:val="IndexLink"/>
                <w:rtl w:val="true"/>
              </w:rPr>
              <w:tab/>
            </w:r>
            <w:r>
              <w:rPr>
                <w:rStyle w:val="IndexLink"/>
              </w:rPr>
              <w:t>41</w:t>
            </w:r>
          </w:hyperlink>
        </w:p>
        <w:p>
          <w:pPr>
            <w:pStyle w:val="Contents6"/>
            <w:tabs>
              <w:tab w:val="clear" w:pos="7609"/>
              <w:tab w:val="right" w:pos="9026" w:leader="dot"/>
            </w:tabs>
            <w:rPr/>
          </w:pPr>
          <w:hyperlink w:anchor="__RefHeading___Toc1438683_1479056682">
            <w:r>
              <w:rPr>
                <w:webHidden/>
                <w:rStyle w:val="IndexLink"/>
              </w:rPr>
              <w:t>5</w:t>
            </w:r>
            <w:r>
              <w:rPr>
                <w:rStyle w:val="IndexLink"/>
                <w:rtl w:val="true"/>
              </w:rPr>
              <w:t xml:space="preserve"> - </w:t>
            </w:r>
            <w:r>
              <w:rPr>
                <w:rStyle w:val="IndexLink"/>
                <w:rtl w:val="true"/>
              </w:rPr>
              <w:t>تأثیرپذیری از آراء و دیدگاههای علمای اهل تسنّن</w:t>
            </w:r>
            <w:r>
              <w:rPr>
                <w:rStyle w:val="IndexLink"/>
                <w:rtl w:val="true"/>
              </w:rPr>
              <w:tab/>
            </w:r>
            <w:r>
              <w:rPr>
                <w:rStyle w:val="IndexLink"/>
              </w:rPr>
              <w:t>43</w:t>
            </w:r>
          </w:hyperlink>
        </w:p>
        <w:p>
          <w:pPr>
            <w:pStyle w:val="Contents6"/>
            <w:tabs>
              <w:tab w:val="clear" w:pos="7609"/>
              <w:tab w:val="right" w:pos="9026" w:leader="dot"/>
            </w:tabs>
            <w:rPr/>
          </w:pPr>
          <w:hyperlink w:anchor="__RefHeading___Toc1438685_1479056682">
            <w:r>
              <w:rPr>
                <w:webHidden/>
                <w:rStyle w:val="IndexLink"/>
              </w:rPr>
              <w:t>6</w:t>
            </w:r>
            <w:r>
              <w:rPr>
                <w:rStyle w:val="IndexLink"/>
                <w:rtl w:val="true"/>
              </w:rPr>
              <w:t xml:space="preserve"> - </w:t>
            </w:r>
            <w:r>
              <w:rPr>
                <w:rStyle w:val="IndexLink"/>
                <w:rtl w:val="true"/>
              </w:rPr>
              <w:t>نقل برخی روایات از طرق عامّه، علی رغم وجود طرق شیعی</w:t>
            </w:r>
            <w:r>
              <w:rPr>
                <w:rStyle w:val="IndexLink"/>
                <w:rtl w:val="true"/>
              </w:rPr>
              <w:tab/>
            </w:r>
            <w:r>
              <w:rPr>
                <w:rStyle w:val="IndexLink"/>
              </w:rPr>
              <w:t>43</w:t>
            </w:r>
          </w:hyperlink>
        </w:p>
        <w:p>
          <w:pPr>
            <w:pStyle w:val="Contents6"/>
            <w:tabs>
              <w:tab w:val="clear" w:pos="7609"/>
              <w:tab w:val="right" w:pos="9026" w:leader="dot"/>
            </w:tabs>
            <w:rPr/>
          </w:pPr>
          <w:hyperlink w:anchor="__RefHeading___Toc1438687_1479056682">
            <w:r>
              <w:rPr>
                <w:webHidden/>
                <w:rStyle w:val="IndexLink"/>
              </w:rPr>
              <w:t>7</w:t>
            </w:r>
            <w:r>
              <w:rPr>
                <w:rStyle w:val="IndexLink"/>
                <w:rtl w:val="true"/>
              </w:rPr>
              <w:t xml:space="preserve"> - </w:t>
            </w:r>
            <w:r>
              <w:rPr>
                <w:rStyle w:val="IndexLink"/>
                <w:rtl w:val="true"/>
              </w:rPr>
              <w:t>فقدان فهرست</w:t>
            </w:r>
            <w:r>
              <w:rPr>
                <w:rStyle w:val="IndexLink"/>
                <w:rtl w:val="true"/>
              </w:rPr>
              <w:tab/>
            </w:r>
            <w:r>
              <w:rPr>
                <w:rStyle w:val="IndexLink"/>
              </w:rPr>
              <w:t>44</w:t>
            </w:r>
          </w:hyperlink>
        </w:p>
        <w:p>
          <w:pPr>
            <w:pStyle w:val="Contents6"/>
            <w:tabs>
              <w:tab w:val="clear" w:pos="7609"/>
              <w:tab w:val="right" w:pos="9026" w:leader="dot"/>
            </w:tabs>
            <w:rPr/>
          </w:pPr>
          <w:hyperlink w:anchor="__RefHeading___Toc1438689_1479056682">
            <w:r>
              <w:rPr>
                <w:webHidden/>
                <w:rStyle w:val="IndexLink"/>
              </w:rPr>
              <w:t>8</w:t>
            </w:r>
            <w:r>
              <w:rPr>
                <w:rStyle w:val="IndexLink"/>
                <w:rtl w:val="true"/>
              </w:rPr>
              <w:t xml:space="preserve"> - </w:t>
            </w:r>
            <w:r>
              <w:rPr>
                <w:rStyle w:val="IndexLink"/>
                <w:rtl w:val="true"/>
              </w:rPr>
              <w:t>عدم رعایت قواعد و نکات مربوط به نگارش</w:t>
            </w:r>
            <w:r>
              <w:rPr>
                <w:rStyle w:val="IndexLink"/>
                <w:rtl w:val="true"/>
              </w:rPr>
              <w:tab/>
            </w:r>
            <w:r>
              <w:rPr>
                <w:rStyle w:val="IndexLink"/>
              </w:rPr>
              <w:t>45</w:t>
            </w:r>
          </w:hyperlink>
        </w:p>
        <w:p>
          <w:pPr>
            <w:pStyle w:val="Contents6"/>
            <w:tabs>
              <w:tab w:val="clear" w:pos="7609"/>
              <w:tab w:val="right" w:pos="9026" w:leader="dot"/>
            </w:tabs>
            <w:rPr/>
          </w:pPr>
          <w:hyperlink w:anchor="__RefHeading___Toc1438691_1479056682">
            <w:r>
              <w:rPr>
                <w:webHidden/>
                <w:rStyle w:val="IndexLink"/>
              </w:rPr>
              <w:t>9</w:t>
            </w:r>
            <w:r>
              <w:rPr>
                <w:rStyle w:val="IndexLink"/>
                <w:rtl w:val="true"/>
              </w:rPr>
              <w:t xml:space="preserve"> - </w:t>
            </w:r>
            <w:r>
              <w:rPr>
                <w:rStyle w:val="IndexLink"/>
                <w:rtl w:val="true"/>
              </w:rPr>
              <w:t>فقدان بحثهای لغوی</w:t>
            </w:r>
            <w:r>
              <w:rPr>
                <w:rStyle w:val="IndexLink"/>
                <w:rtl w:val="true"/>
              </w:rPr>
              <w:tab/>
            </w:r>
            <w:r>
              <w:rPr>
                <w:rStyle w:val="IndexLink"/>
              </w:rPr>
              <w:t>45</w:t>
            </w:r>
          </w:hyperlink>
        </w:p>
        <w:p>
          <w:pPr>
            <w:pStyle w:val="Contents6"/>
            <w:tabs>
              <w:tab w:val="clear" w:pos="7609"/>
              <w:tab w:val="right" w:pos="9026" w:leader="dot"/>
            </w:tabs>
            <w:rPr/>
          </w:pPr>
          <w:hyperlink w:anchor="__RefHeading___Toc1438693_1479056682">
            <w:r>
              <w:rPr>
                <w:webHidden/>
                <w:rStyle w:val="IndexLink"/>
              </w:rPr>
              <w:t>10</w:t>
            </w:r>
            <w:r>
              <w:rPr>
                <w:rStyle w:val="IndexLink"/>
                <w:rtl w:val="true"/>
              </w:rPr>
              <w:t xml:space="preserve"> - </w:t>
            </w:r>
            <w:r>
              <w:rPr>
                <w:rStyle w:val="IndexLink"/>
                <w:rtl w:val="true"/>
              </w:rPr>
              <w:t>فقدان عناوین اصلی و فرعی در تفسیر آیات</w:t>
            </w:r>
            <w:r>
              <w:rPr>
                <w:rStyle w:val="IndexLink"/>
                <w:rtl w:val="true"/>
              </w:rPr>
              <w:tab/>
            </w:r>
            <w:r>
              <w:rPr>
                <w:rStyle w:val="IndexLink"/>
              </w:rPr>
              <w:t>46</w:t>
            </w:r>
          </w:hyperlink>
        </w:p>
        <w:p>
          <w:pPr>
            <w:pStyle w:val="Contents6"/>
            <w:tabs>
              <w:tab w:val="clear" w:pos="7609"/>
              <w:tab w:val="right" w:pos="9026" w:leader="dot"/>
            </w:tabs>
            <w:rPr/>
          </w:pPr>
          <w:hyperlink w:anchor="__RefHeading___Toc1438695_1479056682">
            <w:r>
              <w:rPr>
                <w:webHidden/>
                <w:rStyle w:val="IndexLink"/>
              </w:rPr>
              <w:t>11</w:t>
            </w:r>
            <w:r>
              <w:rPr>
                <w:rStyle w:val="IndexLink"/>
                <w:rtl w:val="true"/>
              </w:rPr>
              <w:t xml:space="preserve"> - </w:t>
            </w:r>
            <w:r>
              <w:rPr>
                <w:rStyle w:val="IndexLink"/>
                <w:rtl w:val="true"/>
              </w:rPr>
              <w:t>عدم مراجعه به منابع دست اوّل در پاره‌ای از موارد</w:t>
            </w:r>
            <w:r>
              <w:rPr>
                <w:rStyle w:val="IndexLink"/>
                <w:rtl w:val="true"/>
              </w:rPr>
              <w:tab/>
            </w:r>
            <w:r>
              <w:rPr>
                <w:rStyle w:val="IndexLink"/>
              </w:rPr>
              <w:t>47</w:t>
            </w:r>
          </w:hyperlink>
        </w:p>
        <w:p>
          <w:pPr>
            <w:pStyle w:val="Contents6"/>
            <w:tabs>
              <w:tab w:val="clear" w:pos="7609"/>
              <w:tab w:val="right" w:pos="9026" w:leader="dot"/>
            </w:tabs>
            <w:rPr/>
          </w:pPr>
          <w:hyperlink w:anchor="__RefHeading___Toc1438697_1479056682">
            <w:r>
              <w:rPr>
                <w:webHidden/>
                <w:rStyle w:val="IndexLink"/>
              </w:rPr>
              <w:t>12</w:t>
            </w:r>
            <w:r>
              <w:rPr>
                <w:rStyle w:val="IndexLink"/>
                <w:rtl w:val="true"/>
              </w:rPr>
              <w:t xml:space="preserve"> - </w:t>
            </w:r>
            <w:r>
              <w:rPr>
                <w:rStyle w:val="IndexLink"/>
                <w:rtl w:val="true"/>
              </w:rPr>
              <w:t>اعتماد بیش از حد به اخبار فضایل الآیات</w:t>
            </w:r>
            <w:r>
              <w:rPr>
                <w:rStyle w:val="IndexLink"/>
                <w:rtl w:val="true"/>
              </w:rPr>
              <w:tab/>
            </w:r>
            <w:r>
              <w:rPr>
                <w:rStyle w:val="IndexLink"/>
              </w:rPr>
              <w:t>47</w:t>
            </w:r>
          </w:hyperlink>
        </w:p>
        <w:p>
          <w:pPr>
            <w:pStyle w:val="Contents4"/>
            <w:tabs>
              <w:tab w:val="clear" w:pos="8176"/>
              <w:tab w:val="right" w:pos="9026" w:leader="dot"/>
            </w:tabs>
            <w:rPr/>
          </w:pPr>
          <w:hyperlink w:anchor="__RefHeading___Toc1438699_1479056682">
            <w:r>
              <w:rPr>
                <w:webHidden/>
                <w:rStyle w:val="IndexLink"/>
                <w:rtl w:val="true"/>
              </w:rPr>
              <w:t xml:space="preserve">فصل سوم </w:t>
            </w:r>
            <w:r>
              <w:rPr>
                <w:rStyle w:val="IndexLink"/>
                <w:rtl w:val="true"/>
              </w:rPr>
              <w:t xml:space="preserve">- </w:t>
            </w:r>
            <w:r>
              <w:rPr>
                <w:rStyle w:val="IndexLink"/>
                <w:rtl w:val="true"/>
              </w:rPr>
              <w:t>ویژگی‌های مقدّمه نفحات الرّحمن</w:t>
            </w:r>
            <w:r>
              <w:rPr>
                <w:rStyle w:val="IndexLink"/>
                <w:rtl w:val="true"/>
              </w:rPr>
              <w:tab/>
            </w:r>
            <w:r>
              <w:rPr>
                <w:rStyle w:val="IndexLink"/>
              </w:rPr>
              <w:t>49</w:t>
            </w:r>
          </w:hyperlink>
        </w:p>
        <w:p>
          <w:pPr>
            <w:pStyle w:val="Contents5"/>
            <w:tabs>
              <w:tab w:val="clear" w:pos="7892"/>
              <w:tab w:val="right" w:pos="9026" w:leader="dot"/>
            </w:tabs>
            <w:rPr/>
          </w:pPr>
          <w:hyperlink w:anchor="__RefHeading___Toc1438701_1479056682">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1438703_1479056682">
            <w:r>
              <w:rPr>
                <w:webHidden/>
                <w:rStyle w:val="IndexLink"/>
                <w:rtl w:val="true"/>
              </w:rPr>
              <w:t>ویژگی‌های خاص و ابتکاری</w:t>
            </w:r>
            <w:r>
              <w:rPr>
                <w:rStyle w:val="IndexLink"/>
                <w:rtl w:val="true"/>
              </w:rPr>
              <w:tab/>
            </w:r>
            <w:r>
              <w:rPr>
                <w:rStyle w:val="IndexLink"/>
              </w:rPr>
              <w:t>52</w:t>
            </w:r>
          </w:hyperlink>
        </w:p>
        <w:p>
          <w:pPr>
            <w:pStyle w:val="Contents5"/>
            <w:tabs>
              <w:tab w:val="clear" w:pos="7892"/>
              <w:tab w:val="right" w:pos="9026" w:leader="dot"/>
            </w:tabs>
            <w:rPr/>
          </w:pPr>
          <w:hyperlink w:anchor="__RefHeading___Toc1438705_1479056682">
            <w:r>
              <w:rPr>
                <w:webHidden/>
                <w:rStyle w:val="IndexLink"/>
                <w:rtl w:val="true"/>
              </w:rPr>
              <w:t>اشکالات ساختاری و محتوایی</w:t>
            </w:r>
            <w:r>
              <w:rPr>
                <w:rStyle w:val="IndexLink"/>
                <w:rtl w:val="true"/>
              </w:rPr>
              <w:tab/>
            </w:r>
            <w:r>
              <w:rPr>
                <w:rStyle w:val="IndexLink"/>
              </w:rPr>
              <w:t>54</w:t>
            </w:r>
          </w:hyperlink>
        </w:p>
        <w:p>
          <w:pPr>
            <w:pStyle w:val="Contents4"/>
            <w:tabs>
              <w:tab w:val="clear" w:pos="8176"/>
              <w:tab w:val="right" w:pos="9026" w:leader="dot"/>
            </w:tabs>
            <w:rPr/>
          </w:pPr>
          <w:hyperlink w:anchor="__RefHeading___Toc1438707_1479056682">
            <w:r>
              <w:rPr>
                <w:webHidden/>
                <w:rStyle w:val="IndexLink"/>
                <w:rtl w:val="true"/>
              </w:rPr>
              <w:t xml:space="preserve">فصل چهارم </w:t>
            </w:r>
            <w:r>
              <w:rPr>
                <w:rStyle w:val="IndexLink"/>
                <w:rtl w:val="true"/>
              </w:rPr>
              <w:t xml:space="preserve">- </w:t>
            </w:r>
            <w:r>
              <w:rPr>
                <w:rStyle w:val="IndexLink"/>
                <w:rtl w:val="true"/>
              </w:rPr>
              <w:t>منابع تفسیری نفحات الرّحمن</w:t>
            </w:r>
            <w:r>
              <w:rPr>
                <w:rStyle w:val="IndexLink"/>
                <w:rtl w:val="true"/>
              </w:rPr>
              <w:tab/>
            </w:r>
            <w:r>
              <w:rPr>
                <w:rStyle w:val="IndexLink"/>
              </w:rPr>
              <w:t>57</w:t>
            </w:r>
          </w:hyperlink>
        </w:p>
        <w:p>
          <w:pPr>
            <w:pStyle w:val="Contents5"/>
            <w:tabs>
              <w:tab w:val="clear" w:pos="7892"/>
              <w:tab w:val="right" w:pos="9026" w:leader="dot"/>
            </w:tabs>
            <w:rPr/>
          </w:pPr>
          <w:hyperlink w:anchor="__RefHeading___Toc1438709_1479056682">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1438711_1479056682">
            <w:r>
              <w:rPr>
                <w:webHidden/>
                <w:rStyle w:val="IndexLink"/>
                <w:rtl w:val="true"/>
              </w:rPr>
              <w:t>قرآن کریم</w:t>
            </w:r>
            <w:r>
              <w:rPr>
                <w:rStyle w:val="IndexLink"/>
                <w:rtl w:val="true"/>
              </w:rPr>
              <w:tab/>
            </w:r>
            <w:r>
              <w:rPr>
                <w:rStyle w:val="IndexLink"/>
              </w:rPr>
              <w:t>57</w:t>
            </w:r>
          </w:hyperlink>
        </w:p>
        <w:p>
          <w:pPr>
            <w:pStyle w:val="Contents5"/>
            <w:tabs>
              <w:tab w:val="clear" w:pos="7892"/>
              <w:tab w:val="right" w:pos="9026" w:leader="dot"/>
            </w:tabs>
            <w:rPr/>
          </w:pPr>
          <w:hyperlink w:anchor="__RefHeading___Toc1438713_1479056682">
            <w:r>
              <w:rPr>
                <w:webHidden/>
                <w:rStyle w:val="IndexLink"/>
                <w:rtl w:val="true"/>
              </w:rPr>
              <w:t>روایات نبوی</w:t>
            </w:r>
            <w:r>
              <w:rPr>
                <w:rStyle w:val="IndexLink"/>
                <w:rtl w:val="true"/>
              </w:rPr>
              <w:tab/>
            </w:r>
            <w:r>
              <w:rPr>
                <w:rStyle w:val="IndexLink"/>
              </w:rPr>
              <w:t>59</w:t>
            </w:r>
          </w:hyperlink>
        </w:p>
        <w:p>
          <w:pPr>
            <w:pStyle w:val="Contents5"/>
            <w:tabs>
              <w:tab w:val="clear" w:pos="7892"/>
              <w:tab w:val="right" w:pos="9026" w:leader="dot"/>
            </w:tabs>
            <w:rPr/>
          </w:pPr>
          <w:hyperlink w:anchor="__RefHeading___Toc1438715_1479056682">
            <w:r>
              <w:rPr>
                <w:webHidden/>
                <w:rStyle w:val="IndexLink"/>
                <w:rtl w:val="true"/>
              </w:rPr>
              <w:t>روایات تفسیری علیّ بن ابی طالب علیه‌السلام</w:t>
            </w:r>
            <w:r>
              <w:rPr>
                <w:rStyle w:val="IndexLink"/>
                <w:rtl w:val="true"/>
              </w:rPr>
              <w:tab/>
            </w:r>
            <w:r>
              <w:rPr>
                <w:rStyle w:val="IndexLink"/>
              </w:rPr>
              <w:t>60</w:t>
            </w:r>
          </w:hyperlink>
        </w:p>
        <w:p>
          <w:pPr>
            <w:pStyle w:val="Contents5"/>
            <w:tabs>
              <w:tab w:val="clear" w:pos="7892"/>
              <w:tab w:val="right" w:pos="9026" w:leader="dot"/>
            </w:tabs>
            <w:rPr/>
          </w:pPr>
          <w:hyperlink w:anchor="__RefHeading___Toc1438717_1479056682">
            <w:r>
              <w:rPr>
                <w:webHidden/>
                <w:rStyle w:val="IndexLink"/>
                <w:rtl w:val="true"/>
              </w:rPr>
              <w:t>روایات تفسیری ائمّه اطهار علیهم‌السلام</w:t>
            </w:r>
            <w:r>
              <w:rPr>
                <w:rStyle w:val="IndexLink"/>
                <w:rtl w:val="true"/>
              </w:rPr>
              <w:tab/>
            </w:r>
            <w:r>
              <w:rPr>
                <w:rStyle w:val="IndexLink"/>
              </w:rPr>
              <w:t>62</w:t>
            </w:r>
          </w:hyperlink>
        </w:p>
        <w:p>
          <w:pPr>
            <w:pStyle w:val="Contents5"/>
            <w:tabs>
              <w:tab w:val="clear" w:pos="7892"/>
              <w:tab w:val="right" w:pos="9026" w:leader="dot"/>
            </w:tabs>
            <w:rPr/>
          </w:pPr>
          <w:hyperlink w:anchor="__RefHeading___Toc1438719_1479056682">
            <w:r>
              <w:rPr>
                <w:webHidden/>
                <w:rStyle w:val="IndexLink"/>
                <w:rtl w:val="true"/>
              </w:rPr>
              <w:t>روایات تفسیری صحابه و تابعین</w:t>
            </w:r>
            <w:r>
              <w:rPr>
                <w:rStyle w:val="IndexLink"/>
                <w:rtl w:val="true"/>
              </w:rPr>
              <w:tab/>
            </w:r>
            <w:r>
              <w:rPr>
                <w:rStyle w:val="IndexLink"/>
              </w:rPr>
              <w:t>62</w:t>
            </w:r>
          </w:hyperlink>
        </w:p>
        <w:p>
          <w:pPr>
            <w:pStyle w:val="Contents5"/>
            <w:tabs>
              <w:tab w:val="clear" w:pos="7892"/>
              <w:tab w:val="right" w:pos="9026" w:leader="dot"/>
            </w:tabs>
            <w:rPr/>
          </w:pPr>
          <w:hyperlink w:anchor="__RefHeading___Toc1438721_1479056682">
            <w:r>
              <w:rPr>
                <w:webHidden/>
                <w:rStyle w:val="IndexLink"/>
                <w:rtl w:val="true"/>
              </w:rPr>
              <w:t>آثار اندیشه‌های قرآن‌پژوهان سنّی در نفحات الرّحمن</w:t>
            </w:r>
            <w:r>
              <w:rPr>
                <w:rStyle w:val="IndexLink"/>
                <w:rtl w:val="true"/>
              </w:rPr>
              <w:tab/>
            </w:r>
            <w:r>
              <w:rPr>
                <w:rStyle w:val="IndexLink"/>
              </w:rPr>
              <w:t>66</w:t>
            </w:r>
          </w:hyperlink>
        </w:p>
        <w:p>
          <w:pPr>
            <w:pStyle w:val="Contents5"/>
            <w:tabs>
              <w:tab w:val="clear" w:pos="7892"/>
              <w:tab w:val="right" w:pos="9026" w:leader="dot"/>
            </w:tabs>
            <w:rPr/>
          </w:pPr>
          <w:hyperlink w:anchor="__RefHeading___Toc1438723_1479056682">
            <w:r>
              <w:rPr>
                <w:webHidden/>
                <w:rStyle w:val="IndexLink"/>
                <w:rtl w:val="true"/>
              </w:rPr>
              <w:t>عقل</w:t>
            </w:r>
            <w:r>
              <w:rPr>
                <w:rStyle w:val="IndexLink"/>
                <w:rtl w:val="true"/>
              </w:rPr>
              <w:tab/>
            </w:r>
            <w:r>
              <w:rPr>
                <w:rStyle w:val="IndexLink"/>
              </w:rPr>
              <w:t>73</w:t>
            </w:r>
          </w:hyperlink>
        </w:p>
        <w:p>
          <w:pPr>
            <w:pStyle w:val="Contents5"/>
            <w:tabs>
              <w:tab w:val="clear" w:pos="7892"/>
              <w:tab w:val="right" w:pos="9026" w:leader="dot"/>
            </w:tabs>
            <w:rPr/>
          </w:pPr>
          <w:hyperlink w:anchor="__RefHeading___Toc1438725_1479056682">
            <w:r>
              <w:rPr>
                <w:webHidden/>
                <w:rStyle w:val="IndexLink"/>
                <w:rtl w:val="true"/>
              </w:rPr>
              <w:t>اجماع</w:t>
            </w:r>
            <w:r>
              <w:rPr>
                <w:rStyle w:val="IndexLink"/>
                <w:rtl w:val="true"/>
              </w:rPr>
              <w:tab/>
            </w:r>
            <w:r>
              <w:rPr>
                <w:rStyle w:val="IndexLink"/>
              </w:rPr>
              <w:t>76</w:t>
            </w:r>
          </w:hyperlink>
        </w:p>
        <w:p>
          <w:pPr>
            <w:pStyle w:val="Contents4"/>
            <w:tabs>
              <w:tab w:val="clear" w:pos="8176"/>
              <w:tab w:val="right" w:pos="9026" w:leader="dot"/>
            </w:tabs>
            <w:rPr/>
          </w:pPr>
          <w:hyperlink w:anchor="__RefHeading___Toc1438727_1479056682">
            <w:r>
              <w:rPr>
                <w:webHidden/>
                <w:rStyle w:val="IndexLink"/>
                <w:rtl w:val="true"/>
              </w:rPr>
              <w:t xml:space="preserve">فصل پنجم </w:t>
            </w:r>
            <w:r>
              <w:rPr>
                <w:rStyle w:val="IndexLink"/>
                <w:rtl w:val="true"/>
              </w:rPr>
              <w:t xml:space="preserve">- </w:t>
            </w:r>
            <w:r>
              <w:rPr>
                <w:rStyle w:val="IndexLink"/>
                <w:rtl w:val="true"/>
              </w:rPr>
              <w:t>کتاب‌شناسی تفسیر نفحات الرّحمن</w:t>
            </w:r>
            <w:r>
              <w:rPr>
                <w:rStyle w:val="IndexLink"/>
                <w:rtl w:val="true"/>
              </w:rPr>
              <w:tab/>
            </w:r>
            <w:r>
              <w:rPr>
                <w:rStyle w:val="IndexLink"/>
              </w:rPr>
              <w:t>80</w:t>
            </w:r>
          </w:hyperlink>
        </w:p>
        <w:p>
          <w:pPr>
            <w:pStyle w:val="Contents5"/>
            <w:tabs>
              <w:tab w:val="clear" w:pos="7892"/>
              <w:tab w:val="right" w:pos="9026" w:leader="dot"/>
            </w:tabs>
            <w:rPr/>
          </w:pPr>
          <w:hyperlink w:anchor="__RefHeading___Toc1438729_1479056682">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1438731_1479056682">
            <w:r>
              <w:rPr>
                <w:webHidden/>
                <w:rStyle w:val="IndexLink"/>
                <w:rtl w:val="true"/>
              </w:rPr>
              <w:t>تحلیل کتاب‌شناسی</w:t>
            </w:r>
            <w:r>
              <w:rPr>
                <w:rStyle w:val="IndexLink"/>
                <w:rtl w:val="true"/>
              </w:rPr>
              <w:tab/>
            </w:r>
            <w:r>
              <w:rPr>
                <w:rStyle w:val="IndexLink"/>
              </w:rPr>
              <w:t>82</w:t>
            </w:r>
          </w:hyperlink>
        </w:p>
        <w:p>
          <w:pPr>
            <w:pStyle w:val="Contents3"/>
            <w:tabs>
              <w:tab w:val="clear" w:pos="8459"/>
              <w:tab w:val="right" w:pos="9026" w:leader="dot"/>
            </w:tabs>
            <w:rPr/>
          </w:pPr>
          <w:hyperlink w:anchor="__RefHeading___Toc1438733_1479056682">
            <w:r>
              <w:rPr>
                <w:webHidden/>
                <w:rStyle w:val="IndexLink"/>
                <w:rtl w:val="true"/>
              </w:rPr>
              <w:t>باب دوم</w:t>
            </w:r>
            <w:r>
              <w:rPr>
                <w:rStyle w:val="IndexLink"/>
                <w:rtl w:val="true"/>
              </w:rPr>
              <w:t xml:space="preserve">: </w:t>
            </w:r>
            <w:r>
              <w:rPr>
                <w:rStyle w:val="IndexLink"/>
                <w:rtl w:val="true"/>
              </w:rPr>
              <w:t>تاریخ و حقّانیت قرآن در نفحات الرّحمن فی تفسیر القرآن</w:t>
            </w:r>
            <w:r>
              <w:rPr>
                <w:rStyle w:val="IndexLink"/>
                <w:rtl w:val="true"/>
              </w:rPr>
              <w:tab/>
            </w:r>
            <w:r>
              <w:rPr>
                <w:rStyle w:val="IndexLink"/>
              </w:rPr>
              <w:t>84</w:t>
            </w:r>
          </w:hyperlink>
        </w:p>
        <w:p>
          <w:pPr>
            <w:pStyle w:val="Contents4"/>
            <w:tabs>
              <w:tab w:val="clear" w:pos="8176"/>
              <w:tab w:val="right" w:pos="9026" w:leader="dot"/>
            </w:tabs>
            <w:rPr/>
          </w:pPr>
          <w:hyperlink w:anchor="__RefHeading___Toc1438735_1479056682">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438737_1479056682">
            <w:r>
              <w:rPr>
                <w:webHidden/>
                <w:rStyle w:val="IndexLink"/>
                <w:rtl w:val="true"/>
              </w:rPr>
              <w:t xml:space="preserve">فصل ششم </w:t>
            </w:r>
            <w:r>
              <w:rPr>
                <w:rStyle w:val="IndexLink"/>
                <w:rtl w:val="true"/>
              </w:rPr>
              <w:t xml:space="preserve">- </w:t>
            </w:r>
            <w:r>
              <w:rPr>
                <w:rStyle w:val="IndexLink"/>
                <w:rtl w:val="true"/>
              </w:rPr>
              <w:t>بررسی تاریخ قرآن از نگاه نهاوندی</w:t>
            </w:r>
            <w:r>
              <w:rPr>
                <w:rStyle w:val="IndexLink"/>
                <w:rtl w:val="true"/>
              </w:rPr>
              <w:tab/>
            </w:r>
            <w:r>
              <w:rPr>
                <w:rStyle w:val="IndexLink"/>
              </w:rPr>
              <w:t>85</w:t>
            </w:r>
          </w:hyperlink>
        </w:p>
        <w:p>
          <w:pPr>
            <w:pStyle w:val="Contents5"/>
            <w:tabs>
              <w:tab w:val="clear" w:pos="7892"/>
              <w:tab w:val="right" w:pos="9026" w:leader="dot"/>
            </w:tabs>
            <w:rPr/>
          </w:pPr>
          <w:hyperlink w:anchor="__RefHeading___Toc1438739_1479056682">
            <w:r>
              <w:rPr>
                <w:webHidden/>
                <w:rStyle w:val="IndexLink"/>
                <w:rtl w:val="true"/>
              </w:rPr>
              <w:t>نزول قرآن</w:t>
            </w:r>
            <w:r>
              <w:rPr>
                <w:rStyle w:val="IndexLink"/>
                <w:rtl w:val="true"/>
              </w:rPr>
              <w:tab/>
            </w:r>
            <w:r>
              <w:rPr>
                <w:rStyle w:val="IndexLink"/>
              </w:rPr>
              <w:t>85</w:t>
            </w:r>
          </w:hyperlink>
        </w:p>
        <w:p>
          <w:pPr>
            <w:pStyle w:val="Contents6"/>
            <w:tabs>
              <w:tab w:val="clear" w:pos="7609"/>
              <w:tab w:val="right" w:pos="9026" w:leader="dot"/>
            </w:tabs>
            <w:rPr/>
          </w:pPr>
          <w:hyperlink w:anchor="__RefHeading___Toc1438741_1479056682">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1438743_1479056682">
            <w:r>
              <w:rPr>
                <w:webHidden/>
                <w:rStyle w:val="IndexLink"/>
              </w:rPr>
              <w:t>1</w:t>
            </w:r>
            <w:r>
              <w:rPr>
                <w:rStyle w:val="IndexLink"/>
                <w:rtl w:val="true"/>
              </w:rPr>
              <w:t xml:space="preserve"> - </w:t>
            </w:r>
            <w:r>
              <w:rPr>
                <w:rStyle w:val="IndexLink"/>
                <w:rtl w:val="true"/>
              </w:rPr>
              <w:t>جمع و تدوین قرآن</w:t>
            </w:r>
            <w:r>
              <w:rPr>
                <w:rStyle w:val="IndexLink"/>
                <w:rtl w:val="true"/>
              </w:rPr>
              <w:tab/>
            </w:r>
            <w:r>
              <w:rPr>
                <w:rStyle w:val="IndexLink"/>
              </w:rPr>
              <w:t>86</w:t>
            </w:r>
          </w:hyperlink>
        </w:p>
        <w:p>
          <w:pPr>
            <w:pStyle w:val="Contents6"/>
            <w:tabs>
              <w:tab w:val="clear" w:pos="7609"/>
              <w:tab w:val="right" w:pos="9026" w:leader="dot"/>
            </w:tabs>
            <w:rPr/>
          </w:pPr>
          <w:hyperlink w:anchor="__RefHeading___Toc1438745_1479056682">
            <w:r>
              <w:rPr>
                <w:webHidden/>
                <w:rStyle w:val="IndexLink"/>
              </w:rPr>
              <w:t>2</w:t>
            </w:r>
            <w:r>
              <w:rPr>
                <w:rStyle w:val="IndexLink"/>
                <w:rtl w:val="true"/>
              </w:rPr>
              <w:t xml:space="preserve"> - </w:t>
            </w:r>
            <w:r>
              <w:rPr>
                <w:rStyle w:val="IndexLink"/>
                <w:rtl w:val="true"/>
              </w:rPr>
              <w:t>جمع قرآن برای بار دوم</w:t>
            </w:r>
            <w:r>
              <w:rPr>
                <w:rStyle w:val="IndexLink"/>
                <w:rtl w:val="true"/>
              </w:rPr>
              <w:tab/>
            </w:r>
            <w:r>
              <w:rPr>
                <w:rStyle w:val="IndexLink"/>
              </w:rPr>
              <w:t>88</w:t>
            </w:r>
          </w:hyperlink>
        </w:p>
        <w:p>
          <w:pPr>
            <w:pStyle w:val="Contents6"/>
            <w:tabs>
              <w:tab w:val="clear" w:pos="7609"/>
              <w:tab w:val="right" w:pos="9026" w:leader="dot"/>
            </w:tabs>
            <w:rPr/>
          </w:pPr>
          <w:hyperlink w:anchor="__RefHeading___Toc1438747_1479056682">
            <w:r>
              <w:rPr>
                <w:webHidden/>
                <w:rStyle w:val="IndexLink"/>
              </w:rPr>
              <w:t>3</w:t>
            </w:r>
            <w:r>
              <w:rPr>
                <w:rStyle w:val="IndexLink"/>
                <w:rtl w:val="true"/>
              </w:rPr>
              <w:t xml:space="preserve"> - </w:t>
            </w:r>
            <w:r>
              <w:rPr>
                <w:rStyle w:val="IndexLink"/>
                <w:rtl w:val="true"/>
              </w:rPr>
              <w:t>جمع قرآن برای بار سوم</w:t>
            </w:r>
            <w:r>
              <w:rPr>
                <w:rStyle w:val="IndexLink"/>
                <w:rtl w:val="true"/>
              </w:rPr>
              <w:tab/>
            </w:r>
            <w:r>
              <w:rPr>
                <w:rStyle w:val="IndexLink"/>
              </w:rPr>
              <w:t>89</w:t>
            </w:r>
          </w:hyperlink>
        </w:p>
        <w:p>
          <w:pPr>
            <w:pStyle w:val="Contents4"/>
            <w:tabs>
              <w:tab w:val="clear" w:pos="8176"/>
              <w:tab w:val="right" w:pos="9026" w:leader="dot"/>
            </w:tabs>
            <w:rPr/>
          </w:pPr>
          <w:hyperlink w:anchor="__RefHeading___Toc1438749_1479056682">
            <w:r>
              <w:rPr>
                <w:webHidden/>
                <w:rStyle w:val="IndexLink"/>
                <w:rtl w:val="true"/>
              </w:rPr>
              <w:t xml:space="preserve">فصل هفتم </w:t>
            </w:r>
            <w:r>
              <w:rPr>
                <w:rStyle w:val="IndexLink"/>
                <w:rtl w:val="true"/>
              </w:rPr>
              <w:t xml:space="preserve">- </w:t>
            </w:r>
            <w:r>
              <w:rPr>
                <w:rStyle w:val="IndexLink"/>
                <w:rtl w:val="true"/>
              </w:rPr>
              <w:t>بررسی حقّانیت قرآن از نگاه نهاوندی</w:t>
            </w:r>
            <w:r>
              <w:rPr>
                <w:rStyle w:val="IndexLink"/>
                <w:rtl w:val="true"/>
              </w:rPr>
              <w:tab/>
            </w:r>
            <w:r>
              <w:rPr>
                <w:rStyle w:val="IndexLink"/>
              </w:rPr>
              <w:t>90</w:t>
            </w:r>
          </w:hyperlink>
        </w:p>
        <w:p>
          <w:pPr>
            <w:pStyle w:val="Contents5"/>
            <w:tabs>
              <w:tab w:val="clear" w:pos="7892"/>
              <w:tab w:val="right" w:pos="9026" w:leader="dot"/>
            </w:tabs>
            <w:rPr/>
          </w:pPr>
          <w:hyperlink w:anchor="__RefHeading___Toc1438751_1479056682">
            <w:r>
              <w:rPr>
                <w:webHidden/>
                <w:rStyle w:val="IndexLink"/>
                <w:rtl w:val="true"/>
              </w:rPr>
              <w:t>اشاره</w:t>
            </w:r>
            <w:r>
              <w:rPr>
                <w:rStyle w:val="IndexLink"/>
                <w:rtl w:val="true"/>
              </w:rPr>
              <w:tab/>
            </w:r>
            <w:r>
              <w:rPr>
                <w:rStyle w:val="IndexLink"/>
              </w:rPr>
              <w:t>90</w:t>
            </w:r>
          </w:hyperlink>
        </w:p>
        <w:p>
          <w:pPr>
            <w:pStyle w:val="Contents5"/>
            <w:tabs>
              <w:tab w:val="clear" w:pos="7892"/>
              <w:tab w:val="right" w:pos="9026" w:leader="dot"/>
            </w:tabs>
            <w:rPr/>
          </w:pPr>
          <w:hyperlink w:anchor="__RefHeading___Toc1438753_1479056682">
            <w:r>
              <w:rPr>
                <w:webHidden/>
                <w:rStyle w:val="IndexLink"/>
                <w:rtl w:val="true"/>
              </w:rPr>
              <w:t>عدم تحریف قرآن</w:t>
            </w:r>
            <w:r>
              <w:rPr>
                <w:rStyle w:val="IndexLink"/>
                <w:rtl w:val="true"/>
              </w:rPr>
              <w:tab/>
            </w:r>
            <w:r>
              <w:rPr>
                <w:rStyle w:val="IndexLink"/>
              </w:rPr>
              <w:t>91</w:t>
            </w:r>
          </w:hyperlink>
        </w:p>
        <w:p>
          <w:pPr>
            <w:pStyle w:val="Contents5"/>
            <w:tabs>
              <w:tab w:val="clear" w:pos="7892"/>
              <w:tab w:val="right" w:pos="9026" w:leader="dot"/>
            </w:tabs>
            <w:rPr/>
          </w:pPr>
          <w:hyperlink w:anchor="__RefHeading___Toc1438755_1479056682">
            <w:r>
              <w:rPr>
                <w:webHidden/>
                <w:rStyle w:val="IndexLink"/>
                <w:rtl w:val="true"/>
              </w:rPr>
              <w:t>اعجاز قرآن</w:t>
            </w:r>
            <w:r>
              <w:rPr>
                <w:rStyle w:val="IndexLink"/>
                <w:rtl w:val="true"/>
              </w:rPr>
              <w:tab/>
            </w:r>
            <w:r>
              <w:rPr>
                <w:rStyle w:val="IndexLink"/>
              </w:rPr>
              <w:t>97</w:t>
            </w:r>
          </w:hyperlink>
        </w:p>
        <w:p>
          <w:pPr>
            <w:pStyle w:val="Contents6"/>
            <w:tabs>
              <w:tab w:val="clear" w:pos="7609"/>
              <w:tab w:val="right" w:pos="9026" w:leader="dot"/>
            </w:tabs>
            <w:rPr/>
          </w:pPr>
          <w:hyperlink w:anchor="__RefHeading___Toc1438757_1479056682">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1438759_1479056682">
            <w:r>
              <w:rPr>
                <w:webHidden/>
                <w:rStyle w:val="IndexLink"/>
              </w:rPr>
              <w:t>1</w:t>
            </w:r>
            <w:r>
              <w:rPr>
                <w:rStyle w:val="IndexLink"/>
                <w:rtl w:val="true"/>
              </w:rPr>
              <w:t xml:space="preserve"> - </w:t>
            </w:r>
            <w:r>
              <w:rPr>
                <w:rStyle w:val="IndexLink"/>
                <w:rtl w:val="true"/>
              </w:rPr>
              <w:t>تعریف معجزه و انواع آن</w:t>
            </w:r>
            <w:r>
              <w:rPr>
                <w:rStyle w:val="IndexLink"/>
                <w:rtl w:val="true"/>
              </w:rPr>
              <w:tab/>
            </w:r>
            <w:r>
              <w:rPr>
                <w:rStyle w:val="IndexLink"/>
              </w:rPr>
              <w:t>97</w:t>
            </w:r>
          </w:hyperlink>
        </w:p>
        <w:p>
          <w:pPr>
            <w:pStyle w:val="Contents6"/>
            <w:tabs>
              <w:tab w:val="clear" w:pos="7609"/>
              <w:tab w:val="right" w:pos="9026" w:leader="dot"/>
            </w:tabs>
            <w:rPr/>
          </w:pPr>
          <w:hyperlink w:anchor="__RefHeading___Toc1438761_1479056682">
            <w:r>
              <w:rPr>
                <w:webHidden/>
                <w:rStyle w:val="IndexLink"/>
              </w:rPr>
              <w:t>2</w:t>
            </w:r>
            <w:r>
              <w:rPr>
                <w:rStyle w:val="IndexLink"/>
                <w:rtl w:val="true"/>
              </w:rPr>
              <w:t xml:space="preserve"> - </w:t>
            </w:r>
            <w:r>
              <w:rPr>
                <w:rStyle w:val="IndexLink"/>
                <w:rtl w:val="true"/>
              </w:rPr>
              <w:t>نقل روایات در اثبات اعجاز قرآن</w:t>
            </w:r>
            <w:r>
              <w:rPr>
                <w:rStyle w:val="IndexLink"/>
                <w:rtl w:val="true"/>
              </w:rPr>
              <w:tab/>
            </w:r>
            <w:r>
              <w:rPr>
                <w:rStyle w:val="IndexLink"/>
              </w:rPr>
              <w:t>99</w:t>
            </w:r>
          </w:hyperlink>
        </w:p>
        <w:p>
          <w:pPr>
            <w:pStyle w:val="Contents6"/>
            <w:tabs>
              <w:tab w:val="clear" w:pos="7609"/>
              <w:tab w:val="right" w:pos="9026" w:leader="dot"/>
            </w:tabs>
            <w:rPr/>
          </w:pPr>
          <w:hyperlink w:anchor="__RefHeading___Toc1438763_1479056682">
            <w:r>
              <w:rPr>
                <w:webHidden/>
                <w:rStyle w:val="IndexLink"/>
              </w:rPr>
              <w:t>3</w:t>
            </w:r>
            <w:r>
              <w:rPr>
                <w:rStyle w:val="IndexLink"/>
                <w:rtl w:val="true"/>
              </w:rPr>
              <w:t xml:space="preserve"> - </w:t>
            </w:r>
            <w:r>
              <w:rPr>
                <w:rStyle w:val="IndexLink"/>
                <w:rtl w:val="true"/>
              </w:rPr>
              <w:t>دلالت محتوای قرآن بر حقّانیت آن</w:t>
            </w:r>
            <w:r>
              <w:rPr>
                <w:rStyle w:val="IndexLink"/>
                <w:rtl w:val="true"/>
              </w:rPr>
              <w:tab/>
            </w:r>
            <w:r>
              <w:rPr>
                <w:rStyle w:val="IndexLink"/>
              </w:rPr>
              <w:t>99</w:t>
            </w:r>
          </w:hyperlink>
        </w:p>
        <w:p>
          <w:pPr>
            <w:pStyle w:val="Contents6"/>
            <w:tabs>
              <w:tab w:val="clear" w:pos="7609"/>
              <w:tab w:val="right" w:pos="9026" w:leader="dot"/>
            </w:tabs>
            <w:rPr/>
          </w:pPr>
          <w:hyperlink w:anchor="__RefHeading___Toc1438765_1479056682">
            <w:r>
              <w:rPr>
                <w:webHidden/>
                <w:rStyle w:val="IndexLink"/>
              </w:rPr>
              <w:t>4</w:t>
            </w:r>
            <w:r>
              <w:rPr>
                <w:rStyle w:val="IndexLink"/>
                <w:rtl w:val="true"/>
              </w:rPr>
              <w:t xml:space="preserve"> - </w:t>
            </w:r>
            <w:r>
              <w:rPr>
                <w:rStyle w:val="IndexLink"/>
                <w:rtl w:val="true"/>
              </w:rPr>
              <w:t>قرآن و علوم</w:t>
            </w:r>
            <w:r>
              <w:rPr>
                <w:rStyle w:val="IndexLink"/>
                <w:rtl w:val="true"/>
              </w:rPr>
              <w:tab/>
            </w:r>
            <w:r>
              <w:rPr>
                <w:rStyle w:val="IndexLink"/>
              </w:rPr>
              <w:t>100</w:t>
            </w:r>
          </w:hyperlink>
        </w:p>
        <w:p>
          <w:pPr>
            <w:pStyle w:val="Contents4"/>
            <w:tabs>
              <w:tab w:val="clear" w:pos="8176"/>
              <w:tab w:val="right" w:pos="9026" w:leader="dot"/>
            </w:tabs>
            <w:rPr/>
          </w:pPr>
          <w:hyperlink w:anchor="__RefHeading___Toc1438767_1479056682">
            <w:r>
              <w:rPr>
                <w:webHidden/>
                <w:rStyle w:val="IndexLink"/>
                <w:rtl w:val="true"/>
              </w:rPr>
              <w:t xml:space="preserve">فصل هشتم </w:t>
            </w:r>
            <w:r>
              <w:rPr>
                <w:rStyle w:val="IndexLink"/>
                <w:rtl w:val="true"/>
              </w:rPr>
              <w:t xml:space="preserve">- </w:t>
            </w:r>
            <w:r>
              <w:rPr>
                <w:rStyle w:val="IndexLink"/>
                <w:rtl w:val="true"/>
              </w:rPr>
              <w:t>بررسی صفات و ویژگی‌های قرآن از نگاه نهاوندی</w:t>
            </w:r>
            <w:r>
              <w:rPr>
                <w:rStyle w:val="IndexLink"/>
                <w:rtl w:val="true"/>
              </w:rPr>
              <w:tab/>
            </w:r>
            <w:r>
              <w:rPr>
                <w:rStyle w:val="IndexLink"/>
              </w:rPr>
              <w:t>103</w:t>
            </w:r>
          </w:hyperlink>
        </w:p>
        <w:p>
          <w:pPr>
            <w:pStyle w:val="Contents5"/>
            <w:tabs>
              <w:tab w:val="clear" w:pos="7892"/>
              <w:tab w:val="right" w:pos="9026" w:leader="dot"/>
            </w:tabs>
            <w:rPr/>
          </w:pPr>
          <w:hyperlink w:anchor="__RefHeading___Toc1438769_1479056682">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1438771_1479056682">
            <w:r>
              <w:rPr>
                <w:webHidden/>
                <w:rStyle w:val="IndexLink"/>
                <w:rtl w:val="true"/>
              </w:rPr>
              <w:t>اسامی و صفات قرآن</w:t>
            </w:r>
            <w:r>
              <w:rPr>
                <w:rStyle w:val="IndexLink"/>
                <w:rtl w:val="true"/>
              </w:rPr>
              <w:tab/>
            </w:r>
            <w:r>
              <w:rPr>
                <w:rStyle w:val="IndexLink"/>
              </w:rPr>
              <w:t>103</w:t>
            </w:r>
          </w:hyperlink>
        </w:p>
        <w:p>
          <w:pPr>
            <w:pStyle w:val="Contents5"/>
            <w:tabs>
              <w:tab w:val="clear" w:pos="7892"/>
              <w:tab w:val="right" w:pos="9026" w:leader="dot"/>
            </w:tabs>
            <w:rPr/>
          </w:pPr>
          <w:hyperlink w:anchor="__RefHeading___Toc1438773_1479056682">
            <w:r>
              <w:rPr>
                <w:webHidden/>
                <w:rStyle w:val="IndexLink"/>
                <w:rtl w:val="true"/>
              </w:rPr>
              <w:t>افضلیّت قرآن بر تمام کتابهای آسمانی</w:t>
            </w:r>
            <w:r>
              <w:rPr>
                <w:rStyle w:val="IndexLink"/>
                <w:rtl w:val="true"/>
              </w:rPr>
              <w:tab/>
            </w:r>
            <w:r>
              <w:rPr>
                <w:rStyle w:val="IndexLink"/>
              </w:rPr>
              <w:t>107</w:t>
            </w:r>
          </w:hyperlink>
        </w:p>
        <w:p>
          <w:pPr>
            <w:pStyle w:val="Contents5"/>
            <w:tabs>
              <w:tab w:val="clear" w:pos="7892"/>
              <w:tab w:val="right" w:pos="9026" w:leader="dot"/>
            </w:tabs>
            <w:rPr/>
          </w:pPr>
          <w:hyperlink w:anchor="__RefHeading___Toc1438775_1479056682">
            <w:r>
              <w:rPr>
                <w:webHidden/>
                <w:rStyle w:val="IndexLink"/>
                <w:rtl w:val="true"/>
              </w:rPr>
              <w:t>فضیلت تلاوت قرآن</w:t>
            </w:r>
            <w:r>
              <w:rPr>
                <w:rStyle w:val="IndexLink"/>
                <w:rtl w:val="true"/>
              </w:rPr>
              <w:tab/>
            </w:r>
            <w:r>
              <w:rPr>
                <w:rStyle w:val="IndexLink"/>
              </w:rPr>
              <w:t>109</w:t>
            </w:r>
          </w:hyperlink>
        </w:p>
        <w:p>
          <w:pPr>
            <w:pStyle w:val="Contents5"/>
            <w:tabs>
              <w:tab w:val="clear" w:pos="7892"/>
              <w:tab w:val="right" w:pos="9026" w:leader="dot"/>
            </w:tabs>
            <w:rPr/>
          </w:pPr>
          <w:hyperlink w:anchor="__RefHeading___Toc1438777_1479056682">
            <w:r>
              <w:rPr>
                <w:webHidden/>
                <w:rStyle w:val="IndexLink"/>
                <w:rtl w:val="true"/>
              </w:rPr>
              <w:t>فضایل سور و آیات</w:t>
            </w:r>
            <w:r>
              <w:rPr>
                <w:rStyle w:val="IndexLink"/>
                <w:rtl w:val="true"/>
              </w:rPr>
              <w:tab/>
            </w:r>
            <w:r>
              <w:rPr>
                <w:rStyle w:val="IndexLink"/>
              </w:rPr>
              <w:t>110</w:t>
            </w:r>
          </w:hyperlink>
        </w:p>
        <w:p>
          <w:pPr>
            <w:pStyle w:val="Contents5"/>
            <w:tabs>
              <w:tab w:val="clear" w:pos="7892"/>
              <w:tab w:val="right" w:pos="9026" w:leader="dot"/>
            </w:tabs>
            <w:rPr/>
          </w:pPr>
          <w:hyperlink w:anchor="__RefHeading___Toc1438779_1479056682">
            <w:r>
              <w:rPr>
                <w:webHidden/>
                <w:rStyle w:val="IndexLink"/>
                <w:rtl w:val="true"/>
              </w:rPr>
              <w:t>فضیلت آموزش قرآن</w:t>
            </w:r>
            <w:r>
              <w:rPr>
                <w:rStyle w:val="IndexLink"/>
                <w:rtl w:val="true"/>
              </w:rPr>
              <w:tab/>
            </w:r>
            <w:r>
              <w:rPr>
                <w:rStyle w:val="IndexLink"/>
              </w:rPr>
              <w:t>115</w:t>
            </w:r>
          </w:hyperlink>
        </w:p>
        <w:p>
          <w:pPr>
            <w:pStyle w:val="Contents4"/>
            <w:tabs>
              <w:tab w:val="clear" w:pos="8176"/>
              <w:tab w:val="right" w:pos="9026" w:leader="dot"/>
            </w:tabs>
            <w:rPr/>
          </w:pPr>
          <w:hyperlink w:anchor="__RefHeading___Toc1438781_1479056682">
            <w:r>
              <w:rPr>
                <w:webHidden/>
                <w:rStyle w:val="IndexLink"/>
                <w:rtl w:val="true"/>
              </w:rPr>
              <w:t xml:space="preserve">فصل نهم </w:t>
            </w:r>
            <w:r>
              <w:rPr>
                <w:rStyle w:val="IndexLink"/>
                <w:rtl w:val="true"/>
              </w:rPr>
              <w:t xml:space="preserve">- </w:t>
            </w:r>
            <w:r>
              <w:rPr>
                <w:rStyle w:val="IndexLink"/>
                <w:rtl w:val="true"/>
              </w:rPr>
              <w:t>بررسی آیه بودن بسمله از نگاه نهاوندی</w:t>
            </w:r>
            <w:r>
              <w:rPr>
                <w:rStyle w:val="IndexLink"/>
                <w:rtl w:val="true"/>
              </w:rPr>
              <w:tab/>
            </w:r>
            <w:r>
              <w:rPr>
                <w:rStyle w:val="IndexLink"/>
              </w:rPr>
              <w:t>119</w:t>
            </w:r>
          </w:hyperlink>
        </w:p>
        <w:p>
          <w:pPr>
            <w:pStyle w:val="Contents5"/>
            <w:tabs>
              <w:tab w:val="clear" w:pos="7892"/>
              <w:tab w:val="right" w:pos="9026" w:leader="dot"/>
            </w:tabs>
            <w:rPr/>
          </w:pPr>
          <w:hyperlink w:anchor="__RefHeading___Toc1438783_1479056682">
            <w:r>
              <w:rPr>
                <w:webHidden/>
                <w:rStyle w:val="IndexLink"/>
                <w:rtl w:val="true"/>
              </w:rPr>
              <w:t>«</w:t>
            </w:r>
            <w:r>
              <w:rPr>
                <w:rStyle w:val="IndexLink"/>
                <w:rtl w:val="true"/>
              </w:rPr>
              <w:t>بسمله</w:t>
            </w:r>
            <w:r>
              <w:rPr>
                <w:rStyle w:val="IndexLink"/>
                <w:rtl w:val="true"/>
              </w:rPr>
              <w:t xml:space="preserve">» </w:t>
            </w:r>
            <w:r>
              <w:rPr>
                <w:rStyle w:val="IndexLink"/>
                <w:rtl w:val="true"/>
              </w:rPr>
              <w:t>در نفحات الرّحمن</w:t>
            </w:r>
            <w:r>
              <w:rPr>
                <w:rStyle w:val="IndexLink"/>
                <w:rtl w:val="true"/>
              </w:rPr>
              <w:tab/>
            </w:r>
            <w:r>
              <w:rPr>
                <w:rStyle w:val="IndexLink"/>
              </w:rPr>
              <w:t>119</w:t>
            </w:r>
          </w:hyperlink>
        </w:p>
        <w:p>
          <w:pPr>
            <w:pStyle w:val="Contents5"/>
            <w:tabs>
              <w:tab w:val="clear" w:pos="7892"/>
              <w:tab w:val="right" w:pos="9026" w:leader="dot"/>
            </w:tabs>
            <w:rPr/>
          </w:pPr>
          <w:hyperlink w:anchor="__RefHeading___Toc1438785_1479056682">
            <w:r>
              <w:rPr>
                <w:webHidden/>
                <w:rStyle w:val="IndexLink"/>
                <w:rtl w:val="true"/>
              </w:rPr>
              <w:t>حکمت شروع سوره‌ها با بسمله</w:t>
            </w:r>
            <w:r>
              <w:rPr>
                <w:rStyle w:val="IndexLink"/>
                <w:rtl w:val="true"/>
              </w:rPr>
              <w:tab/>
            </w:r>
            <w:r>
              <w:rPr>
                <w:rStyle w:val="IndexLink"/>
              </w:rPr>
              <w:t>120</w:t>
            </w:r>
          </w:hyperlink>
        </w:p>
        <w:p>
          <w:pPr>
            <w:pStyle w:val="Contents5"/>
            <w:tabs>
              <w:tab w:val="clear" w:pos="7892"/>
              <w:tab w:val="right" w:pos="9026" w:leader="dot"/>
            </w:tabs>
            <w:rPr/>
          </w:pPr>
          <w:hyperlink w:anchor="__RefHeading___Toc1438787_1479056682">
            <w:r>
              <w:rPr>
                <w:webHidden/>
                <w:rStyle w:val="IndexLink"/>
                <w:rtl w:val="true"/>
              </w:rPr>
              <w:t>توضیح بسمله</w:t>
            </w:r>
            <w:r>
              <w:rPr>
                <w:rStyle w:val="IndexLink"/>
                <w:rtl w:val="true"/>
              </w:rPr>
              <w:tab/>
            </w:r>
            <w:r>
              <w:rPr>
                <w:rStyle w:val="IndexLink"/>
              </w:rPr>
              <w:t>123</w:t>
            </w:r>
          </w:hyperlink>
        </w:p>
        <w:p>
          <w:pPr>
            <w:pStyle w:val="Contents5"/>
            <w:tabs>
              <w:tab w:val="clear" w:pos="7892"/>
              <w:tab w:val="right" w:pos="9026" w:leader="dot"/>
            </w:tabs>
            <w:rPr/>
          </w:pPr>
          <w:hyperlink w:anchor="__RefHeading___Toc1438789_1479056682">
            <w:r>
              <w:rPr>
                <w:webHidden/>
                <w:rStyle w:val="IndexLink"/>
                <w:rtl w:val="true"/>
              </w:rPr>
              <w:t>تحلیل سخن نهاوندی</w:t>
            </w:r>
            <w:r>
              <w:rPr>
                <w:rStyle w:val="IndexLink"/>
                <w:rtl w:val="true"/>
              </w:rPr>
              <w:tab/>
            </w:r>
            <w:r>
              <w:rPr>
                <w:rStyle w:val="IndexLink"/>
              </w:rPr>
              <w:t>124</w:t>
            </w:r>
          </w:hyperlink>
        </w:p>
        <w:p>
          <w:pPr>
            <w:pStyle w:val="Contents5"/>
            <w:tabs>
              <w:tab w:val="clear" w:pos="7892"/>
              <w:tab w:val="right" w:pos="9026" w:leader="dot"/>
            </w:tabs>
            <w:rPr/>
          </w:pPr>
          <w:hyperlink w:anchor="__RefHeading___Toc1438791_1479056682">
            <w:r>
              <w:rPr>
                <w:webHidden/>
                <w:rStyle w:val="IndexLink"/>
                <w:rtl w:val="true"/>
              </w:rPr>
              <w:t>تکمله</w:t>
            </w:r>
            <w:r>
              <w:rPr>
                <w:rStyle w:val="IndexLink"/>
                <w:rtl w:val="true"/>
              </w:rPr>
              <w:tab/>
            </w:r>
            <w:r>
              <w:rPr>
                <w:rStyle w:val="IndexLink"/>
              </w:rPr>
              <w:t>124</w:t>
            </w:r>
          </w:hyperlink>
        </w:p>
        <w:p>
          <w:pPr>
            <w:pStyle w:val="Contents5"/>
            <w:tabs>
              <w:tab w:val="clear" w:pos="7892"/>
              <w:tab w:val="right" w:pos="9026" w:leader="dot"/>
            </w:tabs>
            <w:rPr/>
          </w:pPr>
          <w:hyperlink w:anchor="__RefHeading___Toc1438793_1479056682">
            <w:r>
              <w:rPr>
                <w:webHidden/>
                <w:rStyle w:val="IndexLink"/>
                <w:rtl w:val="true"/>
              </w:rPr>
              <w:t>دلایل دیگر</w:t>
            </w:r>
            <w:r>
              <w:rPr>
                <w:rStyle w:val="IndexLink"/>
                <w:rtl w:val="true"/>
              </w:rPr>
              <w:tab/>
            </w:r>
            <w:r>
              <w:rPr>
                <w:rStyle w:val="IndexLink"/>
              </w:rPr>
              <w:t>128</w:t>
            </w:r>
          </w:hyperlink>
        </w:p>
        <w:p>
          <w:pPr>
            <w:pStyle w:val="Contents3"/>
            <w:tabs>
              <w:tab w:val="clear" w:pos="8459"/>
              <w:tab w:val="right" w:pos="9026" w:leader="dot"/>
            </w:tabs>
            <w:rPr/>
          </w:pPr>
          <w:hyperlink w:anchor="__RefHeading___Toc1438795_1479056682">
            <w:r>
              <w:rPr>
                <w:webHidden/>
                <w:rStyle w:val="IndexLink"/>
                <w:rtl w:val="true"/>
              </w:rPr>
              <w:t>باب سوم</w:t>
            </w:r>
            <w:r>
              <w:rPr>
                <w:rStyle w:val="IndexLink"/>
                <w:rtl w:val="true"/>
              </w:rPr>
              <w:t xml:space="preserve">: </w:t>
            </w:r>
            <w:r>
              <w:rPr>
                <w:rStyle w:val="IndexLink"/>
                <w:rtl w:val="true"/>
              </w:rPr>
              <w:t>تحقیق در برخی آرای تفسیری نفحات الرّحمن فی تفسیر القرآن</w:t>
            </w:r>
            <w:r>
              <w:rPr>
                <w:rStyle w:val="IndexLink"/>
                <w:rtl w:val="true"/>
              </w:rPr>
              <w:tab/>
            </w:r>
            <w:r>
              <w:rPr>
                <w:rStyle w:val="IndexLink"/>
              </w:rPr>
              <w:t>131</w:t>
            </w:r>
          </w:hyperlink>
        </w:p>
        <w:p>
          <w:pPr>
            <w:pStyle w:val="Contents4"/>
            <w:tabs>
              <w:tab w:val="clear" w:pos="8176"/>
              <w:tab w:val="right" w:pos="9026" w:leader="dot"/>
            </w:tabs>
            <w:rPr/>
          </w:pPr>
          <w:hyperlink w:anchor="__RefHeading___Toc1438797_1479056682">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1438799_1479056682">
            <w:r>
              <w:rPr>
                <w:webHidden/>
                <w:rStyle w:val="IndexLink"/>
                <w:rtl w:val="true"/>
              </w:rPr>
              <w:t xml:space="preserve">فصل دهم </w:t>
            </w:r>
            <w:r>
              <w:rPr>
                <w:rStyle w:val="IndexLink"/>
                <w:rtl w:val="true"/>
              </w:rPr>
              <w:t xml:space="preserve">- </w:t>
            </w:r>
            <w:r>
              <w:rPr>
                <w:rStyle w:val="IndexLink"/>
                <w:rtl w:val="true"/>
              </w:rPr>
              <w:t>گزارش پاره‌ای از آرای تفسیری نهاوندی</w:t>
            </w:r>
            <w:r>
              <w:rPr>
                <w:rStyle w:val="IndexLink"/>
                <w:rtl w:val="true"/>
              </w:rPr>
              <w:tab/>
            </w:r>
            <w:r>
              <w:rPr>
                <w:rStyle w:val="IndexLink"/>
              </w:rPr>
              <w:t>132</w:t>
            </w:r>
          </w:hyperlink>
        </w:p>
        <w:p>
          <w:pPr>
            <w:pStyle w:val="Contents5"/>
            <w:tabs>
              <w:tab w:val="clear" w:pos="7892"/>
              <w:tab w:val="right" w:pos="9026" w:leader="dot"/>
            </w:tabs>
            <w:rPr/>
          </w:pPr>
          <w:hyperlink w:anchor="__RefHeading___Toc1438801_1479056682">
            <w:r>
              <w:rPr>
                <w:webHidden/>
                <w:rStyle w:val="IndexLink"/>
                <w:rtl w:val="true"/>
              </w:rPr>
              <w:t>اراده خدا و اختیار انسان</w:t>
            </w:r>
            <w:r>
              <w:rPr>
                <w:rStyle w:val="IndexLink"/>
                <w:rtl w:val="true"/>
              </w:rPr>
              <w:tab/>
            </w:r>
            <w:r>
              <w:rPr>
                <w:rStyle w:val="IndexLink"/>
              </w:rPr>
              <w:t>132</w:t>
            </w:r>
          </w:hyperlink>
        </w:p>
        <w:p>
          <w:pPr>
            <w:pStyle w:val="Contents5"/>
            <w:tabs>
              <w:tab w:val="clear" w:pos="7892"/>
              <w:tab w:val="right" w:pos="9026" w:leader="dot"/>
            </w:tabs>
            <w:rPr/>
          </w:pPr>
          <w:hyperlink w:anchor="__RefHeading___Toc1438803_1479056682">
            <w:r>
              <w:rPr>
                <w:webHidden/>
                <w:rStyle w:val="IndexLink"/>
                <w:rtl w:val="true"/>
              </w:rPr>
              <w:t>ختم بر قلوب با ارادی و اختیاری بودن افعال کافران، ناسازگار نیست</w:t>
            </w:r>
            <w:r>
              <w:rPr>
                <w:rStyle w:val="IndexLink"/>
                <w:rtl w:val="true"/>
              </w:rPr>
              <w:tab/>
            </w:r>
            <w:r>
              <w:rPr>
                <w:rStyle w:val="IndexLink"/>
              </w:rPr>
              <w:t>137</w:t>
            </w:r>
          </w:hyperlink>
        </w:p>
        <w:p>
          <w:pPr>
            <w:pStyle w:val="Contents5"/>
            <w:tabs>
              <w:tab w:val="clear" w:pos="7892"/>
              <w:tab w:val="right" w:pos="9026" w:leader="dot"/>
            </w:tabs>
            <w:rPr/>
          </w:pPr>
          <w:hyperlink w:anchor="__RefHeading___Toc1438805_1479056682">
            <w:r>
              <w:rPr>
                <w:webHidden/>
                <w:rStyle w:val="IndexLink"/>
                <w:rtl w:val="true"/>
              </w:rPr>
              <w:t>وجوب امر به معروف و نهی از منکر</w:t>
            </w:r>
            <w:r>
              <w:rPr>
                <w:rStyle w:val="IndexLink"/>
                <w:rtl w:val="true"/>
              </w:rPr>
              <w:tab/>
            </w:r>
            <w:r>
              <w:rPr>
                <w:rStyle w:val="IndexLink"/>
              </w:rPr>
              <w:t>143</w:t>
            </w:r>
          </w:hyperlink>
        </w:p>
        <w:p>
          <w:pPr>
            <w:pStyle w:val="Contents5"/>
            <w:tabs>
              <w:tab w:val="clear" w:pos="7892"/>
              <w:tab w:val="right" w:pos="9026" w:leader="dot"/>
            </w:tabs>
            <w:rPr/>
          </w:pPr>
          <w:hyperlink w:anchor="__RefHeading___Toc1438807_1479056682">
            <w:r>
              <w:rPr>
                <w:webHidden/>
                <w:rStyle w:val="IndexLink"/>
                <w:rtl w:val="true"/>
              </w:rPr>
              <w:t>واجبات از مصادیق الطاف الهی است</w:t>
            </w:r>
            <w:r>
              <w:rPr>
                <w:rStyle w:val="IndexLink"/>
                <w:rtl w:val="true"/>
              </w:rPr>
              <w:tab/>
            </w:r>
            <w:r>
              <w:rPr>
                <w:rStyle w:val="IndexLink"/>
              </w:rPr>
              <w:t>145</w:t>
            </w:r>
          </w:hyperlink>
        </w:p>
        <w:p>
          <w:pPr>
            <w:pStyle w:val="Contents5"/>
            <w:tabs>
              <w:tab w:val="clear" w:pos="7892"/>
              <w:tab w:val="right" w:pos="9026" w:leader="dot"/>
            </w:tabs>
            <w:rPr/>
          </w:pPr>
          <w:hyperlink w:anchor="__RefHeading___Toc1438809_1479056682">
            <w:r>
              <w:rPr>
                <w:webHidden/>
                <w:rStyle w:val="IndexLink"/>
                <w:rtl w:val="true"/>
              </w:rPr>
              <w:t>اثبات صفات خدا از طریق آیات کونیّه</w:t>
            </w:r>
            <w:r>
              <w:rPr>
                <w:rStyle w:val="IndexLink"/>
                <w:rtl w:val="true"/>
              </w:rPr>
              <w:tab/>
            </w:r>
            <w:r>
              <w:rPr>
                <w:rStyle w:val="IndexLink"/>
              </w:rPr>
              <w:t>146</w:t>
            </w:r>
          </w:hyperlink>
        </w:p>
        <w:p>
          <w:pPr>
            <w:pStyle w:val="Contents5"/>
            <w:tabs>
              <w:tab w:val="clear" w:pos="7892"/>
              <w:tab w:val="right" w:pos="9026" w:leader="dot"/>
            </w:tabs>
            <w:rPr/>
          </w:pPr>
          <w:hyperlink w:anchor="__RefHeading___Toc1438811_1479056682">
            <w:r>
              <w:rPr>
                <w:webHidden/>
                <w:rStyle w:val="IndexLink"/>
                <w:rtl w:val="true"/>
              </w:rPr>
              <w:t>وجوب نصب امام</w:t>
            </w:r>
            <w:r>
              <w:rPr>
                <w:rStyle w:val="IndexLink"/>
                <w:rtl w:val="true"/>
              </w:rPr>
              <w:tab/>
            </w:r>
            <w:r>
              <w:rPr>
                <w:rStyle w:val="IndexLink"/>
              </w:rPr>
              <w:t>149</w:t>
            </w:r>
          </w:hyperlink>
        </w:p>
        <w:p>
          <w:pPr>
            <w:pStyle w:val="Contents5"/>
            <w:tabs>
              <w:tab w:val="clear" w:pos="7892"/>
              <w:tab w:val="right" w:pos="9026" w:leader="dot"/>
            </w:tabs>
            <w:rPr/>
          </w:pPr>
          <w:hyperlink w:anchor="__RefHeading___Toc1438813_1479056682">
            <w:r>
              <w:rPr>
                <w:webHidden/>
                <w:rStyle w:val="IndexLink"/>
                <w:rtl w:val="true"/>
              </w:rPr>
              <w:t>عدم برتری و حاکمیت کافران بر مؤمنان</w:t>
            </w:r>
            <w:r>
              <w:rPr>
                <w:rStyle w:val="IndexLink"/>
                <w:rtl w:val="true"/>
              </w:rPr>
              <w:tab/>
            </w:r>
            <w:r>
              <w:rPr>
                <w:rStyle w:val="IndexLink"/>
              </w:rPr>
              <w:t>151</w:t>
            </w:r>
          </w:hyperlink>
        </w:p>
        <w:p>
          <w:pPr>
            <w:pStyle w:val="Contents4"/>
            <w:tabs>
              <w:tab w:val="clear" w:pos="8176"/>
              <w:tab w:val="right" w:pos="9026" w:leader="dot"/>
            </w:tabs>
            <w:rPr/>
          </w:pPr>
          <w:hyperlink w:anchor="__RefHeading___Toc1438815_1479056682">
            <w:r>
              <w:rPr>
                <w:webHidden/>
                <w:rStyle w:val="IndexLink"/>
                <w:rtl w:val="true"/>
              </w:rPr>
              <w:t xml:space="preserve">فصل یازدهم </w:t>
            </w:r>
            <w:r>
              <w:rPr>
                <w:rStyle w:val="IndexLink"/>
                <w:rtl w:val="true"/>
              </w:rPr>
              <w:t xml:space="preserve">- </w:t>
            </w:r>
            <w:r>
              <w:rPr>
                <w:rStyle w:val="IndexLink"/>
                <w:rtl w:val="true"/>
              </w:rPr>
              <w:t>تحقیق و گزارش امامت و ولایت در تفسیر نفحات الرّحمن</w:t>
            </w:r>
            <w:r>
              <w:rPr>
                <w:rStyle w:val="IndexLink"/>
                <w:rtl w:val="true"/>
              </w:rPr>
              <w:tab/>
            </w:r>
            <w:r>
              <w:rPr>
                <w:rStyle w:val="IndexLink"/>
              </w:rPr>
              <w:t>153</w:t>
            </w:r>
          </w:hyperlink>
        </w:p>
        <w:p>
          <w:pPr>
            <w:pStyle w:val="Contents5"/>
            <w:tabs>
              <w:tab w:val="clear" w:pos="7892"/>
              <w:tab w:val="right" w:pos="9026" w:leader="dot"/>
            </w:tabs>
            <w:rPr/>
          </w:pPr>
          <w:hyperlink w:anchor="__RefHeading___Toc1438817_1479056682">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1438819_1479056682">
            <w:r>
              <w:rPr>
                <w:webHidden/>
                <w:rStyle w:val="IndexLink"/>
              </w:rPr>
              <w:t>1</w:t>
            </w:r>
            <w:r>
              <w:rPr>
                <w:rStyle w:val="IndexLink"/>
                <w:rtl w:val="true"/>
              </w:rPr>
              <w:t xml:space="preserve"> - </w:t>
            </w:r>
            <w:r>
              <w:rPr>
                <w:rStyle w:val="IndexLink"/>
                <w:rtl w:val="true"/>
              </w:rPr>
              <w:t>استنادات روایی به سنّت امامان</w:t>
            </w:r>
            <w:r>
              <w:rPr>
                <w:rStyle w:val="IndexLink"/>
                <w:rtl w:val="true"/>
              </w:rPr>
              <w:tab/>
            </w:r>
            <w:r>
              <w:rPr>
                <w:rStyle w:val="IndexLink"/>
              </w:rPr>
              <w:t>153</w:t>
            </w:r>
          </w:hyperlink>
        </w:p>
        <w:p>
          <w:pPr>
            <w:pStyle w:val="Contents5"/>
            <w:tabs>
              <w:tab w:val="clear" w:pos="7892"/>
              <w:tab w:val="right" w:pos="9026" w:leader="dot"/>
            </w:tabs>
            <w:rPr/>
          </w:pPr>
          <w:hyperlink w:anchor="__RefHeading___Toc1438821_1479056682">
            <w:r>
              <w:rPr>
                <w:webHidden/>
                <w:rStyle w:val="IndexLink"/>
              </w:rPr>
              <w:t>2</w:t>
            </w:r>
            <w:r>
              <w:rPr>
                <w:rStyle w:val="IndexLink"/>
                <w:rtl w:val="true"/>
              </w:rPr>
              <w:t xml:space="preserve"> - </w:t>
            </w:r>
            <w:r>
              <w:rPr>
                <w:rStyle w:val="IndexLink"/>
                <w:rtl w:val="true"/>
              </w:rPr>
              <w:t>تحلیل اصل امامت در قرآن</w:t>
            </w:r>
            <w:r>
              <w:rPr>
                <w:rStyle w:val="IndexLink"/>
                <w:rtl w:val="true"/>
              </w:rPr>
              <w:tab/>
            </w:r>
            <w:r>
              <w:rPr>
                <w:rStyle w:val="IndexLink"/>
              </w:rPr>
              <w:t>154</w:t>
            </w:r>
          </w:hyperlink>
        </w:p>
        <w:p>
          <w:pPr>
            <w:pStyle w:val="Contents5"/>
            <w:tabs>
              <w:tab w:val="clear" w:pos="7892"/>
              <w:tab w:val="right" w:pos="9026" w:leader="dot"/>
            </w:tabs>
            <w:rPr/>
          </w:pPr>
          <w:hyperlink w:anchor="__RefHeading___Toc1438823_1479056682">
            <w:r>
              <w:rPr>
                <w:webHidden/>
                <w:rStyle w:val="IndexLink"/>
              </w:rPr>
              <w:t>3</w:t>
            </w:r>
            <w:r>
              <w:rPr>
                <w:rStyle w:val="IndexLink"/>
                <w:rtl w:val="true"/>
              </w:rPr>
              <w:t xml:space="preserve"> - </w:t>
            </w:r>
            <w:r>
              <w:rPr>
                <w:rStyle w:val="IndexLink"/>
                <w:rtl w:val="true"/>
              </w:rPr>
              <w:t>تجلیل از اهل بیت رسول اللّه و معرّفی شأن و عظمت آنان</w:t>
            </w:r>
            <w:r>
              <w:rPr>
                <w:rStyle w:val="IndexLink"/>
                <w:rtl w:val="true"/>
              </w:rPr>
              <w:tab/>
            </w:r>
            <w:r>
              <w:rPr>
                <w:rStyle w:val="IndexLink"/>
              </w:rPr>
              <w:t>160</w:t>
            </w:r>
          </w:hyperlink>
        </w:p>
        <w:p>
          <w:pPr>
            <w:pStyle w:val="Contents5"/>
            <w:tabs>
              <w:tab w:val="clear" w:pos="7892"/>
              <w:tab w:val="right" w:pos="9026" w:leader="dot"/>
            </w:tabs>
            <w:rPr/>
          </w:pPr>
          <w:hyperlink w:anchor="__RefHeading___Toc1438825_1479056682">
            <w:r>
              <w:rPr>
                <w:webHidden/>
                <w:rStyle w:val="IndexLink"/>
              </w:rPr>
              <w:t>4</w:t>
            </w:r>
            <w:r>
              <w:rPr>
                <w:rStyle w:val="IndexLink"/>
                <w:rtl w:val="true"/>
              </w:rPr>
              <w:t xml:space="preserve"> - </w:t>
            </w:r>
            <w:r>
              <w:rPr>
                <w:rStyle w:val="IndexLink"/>
                <w:rtl w:val="true"/>
              </w:rPr>
              <w:t>پیامبر صلی‌الله‌علیه‌و‌آله و اوصیای او علیهم‌السلام، راسخان در علم‌اند</w:t>
            </w:r>
            <w:r>
              <w:rPr>
                <w:rStyle w:val="IndexLink"/>
                <w:rtl w:val="true"/>
              </w:rPr>
              <w:tab/>
            </w:r>
            <w:r>
              <w:rPr>
                <w:rStyle w:val="IndexLink"/>
              </w:rPr>
              <w:t>169</w:t>
            </w:r>
          </w:hyperlink>
        </w:p>
        <w:p>
          <w:pPr>
            <w:pStyle w:val="Contents5"/>
            <w:tabs>
              <w:tab w:val="clear" w:pos="7892"/>
              <w:tab w:val="right" w:pos="9026" w:leader="dot"/>
            </w:tabs>
            <w:rPr/>
          </w:pPr>
          <w:hyperlink w:anchor="__RefHeading___Toc1438827_1479056682">
            <w:r>
              <w:rPr>
                <w:webHidden/>
                <w:rStyle w:val="IndexLink"/>
              </w:rPr>
              <w:t>5</w:t>
            </w:r>
            <w:r>
              <w:rPr>
                <w:rStyle w:val="IndexLink"/>
                <w:rtl w:val="true"/>
              </w:rPr>
              <w:t xml:space="preserve"> - </w:t>
            </w:r>
            <w:r>
              <w:rPr>
                <w:rStyle w:val="IndexLink"/>
                <w:rtl w:val="true"/>
              </w:rPr>
              <w:t>علیّ بن ابی طالب علیه‌السلام ، آگاه به علم کتاب است</w:t>
            </w:r>
            <w:r>
              <w:rPr>
                <w:rStyle w:val="IndexLink"/>
                <w:rtl w:val="true"/>
              </w:rPr>
              <w:t>.</w:t>
              <w:tab/>
            </w:r>
            <w:r>
              <w:rPr>
                <w:rStyle w:val="IndexLink"/>
              </w:rPr>
              <w:t>170</w:t>
            </w:r>
          </w:hyperlink>
        </w:p>
        <w:p>
          <w:pPr>
            <w:pStyle w:val="Contents5"/>
            <w:tabs>
              <w:tab w:val="clear" w:pos="7892"/>
              <w:tab w:val="right" w:pos="9026" w:leader="dot"/>
            </w:tabs>
            <w:rPr/>
          </w:pPr>
          <w:hyperlink w:anchor="__RefHeading___Toc1438829_1479056682">
            <w:r>
              <w:rPr>
                <w:webHidden/>
                <w:rStyle w:val="IndexLink"/>
                <w:rtl w:val="true"/>
              </w:rPr>
              <w:t>پاسخ نهاوندی</w:t>
            </w:r>
            <w:r>
              <w:rPr>
                <w:rStyle w:val="IndexLink"/>
                <w:rtl w:val="true"/>
              </w:rPr>
              <w:tab/>
            </w:r>
            <w:r>
              <w:rPr>
                <w:rStyle w:val="IndexLink"/>
              </w:rPr>
              <w:t>175</w:t>
            </w:r>
          </w:hyperlink>
        </w:p>
        <w:p>
          <w:pPr>
            <w:pStyle w:val="Contents3"/>
            <w:tabs>
              <w:tab w:val="clear" w:pos="8459"/>
              <w:tab w:val="right" w:pos="9026" w:leader="dot"/>
            </w:tabs>
            <w:rPr/>
          </w:pPr>
          <w:hyperlink w:anchor="__RefHeading___Toc1438831_1479056682">
            <w:r>
              <w:rPr>
                <w:webHidden/>
                <w:rStyle w:val="IndexLink"/>
                <w:rtl w:val="true"/>
              </w:rPr>
              <w:t>باب چهارم</w:t>
            </w:r>
            <w:r>
              <w:rPr>
                <w:rStyle w:val="IndexLink"/>
                <w:rtl w:val="true"/>
              </w:rPr>
              <w:t xml:space="preserve">: </w:t>
            </w:r>
            <w:r>
              <w:rPr>
                <w:rStyle w:val="IndexLink"/>
                <w:rtl w:val="true"/>
              </w:rPr>
              <w:t>روش تفسیری نفحات الرّحمن فی تفسیر القرآن</w:t>
            </w:r>
            <w:r>
              <w:rPr>
                <w:rStyle w:val="IndexLink"/>
                <w:rtl w:val="true"/>
              </w:rPr>
              <w:tab/>
            </w:r>
            <w:r>
              <w:rPr>
                <w:rStyle w:val="IndexLink"/>
              </w:rPr>
              <w:t>181</w:t>
            </w:r>
          </w:hyperlink>
        </w:p>
        <w:p>
          <w:pPr>
            <w:pStyle w:val="Contents4"/>
            <w:tabs>
              <w:tab w:val="clear" w:pos="8176"/>
              <w:tab w:val="right" w:pos="9026" w:leader="dot"/>
            </w:tabs>
            <w:rPr/>
          </w:pPr>
          <w:hyperlink w:anchor="__RefHeading___Toc1438833_1479056682">
            <w:r>
              <w:rPr>
                <w:webHidden/>
                <w:rStyle w:val="IndexLink"/>
                <w:rtl w:val="true"/>
              </w:rPr>
              <w:t>اشاره</w:t>
            </w:r>
            <w:r>
              <w:rPr>
                <w:rStyle w:val="IndexLink"/>
                <w:rtl w:val="true"/>
              </w:rPr>
              <w:tab/>
            </w:r>
            <w:r>
              <w:rPr>
                <w:rStyle w:val="IndexLink"/>
              </w:rPr>
              <w:t>181</w:t>
            </w:r>
          </w:hyperlink>
        </w:p>
        <w:p>
          <w:pPr>
            <w:pStyle w:val="Contents4"/>
            <w:tabs>
              <w:tab w:val="clear" w:pos="8176"/>
              <w:tab w:val="right" w:pos="9026" w:leader="dot"/>
            </w:tabs>
            <w:rPr/>
          </w:pPr>
          <w:hyperlink w:anchor="__RefHeading___Toc1438835_1479056682">
            <w:r>
              <w:rPr>
                <w:webHidden/>
                <w:rStyle w:val="IndexLink"/>
                <w:rtl w:val="true"/>
              </w:rPr>
              <w:t xml:space="preserve">فصل دوازدهم </w:t>
            </w:r>
            <w:r>
              <w:rPr>
                <w:rStyle w:val="IndexLink"/>
                <w:rtl w:val="true"/>
              </w:rPr>
              <w:t xml:space="preserve">- </w:t>
            </w:r>
            <w:r>
              <w:rPr>
                <w:rStyle w:val="IndexLink"/>
                <w:rtl w:val="true"/>
              </w:rPr>
              <w:t>روش تفسیری نهاوندی</w:t>
            </w:r>
            <w:r>
              <w:rPr>
                <w:rStyle w:val="IndexLink"/>
                <w:rtl w:val="true"/>
              </w:rPr>
              <w:tab/>
            </w:r>
            <w:r>
              <w:rPr>
                <w:rStyle w:val="IndexLink"/>
              </w:rPr>
              <w:t>182</w:t>
            </w:r>
          </w:hyperlink>
        </w:p>
        <w:p>
          <w:pPr>
            <w:pStyle w:val="Contents5"/>
            <w:tabs>
              <w:tab w:val="clear" w:pos="7892"/>
              <w:tab w:val="right" w:pos="9026" w:leader="dot"/>
            </w:tabs>
            <w:rPr/>
          </w:pPr>
          <w:hyperlink w:anchor="__RefHeading___Toc1438837_1479056682">
            <w:r>
              <w:rPr>
                <w:webHidden/>
                <w:rStyle w:val="IndexLink"/>
                <w:rtl w:val="true"/>
              </w:rPr>
              <w:t>اشاره</w:t>
            </w:r>
            <w:r>
              <w:rPr>
                <w:rStyle w:val="IndexLink"/>
                <w:rtl w:val="true"/>
              </w:rPr>
              <w:tab/>
            </w:r>
            <w:r>
              <w:rPr>
                <w:rStyle w:val="IndexLink"/>
              </w:rPr>
              <w:t>182</w:t>
            </w:r>
          </w:hyperlink>
        </w:p>
        <w:p>
          <w:pPr>
            <w:pStyle w:val="Contents5"/>
            <w:tabs>
              <w:tab w:val="clear" w:pos="7892"/>
              <w:tab w:val="right" w:pos="9026" w:leader="dot"/>
            </w:tabs>
            <w:rPr/>
          </w:pPr>
          <w:hyperlink w:anchor="__RefHeading___Toc1438839_1479056682">
            <w:r>
              <w:rPr>
                <w:webHidden/>
                <w:rStyle w:val="IndexLink"/>
                <w:rtl w:val="true"/>
              </w:rPr>
              <w:t>جایگاه نفحات الرّحمن در میان این سه روش</w:t>
            </w:r>
            <w:r>
              <w:rPr>
                <w:rStyle w:val="IndexLink"/>
                <w:rtl w:val="true"/>
              </w:rPr>
              <w:tab/>
            </w:r>
            <w:r>
              <w:rPr>
                <w:rStyle w:val="IndexLink"/>
              </w:rPr>
              <w:t>184</w:t>
            </w:r>
          </w:hyperlink>
        </w:p>
        <w:p>
          <w:pPr>
            <w:pStyle w:val="Contents5"/>
            <w:tabs>
              <w:tab w:val="clear" w:pos="7892"/>
              <w:tab w:val="right" w:pos="9026" w:leader="dot"/>
            </w:tabs>
            <w:rPr/>
          </w:pPr>
          <w:hyperlink w:anchor="__RefHeading___Toc1438841_1479056682">
            <w:r>
              <w:rPr>
                <w:webHidden/>
                <w:rStyle w:val="IndexLink"/>
                <w:rtl w:val="true"/>
              </w:rPr>
              <w:t>روش فرعی نهاوندی در تفسیر</w:t>
            </w:r>
            <w:r>
              <w:rPr>
                <w:rStyle w:val="IndexLink"/>
                <w:rtl w:val="true"/>
              </w:rPr>
              <w:tab/>
            </w:r>
            <w:r>
              <w:rPr>
                <w:rStyle w:val="IndexLink"/>
              </w:rPr>
              <w:t>184</w:t>
            </w:r>
          </w:hyperlink>
        </w:p>
        <w:p>
          <w:pPr>
            <w:pStyle w:val="Contents5"/>
            <w:tabs>
              <w:tab w:val="clear" w:pos="7892"/>
              <w:tab w:val="right" w:pos="9026" w:leader="dot"/>
            </w:tabs>
            <w:rPr/>
          </w:pPr>
          <w:hyperlink w:anchor="__RefHeading___Toc1438843_1479056682">
            <w:r>
              <w:rPr>
                <w:webHidden/>
                <w:rStyle w:val="IndexLink"/>
                <w:rtl w:val="true"/>
              </w:rPr>
              <w:t>نقل روایات تفسیری</w:t>
            </w:r>
            <w:r>
              <w:rPr>
                <w:rStyle w:val="IndexLink"/>
                <w:rtl w:val="true"/>
              </w:rPr>
              <w:tab/>
            </w:r>
            <w:r>
              <w:rPr>
                <w:rStyle w:val="IndexLink"/>
              </w:rPr>
              <w:t>185</w:t>
            </w:r>
          </w:hyperlink>
        </w:p>
        <w:p>
          <w:pPr>
            <w:pStyle w:val="Contents5"/>
            <w:tabs>
              <w:tab w:val="clear" w:pos="7892"/>
              <w:tab w:val="right" w:pos="9026" w:leader="dot"/>
            </w:tabs>
            <w:rPr/>
          </w:pPr>
          <w:hyperlink w:anchor="__RefHeading___Toc1438845_1479056682">
            <w:r>
              <w:rPr>
                <w:webHidden/>
                <w:rStyle w:val="IndexLink"/>
                <w:rtl w:val="true"/>
              </w:rPr>
              <w:t>بیان نظم سوره‌ها</w:t>
            </w:r>
            <w:r>
              <w:rPr>
                <w:rStyle w:val="IndexLink"/>
                <w:rtl w:val="true"/>
              </w:rPr>
              <w:tab/>
            </w:r>
            <w:r>
              <w:rPr>
                <w:rStyle w:val="IndexLink"/>
              </w:rPr>
              <w:t>185</w:t>
            </w:r>
          </w:hyperlink>
        </w:p>
        <w:p>
          <w:pPr>
            <w:pStyle w:val="Contents5"/>
            <w:tabs>
              <w:tab w:val="clear" w:pos="7892"/>
              <w:tab w:val="right" w:pos="9026" w:leader="dot"/>
            </w:tabs>
            <w:rPr/>
          </w:pPr>
          <w:hyperlink w:anchor="__RefHeading___Toc1438847_1479056682">
            <w:r>
              <w:rPr>
                <w:webHidden/>
                <w:rStyle w:val="IndexLink"/>
                <w:rtl w:val="true"/>
              </w:rPr>
              <w:t>توجّه به اسباب نزول</w:t>
            </w:r>
            <w:r>
              <w:rPr>
                <w:rStyle w:val="IndexLink"/>
                <w:rtl w:val="true"/>
              </w:rPr>
              <w:tab/>
            </w:r>
            <w:r>
              <w:rPr>
                <w:rStyle w:val="IndexLink"/>
              </w:rPr>
              <w:t>186</w:t>
            </w:r>
          </w:hyperlink>
        </w:p>
        <w:p>
          <w:pPr>
            <w:pStyle w:val="Contents5"/>
            <w:tabs>
              <w:tab w:val="clear" w:pos="7892"/>
              <w:tab w:val="right" w:pos="9026" w:leader="dot"/>
            </w:tabs>
            <w:rPr/>
          </w:pPr>
          <w:hyperlink w:anchor="__RefHeading___Toc1438849_1479056682">
            <w:r>
              <w:rPr>
                <w:webHidden/>
                <w:rStyle w:val="IndexLink"/>
                <w:rtl w:val="true"/>
              </w:rPr>
              <w:t>اجتناب از ورود به بحث قراءات</w:t>
            </w:r>
            <w:r>
              <w:rPr>
                <w:rStyle w:val="IndexLink"/>
                <w:rtl w:val="true"/>
              </w:rPr>
              <w:tab/>
            </w:r>
            <w:r>
              <w:rPr>
                <w:rStyle w:val="IndexLink"/>
              </w:rPr>
              <w:t>187</w:t>
            </w:r>
          </w:hyperlink>
        </w:p>
        <w:p>
          <w:pPr>
            <w:pStyle w:val="Contents5"/>
            <w:tabs>
              <w:tab w:val="clear" w:pos="7892"/>
              <w:tab w:val="right" w:pos="9026" w:leader="dot"/>
            </w:tabs>
            <w:rPr/>
          </w:pPr>
          <w:hyperlink w:anchor="__RefHeading___Toc1438851_1479056682">
            <w:r>
              <w:rPr>
                <w:webHidden/>
                <w:rStyle w:val="IndexLink"/>
                <w:rtl w:val="true"/>
              </w:rPr>
              <w:t>تفسیر به دو زبان</w:t>
            </w:r>
            <w:r>
              <w:rPr>
                <w:rStyle w:val="IndexLink"/>
                <w:rtl w:val="true"/>
              </w:rPr>
              <w:tab/>
            </w:r>
            <w:r>
              <w:rPr>
                <w:rStyle w:val="IndexLink"/>
              </w:rPr>
              <w:t>188</w:t>
            </w:r>
          </w:hyperlink>
        </w:p>
        <w:p>
          <w:pPr>
            <w:pStyle w:val="Contents5"/>
            <w:tabs>
              <w:tab w:val="clear" w:pos="7892"/>
              <w:tab w:val="right" w:pos="9026" w:leader="dot"/>
            </w:tabs>
            <w:rPr/>
          </w:pPr>
          <w:hyperlink w:anchor="__RefHeading___Toc1438853_1479056682">
            <w:r>
              <w:rPr>
                <w:webHidden/>
                <w:rStyle w:val="IndexLink"/>
                <w:rtl w:val="true"/>
              </w:rPr>
              <w:t>طرح برداشت‌های شخصی</w:t>
            </w:r>
            <w:r>
              <w:rPr>
                <w:rStyle w:val="IndexLink"/>
                <w:rtl w:val="true"/>
              </w:rPr>
              <w:tab/>
            </w:r>
            <w:r>
              <w:rPr>
                <w:rStyle w:val="IndexLink"/>
              </w:rPr>
              <w:t>190</w:t>
            </w:r>
          </w:hyperlink>
        </w:p>
        <w:p>
          <w:pPr>
            <w:pStyle w:val="Contents5"/>
            <w:tabs>
              <w:tab w:val="clear" w:pos="7892"/>
              <w:tab w:val="right" w:pos="9026" w:leader="dot"/>
            </w:tabs>
            <w:rPr/>
          </w:pPr>
          <w:hyperlink w:anchor="__RefHeading___Toc1438855_1479056682">
            <w:r>
              <w:rPr>
                <w:webHidden/>
                <w:rStyle w:val="IndexLink"/>
                <w:rtl w:val="true"/>
              </w:rPr>
              <w:t>تبیین و توضیح لغات</w:t>
            </w:r>
            <w:r>
              <w:rPr>
                <w:rStyle w:val="IndexLink"/>
                <w:rtl w:val="true"/>
              </w:rPr>
              <w:tab/>
            </w:r>
            <w:r>
              <w:rPr>
                <w:rStyle w:val="IndexLink"/>
              </w:rPr>
              <w:t>191</w:t>
            </w:r>
          </w:hyperlink>
        </w:p>
        <w:p>
          <w:pPr>
            <w:pStyle w:val="Contents5"/>
            <w:tabs>
              <w:tab w:val="clear" w:pos="7892"/>
              <w:tab w:val="right" w:pos="9026" w:leader="dot"/>
            </w:tabs>
            <w:rPr/>
          </w:pPr>
          <w:hyperlink w:anchor="__RefHeading___Toc1438857_1479056682">
            <w:r>
              <w:rPr>
                <w:webHidden/>
                <w:rStyle w:val="IndexLink"/>
                <w:rtl w:val="true"/>
              </w:rPr>
              <w:t>استنادات تفسیری</w:t>
            </w:r>
            <w:r>
              <w:rPr>
                <w:rStyle w:val="IndexLink"/>
                <w:rtl w:val="true"/>
              </w:rPr>
              <w:tab/>
            </w:r>
            <w:r>
              <w:rPr>
                <w:rStyle w:val="IndexLink"/>
              </w:rPr>
              <w:t>192</w:t>
            </w:r>
          </w:hyperlink>
        </w:p>
        <w:p>
          <w:pPr>
            <w:pStyle w:val="Contents5"/>
            <w:tabs>
              <w:tab w:val="clear" w:pos="7892"/>
              <w:tab w:val="right" w:pos="9026" w:leader="dot"/>
            </w:tabs>
            <w:rPr/>
          </w:pPr>
          <w:hyperlink w:anchor="__RefHeading___Toc1438859_1479056682">
            <w:r>
              <w:rPr>
                <w:webHidden/>
                <w:rStyle w:val="IndexLink"/>
                <w:rtl w:val="true"/>
              </w:rPr>
              <w:t>طرح فضایل سور</w:t>
            </w:r>
            <w:r>
              <w:rPr>
                <w:rStyle w:val="IndexLink"/>
                <w:rtl w:val="true"/>
              </w:rPr>
              <w:tab/>
            </w:r>
            <w:r>
              <w:rPr>
                <w:rStyle w:val="IndexLink"/>
              </w:rPr>
              <w:t>193</w:t>
            </w:r>
          </w:hyperlink>
        </w:p>
        <w:p>
          <w:pPr>
            <w:pStyle w:val="Contents4"/>
            <w:tabs>
              <w:tab w:val="clear" w:pos="8176"/>
              <w:tab w:val="right" w:pos="9026" w:leader="dot"/>
            </w:tabs>
            <w:rPr/>
          </w:pPr>
          <w:hyperlink w:anchor="__RefHeading___Toc1438861_1479056682">
            <w:r>
              <w:rPr>
                <w:webHidden/>
                <w:rStyle w:val="IndexLink"/>
                <w:rtl w:val="true"/>
              </w:rPr>
              <w:t xml:space="preserve">فصل سیزدهم </w:t>
            </w:r>
            <w:r>
              <w:rPr>
                <w:rStyle w:val="IndexLink"/>
                <w:rtl w:val="true"/>
              </w:rPr>
              <w:t xml:space="preserve">- </w:t>
            </w:r>
            <w:r>
              <w:rPr>
                <w:rStyle w:val="IndexLink"/>
                <w:rtl w:val="true"/>
              </w:rPr>
              <w:t>مناسبات سور در نفحات الرّحمن</w:t>
            </w:r>
            <w:r>
              <w:rPr>
                <w:rStyle w:val="IndexLink"/>
                <w:rtl w:val="true"/>
              </w:rPr>
              <w:tab/>
            </w:r>
            <w:r>
              <w:rPr>
                <w:rStyle w:val="IndexLink"/>
              </w:rPr>
              <w:t>195</w:t>
            </w:r>
          </w:hyperlink>
        </w:p>
        <w:p>
          <w:pPr>
            <w:pStyle w:val="Contents5"/>
            <w:tabs>
              <w:tab w:val="clear" w:pos="7892"/>
              <w:tab w:val="right" w:pos="9026" w:leader="dot"/>
            </w:tabs>
            <w:rPr/>
          </w:pPr>
          <w:hyperlink w:anchor="__RefHeading___Toc1438863_1479056682">
            <w:r>
              <w:rPr>
                <w:webHidden/>
                <w:rStyle w:val="IndexLink"/>
                <w:rtl w:val="true"/>
              </w:rPr>
              <w:t>اشاره</w:t>
            </w:r>
            <w:r>
              <w:rPr>
                <w:rStyle w:val="IndexLink"/>
                <w:rtl w:val="true"/>
              </w:rPr>
              <w:tab/>
            </w:r>
            <w:r>
              <w:rPr>
                <w:rStyle w:val="IndexLink"/>
              </w:rPr>
              <w:t>195</w:t>
            </w:r>
          </w:hyperlink>
        </w:p>
        <w:p>
          <w:pPr>
            <w:pStyle w:val="Contents5"/>
            <w:tabs>
              <w:tab w:val="clear" w:pos="7892"/>
              <w:tab w:val="right" w:pos="9026" w:leader="dot"/>
            </w:tabs>
            <w:rPr/>
          </w:pPr>
          <w:hyperlink w:anchor="__RefHeading___Toc1438865_1479056682">
            <w:r>
              <w:rPr>
                <w:webHidden/>
                <w:rStyle w:val="IndexLink"/>
                <w:rtl w:val="true"/>
              </w:rPr>
              <w:t>تناسب بین سوره‌های فاتحة الکتاب و بقره</w:t>
            </w:r>
            <w:r>
              <w:rPr>
                <w:rStyle w:val="IndexLink"/>
                <w:rtl w:val="true"/>
              </w:rPr>
              <w:tab/>
            </w:r>
            <w:r>
              <w:rPr>
                <w:rStyle w:val="IndexLink"/>
              </w:rPr>
              <w:t>196</w:t>
            </w:r>
          </w:hyperlink>
        </w:p>
        <w:p>
          <w:pPr>
            <w:pStyle w:val="Contents5"/>
            <w:tabs>
              <w:tab w:val="clear" w:pos="7892"/>
              <w:tab w:val="right" w:pos="9026" w:leader="dot"/>
            </w:tabs>
            <w:rPr/>
          </w:pPr>
          <w:hyperlink w:anchor="__RefHeading___Toc1438867_1479056682">
            <w:r>
              <w:rPr>
                <w:webHidden/>
                <w:rStyle w:val="IndexLink"/>
                <w:rtl w:val="true"/>
              </w:rPr>
              <w:t>تناسب بین سوره‌های بقره و آل عمران</w:t>
            </w:r>
            <w:r>
              <w:rPr>
                <w:rStyle w:val="IndexLink"/>
                <w:rtl w:val="true"/>
              </w:rPr>
              <w:tab/>
            </w:r>
            <w:r>
              <w:rPr>
                <w:rStyle w:val="IndexLink"/>
              </w:rPr>
              <w:t>196</w:t>
            </w:r>
          </w:hyperlink>
        </w:p>
        <w:p>
          <w:pPr>
            <w:pStyle w:val="Contents5"/>
            <w:tabs>
              <w:tab w:val="clear" w:pos="7892"/>
              <w:tab w:val="right" w:pos="9026" w:leader="dot"/>
            </w:tabs>
            <w:rPr/>
          </w:pPr>
          <w:hyperlink w:anchor="__RefHeading___Toc1438869_1479056682">
            <w:r>
              <w:rPr>
                <w:webHidden/>
                <w:rStyle w:val="IndexLink"/>
                <w:rtl w:val="true"/>
              </w:rPr>
              <w:t>تناسب بین سوره‌های آل عمران و نساء</w:t>
            </w:r>
            <w:r>
              <w:rPr>
                <w:rStyle w:val="IndexLink"/>
                <w:rtl w:val="true"/>
              </w:rPr>
              <w:tab/>
            </w:r>
            <w:r>
              <w:rPr>
                <w:rStyle w:val="IndexLink"/>
              </w:rPr>
              <w:t>197</w:t>
            </w:r>
          </w:hyperlink>
        </w:p>
        <w:p>
          <w:pPr>
            <w:pStyle w:val="Contents5"/>
            <w:tabs>
              <w:tab w:val="clear" w:pos="7892"/>
              <w:tab w:val="right" w:pos="9026" w:leader="dot"/>
            </w:tabs>
            <w:rPr/>
          </w:pPr>
          <w:hyperlink w:anchor="__RefHeading___Toc1438871_1479056682">
            <w:r>
              <w:rPr>
                <w:webHidden/>
                <w:rStyle w:val="IndexLink"/>
                <w:rtl w:val="true"/>
              </w:rPr>
              <w:t>تناسب بین سوره‌های نساء و مائده</w:t>
            </w:r>
            <w:r>
              <w:rPr>
                <w:rStyle w:val="IndexLink"/>
                <w:rtl w:val="true"/>
              </w:rPr>
              <w:tab/>
            </w:r>
            <w:r>
              <w:rPr>
                <w:rStyle w:val="IndexLink"/>
              </w:rPr>
              <w:t>198</w:t>
            </w:r>
          </w:hyperlink>
        </w:p>
        <w:p>
          <w:pPr>
            <w:pStyle w:val="Contents5"/>
            <w:tabs>
              <w:tab w:val="clear" w:pos="7892"/>
              <w:tab w:val="right" w:pos="9026" w:leader="dot"/>
            </w:tabs>
            <w:rPr/>
          </w:pPr>
          <w:hyperlink w:anchor="__RefHeading___Toc1438873_1479056682">
            <w:r>
              <w:rPr>
                <w:webHidden/>
                <w:rStyle w:val="IndexLink"/>
                <w:rtl w:val="true"/>
              </w:rPr>
              <w:t>تناسب بین سوره‌های مائده و انعام</w:t>
            </w:r>
            <w:r>
              <w:rPr>
                <w:rStyle w:val="IndexLink"/>
                <w:rtl w:val="true"/>
              </w:rPr>
              <w:tab/>
            </w:r>
            <w:r>
              <w:rPr>
                <w:rStyle w:val="IndexLink"/>
              </w:rPr>
              <w:t>198</w:t>
            </w:r>
          </w:hyperlink>
        </w:p>
        <w:p>
          <w:pPr>
            <w:pStyle w:val="Contents4"/>
            <w:tabs>
              <w:tab w:val="clear" w:pos="8176"/>
              <w:tab w:val="right" w:pos="9026" w:leader="dot"/>
            </w:tabs>
            <w:rPr/>
          </w:pPr>
          <w:hyperlink w:anchor="__RefHeading___Toc1438875_1479056682">
            <w:r>
              <w:rPr>
                <w:webHidden/>
                <w:rStyle w:val="IndexLink"/>
                <w:rtl w:val="true"/>
              </w:rPr>
              <w:t xml:space="preserve">فصل چهاردهم </w:t>
            </w:r>
            <w:r>
              <w:rPr>
                <w:rStyle w:val="IndexLink"/>
                <w:rtl w:val="true"/>
              </w:rPr>
              <w:t xml:space="preserve">- </w:t>
            </w:r>
            <w:r>
              <w:rPr>
                <w:rStyle w:val="IndexLink"/>
                <w:rtl w:val="true"/>
              </w:rPr>
              <w:t>اسباب نزول در نفحات الرّحمن</w:t>
            </w:r>
            <w:r>
              <w:rPr>
                <w:rStyle w:val="IndexLink"/>
                <w:rtl w:val="true"/>
              </w:rPr>
              <w:tab/>
            </w:r>
            <w:r>
              <w:rPr>
                <w:rStyle w:val="IndexLink"/>
              </w:rPr>
              <w:t>200</w:t>
            </w:r>
          </w:hyperlink>
        </w:p>
        <w:p>
          <w:pPr>
            <w:pStyle w:val="Contents5"/>
            <w:tabs>
              <w:tab w:val="clear" w:pos="7892"/>
              <w:tab w:val="right" w:pos="9026" w:leader="dot"/>
            </w:tabs>
            <w:rPr/>
          </w:pPr>
          <w:hyperlink w:anchor="__RefHeading___Toc1438877_1479056682">
            <w:r>
              <w:rPr>
                <w:webHidden/>
                <w:rStyle w:val="IndexLink"/>
                <w:rtl w:val="true"/>
              </w:rPr>
              <w:t>تفسیر آیات و سوره با توجّه به اسباب نزول آنها</w:t>
            </w:r>
            <w:r>
              <w:rPr>
                <w:rStyle w:val="IndexLink"/>
                <w:rtl w:val="true"/>
              </w:rPr>
              <w:tab/>
            </w:r>
            <w:r>
              <w:rPr>
                <w:rStyle w:val="IndexLink"/>
              </w:rPr>
              <w:t>200</w:t>
            </w:r>
          </w:hyperlink>
        </w:p>
        <w:p>
          <w:pPr>
            <w:pStyle w:val="Contents5"/>
            <w:tabs>
              <w:tab w:val="clear" w:pos="7892"/>
              <w:tab w:val="right" w:pos="9026" w:leader="dot"/>
            </w:tabs>
            <w:rPr/>
          </w:pPr>
          <w:hyperlink w:anchor="__RefHeading___Toc1438879_1479056682">
            <w:r>
              <w:rPr>
                <w:webHidden/>
                <w:rStyle w:val="IndexLink"/>
                <w:rtl w:val="true"/>
              </w:rPr>
              <w:t xml:space="preserve">سبب نزول آیه </w:t>
            </w:r>
            <w:r>
              <w:rPr>
                <w:rStyle w:val="IndexLink"/>
              </w:rPr>
              <w:t>267</w:t>
            </w:r>
            <w:r>
              <w:rPr>
                <w:rStyle w:val="IndexLink"/>
                <w:rtl w:val="true"/>
              </w:rPr>
              <w:t xml:space="preserve"> </w:t>
            </w:r>
            <w:r>
              <w:rPr>
                <w:rStyle w:val="IndexLink"/>
                <w:rtl w:val="true"/>
              </w:rPr>
              <w:t>سوره بقره</w:t>
            </w:r>
            <w:r>
              <w:rPr>
                <w:rStyle w:val="IndexLink"/>
                <w:rtl w:val="true"/>
              </w:rPr>
              <w:t>: «</w:t>
            </w:r>
            <w:r>
              <w:rPr>
                <w:rStyle w:val="IndexLink"/>
                <w:rtl w:val="true"/>
              </w:rPr>
              <w:t xml:space="preserve">یَا أَ یُّهَا ا لَّذِینَ آمَنُوا أَنْفِقُوا مِن طَیِّبَاتِ مَا کَسَبْتُمْ </w:t>
            </w:r>
            <w:r>
              <w:rPr>
                <w:rStyle w:val="IndexLink"/>
                <w:rtl w:val="true"/>
              </w:rPr>
              <w:t>»</w:t>
              <w:tab/>
            </w:r>
            <w:r>
              <w:rPr>
                <w:rStyle w:val="IndexLink"/>
              </w:rPr>
              <w:t>201</w:t>
            </w:r>
          </w:hyperlink>
        </w:p>
        <w:p>
          <w:pPr>
            <w:pStyle w:val="Contents4"/>
            <w:tabs>
              <w:tab w:val="clear" w:pos="8176"/>
              <w:tab w:val="right" w:pos="9026" w:leader="dot"/>
            </w:tabs>
            <w:rPr/>
          </w:pPr>
          <w:hyperlink w:anchor="__RefHeading___Toc1438881_1479056682">
            <w:r>
              <w:rPr>
                <w:webHidden/>
                <w:rStyle w:val="IndexLink"/>
                <w:rtl w:val="true"/>
              </w:rPr>
              <w:t xml:space="preserve">فصل پانزدهم </w:t>
            </w:r>
            <w:r>
              <w:rPr>
                <w:rStyle w:val="IndexLink"/>
                <w:rtl w:val="true"/>
              </w:rPr>
              <w:t xml:space="preserve">- </w:t>
            </w:r>
            <w:r>
              <w:rPr>
                <w:rStyle w:val="IndexLink"/>
                <w:rtl w:val="true"/>
              </w:rPr>
              <w:t>تفسیر مبهمات قرآن در نفحات الرّحمن</w:t>
            </w:r>
            <w:r>
              <w:rPr>
                <w:rStyle w:val="IndexLink"/>
                <w:rtl w:val="true"/>
              </w:rPr>
              <w:tab/>
            </w:r>
            <w:r>
              <w:rPr>
                <w:rStyle w:val="IndexLink"/>
              </w:rPr>
              <w:t>203</w:t>
            </w:r>
          </w:hyperlink>
        </w:p>
        <w:p>
          <w:pPr>
            <w:pStyle w:val="Contents2"/>
            <w:tabs>
              <w:tab w:val="clear" w:pos="8743"/>
              <w:tab w:val="right" w:pos="9026" w:leader="dot"/>
            </w:tabs>
            <w:rPr/>
          </w:pPr>
          <w:hyperlink w:anchor="__RefHeading___Toc1438883_1479056682">
            <w:r>
              <w:rPr>
                <w:webHidden/>
                <w:rStyle w:val="IndexLink"/>
                <w:rtl w:val="true"/>
              </w:rPr>
              <w:t>بخش دوم</w:t>
            </w:r>
            <w:r>
              <w:rPr>
                <w:rStyle w:val="IndexLink"/>
                <w:rtl w:val="true"/>
              </w:rPr>
              <w:tab/>
            </w:r>
            <w:r>
              <w:rPr>
                <w:rStyle w:val="IndexLink"/>
              </w:rPr>
              <w:t>209</w:t>
            </w:r>
          </w:hyperlink>
        </w:p>
        <w:p>
          <w:pPr>
            <w:pStyle w:val="Contents3"/>
            <w:tabs>
              <w:tab w:val="clear" w:pos="8459"/>
              <w:tab w:val="right" w:pos="9026" w:leader="dot"/>
            </w:tabs>
            <w:rPr/>
          </w:pPr>
          <w:hyperlink w:anchor="__RefHeading___Toc1438885_1479056682">
            <w:r>
              <w:rPr>
                <w:webHidden/>
                <w:rStyle w:val="IndexLink"/>
                <w:rtl w:val="true"/>
              </w:rPr>
              <w:t>مقدّمة نفحات الرّحمن فی تفسیر القرآن و تبیین الفرقان</w:t>
            </w:r>
            <w:r>
              <w:rPr>
                <w:rStyle w:val="IndexLink"/>
                <w:rtl w:val="true"/>
              </w:rPr>
              <w:tab/>
            </w:r>
            <w:r>
              <w:rPr>
                <w:rStyle w:val="IndexLink"/>
              </w:rPr>
              <w:t>209</w:t>
            </w:r>
          </w:hyperlink>
        </w:p>
        <w:p>
          <w:pPr>
            <w:pStyle w:val="Contents4"/>
            <w:tabs>
              <w:tab w:val="clear" w:pos="8176"/>
              <w:tab w:val="right" w:pos="9026" w:leader="dot"/>
            </w:tabs>
            <w:rPr/>
          </w:pPr>
          <w:hyperlink w:anchor="__RefHeading___Toc1438887_1479056682">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1438889_1479056682">
            <w:r>
              <w:rPr>
                <w:webHidden/>
                <w:rStyle w:val="IndexLink"/>
                <w:rtl w:val="true"/>
              </w:rPr>
              <w:t>المقدمة</w:t>
            </w:r>
            <w:r>
              <w:rPr>
                <w:rStyle w:val="IndexLink"/>
                <w:rtl w:val="true"/>
              </w:rPr>
              <w:tab/>
            </w:r>
            <w:r>
              <w:rPr>
                <w:rStyle w:val="IndexLink"/>
              </w:rPr>
              <w:t>210</w:t>
            </w:r>
          </w:hyperlink>
        </w:p>
        <w:p>
          <w:pPr>
            <w:pStyle w:val="Contents5"/>
            <w:tabs>
              <w:tab w:val="clear" w:pos="7892"/>
              <w:tab w:val="right" w:pos="9026" w:leader="dot"/>
            </w:tabs>
            <w:rPr/>
          </w:pPr>
          <w:hyperlink w:anchor="__RefHeading___Toc1438891_1479056682">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1438893_1479056682">
            <w:r>
              <w:rPr>
                <w:webHidden/>
                <w:rStyle w:val="IndexLink"/>
                <w:rtl w:val="true"/>
              </w:rPr>
              <w:t>الطُّرْفَةُ الأُولی</w:t>
            </w:r>
            <w:r>
              <w:rPr>
                <w:rStyle w:val="IndexLink"/>
                <w:rtl w:val="true"/>
              </w:rPr>
              <w:t xml:space="preserve">: </w:t>
            </w:r>
            <w:r>
              <w:rPr>
                <w:rStyle w:val="IndexLink"/>
                <w:rtl w:val="true"/>
              </w:rPr>
              <w:t>فی أنَّ الکتابَ العزیزَ أعظمُ معجزاتِ خاتَمِ الأَنبیاءِ صلی‌الله‌علیه‌و‌آله</w:t>
            </w:r>
            <w:r>
              <w:rPr>
                <w:rStyle w:val="IndexLink"/>
                <w:rtl w:val="true"/>
              </w:rPr>
              <w:tab/>
            </w:r>
            <w:r>
              <w:rPr>
                <w:rStyle w:val="IndexLink"/>
              </w:rPr>
              <w:t>212</w:t>
            </w:r>
          </w:hyperlink>
        </w:p>
        <w:p>
          <w:pPr>
            <w:pStyle w:val="Contents5"/>
            <w:tabs>
              <w:tab w:val="clear" w:pos="7892"/>
              <w:tab w:val="right" w:pos="9026" w:leader="dot"/>
            </w:tabs>
            <w:rPr/>
          </w:pPr>
          <w:hyperlink w:anchor="__RefHeading___Toc1438895_1479056682">
            <w:r>
              <w:rPr>
                <w:webHidden/>
                <w:rStyle w:val="IndexLink"/>
                <w:rtl w:val="true"/>
              </w:rPr>
              <w:t>الطُّرفة الثّانیة</w:t>
            </w:r>
            <w:r>
              <w:rPr>
                <w:rStyle w:val="IndexLink"/>
                <w:rtl w:val="true"/>
              </w:rPr>
              <w:t xml:space="preserve">: </w:t>
            </w:r>
            <w:r>
              <w:rPr>
                <w:rStyle w:val="IndexLink"/>
                <w:rtl w:val="true"/>
              </w:rPr>
              <w:t>فی تعریف المعجزة وأنَّ القرآنَ العظیم معجزةٌ عقلیّةٌ</w:t>
            </w:r>
            <w:r>
              <w:rPr>
                <w:rStyle w:val="IndexLink"/>
                <w:rtl w:val="true"/>
              </w:rPr>
              <w:tab/>
            </w:r>
            <w:r>
              <w:rPr>
                <w:rStyle w:val="IndexLink"/>
              </w:rPr>
              <w:t>219</w:t>
            </w:r>
          </w:hyperlink>
        </w:p>
        <w:p>
          <w:pPr>
            <w:pStyle w:val="Contents5"/>
            <w:tabs>
              <w:tab w:val="clear" w:pos="7892"/>
              <w:tab w:val="right" w:pos="9026" w:leader="dot"/>
            </w:tabs>
            <w:rPr/>
          </w:pPr>
          <w:hyperlink w:anchor="__RefHeading___Toc1438897_1479056682">
            <w:r>
              <w:rPr>
                <w:webHidden/>
                <w:rStyle w:val="IndexLink"/>
                <w:rtl w:val="true"/>
              </w:rPr>
              <w:t>الطُّرفة الثالثة</w:t>
            </w:r>
            <w:r>
              <w:rPr>
                <w:rStyle w:val="IndexLink"/>
                <w:rtl w:val="true"/>
              </w:rPr>
              <w:t xml:space="preserve">: </w:t>
            </w:r>
            <w:r>
              <w:rPr>
                <w:rStyle w:val="IndexLink"/>
                <w:rtl w:val="true"/>
              </w:rPr>
              <w:t>فی أنّ الکتاب العزیز مع قطع النظر عن وجوه إعجازه دلیل صدق النبیّ صلی‌الله‌علیه‌و‌آله</w:t>
            </w:r>
            <w:r>
              <w:rPr>
                <w:rStyle w:val="IndexLink"/>
                <w:rtl w:val="true"/>
              </w:rPr>
              <w:tab/>
            </w:r>
            <w:r>
              <w:rPr>
                <w:rStyle w:val="IndexLink"/>
              </w:rPr>
              <w:t>223</w:t>
            </w:r>
          </w:hyperlink>
        </w:p>
        <w:p>
          <w:pPr>
            <w:pStyle w:val="Contents5"/>
            <w:tabs>
              <w:tab w:val="clear" w:pos="7892"/>
              <w:tab w:val="right" w:pos="9026" w:leader="dot"/>
            </w:tabs>
            <w:rPr/>
          </w:pPr>
          <w:hyperlink w:anchor="__RefHeading___Toc1438899_1479056682">
            <w:r>
              <w:rPr>
                <w:webHidden/>
                <w:rStyle w:val="IndexLink"/>
                <w:rtl w:val="true"/>
              </w:rPr>
              <w:t>الطُّرفة الرابعة</w:t>
            </w:r>
            <w:r>
              <w:rPr>
                <w:rStyle w:val="IndexLink"/>
                <w:rtl w:val="true"/>
              </w:rPr>
              <w:t xml:space="preserve">: </w:t>
            </w:r>
            <w:r>
              <w:rPr>
                <w:rStyle w:val="IndexLink"/>
                <w:rtl w:val="true"/>
              </w:rPr>
              <w:t>فی بیان سرّ نزول القرآن جملةً إلی البیت المعمور فی لیلة القدر</w:t>
            </w:r>
            <w:r>
              <w:rPr>
                <w:rStyle w:val="IndexLink"/>
                <w:rtl w:val="true"/>
              </w:rPr>
              <w:tab/>
            </w:r>
            <w:r>
              <w:rPr>
                <w:rStyle w:val="IndexLink"/>
              </w:rPr>
              <w:t>234</w:t>
            </w:r>
          </w:hyperlink>
        </w:p>
        <w:p>
          <w:pPr>
            <w:pStyle w:val="Contents5"/>
            <w:tabs>
              <w:tab w:val="clear" w:pos="7892"/>
              <w:tab w:val="right" w:pos="9026" w:leader="dot"/>
            </w:tabs>
            <w:rPr/>
          </w:pPr>
          <w:hyperlink w:anchor="__RefHeading___Toc1438901_1479056682">
            <w:r>
              <w:rPr>
                <w:webHidden/>
                <w:rStyle w:val="IndexLink"/>
                <w:rtl w:val="true"/>
              </w:rPr>
              <w:t>الطُّرفة الخامسة</w:t>
            </w:r>
            <w:r>
              <w:rPr>
                <w:rStyle w:val="IndexLink"/>
                <w:rtl w:val="true"/>
              </w:rPr>
              <w:t xml:space="preserve">: </w:t>
            </w:r>
            <w:r>
              <w:rPr>
                <w:rStyle w:val="IndexLink"/>
                <w:rtl w:val="true"/>
              </w:rPr>
              <w:t>فی أنّ جمع القرآن کان فی عصرالنبیّ صلی‌الله‌علیه‌و‌آلهوبأمره</w:t>
            </w:r>
            <w:r>
              <w:rPr>
                <w:rStyle w:val="IndexLink"/>
                <w:rtl w:val="true"/>
              </w:rPr>
              <w:tab/>
            </w:r>
            <w:r>
              <w:rPr>
                <w:rStyle w:val="IndexLink"/>
              </w:rPr>
              <w:t>241</w:t>
            </w:r>
          </w:hyperlink>
        </w:p>
        <w:p>
          <w:pPr>
            <w:pStyle w:val="Contents5"/>
            <w:tabs>
              <w:tab w:val="clear" w:pos="7892"/>
              <w:tab w:val="right" w:pos="9026" w:leader="dot"/>
            </w:tabs>
            <w:rPr/>
          </w:pPr>
          <w:hyperlink w:anchor="__RefHeading___Toc1438903_1479056682">
            <w:r>
              <w:rPr>
                <w:webHidden/>
                <w:rStyle w:val="IndexLink"/>
                <w:rtl w:val="true"/>
              </w:rPr>
              <w:t>الطُّرفة السادسة</w:t>
            </w:r>
            <w:r>
              <w:rPr>
                <w:rStyle w:val="IndexLink"/>
                <w:rtl w:val="true"/>
              </w:rPr>
              <w:t xml:space="preserve">: </w:t>
            </w:r>
            <w:r>
              <w:rPr>
                <w:rStyle w:val="IndexLink"/>
                <w:rtl w:val="true"/>
              </w:rPr>
              <w:t>فی أنّ القرآن العظیم جُمِعَ ثلاث مرّات إحداها کان بحضره‌النبیّ صلی‌الله‌علیه‌و‌آله</w:t>
            </w:r>
            <w:r>
              <w:rPr>
                <w:rStyle w:val="IndexLink"/>
                <w:rtl w:val="true"/>
              </w:rPr>
              <w:tab/>
            </w:r>
            <w:r>
              <w:rPr>
                <w:rStyle w:val="IndexLink"/>
              </w:rPr>
              <w:t>263</w:t>
            </w:r>
          </w:hyperlink>
        </w:p>
        <w:p>
          <w:pPr>
            <w:pStyle w:val="Contents5"/>
            <w:tabs>
              <w:tab w:val="clear" w:pos="7892"/>
              <w:tab w:val="right" w:pos="9026" w:leader="dot"/>
            </w:tabs>
            <w:rPr/>
          </w:pPr>
          <w:hyperlink w:anchor="__RefHeading___Toc1438905_1479056682">
            <w:r>
              <w:rPr>
                <w:webHidden/>
                <w:rStyle w:val="IndexLink"/>
                <w:rtl w:val="true"/>
              </w:rPr>
              <w:t>الطُّرفة السابعة</w:t>
            </w:r>
            <w:r>
              <w:rPr>
                <w:rStyle w:val="IndexLink"/>
                <w:rtl w:val="true"/>
              </w:rPr>
              <w:t xml:space="preserve">: </w:t>
            </w:r>
            <w:r>
              <w:rPr>
                <w:rStyle w:val="IndexLink"/>
                <w:rtl w:val="true"/>
              </w:rPr>
              <w:t>فی أنّ ترتیب سورالقرآن وآیاته کان بأمر اللّه ووحیه</w:t>
            </w:r>
            <w:r>
              <w:rPr>
                <w:rStyle w:val="IndexLink"/>
                <w:rtl w:val="true"/>
              </w:rPr>
              <w:tab/>
            </w:r>
            <w:r>
              <w:rPr>
                <w:rStyle w:val="IndexLink"/>
              </w:rPr>
              <w:t>267</w:t>
            </w:r>
          </w:hyperlink>
        </w:p>
        <w:p>
          <w:pPr>
            <w:pStyle w:val="Contents5"/>
            <w:tabs>
              <w:tab w:val="clear" w:pos="7892"/>
              <w:tab w:val="right" w:pos="9026" w:leader="dot"/>
            </w:tabs>
            <w:rPr/>
          </w:pPr>
          <w:hyperlink w:anchor="__RefHeading___Toc1438907_1479056682">
            <w:r>
              <w:rPr>
                <w:webHidden/>
                <w:rStyle w:val="IndexLink"/>
                <w:rtl w:val="true"/>
              </w:rPr>
              <w:t>الطُّرفة الثامنة</w:t>
            </w:r>
            <w:r>
              <w:rPr>
                <w:rStyle w:val="IndexLink"/>
                <w:rtl w:val="true"/>
              </w:rPr>
              <w:t xml:space="preserve">: </w:t>
            </w:r>
            <w:r>
              <w:rPr>
                <w:rStyle w:val="IndexLink"/>
                <w:rtl w:val="true"/>
              </w:rPr>
              <w:t>فی أنّ ترتیب القرآن لیس بترتیب النّزول بل لمناسبات لطیفة</w:t>
            </w:r>
            <w:r>
              <w:rPr>
                <w:rStyle w:val="IndexLink"/>
                <w:rtl w:val="true"/>
              </w:rPr>
              <w:tab/>
            </w:r>
            <w:r>
              <w:rPr>
                <w:rStyle w:val="IndexLink"/>
              </w:rPr>
              <w:t>270</w:t>
            </w:r>
          </w:hyperlink>
        </w:p>
        <w:p>
          <w:pPr>
            <w:pStyle w:val="Contents5"/>
            <w:tabs>
              <w:tab w:val="clear" w:pos="7892"/>
              <w:tab w:val="right" w:pos="9026" w:leader="dot"/>
            </w:tabs>
            <w:rPr/>
          </w:pPr>
          <w:hyperlink w:anchor="__RefHeading___Toc1438909_1479056682">
            <w:r>
              <w:rPr>
                <w:webHidden/>
                <w:rStyle w:val="IndexLink"/>
                <w:rtl w:val="true"/>
              </w:rPr>
              <w:t>الطُّرفة التاسعة</w:t>
            </w:r>
            <w:r>
              <w:rPr>
                <w:rStyle w:val="IndexLink"/>
                <w:rtl w:val="true"/>
              </w:rPr>
              <w:t xml:space="preserve">: </w:t>
            </w:r>
            <w:r>
              <w:rPr>
                <w:rStyle w:val="IndexLink"/>
                <w:rtl w:val="true"/>
              </w:rPr>
              <w:t>فی أسامی الکتاب العزیز ووجه مناسبة تسمیته بالقرآن</w:t>
            </w:r>
            <w:r>
              <w:rPr>
                <w:rStyle w:val="IndexLink"/>
                <w:rtl w:val="true"/>
              </w:rPr>
              <w:tab/>
            </w:r>
            <w:r>
              <w:rPr>
                <w:rStyle w:val="IndexLink"/>
              </w:rPr>
              <w:t>274</w:t>
            </w:r>
          </w:hyperlink>
        </w:p>
        <w:p>
          <w:pPr>
            <w:pStyle w:val="Contents5"/>
            <w:tabs>
              <w:tab w:val="clear" w:pos="7892"/>
              <w:tab w:val="right" w:pos="9026" w:leader="dot"/>
            </w:tabs>
            <w:rPr/>
          </w:pPr>
          <w:hyperlink w:anchor="__RefHeading___Toc1438911_1479056682">
            <w:r>
              <w:rPr>
                <w:webHidden/>
                <w:rStyle w:val="IndexLink"/>
                <w:rtl w:val="true"/>
              </w:rPr>
              <w:t>الطُّرفة العاشرة</w:t>
            </w:r>
            <w:r>
              <w:rPr>
                <w:rStyle w:val="IndexLink"/>
                <w:rtl w:val="true"/>
              </w:rPr>
              <w:t xml:space="preserve">: </w:t>
            </w:r>
            <w:r>
              <w:rPr>
                <w:rStyle w:val="IndexLink"/>
                <w:rtl w:val="true"/>
              </w:rPr>
              <w:t>فی أنّ الکتاب الّذی بأیدینا هو الکتاب المنزل المجموع بأمر النبیّ صلی‌الله‌علیه‌و‌آله</w:t>
            </w:r>
            <w:r>
              <w:rPr>
                <w:rStyle w:val="IndexLink"/>
                <w:rtl w:val="true"/>
              </w:rPr>
              <w:tab/>
            </w:r>
            <w:r>
              <w:rPr>
                <w:rStyle w:val="IndexLink"/>
              </w:rPr>
              <w:t>276</w:t>
            </w:r>
          </w:hyperlink>
        </w:p>
        <w:p>
          <w:pPr>
            <w:pStyle w:val="Contents5"/>
            <w:tabs>
              <w:tab w:val="clear" w:pos="7892"/>
              <w:tab w:val="right" w:pos="9026" w:leader="dot"/>
            </w:tabs>
            <w:rPr/>
          </w:pPr>
          <w:hyperlink w:anchor="__RefHeading___Toc1438913_1479056682">
            <w:r>
              <w:rPr>
                <w:webHidden/>
                <w:rStyle w:val="IndexLink"/>
                <w:rtl w:val="true"/>
              </w:rPr>
              <w:t>الطُّرفة الحادیة عشرة</w:t>
            </w:r>
            <w:r>
              <w:rPr>
                <w:rStyle w:val="IndexLink"/>
                <w:rtl w:val="true"/>
              </w:rPr>
              <w:t xml:space="preserve">: </w:t>
            </w:r>
            <w:r>
              <w:rPr>
                <w:rStyle w:val="IndexLink"/>
                <w:rtl w:val="true"/>
              </w:rPr>
              <w:t>فی عدد سور القرآن وبیان الاختلاف فیه</w:t>
            </w:r>
            <w:r>
              <w:rPr>
                <w:rStyle w:val="IndexLink"/>
                <w:rtl w:val="true"/>
              </w:rPr>
              <w:tab/>
            </w:r>
            <w:r>
              <w:rPr>
                <w:rStyle w:val="IndexLink"/>
              </w:rPr>
              <w:t>290</w:t>
            </w:r>
          </w:hyperlink>
        </w:p>
        <w:p>
          <w:pPr>
            <w:pStyle w:val="Contents5"/>
            <w:tabs>
              <w:tab w:val="clear" w:pos="7892"/>
              <w:tab w:val="right" w:pos="9026" w:leader="dot"/>
            </w:tabs>
            <w:rPr/>
          </w:pPr>
          <w:hyperlink w:anchor="__RefHeading___Toc1438915_1479056682">
            <w:r>
              <w:rPr>
                <w:webHidden/>
                <w:rStyle w:val="IndexLink"/>
                <w:rtl w:val="true"/>
              </w:rPr>
              <w:t>الطُّرفة الثانیة عشرة</w:t>
            </w:r>
            <w:r>
              <w:rPr>
                <w:rStyle w:val="IndexLink"/>
                <w:rtl w:val="true"/>
              </w:rPr>
              <w:t xml:space="preserve">: </w:t>
            </w:r>
            <w:r>
              <w:rPr>
                <w:rStyle w:val="IndexLink"/>
                <w:rtl w:val="true"/>
              </w:rPr>
              <w:t>فی بیان معنی السورة وأنّ اسْمَ کلِّ سورةٍ کان بتوقیفٍ من‌النبیّ صلی‌الله‌علیه‌و‌آله</w:t>
            </w:r>
            <w:r>
              <w:rPr>
                <w:rStyle w:val="IndexLink"/>
                <w:rtl w:val="true"/>
              </w:rPr>
              <w:tab/>
            </w:r>
            <w:r>
              <w:rPr>
                <w:rStyle w:val="IndexLink"/>
              </w:rPr>
              <w:t>293</w:t>
            </w:r>
          </w:hyperlink>
        </w:p>
        <w:p>
          <w:pPr>
            <w:pStyle w:val="Contents5"/>
            <w:tabs>
              <w:tab w:val="clear" w:pos="7892"/>
              <w:tab w:val="right" w:pos="9026" w:leader="dot"/>
            </w:tabs>
            <w:rPr/>
          </w:pPr>
          <w:hyperlink w:anchor="__RefHeading___Toc1438917_1479056682">
            <w:r>
              <w:rPr>
                <w:webHidden/>
                <w:rStyle w:val="IndexLink"/>
                <w:rtl w:val="true"/>
              </w:rPr>
              <w:t>الطُّرفة الثالثة عشرة</w:t>
            </w:r>
            <w:r>
              <w:rPr>
                <w:rStyle w:val="IndexLink"/>
                <w:rtl w:val="true"/>
              </w:rPr>
              <w:t xml:space="preserve">: </w:t>
            </w:r>
            <w:r>
              <w:rPr>
                <w:rStyle w:val="IndexLink"/>
                <w:rtl w:val="true"/>
              </w:rPr>
              <w:t>فی أنّ عدّة سُوَرٍ من القرآن سُمِّیَتْ بالطِّوال وعدّة منها بالمئین وعدّة بالمثانی وعدّة بالمفصّل ووجه التسمیة</w:t>
            </w:r>
            <w:r>
              <w:rPr>
                <w:rStyle w:val="IndexLink"/>
                <w:rtl w:val="true"/>
              </w:rPr>
              <w:tab/>
            </w:r>
            <w:r>
              <w:rPr>
                <w:rStyle w:val="IndexLink"/>
              </w:rPr>
              <w:t>295</w:t>
            </w:r>
          </w:hyperlink>
        </w:p>
        <w:p>
          <w:pPr>
            <w:pStyle w:val="Contents5"/>
            <w:tabs>
              <w:tab w:val="clear" w:pos="7892"/>
              <w:tab w:val="right" w:pos="9026" w:leader="dot"/>
            </w:tabs>
            <w:rPr/>
          </w:pPr>
          <w:hyperlink w:anchor="__RefHeading___Toc1438919_1479056682">
            <w:r>
              <w:rPr>
                <w:webHidden/>
                <w:rStyle w:val="IndexLink"/>
                <w:rtl w:val="true"/>
              </w:rPr>
              <w:t>الطُّرفة الرابعة عشرة</w:t>
            </w:r>
            <w:r>
              <w:rPr>
                <w:rStyle w:val="IndexLink"/>
                <w:rtl w:val="true"/>
              </w:rPr>
              <w:t xml:space="preserve">: </w:t>
            </w:r>
            <w:r>
              <w:rPr>
                <w:rStyle w:val="IndexLink"/>
                <w:rtl w:val="true"/>
              </w:rPr>
              <w:t>فی فوائد تقطیع القرآن سوراً واختلافها فی الطّول والقصر والتّوسّط</w:t>
            </w:r>
            <w:r>
              <w:rPr>
                <w:rStyle w:val="IndexLink"/>
                <w:rtl w:val="true"/>
              </w:rPr>
              <w:tab/>
            </w:r>
            <w:r>
              <w:rPr>
                <w:rStyle w:val="IndexLink"/>
              </w:rPr>
              <w:t>299</w:t>
            </w:r>
          </w:hyperlink>
        </w:p>
        <w:p>
          <w:pPr>
            <w:pStyle w:val="Contents5"/>
            <w:tabs>
              <w:tab w:val="clear" w:pos="7892"/>
              <w:tab w:val="right" w:pos="9026" w:leader="dot"/>
            </w:tabs>
            <w:rPr/>
          </w:pPr>
          <w:hyperlink w:anchor="__RefHeading___Toc1438921_1479056682">
            <w:r>
              <w:rPr>
                <w:webHidden/>
                <w:rStyle w:val="IndexLink"/>
                <w:rtl w:val="true"/>
              </w:rPr>
              <w:t>الطُّرفة الخامسة عشرة</w:t>
            </w:r>
            <w:r>
              <w:rPr>
                <w:rStyle w:val="IndexLink"/>
                <w:rtl w:val="true"/>
              </w:rPr>
              <w:t xml:space="preserve">: </w:t>
            </w:r>
            <w:r>
              <w:rPr>
                <w:rStyle w:val="IndexLink"/>
                <w:rtl w:val="true"/>
              </w:rPr>
              <w:t>فی أنّ البسملة جزء من کلّ سورة بل هی أعظم آیاتها</w:t>
            </w:r>
            <w:r>
              <w:rPr>
                <w:rStyle w:val="IndexLink"/>
                <w:rtl w:val="true"/>
              </w:rPr>
              <w:tab/>
            </w:r>
            <w:r>
              <w:rPr>
                <w:rStyle w:val="IndexLink"/>
              </w:rPr>
              <w:t>301</w:t>
            </w:r>
          </w:hyperlink>
        </w:p>
        <w:p>
          <w:pPr>
            <w:pStyle w:val="Contents5"/>
            <w:tabs>
              <w:tab w:val="clear" w:pos="7892"/>
              <w:tab w:val="right" w:pos="9026" w:leader="dot"/>
            </w:tabs>
            <w:rPr/>
          </w:pPr>
          <w:hyperlink w:anchor="__RefHeading___Toc1438923_1479056682">
            <w:r>
              <w:rPr>
                <w:webHidden/>
                <w:rStyle w:val="IndexLink"/>
                <w:rtl w:val="true"/>
              </w:rPr>
              <w:t>الطُّرفة السادسة عشرة</w:t>
            </w:r>
            <w:r>
              <w:rPr>
                <w:rStyle w:val="IndexLink"/>
                <w:rtl w:val="true"/>
              </w:rPr>
              <w:t xml:space="preserve">: </w:t>
            </w:r>
            <w:r>
              <w:rPr>
                <w:rStyle w:val="IndexLink"/>
                <w:rtl w:val="true"/>
              </w:rPr>
              <w:t>فی أ نّ آیات الکتاب العزیز بین محکمٍ ومتشابهٍ وفی تعریف کلٍّ منهما</w:t>
            </w:r>
            <w:r>
              <w:rPr>
                <w:rStyle w:val="IndexLink"/>
                <w:rtl w:val="true"/>
              </w:rPr>
              <w:tab/>
            </w:r>
            <w:r>
              <w:rPr>
                <w:rStyle w:val="IndexLink"/>
              </w:rPr>
              <w:t>306</w:t>
            </w:r>
          </w:hyperlink>
        </w:p>
        <w:p>
          <w:pPr>
            <w:pStyle w:val="Contents5"/>
            <w:tabs>
              <w:tab w:val="clear" w:pos="7892"/>
              <w:tab w:val="right" w:pos="9026" w:leader="dot"/>
            </w:tabs>
            <w:rPr/>
          </w:pPr>
          <w:hyperlink w:anchor="__RefHeading___Toc1438925_1479056682">
            <w:r>
              <w:rPr>
                <w:webHidden/>
                <w:rStyle w:val="IndexLink"/>
                <w:rtl w:val="true"/>
              </w:rPr>
              <w:t>الطُّرفة السابعة عشرة</w:t>
            </w:r>
            <w:r>
              <w:rPr>
                <w:rStyle w:val="IndexLink"/>
                <w:rtl w:val="true"/>
              </w:rPr>
              <w:t xml:space="preserve">: </w:t>
            </w:r>
            <w:r>
              <w:rPr>
                <w:rStyle w:val="IndexLink"/>
                <w:rtl w:val="true"/>
              </w:rPr>
              <w:t>فی حکم کون کثیر من الآیات متشابهاً وعدم کون جمیعها محکمات</w:t>
            </w:r>
            <w:r>
              <w:rPr>
                <w:rStyle w:val="IndexLink"/>
                <w:rtl w:val="true"/>
              </w:rPr>
              <w:tab/>
            </w:r>
            <w:r>
              <w:rPr>
                <w:rStyle w:val="IndexLink"/>
              </w:rPr>
              <w:t>312</w:t>
            </w:r>
          </w:hyperlink>
        </w:p>
        <w:p>
          <w:pPr>
            <w:pStyle w:val="Contents5"/>
            <w:tabs>
              <w:tab w:val="clear" w:pos="7892"/>
              <w:tab w:val="right" w:pos="9026" w:leader="dot"/>
            </w:tabs>
            <w:rPr/>
          </w:pPr>
          <w:hyperlink w:anchor="__RefHeading___Toc1438927_1479056682">
            <w:r>
              <w:rPr>
                <w:webHidden/>
                <w:rStyle w:val="IndexLink"/>
                <w:rtl w:val="true"/>
              </w:rPr>
              <w:t>الطُّرفة الثامنة عشرة</w:t>
            </w:r>
            <w:r>
              <w:rPr>
                <w:rStyle w:val="IndexLink"/>
                <w:rtl w:val="true"/>
              </w:rPr>
              <w:t xml:space="preserve">: </w:t>
            </w:r>
            <w:r>
              <w:rPr>
                <w:rStyle w:val="IndexLink"/>
                <w:rtl w:val="true"/>
              </w:rPr>
              <w:t>فی أنّ الحروف المقطّعة التی تکون فی أوائل السور من أبین مصادیق المتشابه وبیان المراد منها</w:t>
            </w:r>
            <w:r>
              <w:rPr>
                <w:rStyle w:val="IndexLink"/>
                <w:rtl w:val="true"/>
              </w:rPr>
              <w:tab/>
            </w:r>
            <w:r>
              <w:rPr>
                <w:rStyle w:val="IndexLink"/>
              </w:rPr>
              <w:t>315</w:t>
            </w:r>
          </w:hyperlink>
        </w:p>
        <w:p>
          <w:pPr>
            <w:pStyle w:val="Contents5"/>
            <w:tabs>
              <w:tab w:val="clear" w:pos="7892"/>
              <w:tab w:val="right" w:pos="9026" w:leader="dot"/>
            </w:tabs>
            <w:rPr/>
          </w:pPr>
          <w:hyperlink w:anchor="__RefHeading___Toc1438929_1479056682">
            <w:r>
              <w:rPr>
                <w:webHidden/>
                <w:rStyle w:val="IndexLink"/>
                <w:rtl w:val="true"/>
              </w:rPr>
              <w:t>الطُّرفة التاسعة عشرة</w:t>
            </w:r>
            <w:r>
              <w:rPr>
                <w:rStyle w:val="IndexLink"/>
                <w:rtl w:val="true"/>
              </w:rPr>
              <w:t xml:space="preserve">: </w:t>
            </w:r>
            <w:r>
              <w:rPr>
                <w:rStyle w:val="IndexLink"/>
                <w:rtl w:val="true"/>
              </w:rPr>
              <w:t>فی بیان معنی التفسیر والتأویل وعدم کون بیان المراد من الظاهر تفسیراً منهیّاً عنه واختصاص العلم بالتأویل بالرّاسخین فی العلم</w:t>
            </w:r>
            <w:r>
              <w:rPr>
                <w:rStyle w:val="IndexLink"/>
                <w:rtl w:val="true"/>
              </w:rPr>
              <w:tab/>
            </w:r>
            <w:r>
              <w:rPr>
                <w:rStyle w:val="IndexLink"/>
              </w:rPr>
              <w:t>325</w:t>
            </w:r>
          </w:hyperlink>
        </w:p>
        <w:p>
          <w:pPr>
            <w:pStyle w:val="Contents5"/>
            <w:tabs>
              <w:tab w:val="clear" w:pos="7892"/>
              <w:tab w:val="right" w:pos="9026" w:leader="dot"/>
            </w:tabs>
            <w:rPr/>
          </w:pPr>
          <w:hyperlink w:anchor="__RefHeading___Toc1438931_1479056682">
            <w:r>
              <w:rPr>
                <w:webHidden/>
                <w:rStyle w:val="IndexLink"/>
                <w:rtl w:val="true"/>
              </w:rPr>
              <w:t>الطُّرفة العشرون</w:t>
            </w:r>
            <w:r>
              <w:rPr>
                <w:rStyle w:val="IndexLink"/>
                <w:rtl w:val="true"/>
              </w:rPr>
              <w:t xml:space="preserve">: </w:t>
            </w:r>
            <w:r>
              <w:rPr>
                <w:rStyle w:val="IndexLink"/>
                <w:rtl w:val="true"/>
              </w:rPr>
              <w:t>فی تعریف النسخ وإمکان وقوعه فی أحکام اللّه تعالی وبیان الآیات الناسخة</w:t>
            </w:r>
            <w:r>
              <w:rPr>
                <w:rStyle w:val="IndexLink"/>
                <w:rtl w:val="true"/>
              </w:rPr>
              <w:tab/>
            </w:r>
            <w:r>
              <w:rPr>
                <w:rStyle w:val="IndexLink"/>
              </w:rPr>
              <w:t>331</w:t>
            </w:r>
          </w:hyperlink>
        </w:p>
        <w:p>
          <w:pPr>
            <w:pStyle w:val="Contents5"/>
            <w:tabs>
              <w:tab w:val="clear" w:pos="7892"/>
              <w:tab w:val="right" w:pos="9026" w:leader="dot"/>
            </w:tabs>
            <w:rPr/>
          </w:pPr>
          <w:hyperlink w:anchor="__RefHeading___Toc1438933_1479056682">
            <w:r>
              <w:rPr>
                <w:webHidden/>
                <w:rStyle w:val="IndexLink"/>
                <w:rtl w:val="true"/>
              </w:rPr>
              <w:t>الطُّرفة الحادیة والعشرون</w:t>
            </w:r>
            <w:r>
              <w:rPr>
                <w:rStyle w:val="IndexLink"/>
                <w:rtl w:val="true"/>
              </w:rPr>
              <w:t xml:space="preserve">: </w:t>
            </w:r>
            <w:r>
              <w:rPr>
                <w:rStyle w:val="IndexLink"/>
                <w:rtl w:val="true"/>
              </w:rPr>
              <w:t>فی إبطال عدّ نسخ التلاوة من أقسام النسخ</w:t>
            </w:r>
            <w:r>
              <w:rPr>
                <w:rStyle w:val="IndexLink"/>
                <w:rtl w:val="true"/>
              </w:rPr>
              <w:tab/>
            </w:r>
            <w:r>
              <w:rPr>
                <w:rStyle w:val="IndexLink"/>
              </w:rPr>
              <w:t>342</w:t>
            </w:r>
          </w:hyperlink>
        </w:p>
        <w:p>
          <w:pPr>
            <w:pStyle w:val="Contents5"/>
            <w:tabs>
              <w:tab w:val="clear" w:pos="7892"/>
              <w:tab w:val="right" w:pos="9026" w:leader="dot"/>
            </w:tabs>
            <w:rPr/>
          </w:pPr>
          <w:hyperlink w:anchor="__RefHeading___Toc1438935_1479056682">
            <w:r>
              <w:rPr>
                <w:webHidden/>
                <w:rStyle w:val="IndexLink"/>
                <w:rtl w:val="true"/>
              </w:rPr>
              <w:t>الطُّرفة الثانیة والعشرون</w:t>
            </w:r>
            <w:r>
              <w:rPr>
                <w:rStyle w:val="IndexLink"/>
                <w:rtl w:val="true"/>
              </w:rPr>
              <w:t xml:space="preserve">: </w:t>
            </w:r>
            <w:r>
              <w:rPr>
                <w:rStyle w:val="IndexLink"/>
                <w:rtl w:val="true"/>
              </w:rPr>
              <w:t>فی أنّ للقرآن المجید ظهراً وبطناً وبیان المراد منهما</w:t>
            </w:r>
            <w:r>
              <w:rPr>
                <w:rStyle w:val="IndexLink"/>
                <w:rtl w:val="true"/>
              </w:rPr>
              <w:tab/>
            </w:r>
            <w:r>
              <w:rPr>
                <w:rStyle w:val="IndexLink"/>
              </w:rPr>
              <w:t>344</w:t>
            </w:r>
          </w:hyperlink>
        </w:p>
        <w:p>
          <w:pPr>
            <w:pStyle w:val="Contents5"/>
            <w:tabs>
              <w:tab w:val="clear" w:pos="7892"/>
              <w:tab w:val="right" w:pos="9026" w:leader="dot"/>
            </w:tabs>
            <w:rPr/>
          </w:pPr>
          <w:hyperlink w:anchor="__RefHeading___Toc1438937_1479056682">
            <w:r>
              <w:rPr>
                <w:webHidden/>
                <w:rStyle w:val="IndexLink"/>
                <w:rtl w:val="true"/>
              </w:rPr>
              <w:t>الطُّرفة الثالثة والعشرون</w:t>
            </w:r>
            <w:r>
              <w:rPr>
                <w:rStyle w:val="IndexLink"/>
                <w:rtl w:val="true"/>
              </w:rPr>
              <w:t xml:space="preserve">: </w:t>
            </w:r>
            <w:r>
              <w:rPr>
                <w:rStyle w:val="IndexLink"/>
                <w:rtl w:val="true"/>
              </w:rPr>
              <w:t>فی أنّ جمیع القرآن فی الأئمّة وولایتهم ووجوب اتّباعهم وشؤونهم وشؤون أولیائهم وأعدائهم وتوضیحه</w:t>
            </w:r>
            <w:r>
              <w:rPr>
                <w:rStyle w:val="IndexLink"/>
                <w:rtl w:val="true"/>
              </w:rPr>
              <w:tab/>
            </w:r>
            <w:r>
              <w:rPr>
                <w:rStyle w:val="IndexLink"/>
              </w:rPr>
              <w:t>350</w:t>
            </w:r>
          </w:hyperlink>
        </w:p>
        <w:p>
          <w:pPr>
            <w:pStyle w:val="Contents5"/>
            <w:tabs>
              <w:tab w:val="clear" w:pos="7892"/>
              <w:tab w:val="right" w:pos="9026" w:leader="dot"/>
            </w:tabs>
            <w:rPr/>
          </w:pPr>
          <w:hyperlink w:anchor="__RefHeading___Toc1438939_1479056682">
            <w:r>
              <w:rPr>
                <w:webHidden/>
                <w:rStyle w:val="IndexLink"/>
                <w:rtl w:val="true"/>
              </w:rPr>
              <w:t>الطُّرفة الرابعة والعشرون</w:t>
            </w:r>
            <w:r>
              <w:rPr>
                <w:rStyle w:val="IndexLink"/>
                <w:rtl w:val="true"/>
              </w:rPr>
              <w:t xml:space="preserve">: </w:t>
            </w:r>
            <w:r>
              <w:rPr>
                <w:rStyle w:val="IndexLink"/>
                <w:rtl w:val="true"/>
              </w:rPr>
              <w:t>فی دفع توهّم استلزام اشتمال القرآن علی البطون واستعمال اللّفظ فی أکثر من معنیً</w:t>
            </w:r>
            <w:r>
              <w:rPr>
                <w:rStyle w:val="IndexLink"/>
                <w:rtl w:val="true"/>
              </w:rPr>
              <w:tab/>
            </w:r>
            <w:r>
              <w:rPr>
                <w:rStyle w:val="IndexLink"/>
              </w:rPr>
              <w:t>357</w:t>
            </w:r>
          </w:hyperlink>
        </w:p>
        <w:p>
          <w:pPr>
            <w:pStyle w:val="Contents5"/>
            <w:tabs>
              <w:tab w:val="clear" w:pos="7892"/>
              <w:tab w:val="right" w:pos="9026" w:leader="dot"/>
            </w:tabs>
            <w:rPr/>
          </w:pPr>
          <w:hyperlink w:anchor="__RefHeading___Toc1438941_1479056682">
            <w:r>
              <w:rPr>
                <w:webHidden/>
                <w:rStyle w:val="IndexLink"/>
                <w:rtl w:val="true"/>
              </w:rPr>
              <w:t>الطُّرفة الخامسة والعشرون</w:t>
            </w:r>
            <w:r>
              <w:rPr>
                <w:rStyle w:val="IndexLink"/>
                <w:rtl w:val="true"/>
              </w:rPr>
              <w:t xml:space="preserve">: </w:t>
            </w:r>
            <w:r>
              <w:rPr>
                <w:rStyle w:val="IndexLink"/>
                <w:rtl w:val="true"/>
              </w:rPr>
              <w:t>فی عدم حجیّة الأمارات الدالّة علی تفسیر الآیات الغیر المرتبطة بالأحکام الشّرعیة العملیّة</w:t>
            </w:r>
            <w:r>
              <w:rPr>
                <w:rStyle w:val="IndexLink"/>
                <w:rtl w:val="true"/>
              </w:rPr>
              <w:tab/>
            </w:r>
            <w:r>
              <w:rPr>
                <w:rStyle w:val="IndexLink"/>
              </w:rPr>
              <w:t>359</w:t>
            </w:r>
          </w:hyperlink>
        </w:p>
        <w:p>
          <w:pPr>
            <w:pStyle w:val="Contents5"/>
            <w:tabs>
              <w:tab w:val="clear" w:pos="7892"/>
              <w:tab w:val="right" w:pos="9026" w:leader="dot"/>
            </w:tabs>
            <w:rPr/>
          </w:pPr>
          <w:hyperlink w:anchor="__RefHeading___Toc1438943_1479056682">
            <w:r>
              <w:rPr>
                <w:webHidden/>
                <w:rStyle w:val="IndexLink"/>
                <w:rtl w:val="true"/>
              </w:rPr>
              <w:t>الطُّرفة السادسة والعشرون</w:t>
            </w:r>
            <w:r>
              <w:rPr>
                <w:rStyle w:val="IndexLink"/>
                <w:rtl w:val="true"/>
              </w:rPr>
              <w:t xml:space="preserve">: </w:t>
            </w:r>
            <w:r>
              <w:rPr>
                <w:rStyle w:val="IndexLink"/>
                <w:rtl w:val="true"/>
              </w:rPr>
              <w:t>فی دفع توهّم التناقض والتعارض بین الآیات الکریمة</w:t>
            </w:r>
            <w:r>
              <w:rPr>
                <w:rStyle w:val="IndexLink"/>
                <w:rtl w:val="true"/>
              </w:rPr>
              <w:tab/>
            </w:r>
            <w:r>
              <w:rPr>
                <w:rStyle w:val="IndexLink"/>
              </w:rPr>
              <w:t>361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391_50901"/>
      <w:bookmarkStart w:id="1" w:name="pg4391_50901"/>
      <w:bookmarkEnd w:id="1"/>
    </w:p>
    <w:p>
      <w:pPr>
        <w:pStyle w:val="Heading2"/>
        <w:numPr>
          <w:ilvl w:val="1"/>
          <w:numId w:val="1"/>
        </w:numPr>
        <w:rPr/>
      </w:pPr>
      <w:bookmarkStart w:id="2" w:name="pg4391_50901"/>
      <w:bookmarkStart w:id="3" w:name="__RefHeading___Toc1438585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ترکمانی، حسینعلی</w:t>
      </w:r>
    </w:p>
    <w:p>
      <w:pPr>
        <w:pStyle w:val="BookText"/>
        <w:rPr/>
      </w:pPr>
      <w:r>
        <w:rPr>
          <w:rFonts w:eastAsia="Times New Roman" w:cs="Times New Roman" w:ascii="Times New Roman" w:hAnsi="Times New Roman"/>
          <w:color w:val="111111"/>
          <w:sz w:val="28"/>
          <w:szCs w:val="28"/>
          <w:lang w:val="en-US" w:bidi="en-US"/>
        </w:rPr>
        <w:t>Torkamani, Hossein - Ali</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نقد کتاب نفحات الرحمن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حسینعلی ترکمانی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۴۵۳</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613</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۴۳۹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۴۴۵</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الرحمن فی تفسیر القرآن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محمد،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محمد،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الرحمن فی تفسیر القرآن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۷۰۲۳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۱۷۲۰۲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38587_147905668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تصحیح و نقد مقدمه کتاب</w:t>
      </w:r>
    </w:p>
    <w:p>
      <w:pPr>
        <w:pStyle w:val="BookText"/>
        <w:rPr/>
      </w:pPr>
      <w:r>
        <w:rPr>
          <w:rFonts w:ascii="IRNazanin" w:hAnsi="IRNazanin" w:eastAsia="IRNazanin"/>
          <w:color w:val="111111"/>
          <w:sz w:val="28"/>
          <w:sz w:val="28"/>
          <w:szCs w:val="28"/>
          <w:rtl w:val="true"/>
          <w:lang w:bidi="fa-IR"/>
        </w:rPr>
        <w:t>نفحات الرّحمن فی تفسیر القرآن</w:t>
      </w:r>
    </w:p>
    <w:p>
      <w:pPr>
        <w:pStyle w:val="BookText"/>
        <w:rPr/>
      </w:pPr>
      <w:r>
        <w:rPr>
          <w:rFonts w:ascii="IRNazanin" w:hAnsi="IRNazanin" w:eastAsia="IRNazanin"/>
          <w:color w:val="111111"/>
          <w:sz w:val="28"/>
          <w:sz w:val="28"/>
          <w:szCs w:val="28"/>
          <w:rtl w:val="true"/>
          <w:lang w:bidi="fa-IR"/>
        </w:rPr>
        <w:t>محمّد بن عبدالرّحیم نهاوندی</w:t>
      </w:r>
    </w:p>
    <w:p>
      <w:pPr>
        <w:pStyle w:val="BookText"/>
        <w:rPr/>
      </w:pPr>
      <w:r>
        <w:rPr>
          <w:rFonts w:ascii="IRNazanin" w:hAnsi="IRNazanin" w:eastAsia="IRNazanin"/>
          <w:color w:val="111111"/>
          <w:sz w:val="28"/>
          <w:sz w:val="28"/>
          <w:szCs w:val="28"/>
          <w:rtl w:val="true"/>
          <w:lang w:bidi="fa-IR"/>
        </w:rPr>
        <w:t>تصحیح</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حسینعلی ترکمانی</w:t>
      </w:r>
    </w:p>
    <w:p>
      <w:pPr>
        <w:pStyle w:val="BookText"/>
        <w:rPr/>
      </w:pPr>
      <w:r>
        <w:rPr>
          <w:rFonts w:ascii="IRNazanin" w:hAnsi="IRNazanin" w:eastAsia="IRNazanin"/>
          <w:color w:val="111111"/>
          <w:sz w:val="28"/>
          <w:sz w:val="28"/>
          <w:szCs w:val="28"/>
          <w:rtl w:val="true"/>
          <w:lang w:bidi="fa-IR"/>
        </w:rPr>
        <w:t>ترکمانی، حسینعلی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Torkamani, Hossein Ali</w:t>
      </w:r>
    </w:p>
    <w:p>
      <w:pPr>
        <w:pStyle w:val="BookText"/>
        <w:rPr/>
      </w:pPr>
      <w:r>
        <w:rPr>
          <w:rFonts w:ascii="IRNazanin" w:hAnsi="IRNazanin" w:eastAsia="IRNazanin"/>
          <w:color w:val="111111"/>
          <w:sz w:val="28"/>
          <w:sz w:val="28"/>
          <w:szCs w:val="28"/>
          <w:rtl w:val="true"/>
          <w:lang w:bidi="fa-IR"/>
        </w:rPr>
        <w:t xml:space="preserve">تصحیح و نقد مقدمه کتاب 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حسینعلی ترکمانی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 964-444-613-5</w:t>
      </w:r>
    </w:p>
    <w:p>
      <w:pPr>
        <w:pStyle w:val="BookText"/>
        <w:rPr/>
      </w:pP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433</w:t>
      </w:r>
      <w:r>
        <w:rPr>
          <w:rFonts w:eastAsia="IRNazanin" w:cs="IRNazanin"/>
          <w:color w:val="111111"/>
          <w:sz w:val="28"/>
          <w:szCs w:val="28"/>
          <w:rtl w:val="true"/>
          <w:lang w:bidi="fa-IR"/>
        </w:rPr>
        <w:t xml:space="preserve">] -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نهاوندی، محمد،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نهاوندی، محمد،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الرحمن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نفحات الرحمن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7023</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BP179/297</w:t>
      </w:r>
    </w:p>
    <w:p>
      <w:pPr>
        <w:pStyle w:val="BookText"/>
        <w:rPr/>
      </w:pPr>
      <w:r>
        <w:rPr>
          <w:rFonts w:ascii="IRNazanin" w:hAnsi="IRNazanin" w:eastAsia="IRNazanin"/>
          <w:color w:val="111111"/>
          <w:sz w:val="28"/>
          <w:sz w:val="28"/>
          <w:szCs w:val="28"/>
          <w:rtl w:val="true"/>
          <w:lang w:bidi="fa-IR"/>
        </w:rPr>
        <w:t>کتابخانه ملّی ایران</w:t>
      </w:r>
      <w:r>
        <w:rPr>
          <w:rFonts w:eastAsia="IRNazanin" w:cs="IRNazanin"/>
          <w:color w:val="111111"/>
          <w:sz w:val="28"/>
          <w:szCs w:val="28"/>
          <w:lang w:bidi="fa-IR"/>
        </w:rPr>
        <w:t>17202</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تصحیح و نقد مقدمه کتاب</w:t>
      </w:r>
    </w:p>
    <w:p>
      <w:pPr>
        <w:pStyle w:val="BookText"/>
        <w:rPr/>
      </w:pPr>
      <w:r>
        <w:rPr>
          <w:rFonts w:ascii="IRNazanin" w:hAnsi="IRNazanin" w:eastAsia="IRNazanin"/>
          <w:color w:val="111111"/>
          <w:sz w:val="28"/>
          <w:sz w:val="28"/>
          <w:szCs w:val="28"/>
          <w:rtl w:val="true"/>
          <w:lang w:bidi="fa-IR"/>
        </w:rPr>
        <w:t>نفحات الرحمن فی تفسیر القرآن</w:t>
      </w:r>
    </w:p>
    <w:p>
      <w:pPr>
        <w:pStyle w:val="BookText"/>
        <w:rPr/>
      </w:pPr>
      <w:r>
        <w:rPr>
          <w:rFonts w:ascii="IRNazanin" w:hAnsi="IRNazanin" w:eastAsia="IRNazanin"/>
          <w:color w:val="111111"/>
          <w:sz w:val="28"/>
          <w:sz w:val="28"/>
          <w:szCs w:val="28"/>
          <w:rtl w:val="true"/>
          <w:lang w:bidi="fa-IR"/>
        </w:rPr>
        <w:t>محمد بن عبدالرحیم نهاوندی</w:t>
      </w:r>
    </w:p>
    <w:p>
      <w:pPr>
        <w:pStyle w:val="BookText"/>
        <w:rPr/>
      </w:pP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حسینعلی ترکمانی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سیدجلال قیامی میرحسینی</w:t>
      </w:r>
    </w:p>
    <w:p>
      <w:pPr>
        <w:pStyle w:val="BookText"/>
        <w:rPr/>
      </w:pPr>
      <w:r>
        <w:rPr>
          <w:rFonts w:ascii="IRNazanin" w:hAnsi="IRNazanin" w:eastAsia="IRNazanin"/>
          <w:color w:val="111111"/>
          <w:sz w:val="28"/>
          <w:sz w:val="28"/>
          <w:szCs w:val="28"/>
          <w:rtl w:val="true"/>
          <w:lang w:bidi="fa-IR"/>
        </w:rPr>
        <w:t>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قدس</w:t>
      </w:r>
    </w:p>
    <w:p>
      <w:pPr>
        <w:pStyle w:val="BookText"/>
        <w:rPr/>
      </w:pPr>
      <w:r>
        <w:rPr>
          <w:rFonts w:ascii="IRNazanin" w:hAnsi="IRNazanin" w:eastAsia="IRNazanin"/>
          <w:color w:val="111111"/>
          <w:sz w:val="28"/>
          <w:sz w:val="28"/>
          <w:szCs w:val="28"/>
          <w:rtl w:val="true"/>
          <w:lang w:bidi="fa-IR"/>
        </w:rPr>
        <w:t xml:space="preserve">چاپ یکم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بنیاد پژوهشهای اسلامی، صندوق پستی </w:t>
      </w:r>
      <w:r>
        <w:rPr>
          <w:rFonts w:eastAsia="IRNazanin" w:cs="IRNazanin"/>
          <w:color w:val="111111"/>
          <w:sz w:val="28"/>
          <w:szCs w:val="28"/>
          <w:lang w:bidi="fa-IR"/>
        </w:rPr>
        <w:t>366</w:t>
      </w:r>
      <w:r>
        <w:rPr>
          <w:rFonts w:eastAsia="IRNazanin" w:cs="IRNazanin"/>
          <w:color w:val="111111"/>
          <w:sz w:val="28"/>
          <w:szCs w:val="28"/>
          <w:rtl w:val="true"/>
          <w:lang w:bidi="fa-IR"/>
        </w:rPr>
        <w:t xml:space="preserve"> - </w:t>
      </w:r>
      <w:r>
        <w:rPr>
          <w:rFonts w:eastAsia="IRNazanin" w:cs="IRNazanin"/>
          <w:color w:val="111111"/>
          <w:sz w:val="28"/>
          <w:szCs w:val="28"/>
          <w:lang w:bidi="fa-IR"/>
        </w:rPr>
        <w:t>91735</w:t>
      </w:r>
    </w:p>
    <w:p>
      <w:pPr>
        <w:pStyle w:val="BookText"/>
        <w:rPr/>
      </w:pPr>
      <w:r>
        <w:rPr>
          <w:rFonts w:ascii="IRNazanin" w:hAnsi="IRNazanin" w:eastAsia="IRNazanin"/>
          <w:color w:val="111111"/>
          <w:sz w:val="28"/>
          <w:sz w:val="28"/>
          <w:szCs w:val="28"/>
          <w:rtl w:val="true"/>
          <w:lang w:bidi="fa-IR"/>
        </w:rPr>
        <w:t>تلفن و دورنگار واحد فروش بنیاد پژوهشهای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2230803</w:t>
      </w:r>
    </w:p>
    <w:p>
      <w:pPr>
        <w:pStyle w:val="BookText"/>
        <w:rPr/>
      </w:pPr>
      <w:r>
        <w:rPr>
          <w:rFonts w:ascii="IRNazanin" w:hAnsi="IRNazanin" w:eastAsia="IRNazanin"/>
          <w:color w:val="111111"/>
          <w:sz w:val="28"/>
          <w:sz w:val="28"/>
          <w:szCs w:val="28"/>
          <w:rtl w:val="true"/>
          <w:lang w:bidi="fa-IR"/>
        </w:rPr>
        <w:t>فروشگاه‌های کتاب بنیاد پژوهشهای اسلامی، مشهد</w:t>
      </w:r>
      <w:r>
        <w:rPr>
          <w:rFonts w:eastAsia="IRNazanin" w:cs="IRNazanin"/>
          <w:color w:val="111111"/>
          <w:sz w:val="28"/>
          <w:szCs w:val="28"/>
          <w:rtl w:val="true"/>
          <w:lang w:bidi="fa-IR"/>
        </w:rPr>
        <w:t xml:space="preserve">: </w:t>
      </w:r>
      <w:r>
        <w:rPr>
          <w:rFonts w:eastAsia="IRNazanin" w:cs="IRNazanin"/>
          <w:color w:val="111111"/>
          <w:sz w:val="28"/>
          <w:szCs w:val="28"/>
          <w:lang w:bidi="fa-IR"/>
        </w:rPr>
        <w:t>2233923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eastAsia="IRNazanin" w:cs="IRNazanin"/>
          <w:color w:val="111111"/>
          <w:sz w:val="28"/>
          <w:szCs w:val="28"/>
          <w:lang w:bidi="fa-IR"/>
        </w:rPr>
        <w:t>7733029</w:t>
      </w:r>
    </w:p>
    <w:p>
      <w:pPr>
        <w:pStyle w:val="BookText"/>
        <w:rPr/>
      </w:pPr>
      <w:r>
        <w:rPr>
          <w:rFonts w:ascii="IRNazanin" w:hAnsi="IRNazanin" w:eastAsia="IRNazanin"/>
          <w:color w:val="111111"/>
          <w:sz w:val="28"/>
          <w:sz w:val="28"/>
          <w:szCs w:val="28"/>
          <w:rtl w:val="true"/>
          <w:lang w:bidi="fa-IR"/>
        </w:rPr>
        <w:t xml:space="preserve">شرکت به نشر، دفتر مرکزی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8511136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دورنگار </w:t>
      </w:r>
      <w:r>
        <w:rPr>
          <w:rFonts w:eastAsia="IRNazanin" w:cs="IRNazanin"/>
          <w:color w:val="111111"/>
          <w:sz w:val="28"/>
          <w:szCs w:val="28"/>
          <w:lang w:bidi="fa-IR"/>
        </w:rPr>
        <w:t>8515560</w:t>
      </w:r>
    </w:p>
    <w:p>
      <w:pPr>
        <w:pStyle w:val="BookText"/>
        <w:rPr/>
      </w:pPr>
      <w:r>
        <w:rPr>
          <w:rFonts w:eastAsia="Times New Roman" w:cs="Times New Roman" w:ascii="Times New Roman" w:hAnsi="Times New Roman"/>
          <w:color w:val="111111"/>
          <w:sz w:val="28"/>
          <w:szCs w:val="28"/>
          <w:lang w:val="en-US" w:bidi="en-US"/>
        </w:rPr>
        <w:t>Web Site: www.islamic-rf.org E-mail:info@islamic-rf.org</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چاپ محفوظ است</w:t>
      </w:r>
      <w:bookmarkStart w:id="7" w:name="pg4391_50905"/>
    </w:p>
    <w:p>
      <w:pPr>
        <w:pStyle w:val="Heading2"/>
        <w:numPr>
          <w:ilvl w:val="1"/>
          <w:numId w:val="1"/>
        </w:numPr>
        <w:rPr/>
      </w:pPr>
      <w:bookmarkStart w:id="8" w:name="__RefHeading___Toc1438589_1479056682"/>
      <w:bookmarkStart w:id="9" w:name="_Toc3"/>
      <w:bookmarkEnd w:id="7"/>
      <w:bookmarkEnd w:id="8"/>
      <w:r>
        <w:rPr>
          <w:rtl w:val="true"/>
        </w:rPr>
        <w:t>فهرست اجمالی مطالب</w:t>
      </w:r>
      <w:bookmarkEnd w:id="9"/>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بخش اوّل</w:t>
      </w:r>
    </w:p>
    <w:p>
      <w:pPr>
        <w:pStyle w:val="BookText"/>
        <w:rPr/>
      </w:pPr>
      <w:r>
        <w:rPr>
          <w:rFonts w:ascii="IRNazanin" w:hAnsi="IRNazanin" w:eastAsia="IRNazanin"/>
          <w:color w:val="111111"/>
          <w:sz w:val="28"/>
          <w:sz w:val="28"/>
          <w:szCs w:val="28"/>
          <w:rtl w:val="true"/>
          <w:lang w:bidi="fa-IR"/>
        </w:rPr>
        <w:t>باب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شناسایی مفسّر و کتاب نفحات الرّحمن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فصل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حال مفسّر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فصل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کلّی تفسیر نفحات الرّحمن در یک نگاه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فصل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مقدّمه نفحات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فصل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تفسیری نفحات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فصل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کتاب‌شناسی تفسیر نفحات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باب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حقّانیت قرآن در نفحات الرّحمن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فصل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قرآن از نگاه 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فصل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حقّانیت قرآن از نگاه نهاوندی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فصل 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صفات و ویژگی‌های قرآن از نگاه نهاوندی </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فصل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آیه بودن بسمله از نگاه 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برخی آرای تفسیری نفحات الرّحمن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فصل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پاره‌ای از آرای تفسیری 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گزارش امامت و ولایت در تفسیر نفحات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تفسیری نفحات الرّحمن فی تفسیر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فصل 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تفسیری نهاوندی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فصل سیزدهم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سور در نفحات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 xml:space="preserve">فصل چهاردهم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نزول در نفحات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فصل پانزدهم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مبهمات قرآن در نفحات 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مقدّمة نفحات الرّحمن فی تفسیر القرآن و تبیین الفرقان </w:t>
      </w:r>
      <w:r>
        <w:rPr>
          <w:rFonts w:eastAsia="IRNazanin" w:cs="IRNazanin"/>
          <w:color w:val="111111"/>
          <w:sz w:val="28"/>
          <w:szCs w:val="28"/>
          <w:rtl w:val="true"/>
          <w:lang w:bidi="fa-IR"/>
        </w:rPr>
        <w:t>(</w:t>
      </w:r>
      <w:r>
        <w:rPr>
          <w:rFonts w:eastAsia="IRNazanin" w:cs="IRNazanin"/>
          <w:color w:val="111111"/>
          <w:sz w:val="28"/>
          <w:szCs w:val="28"/>
          <w:lang w:bidi="fa-IR"/>
        </w:rPr>
        <w:t>432</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فهرست تفصیلی مطالب</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فهرست کتابها</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فهرست مکانها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قبایل، فرقه‌ها، ایّام</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bookmarkStart w:id="10" w:name="pg4391_50907"/>
    </w:p>
    <w:p>
      <w:pPr>
        <w:pStyle w:val="Heading2"/>
        <w:numPr>
          <w:ilvl w:val="1"/>
          <w:numId w:val="1"/>
        </w:numPr>
        <w:rPr/>
      </w:pPr>
      <w:bookmarkStart w:id="11" w:name="__RefHeading___Toc1438591_1479056682"/>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عالمان و دانشمندان شیعی در طول تاریخ پرمخاطره خود همواره تمام تلاش و همت را بر حفظ دست آوردهای مکتب تشیع گمارده و در ارائه نظرات حقه آن از هیچ کوششی فروگذار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ذره ذره سوختند تا شمع آیه آیه قرآن را روشن نگاه دارند و با بهره‌گیری از روایات</w:t>
      </w:r>
    </w:p>
    <w:p>
      <w:pPr>
        <w:pStyle w:val="BookText"/>
        <w:rPr/>
      </w:pPr>
      <w:r>
        <w:rPr>
          <w:rFonts w:ascii="IRNazanin" w:hAnsi="IRNazanin" w:eastAsia="IRNazanin"/>
          <w:color w:val="111111"/>
          <w:sz w:val="28"/>
          <w:sz w:val="28"/>
          <w:szCs w:val="28"/>
          <w:rtl w:val="true"/>
          <w:lang w:bidi="fa-IR"/>
        </w:rPr>
        <w:t>اهل البیت علیهم‌السلاممسیر پرفراز و نشیب تفسیرنگاری را از آغاز نزول پیام آسمانی تاکنون طی نموده تا چراغ پرفروغ قرآن کریم را به دست نسلهای آینده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درخشندگی قرآن همه را مجذوب خود کرده بود و سیمای منوّر و مقدس پیامبر اکرم صلی‌الله‌علیه‌و‌آلهتفسیر عینی آن بود اما رفته رفته با غروب خورشید نبوت و به حاشیه راندن ثقل اکبر، یعنی امامت و ولایت که مفسران واقعی قرآن بودند، پرسشهایی از این کتاب آسمانی ذهن مسلمانان را به خود مشغول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آشنایی با مکاتب و تمدنهای جدید از طرفی و ورود</w:t>
      </w:r>
    </w:p>
    <w:p>
      <w:pPr>
        <w:pStyle w:val="BookText"/>
        <w:rPr/>
      </w:pPr>
      <w:r>
        <w:rPr>
          <w:rFonts w:ascii="IRNazanin" w:hAnsi="IRNazanin" w:eastAsia="IRNazanin"/>
          <w:color w:val="111111"/>
          <w:sz w:val="28"/>
          <w:sz w:val="28"/>
          <w:szCs w:val="28"/>
          <w:rtl w:val="true"/>
          <w:lang w:bidi="fa-IR"/>
        </w:rPr>
        <w:t>علوم مختلف بلاد دیگر از سویی و شبهه افکنی دشمنان، نیاز به تفسیر را بیش از پیش در میان متفکران اسلامی ضروری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اجتهادات قرآنی از قبیل ارجاع آیات به روایات، روایات به آیات، عرضه متشابهات به محکمات و مقیدات بر مطلقات و نقش آفرینی عقل در کنار کتاب و</w:t>
      </w:r>
    </w:p>
    <w:p>
      <w:pPr>
        <w:pStyle w:val="BookText"/>
        <w:rPr/>
      </w:pPr>
      <w:r>
        <w:rPr>
          <w:rFonts w:ascii="IRNazanin" w:hAnsi="IRNazanin" w:eastAsia="IRNazanin"/>
          <w:color w:val="111111"/>
          <w:sz w:val="28"/>
          <w:sz w:val="28"/>
          <w:szCs w:val="28"/>
          <w:rtl w:val="true"/>
          <w:lang w:bidi="fa-IR"/>
        </w:rPr>
        <w:t>سنت، امتناع از قبول غیر نقادانه تفسیر آیات، همه و همه موجب پیدایش و ابداء مکاتب مختلف تفسیری با روشها و متدهای متنوع شد تا آنجا که تحول عظیمی از حیث کمیّت و کیفیّت در تبیین آیات پرعظمت قرآن کریم ایجاد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طول اعصار مختلف، اکثر حکومتهای اسلامی اهل تسنن بوده و از حمایتهای مالی و حکومتی برخوردار بودند، قدرت نشر و تبلیغ تفاسیر و دیدگاههای قرآنی خود را داشتند</w:t>
      </w:r>
    </w:p>
    <w:p>
      <w:pPr>
        <w:pStyle w:val="BookText"/>
        <w:rPr/>
      </w:pPr>
      <w:r>
        <w:rPr>
          <w:rFonts w:ascii="IRNazanin" w:hAnsi="IRNazanin" w:eastAsia="IRNazanin"/>
          <w:color w:val="111111"/>
          <w:sz w:val="28"/>
          <w:sz w:val="28"/>
          <w:szCs w:val="28"/>
          <w:rtl w:val="true"/>
          <w:lang w:bidi="fa-IR"/>
        </w:rPr>
        <w:t>و تفاسیری حجیم و قطور به بازار دانشوران و متخصصان ارائه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اهمیت و ضرورت تفسیرنگاری علماء شیعه روز به روز روشن‌تر گردید و مجاهدان وارسته و عالمان از خود گذشته‌ای را طلب می‌کرد که این رسالت بزرگ را به دوش کشیده و</w:t>
      </w:r>
    </w:p>
    <w:p>
      <w:pPr>
        <w:pStyle w:val="BookText"/>
        <w:rPr/>
      </w:pPr>
      <w:r>
        <w:rPr>
          <w:rFonts w:ascii="IRNazanin" w:hAnsi="IRNazanin" w:eastAsia="IRNazanin"/>
          <w:color w:val="111111"/>
          <w:sz w:val="28"/>
          <w:sz w:val="28"/>
          <w:szCs w:val="28"/>
          <w:rtl w:val="true"/>
          <w:lang w:bidi="fa-IR"/>
        </w:rPr>
        <w:t>عمری را در این راه سپری نمایند تا نظرات علماء و دانشمندان شیعی را به جامعه حق طلب و حقیقت جو عرضه نمایند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زمره چنین عالمان ربانی و مفسران قرآنی مرحوم آیت اللّه حاج شیخ محمد نهاوندی است که آستین همت بالا زد، با کهولت وکبار سن پس از طی مراحل عالیه دینی و اجتهادی و احاطه بر علوم عقلی و نقلی قریب به چهار سال تفسیر کل قرآن کریم را در دو بخش فارسی و عربی با</w:t>
      </w:r>
    </w:p>
    <w:p>
      <w:pPr>
        <w:pStyle w:val="BookText"/>
        <w:rPr/>
      </w:pPr>
      <w:r>
        <w:rPr>
          <w:rFonts w:ascii="IRNazanin" w:hAnsi="IRNazanin" w:eastAsia="IRNazanin"/>
          <w:color w:val="111111"/>
          <w:sz w:val="28"/>
          <w:sz w:val="28"/>
          <w:szCs w:val="28"/>
          <w:rtl w:val="true"/>
          <w:lang w:bidi="fa-IR"/>
        </w:rPr>
        <w:t>استفاده از احادیث و روایات اهل البیت علیهم‌السلام در اختیار دانشوران و قرآن پژوهان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ابتلاء و امتحان الهی دامن‌گیر ایشان شد و در یک آتش سوزی ناگهانی، دست نوشته‌ها و کتابخانه بزرگ ایشان آماج شعله‌های آتش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که حافظ قرآن بود با شوق درونی و انس دیرینه‌اش با آیات نورانی قرآن و توکل به قدرت لایزال الهی و توسل به ائمه نور، نزدیک به سه سال و نیم دیگر آنچه توانست جمع‌آوری نمود و دوره جدیدی را نگارش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تذکر این</w:t>
      </w:r>
    </w:p>
    <w:p>
      <w:pPr>
        <w:pStyle w:val="BookText"/>
        <w:rPr/>
      </w:pPr>
      <w:r>
        <w:rPr>
          <w:rFonts w:ascii="IRNazanin" w:hAnsi="IRNazanin" w:eastAsia="IRNazanin"/>
          <w:color w:val="111111"/>
          <w:sz w:val="28"/>
          <w:sz w:val="28"/>
          <w:szCs w:val="28"/>
          <w:rtl w:val="true"/>
          <w:lang w:bidi="fa-IR"/>
        </w:rPr>
        <w:t>نکته خالی از لطف نیست که همواره نقد کتابهای علمی و تخصصی نیازمند اطلاع از شرایط زندگی فردی و اجتماعی نگارنده و آگاهی از حوادث، اتفاقات و نیازهای آن روزگار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با توجه به حرکت بزرگ تقریب بین مذاهب که در دنیای اسلام آن روز شروع شده بود و توصیه‌های مؤکدی که زعیم بزرگ شیعه حضرت آیت اللّه العظمی بروجردی در این رابطه</w:t>
      </w:r>
    </w:p>
    <w:p>
      <w:pPr>
        <w:pStyle w:val="BookText"/>
        <w:rPr/>
      </w:pPr>
      <w:r>
        <w:rPr>
          <w:rFonts w:ascii="IRNazanin" w:hAnsi="IRNazanin" w:eastAsia="IRNazanin"/>
          <w:color w:val="111111"/>
          <w:sz w:val="28"/>
          <w:sz w:val="28"/>
          <w:szCs w:val="28"/>
          <w:rtl w:val="true"/>
          <w:lang w:bidi="fa-IR"/>
        </w:rPr>
        <w:t>داشتند، علماء را بر آن داشت که با حفظ اصول و مبانی شیعه از کتب دانشمندان اهل تسنن</w:t>
      </w:r>
    </w:p>
    <w:p>
      <w:pPr>
        <w:pStyle w:val="BookText"/>
        <w:rPr/>
      </w:pPr>
      <w:r>
        <w:rPr>
          <w:rFonts w:ascii="IRNazanin" w:hAnsi="IRNazanin" w:eastAsia="IRNazanin"/>
          <w:color w:val="111111"/>
          <w:sz w:val="28"/>
          <w:sz w:val="28"/>
          <w:szCs w:val="28"/>
          <w:rtl w:val="true"/>
          <w:lang w:bidi="fa-IR"/>
        </w:rPr>
        <w:t>استفاده نموده و مؤیداتی را برای مکتب تشیع به ارمغان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میان می‌توان به تلاش مخلصانه و خستگی‌ناپذیر بزرگ مرزبان ولایت علوی علامه امینی در نگارش کتاب الغدیر اشاره</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محمد نهاوندی معطوف به چنین رویکردی و با توصیه‌های مؤکد به این امر</w:t>
      </w:r>
    </w:p>
    <w:p>
      <w:pPr>
        <w:pStyle w:val="BookText"/>
        <w:rPr/>
      </w:pPr>
      <w:r>
        <w:rPr>
          <w:rFonts w:ascii="IRNazanin" w:hAnsi="IRNazanin" w:eastAsia="IRNazanin"/>
          <w:color w:val="111111"/>
          <w:sz w:val="28"/>
          <w:sz w:val="28"/>
          <w:szCs w:val="28"/>
          <w:rtl w:val="true"/>
          <w:lang w:bidi="fa-IR"/>
        </w:rPr>
        <w:t xml:space="preserve">در بخش تفسیر همت گمارد و با منابع محدودی که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وپس از آتش‌سوزی اتفاق</w:t>
      </w:r>
    </w:p>
    <w:p>
      <w:pPr>
        <w:pStyle w:val="BookText"/>
        <w:rPr/>
      </w:pPr>
      <w:r>
        <w:rPr>
          <w:rFonts w:ascii="IRNazanin" w:hAnsi="IRNazanin" w:eastAsia="IRNazanin"/>
          <w:color w:val="111111"/>
          <w:sz w:val="28"/>
          <w:sz w:val="28"/>
          <w:szCs w:val="28"/>
          <w:rtl w:val="true"/>
          <w:lang w:bidi="fa-IR"/>
        </w:rPr>
        <w:t>افتاد از عهده آن رسالت بزرگ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فرزند آیت اللّه عبدالرحیم نهاوندی و از اکابر تلامذه آیات عظام آخوند خراسانی، محمد تقی شیرازی و دیگر علماء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چکامه تنها بهانه‌ای برای تشکر و تقدیر از فاضل ارجمند آقای دکتر ترکمانی بود که به نقد تفسیر و تصحیح مقدمه‌کتاب نفحات الرحمن</w:t>
      </w:r>
    </w:p>
    <w:p>
      <w:pPr>
        <w:pStyle w:val="BookText"/>
        <w:rPr/>
      </w:pPr>
      <w:r>
        <w:rPr>
          <w:rFonts w:ascii="IRNazanin" w:hAnsi="IRNazanin" w:eastAsia="IRNazanin"/>
          <w:color w:val="111111"/>
          <w:sz w:val="28"/>
          <w:sz w:val="28"/>
          <w:szCs w:val="28"/>
          <w:rtl w:val="true"/>
          <w:lang w:bidi="fa-IR"/>
        </w:rPr>
        <w:t>فی تفسیر القرآن و تبیین الفرقان اهتمام ورزیده و به زیبایی از عهده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وظیفه خود می‌دانم از بنیاد پژوهشهای اسلامی آستان قدس رضوی به خاطر احیاء و نشر این اثر ارزنده</w:t>
      </w:r>
    </w:p>
    <w:p>
      <w:pPr>
        <w:pStyle w:val="BookText"/>
        <w:rPr/>
      </w:pPr>
      <w:r>
        <w:rPr>
          <w:rFonts w:ascii="IRNazanin" w:hAnsi="IRNazanin" w:eastAsia="IRNazanin"/>
          <w:color w:val="111111"/>
          <w:sz w:val="28"/>
          <w:sz w:val="28"/>
          <w:szCs w:val="28"/>
          <w:rtl w:val="true"/>
          <w:lang w:bidi="fa-IR"/>
        </w:rPr>
        <w:t>نهایت امتنان و سپاس خود را ابراز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بخش عربی تفسیر هم اکنون در دست تحقیق و تصحیح مؤسسه بعثت قرار گرفته که در ده جلد آماده چاپ است و با عنایت علماء مشهد مقدس، تحقیق قسمت فارسی آن</w:t>
      </w:r>
    </w:p>
    <w:p>
      <w:pPr>
        <w:pStyle w:val="BookText"/>
        <w:rPr/>
      </w:pP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آگاهی قرآن پژوهان گرامی که خواهان تحقیق و بررسی بیشتر پیرامون دیدگاههای علوم قرآنی معظم له می‌باشند می‌رسانیم نظرات ایشان در کتاب علوم القرآن عندالمفسرین در سه جلد به وسیله مرکز الثقافة والمعارف القرآنیة تألیف و از سوی نشر مکتب الاعلام الاسلامی</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سعیکم مشکور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نهاوندی</w:t>
      </w:r>
      <w:bookmarkStart w:id="13" w:name="pg4391_50909"/>
    </w:p>
    <w:p>
      <w:pPr>
        <w:pStyle w:val="Heading2"/>
        <w:numPr>
          <w:ilvl w:val="1"/>
          <w:numId w:val="1"/>
        </w:numPr>
        <w:rPr/>
      </w:pPr>
      <w:bookmarkStart w:id="14" w:name="__RefHeading___Toc1438593_1479056682"/>
      <w:bookmarkStart w:id="15" w:name="_Toc5"/>
      <w:bookmarkEnd w:id="13"/>
      <w:bookmarkEnd w:id="14"/>
      <w:r>
        <w:rPr>
          <w:rtl w:val="true"/>
        </w:rPr>
        <w:t>مقدمه</w:t>
      </w:r>
      <w:bookmarkEnd w:id="15"/>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کتاب حاضر، تصحیح و نقد یکی از آثار قرآن پژوهی تشیّع است در قرن چهاردهم قمری یعنی نفحات الرّحمن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موضوع، از جهات گوناگون می‌تواند مفید باشد؛ اولاً، خدمتی است به گسترش علوم قرآنی و ثانیا، می‌تواند گامی در راستای احیای تفاسیر شیعی باشد و ثالثا، به زنده ساختن آثار دانشمندان همدانی یاری برساند و در نهایت، به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آشنایی من با این کتاب ابتدا در کتابخانه دانشکده الهیات و معارف اسلامی طی گفت‌وگو با یکی از دوستان حاصل گردید و فقدان مجلّدات دیگر این کتاب در آن کتابخانه، مرا بر آن داشت تا به مراکز فرهنگی دیگر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کلیه کتابخانه‌های معتبر تهران از جمله کتابخانه مرکزی دانشگاه تهران، کتابخانه ملّی، کتابخانه مرکز اسناد مجلس شورای اسلامی و کتابخانه مسجد جامع چهل‌ستون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به کتابخانه‌های معتبر و شهرهای مقدّس قم و مشهد، به ویژه کتابخانه آیه‌اللّه مرعشی نجفی و آستان قدس رضوی مراجعه کرده، علاوه بر بازنگری فهرست نسخ</w:t>
      </w:r>
    </w:p>
    <w:p>
      <w:pPr>
        <w:pStyle w:val="BookText"/>
        <w:rPr/>
      </w:pPr>
      <w:r>
        <w:rPr>
          <w:rFonts w:ascii="IRNazanin" w:hAnsi="IRNazanin" w:eastAsia="IRNazanin"/>
          <w:color w:val="111111"/>
          <w:sz w:val="28"/>
          <w:sz w:val="28"/>
          <w:szCs w:val="28"/>
          <w:rtl w:val="true"/>
          <w:lang w:bidi="fa-IR"/>
        </w:rPr>
        <w:t>خطّی این کتابخانه‌ها، با مسؤولین و کارشناسان این مراکز به بحث و گفت و گو پرداختم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مرحله سوم با تنی چند از قرآنپژوهان و حدیث‌شناسان و معمّرین مذاکره کردم تا</w:t>
      </w:r>
    </w:p>
    <w:p>
      <w:pPr>
        <w:pStyle w:val="BookText"/>
        <w:rPr/>
      </w:pPr>
      <w:r>
        <w:rPr>
          <w:rFonts w:ascii="IRNazanin" w:hAnsi="IRNazanin" w:eastAsia="IRNazanin"/>
          <w:color w:val="111111"/>
          <w:sz w:val="28"/>
          <w:sz w:val="28"/>
          <w:szCs w:val="28"/>
          <w:rtl w:val="true"/>
          <w:lang w:bidi="fa-IR"/>
        </w:rPr>
        <w:t>از آرای آنان در پیرامون تفسیر نفحات الرّحمن فی تفسیر القرآن و مفسّر آن آگاه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همه، متأسّفانه هیچ نسخه خطّی از این کتاب یافت نشد و نظر به این که هر چهار مجلّد آن در زمان حیات مفسّر و با نظارت ایشان به چاپ رسیده و پس از آن هرگز تجدیدچاپ نشده است، نخستین نسخه این کتاب را که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چاپ سنگی در آمده، نسخه اصلی گرفتم و کار را آغاز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اصلی در این تحقیق، شیوه کتابخانه‌ای است با تکیه بر منابع دست اوّل تفسیر، لغت، حدیث و رجال؛ مثلاً تکیه‌ام در مباحث لغت‌شناسی به آرای لغویون معتبری چون ابن فارس، راغب اصفهانی، طریحی و ابن منظور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وجود منابع متقدّم، اصراری بر مراجعه به منابع متأخّر جز در موارد ضرور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قرآن پژوهان متأخّر، به آرای فکری فیض کاشانی، سیّد</w:t>
      </w:r>
    </w:p>
    <w:p>
      <w:pPr>
        <w:pStyle w:val="BookText"/>
        <w:rPr/>
      </w:pPr>
      <w:r>
        <w:rPr>
          <w:rFonts w:ascii="IRNazanin" w:hAnsi="IRNazanin" w:eastAsia="IRNazanin"/>
          <w:color w:val="111111"/>
          <w:sz w:val="28"/>
          <w:sz w:val="28"/>
          <w:szCs w:val="28"/>
          <w:rtl w:val="true"/>
          <w:lang w:bidi="fa-IR"/>
        </w:rPr>
        <w:t>هاشم بحرانی، محمود آلوسی، سیّد عبداللّه شبّر، رشید رضا، موسوی خوئی و سیّد محمّدحسین طباطبائی استناد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بخش علوم قرآنی، آرا و عقاید زرکشی و سیوطی، به نقد و تحلیل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تحقیق در چهار مرحله اصلی و چندین مرحله فرعی انجام پذیرفته است، مراحل اصلی آن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چاپ سنگی مقدّمه تفسیر نفحات الرّحمن فی تفسیر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امر چنین تصوّر می‌شد که نظر به نظارت مفسّر در چاپ نسخه سنگی و معاصر بودن مفسّر، کتاب از اغلاط کمی برخوردار باشد، امّا دقت در متن آن، لزوم بازنگری و تصحیح سرتاسر متن کتاب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تصحیحاتی که بر مقدّمه این کتاب صورت گرفت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اغلاط در متن آیات و روایات و الفاظ، براساس منابع موثّق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تصحیح تصحیفات موجود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اصلاح نوشتاری عبارات و درج نشانه‌های سجاوندی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مرحله تصحیح، به تحقیق در عبارات و محتوای کتاب پرداختم و پس از نقد و بررسی اقوال و آرای مندرج در کتاب، درستی یا نادرستی آنها</w:t>
      </w:r>
    </w:p>
    <w:p>
      <w:pPr>
        <w:pStyle w:val="BookText"/>
        <w:rPr/>
      </w:pPr>
      <w:r>
        <w:rPr>
          <w:rFonts w:ascii="IRNazanin" w:hAnsi="IRNazanin" w:eastAsia="IRNazanin"/>
          <w:color w:val="111111"/>
          <w:sz w:val="28"/>
          <w:sz w:val="28"/>
          <w:szCs w:val="28"/>
          <w:rtl w:val="true"/>
          <w:lang w:bidi="fa-IR"/>
        </w:rPr>
        <w:t>مورد قضاوت قرار گرفت و به منظور سهولت پژوهش و مراجعه به آن، تسهیلاتی فراهم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تحقیقات انجام شده در این بخش عبارت‌اند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اسماء، اعلام، مفردات و اصطلاحات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استخراج تخریج منابع روایات و اقوال و سُنَن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نشانی آیات و سوره‌ها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بررسی اقوال و آرای شیخ محمّد نهاوندی در زمینه‌های مختلف قرآن شناسی، تفسیر، حدیث، و دفاع از آرای مقبول و جرح آرای نامقبول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انتساب و ربط نظریّات مجهول و معلّق به صاحبان اصلی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اِعراب و اَشکال آیات، اعلام و پاره‌ای از احادیث و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کوشیدم نارساییها و ناکامی‌هایی را که در متن کتاب موجود بود، تا حدّ و توان توضیح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چهار مرحله زیر صورت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بررسی آرای شاذ و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جرح و تعدیل پاره‌ای از اقوال و اشخاص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استخراج پاره‌ای از اخبار و احادیث عامّه از طرق شیعه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تعبیرات مبهم و اصلاح ساختاری برخی از 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نقد و بررسی اندیشه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نهاوندی و ویژگیهای کتاب نفحات الرّحمن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که محتوای ابواب نخستینِ رساله حاضر را تشکیل می‌دهد، خود دربردارنده بیش از سی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فصول، به بازشناسی آرای پنهان مفسّر در زمینه‌های مختلفِ تاریخ قرآن، تفسیر، رجال، علوم قرآنی، حدیث و چگونگی تأثیرپذیری یا تأثیرگذاری او بر منابع تفسیری عامّه، پرداخته‌ام نیز در ضمن آن،</w:t>
      </w:r>
    </w:p>
    <w:p>
      <w:pPr>
        <w:pStyle w:val="BookText"/>
        <w:rPr/>
      </w:pPr>
      <w:r>
        <w:rPr>
          <w:rFonts w:ascii="IRNazanin" w:hAnsi="IRNazanin" w:eastAsia="IRNazanin"/>
          <w:color w:val="111111"/>
          <w:sz w:val="28"/>
          <w:sz w:val="28"/>
          <w:szCs w:val="28"/>
          <w:rtl w:val="true"/>
          <w:lang w:bidi="fa-IR"/>
        </w:rPr>
        <w:t>آرای کلامی، فلسفی، عرفانی، و مکتب تفسیری مؤلف را شناسایی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دو بخش و چهار باب و به ترتیب زیر تنظیم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اوّل از بخش یکم به شناسایی مفسّر و کتاب نفحات الرّحمن فی تفسیر القرآناختصاص یافته است و پنج فصل دارد که جزئیات آن در فهرستهای اجمالی و تفصیلی رساله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باب دوم، تاریخ و حقّانیت قرآن در نفحات الرّحمن مورد بررسی و تحقیق قرار گرفته است و در چهار فصل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اصلی باب سوم تحقیق در برخی آرای تفسیری نهاوندی است که شامل دو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 در پیرامون تحقیق و بازشناسی روش تفسیری نهاوندی در نفحات الرّحمن که در چهار 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بخش دوم که شامل تصحیح، تحقیق و تعلیق مقدّمه نفحات الرّحمن فی تفسیر القرآن است در این بخش در قالب چهل فصل مستقل یا به تعبیر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مهمّی پیرامون تاریخ و علوم و فضایل قرآن به رشته تحریر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این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فهرست تفصیلی رساله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صفحه اول و آخر چاپ سنگی و نسخه اصلی مقدّمه نفحات الرّحمن ضمیمه شده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را به خاطر توفیق انجام این تحقیق سپاسگزارم و حُسن عاقبت را از حضرتش مسئلت می‌نمایم</w:t>
      </w:r>
      <w:r>
        <w:rPr>
          <w:rFonts w:eastAsia="IRNazanin" w:cs="IRNazanin"/>
          <w:color w:val="111111"/>
          <w:sz w:val="28"/>
          <w:szCs w:val="28"/>
          <w:rtl w:val="true"/>
          <w:lang w:bidi="fa-IR"/>
        </w:rPr>
        <w:t>.</w:t>
      </w:r>
      <w:bookmarkStart w:id="16" w:name="pg4391_50913"/>
    </w:p>
    <w:p>
      <w:pPr>
        <w:pStyle w:val="Heading2"/>
        <w:numPr>
          <w:ilvl w:val="1"/>
          <w:numId w:val="1"/>
        </w:numPr>
        <w:rPr/>
      </w:pPr>
      <w:bookmarkStart w:id="17" w:name="__RefHeading___Toc1438595_1479056682"/>
      <w:bookmarkStart w:id="18" w:name="_Toc6"/>
      <w:bookmarkEnd w:id="16"/>
      <w:bookmarkEnd w:id="17"/>
      <w:r>
        <w:rPr>
          <w:rtl w:val="true"/>
        </w:rPr>
        <w:t>بخش اوّل</w:t>
      </w:r>
      <w:bookmarkEnd w:id="18"/>
    </w:p>
    <w:p>
      <w:pPr>
        <w:pStyle w:val="Heading3"/>
        <w:numPr>
          <w:ilvl w:val="2"/>
          <w:numId w:val="1"/>
        </w:numPr>
        <w:rPr/>
      </w:pPr>
      <w:bookmarkStart w:id="19" w:name="__RefHeading___Toc1438597_1479056682"/>
      <w:bookmarkStart w:id="20" w:name="_Toc7"/>
      <w:bookmarkEnd w:id="19"/>
      <w:r>
        <w:rPr>
          <w:rtl w:val="true"/>
        </w:rPr>
        <w:t>باب اوّل</w:t>
      </w:r>
      <w:r>
        <w:rPr>
          <w:rtl w:val="true"/>
        </w:rPr>
        <w:t xml:space="preserve">: </w:t>
      </w:r>
      <w:r>
        <w:rPr>
          <w:rtl w:val="true"/>
        </w:rPr>
        <w:t>شناسایی مفسّر و کتاب نفحات الرّحمن فی تفسیر القرآن</w:t>
      </w:r>
      <w:bookmarkEnd w:id="20"/>
    </w:p>
    <w:p>
      <w:pPr>
        <w:pStyle w:val="Heading4"/>
        <w:numPr>
          <w:ilvl w:val="3"/>
          <w:numId w:val="1"/>
        </w:numPr>
        <w:rPr/>
      </w:pPr>
      <w:bookmarkStart w:id="21" w:name="__RefHeading___Toc1438599_1479056682"/>
      <w:bookmarkStart w:id="22" w:name="_Toc8"/>
      <w:bookmarkEnd w:id="21"/>
      <w:r>
        <w:rPr>
          <w:rtl w:val="true"/>
        </w:rPr>
        <w:t>اشاره</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حال مفسّر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کلّی تفسیر نفحات الرّحمن در یک نگاه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ویژگی‌های مقدّمه نفحات الرّحمن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منابع تفسیری نفحات الرّحمن</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 تفسیر نفحات الرّحمن</w:t>
      </w:r>
      <w:bookmarkStart w:id="23" w:name="pg4391_50915"/>
    </w:p>
    <w:p>
      <w:pPr>
        <w:pStyle w:val="Heading4"/>
        <w:numPr>
          <w:ilvl w:val="3"/>
          <w:numId w:val="1"/>
        </w:numPr>
        <w:rPr/>
      </w:pPr>
      <w:bookmarkStart w:id="24" w:name="__RefHeading___Toc1438601_1479056682"/>
      <w:bookmarkStart w:id="25" w:name="_Toc9"/>
      <w:bookmarkEnd w:id="23"/>
      <w:bookmarkEnd w:id="24"/>
      <w:r>
        <w:rPr>
          <w:rtl w:val="true"/>
        </w:rPr>
        <w:t xml:space="preserve">فصل اوّل </w:t>
      </w:r>
      <w:r>
        <w:rPr>
          <w:rtl w:val="true"/>
        </w:rPr>
        <w:t xml:space="preserve">- </w:t>
      </w:r>
      <w:r>
        <w:rPr>
          <w:rtl w:val="true"/>
        </w:rPr>
        <w:t>شرح حال مفسّر</w:t>
      </w:r>
      <w:bookmarkEnd w:id="25"/>
    </w:p>
    <w:p>
      <w:pPr>
        <w:pStyle w:val="Heading5"/>
        <w:numPr>
          <w:ilvl w:val="4"/>
          <w:numId w:val="1"/>
        </w:numPr>
        <w:rPr/>
      </w:pPr>
      <w:bookmarkStart w:id="26" w:name="__RefHeading___Toc1438603_1479056682"/>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محمّد بن عبدالرّحیم مشهور به شیخ محمّد نهاوندی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تهران متولّد شد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مشهد وفات یافت و در آستانه مقدس رضوی دفن گردید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او به عنوان یکی از دانشمندان بزرگ شیعی قرن چهاردهم هجری قمری یاد می‌شود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دانشمندی فرزانه، مجتهد، مفسّر، فقیه و اصولی که موجب فخر و مباهات شیعه در قرن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خاندان علم، و تقوا زاده شد و تحت تربیت والد ارجمندش به سطوح بالای علم و تقوا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مدید از عمر خود را در حوزه علمیه نجف گذرانید و در محضر علما و استادان</w:t>
      </w:r>
    </w:p>
    <w:p>
      <w:pPr>
        <w:pStyle w:val="BookText"/>
        <w:rPr/>
      </w:pPr>
      <w:r>
        <w:rPr>
          <w:rFonts w:ascii="IRNazanin" w:hAnsi="IRNazanin" w:eastAsia="IRNazanin"/>
          <w:color w:val="111111"/>
          <w:sz w:val="28"/>
          <w:sz w:val="28"/>
          <w:szCs w:val="28"/>
          <w:rtl w:val="true"/>
          <w:lang w:bidi="fa-IR"/>
        </w:rPr>
        <w:t>بزرگ حاضر گشت و پس از مدّتی به سلک استادی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شهرت او به نهاوندی برگرفته از شهرت والدش میرزا عبدالرّحیم نهاوندی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تولدش درنهاوند ازتوابع همدان بوده‌است ولذا شیخ محمّد، فردی نهاوندی‌الاصل تهرانی المولد، نهاوندی المهاجر و مشهدی‌الموطن والمدفن به</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نهاوندی، محمد حسن برفرزند دیگر میرزا عبدالرّحیم یعنی شیخ محمّد حسن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نیزاطلاق شد که او نیز از فقهای برجسته و طراز اوّل شیعه در</w:t>
      </w:r>
      <w:bookmarkStart w:id="28" w:name="pg4391_50916"/>
    </w:p>
    <w:p>
      <w:pPr>
        <w:pStyle w:val="BookText"/>
        <w:rPr/>
      </w:pPr>
      <w:bookmarkEnd w:id="28"/>
      <w:r>
        <w:rPr>
          <w:rFonts w:ascii="IRNazanin" w:hAnsi="IRNazanin" w:eastAsia="IRNazanin"/>
          <w:color w:val="111111"/>
          <w:sz w:val="28"/>
          <w:sz w:val="28"/>
          <w:szCs w:val="28"/>
          <w:rtl w:val="true"/>
          <w:lang w:bidi="fa-IR"/>
        </w:rPr>
        <w:t xml:space="preserve">مشهد به شمار می‌رفت و سالهای زیاد در سامرا در محضر درس میرزای بزرگ شیرازی، میرزا محمد حسن حاضر شد و هنگام بازگشت به ایران ابتدا در تهران سپس در مشهد به تعلیم و تربیت شاگردان پرداخت 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جا وفات یافت و برادرش شیخ محمّد نهاوندی جانشین علمی او در مشهد گردید تا وی نیز پس از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تلاش وافر در ترویج اندیشه دینی و تربیت شاگردان حاذق و مجتهد به دیار حق شتافت</w:t>
      </w:r>
      <w:r>
        <w:rPr>
          <w:rFonts w:eastAsia="IRNazanin" w:cs="IRNazanin"/>
          <w:color w:val="111111"/>
          <w:sz w:val="28"/>
          <w:szCs w:val="28"/>
          <w:rtl w:val="true"/>
          <w:lang w:bidi="fa-IR"/>
        </w:rPr>
        <w:t>.</w:t>
      </w:r>
    </w:p>
    <w:p>
      <w:pPr>
        <w:pStyle w:val="Heading5"/>
        <w:numPr>
          <w:ilvl w:val="4"/>
          <w:numId w:val="1"/>
        </w:numPr>
        <w:rPr/>
      </w:pPr>
      <w:bookmarkStart w:id="29" w:name="__RefHeading___Toc1438605_1479056682"/>
      <w:bookmarkStart w:id="30" w:name="_Toc11"/>
      <w:bookmarkEnd w:id="29"/>
      <w:r>
        <w:rPr>
          <w:rtl w:val="true"/>
        </w:rPr>
        <w:t>خانواده مفسّر</w:t>
      </w:r>
      <w:bookmarkEnd w:id="30"/>
    </w:p>
    <w:p>
      <w:pPr>
        <w:pStyle w:val="BookText"/>
        <w:rPr/>
      </w:pPr>
      <w:r>
        <w:rPr>
          <w:rFonts w:ascii="IRNazanin" w:hAnsi="IRNazanin" w:eastAsia="IRNazanin"/>
          <w:color w:val="111111"/>
          <w:sz w:val="28"/>
          <w:sz w:val="28"/>
          <w:szCs w:val="28"/>
          <w:rtl w:val="true"/>
          <w:lang w:bidi="fa-IR"/>
        </w:rPr>
        <w:t>اینک به منظور آشنایی با خانواده محمّد نهاوندی که نخستین و مؤثّرترین عامل در رشد شخصیتی و علمی او به شمار می‌رود، به معرفی والد و اخوان وی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عبدالرّحیم نهاوندی </w:t>
      </w:r>
      <w:r>
        <w:rPr>
          <w:rFonts w:eastAsia="IRNazanin" w:cs="IRNazanin"/>
          <w:color w:val="111111"/>
          <w:sz w:val="28"/>
          <w:szCs w:val="28"/>
          <w:rtl w:val="true"/>
          <w:lang w:bidi="fa-IR"/>
        </w:rPr>
        <w:t>(</w:t>
      </w:r>
      <w:r>
        <w:rPr>
          <w:rFonts w:eastAsia="IRNazanin" w:cs="IRNazanin"/>
          <w:color w:val="111111"/>
          <w:sz w:val="28"/>
          <w:szCs w:val="28"/>
          <w:lang w:bidi="fa-IR"/>
        </w:rPr>
        <w:t>1237</w:t>
      </w:r>
      <w:r>
        <w:rPr>
          <w:rFonts w:eastAsia="IRNazanin" w:cs="IRNazanin"/>
          <w:color w:val="111111"/>
          <w:sz w:val="28"/>
          <w:szCs w:val="28"/>
          <w:rtl w:val="true"/>
          <w:lang w:bidi="fa-IR"/>
        </w:rPr>
        <w:t xml:space="preserve"> -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شیخ نهاوندی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محمّد حسن نهاوندی </w:t>
      </w:r>
      <w:r>
        <w:rPr>
          <w:rFonts w:eastAsia="IRNazanin" w:cs="IRNazanin"/>
          <w:color w:val="111111"/>
          <w:sz w:val="28"/>
          <w:szCs w:val="28"/>
          <w:rtl w:val="true"/>
          <w:lang w:bidi="fa-IR"/>
        </w:rPr>
        <w:t xml:space="preserve">( -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 و تنی شیخ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نهاوندی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نفحات الرّحمن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ضیاءالدین نهاوندی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آقا عیسی نهاوندی</w:t>
      </w:r>
      <w:r>
        <w:rPr>
          <w:rFonts w:eastAsia="IRNazanin" w:cs="IRNazanin"/>
          <w:color w:val="111111"/>
          <w:sz w:val="28"/>
          <w:szCs w:val="28"/>
          <w:rtl w:val="true"/>
          <w:lang w:bidi="fa-IR"/>
        </w:rPr>
        <w:t>.</w:t>
      </w:r>
    </w:p>
    <w:p>
      <w:pPr>
        <w:pStyle w:val="Heading5"/>
        <w:numPr>
          <w:ilvl w:val="4"/>
          <w:numId w:val="1"/>
        </w:numPr>
        <w:rPr/>
      </w:pPr>
      <w:bookmarkStart w:id="31" w:name="__RefHeading___Toc1438607_1479056682"/>
      <w:bookmarkStart w:id="32" w:name="_Toc12"/>
      <w:bookmarkEnd w:id="31"/>
      <w:r>
        <w:rPr>
          <w:rtl w:val="true"/>
        </w:rPr>
        <w:t xml:space="preserve">شرح حال میرزا عبدالرّحیم نهاوندی </w:t>
      </w:r>
      <w:r>
        <w:rPr>
          <w:rtl w:val="true"/>
        </w:rPr>
        <w:t>(</w:t>
      </w:r>
      <w:r>
        <w:rPr/>
        <w:t>1237</w:t>
      </w:r>
      <w:r>
        <w:rPr>
          <w:rtl w:val="true"/>
        </w:rPr>
        <w:t xml:space="preserve"> - </w:t>
      </w:r>
      <w:r>
        <w:rPr/>
        <w:t>1304</w:t>
      </w:r>
      <w:r>
        <w:rPr>
          <w:rtl w:val="true"/>
        </w:rPr>
        <w:t xml:space="preserve"> </w:t>
      </w:r>
      <w:r>
        <w:rPr>
          <w:rtl w:val="true"/>
        </w:rPr>
        <w:t xml:space="preserve">ه </w:t>
      </w:r>
      <w:r>
        <w:rPr>
          <w:rtl w:val="true"/>
        </w:rPr>
        <w:t xml:space="preserve">. </w:t>
      </w:r>
      <w:r>
        <w:rPr>
          <w:rtl w:val="true"/>
        </w:rPr>
        <w:t>ق</w:t>
      </w:r>
      <w:r>
        <w:rPr>
          <w:rtl w:val="true"/>
        </w:rPr>
        <w:t>)</w:t>
      </w:r>
      <w:bookmarkEnd w:id="32"/>
    </w:p>
    <w:p>
      <w:pPr>
        <w:pStyle w:val="BookText"/>
        <w:rPr/>
      </w:pPr>
      <w:r>
        <w:rPr>
          <w:rFonts w:ascii="IRNazanin" w:hAnsi="IRNazanin" w:eastAsia="IRNazanin"/>
          <w:color w:val="111111"/>
          <w:sz w:val="28"/>
          <w:sz w:val="28"/>
          <w:szCs w:val="28"/>
          <w:rtl w:val="true"/>
          <w:lang w:bidi="fa-IR"/>
        </w:rPr>
        <w:t>نام کامل او، شیخ میرزا عبدالرّحیم بن میرزا نجف مستوفی بن میرزا محمّدعلی شیرازی نهاوندی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بزرگ او میرزا محمّدعلی نهاوندی در زمان فتحعلی شاه قاجار از سوی سلطان محمّدشاه بن عباس به حکومت نهاوند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عبدالرّحیم در همان ایام و در نهاوند متولّد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طیّ سنین کودکی و گذراندن مقدّمات علوم اسلامی به نجف اشرف عزیمت کرد و سالهای مدید در محضر درس مرجع بزرگ زمان شیخ مرتضی انصاری و صاحب جواهر حاضر گشت تا این که از شاگردان برجسته شیخ به شمار رفت و سرانجام به فقیه و محقّقی بزرگ در روزگار</w:t>
      </w:r>
    </w:p>
    <w:p>
      <w:pPr>
        <w:pStyle w:val="BookText"/>
        <w:rPr/>
      </w:pPr>
      <w:r>
        <w:rPr>
          <w:rFonts w:ascii="IRNazanin" w:hAnsi="IRNazanin" w:eastAsia="IRNazanin"/>
          <w:color w:val="111111"/>
          <w:sz w:val="28"/>
          <w:sz w:val="28"/>
          <w:szCs w:val="28"/>
          <w:rtl w:val="true"/>
          <w:lang w:bidi="fa-IR"/>
        </w:rPr>
        <w:t>خویش تبدیل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تا مدّتی همزمان با حیات استاد، بر کرسی تدریس نشست و از سوی استادش شیخ مرتضی انصاری مورد تقدیر و تأیید قرار گرفت، میرزا پس از وفات استاد نیز به تدریس علوم دینی و تربیت علما و فضلا پرداخت و در هر دو دوره شاگردان مبرزی در محضر او تربیت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مشهور میرزا عبدالرّحیم نهاوندی می‌توان میرزا محمود تهرانی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عبدالرحیم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در مشهد رضوی اقامت گزید سپس عازم تهران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او از شهرت و وجاهت و محبوبیت خاصّی برخوردار بود و لباس مقدّس استادی را در مدرسه فخریه آن روز و مروی امروز به تن کرد و دوازده سال تمام در این مدرسه به امر تعلیم و تربیت پرداخت و</w:t>
      </w:r>
    </w:p>
    <w:p>
      <w:pPr>
        <w:pStyle w:val="BookText"/>
        <w:rPr/>
      </w:pPr>
      <w:r>
        <w:rPr>
          <w:rFonts w:ascii="IRNazanin" w:hAnsi="IRNazanin" w:eastAsia="IRNazanin"/>
          <w:color w:val="111111"/>
          <w:sz w:val="28"/>
          <w:sz w:val="28"/>
          <w:szCs w:val="28"/>
          <w:rtl w:val="true"/>
          <w:lang w:bidi="fa-IR"/>
        </w:rPr>
        <w:t>اقامه جماعت را نیز برعهده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مدرسه نیز شاگردان فراوان از خرمن علم و دانش وی خوشه‌ها چیدند و مورد اعتماد بسیاری از متدیّنین و چهره‌های موجه شهر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سه‌شنبه نُهم یا دهم ربیع الثانی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w:t>
      </w:r>
    </w:p>
    <w:p>
      <w:pPr>
        <w:pStyle w:val="BookText"/>
        <w:rPr/>
      </w:pPr>
      <w:r>
        <w:rPr>
          <w:rFonts w:ascii="IRNazanin" w:hAnsi="IRNazanin" w:eastAsia="IRNazanin"/>
          <w:color w:val="111111"/>
          <w:sz w:val="28"/>
          <w:sz w:val="28"/>
          <w:szCs w:val="28"/>
          <w:rtl w:val="true"/>
          <w:lang w:bidi="fa-IR"/>
        </w:rPr>
        <w:t xml:space="preserve">رحمت ایزدی پیوست و پیکر مطهّرش به نجف اشرف انتقال یافت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ریحانة الادب پیرامون شخصیت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عبدالرّحیم، نهاوندی الاصل، طهرانی المسکن، از اکابر علمای امامیه اوایل قرن چهاردهم هجری بود او فقیه اصولی، ادیب شاعر، زاهد متقی و در فقه و اصول مشهور و در زهد و ورع و فنون شعر و ادب، مسلم یگانه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بدایت حال، بعد از تکمیل حسن خط، برای تحصیلات علمیه به بروجرد رفته و دروس سطح را در آن جا</w:t>
      </w:r>
    </w:p>
    <w:p>
      <w:pPr>
        <w:pStyle w:val="BookText"/>
        <w:rPr/>
      </w:pPr>
      <w:r>
        <w:rPr>
          <w:rFonts w:ascii="IRNazanin" w:hAnsi="IRNazanin" w:eastAsia="IRNazanin"/>
          <w:color w:val="111111"/>
          <w:sz w:val="28"/>
          <w:sz w:val="28"/>
          <w:szCs w:val="28"/>
          <w:rtl w:val="true"/>
          <w:lang w:bidi="fa-IR"/>
        </w:rPr>
        <w:t>به پایان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مرام ارتقاء به مدارج عالیه کمالیه، عزیمت نجف داده، در حوزه درس شیخ الفقهاء صاحب جواهر و بعد از وفات او در سلک حاضرین حوزه شیخ مرتضی انصاری، منسلک و از انوار علمیه آن دو عالم ربّانی استناره کرده تا به مقامی بس</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عالی رسیده و در حال حیات شیخ انصاری و بعد از وفات او نیز مدّتی در آن ارض اقدس تدریس می‌کرده تا 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زیارت حضرت ثامن الائمّه علیه‌السلاممشرّف و در مراجعت به تهران وارد و به اصرار جمعی از اکابر در آن جا اقامت گزید و در</w:t>
      </w:r>
    </w:p>
    <w:p>
      <w:pPr>
        <w:pStyle w:val="BookText"/>
        <w:rPr/>
      </w:pPr>
      <w:r>
        <w:rPr>
          <w:rFonts w:ascii="IRNazanin" w:hAnsi="IRNazanin" w:eastAsia="IRNazanin"/>
          <w:color w:val="111111"/>
          <w:sz w:val="28"/>
          <w:sz w:val="28"/>
          <w:szCs w:val="28"/>
          <w:rtl w:val="true"/>
          <w:lang w:bidi="fa-IR"/>
        </w:rPr>
        <w:t>حدود دوازده سال در مدرسه مروی که از آثار حاج محمّدحسین خان مروی است، تدریس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شهر به رحمت ایزدی پیوسته و جنازه‌اش به بلده طیّبه قم منتقل و در صحن جدید حضرت معصومه در اوّل حجره سمت چپ کسی که از باب شرقی آن صحن شریف وارد گردد، مدفون است</w:t>
      </w:r>
      <w:r>
        <w:rPr>
          <w:rFonts w:eastAsia="IRNazanin" w:cs="IRNazanin"/>
          <w:color w:val="111111"/>
          <w:sz w:val="28"/>
          <w:szCs w:val="28"/>
          <w:rtl w:val="true"/>
          <w:lang w:bidi="fa-IR"/>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علم و تقوا و عرفان، شُهره حوزه‌های علمیه گشت و تلاش او در تهذیب نفس و قطع علایق دنیوی قابل 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فوائد الرضویه شرح احوال این عالم بزرگ را چنین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عبدالرّحیم نهاوندی در علم اصول و فقه شُهره آفاق و در زهد و تقوا، محل اتفاق و در شعر و ادب، یگانه و طاق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نجل جلیل او، شیخ فقیه، عالم فاضل، آقا شیخ محمّد در ترجمه پدر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بدایت عمر به تحصیل حسن خط کوشیده، چون این کمال را به درجه کمال رسانید به هوای علوم دینیه، قطع علایق دنیای دنیّه کرده با زادِ استعداد، دست صحبت به همّت بلند داده، از نهاوند روی مسافرت به بروجرد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وطن اصلی و راحت و آسایش، بکلّی اِعراض و از اغراض عایقه از مقصد عالی اغماض کرده و در مدّت قلیله، کسب فضایل جمیله و جلب فواضل جلیله کرده، چون به حظّی وافر و فیضی متکاثر نائل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عزمش در خاطر عاطر اوج گرفت، از آن صفحات بابرکات به عتبات عرش درجات، عروج یافته به نجف اشرف</w:t>
      </w:r>
    </w:p>
    <w:p>
      <w:pPr>
        <w:pStyle w:val="BookText"/>
        <w:rPr/>
      </w:pPr>
      <w:r>
        <w:rPr>
          <w:rFonts w:ascii="IRNazanin" w:hAnsi="IRNazanin" w:eastAsia="IRNazanin"/>
          <w:color w:val="111111"/>
          <w:sz w:val="28"/>
          <w:sz w:val="28"/>
          <w:szCs w:val="28"/>
          <w:rtl w:val="true"/>
          <w:lang w:bidi="fa-IR"/>
        </w:rPr>
        <w:t>علی مشرفها آلاف التحیّة والتحف مشرف و از انوار شمس فلک فقاهت و مأثر فخر الاوایل والاواخر، شیخ محمّدحسن صاحب جواهر به تمامت حواس سرگرم اقتباس گردید</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محسن امین، برخی از شاگردان میرزا عبدالرّحیم را این گونه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علی تقی سبط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سیّد محمّد مجاهد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سیّد محمّد طباطبایی</w:t>
      </w:r>
      <w:r>
        <w:rPr>
          <w:rFonts w:eastAsia="Amiri" w:cs="Amiri" w:ascii="Amiri" w:hAnsi="Amiri"/>
          <w:color w:val="111111"/>
          <w:sz w:val="28"/>
          <w:szCs w:val="28"/>
          <w:rtl w:val="true"/>
          <w:lang w:bidi="ar-SA"/>
        </w:rPr>
        <w:t>.</w:t>
      </w:r>
      <w:bookmarkStart w:id="33" w:name="pg4391_50919"/>
    </w:p>
    <w:p>
      <w:pPr>
        <w:pStyle w:val="BookText"/>
        <w:rPr/>
      </w:pPr>
      <w:bookmarkEnd w:id="3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علی گلستانه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در دلیل مهاجرت میرزا به تهران و اقامت در مدرسه مروی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علی کنی از او دعوت به عمل آورد تا در مدرسه مروی اقامت گزیند و به تدریس اصول و فقه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ورود به تهران یک سال در مشهد و قبل از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نجف سکونت داشت </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آقا بزرگ تهرانی از جمله شرح‌حال نویسان قرن چهارده به شمار می‌رود که هم با میرزا عبدالرّحیم نهاوندی و هم با فرزندان او دیدار و گفت و گو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یکی از آثارش جریان گفت و گوی خود با فرزند آن عالم بزرگ یعنی شیخ محمّد را این گونه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محمّد بن میرزا عبدالرّحیم نهاوندی به من گفت، پدرش میرزا عبدالرّحیم فرزند میرزا نجف مستوفی بن میرزا محمّدعلی شیرازی، که از سوی سلطان محمّدشاه حاکم نهاوند گردید، خود و پدر و اجدادش و نوادگان او تماما در نهاوند زاد و ولد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میرزا در سال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نهاوند به دنیا آمد و در سنّ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وفات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آن گاه اضافه کرد قبل از ولادت من، پدر و خانواده‌ام در</w:t>
      </w:r>
    </w:p>
    <w:p>
      <w:pPr>
        <w:pStyle w:val="BookText"/>
        <w:rPr/>
      </w:pPr>
      <w:r>
        <w:rPr>
          <w:rFonts w:ascii="IRNazanin" w:hAnsi="IRNazanin" w:eastAsia="IRNazanin"/>
          <w:color w:val="111111"/>
          <w:sz w:val="28"/>
          <w:sz w:val="28"/>
          <w:szCs w:val="28"/>
          <w:rtl w:val="true"/>
          <w:lang w:bidi="fa-IR"/>
        </w:rPr>
        <w:t>نجف بودند اندکی قبل از ولادت من به ایران بازگشتند و یک سال در مشهد اقامت گزیدند، سپس به تهران بازگشتند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همان جا وفات یافتند</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عبدالرّحیم، دو همسر داشت؛ نخستین آن، نهاوندی الاصل و والده میرزا محمّدحسن و شیخ محمّد بود و همسر دوم او تهرانی الاصل و دو فرزند آخر یعنی آقا ضیاءالدین و آقا عیسی از او بود</w:t>
      </w:r>
      <w:r>
        <w:rPr>
          <w:rFonts w:eastAsia="IRNazanin" w:cs="IRNazanin"/>
          <w:color w:val="111111"/>
          <w:sz w:val="28"/>
          <w:szCs w:val="28"/>
          <w:rtl w:val="true"/>
          <w:lang w:bidi="fa-IR"/>
        </w:rPr>
        <w:t>.</w:t>
      </w:r>
    </w:p>
    <w:p>
      <w:pPr>
        <w:pStyle w:val="Heading5"/>
        <w:numPr>
          <w:ilvl w:val="4"/>
          <w:numId w:val="1"/>
        </w:numPr>
        <w:rPr/>
      </w:pPr>
      <w:bookmarkStart w:id="34" w:name="__RefHeading___Toc1438609_1479056682"/>
      <w:bookmarkStart w:id="35" w:name="_Toc13"/>
      <w:bookmarkEnd w:id="34"/>
      <w:r>
        <w:rPr>
          <w:rtl w:val="true"/>
        </w:rPr>
        <w:t>تألیفات میرزا عبدالرّحیم نهاوندی</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عبدالرّحیم، دارای تألیفات گسترده‌ای بوده امّا متأسفانه جز پاره‌ای از آن اثری به جای نمانده و برخی نیز به دست فرزندانش احیا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علمی که به</w:t>
      </w:r>
      <w:bookmarkStart w:id="36" w:name="pg4391_50920"/>
    </w:p>
    <w:p>
      <w:pPr>
        <w:pStyle w:val="BookText"/>
        <w:rPr/>
      </w:pPr>
      <w:bookmarkEnd w:id="36"/>
      <w:r>
        <w:rPr>
          <w:rFonts w:ascii="IRNazanin" w:hAnsi="IRNazanin" w:eastAsia="IRNazanin"/>
          <w:color w:val="111111"/>
          <w:sz w:val="28"/>
          <w:sz w:val="28"/>
          <w:szCs w:val="28"/>
          <w:rtl w:val="true"/>
          <w:lang w:bidi="fa-IR"/>
        </w:rPr>
        <w:t>او نسبت داده شده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رسائل شیخ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قوانین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اصل برائت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الوقف والعتق در 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دیوان شعر به خطّ میرزا که در اختیار فرزندش محمّد قرار داشت و شیخ آقا بزرگ تهرانی آن را مشاهده کرد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شیخ آقا بزرگ در جای دیگر از همین دیوان، با نام دیوان شیخ محمّد نقل کرده است احتمال می‌رود مقصود از هر دو دیوان، یکی باشد و آن دیوان شعر پدر است که به فرزند</w:t>
      </w:r>
      <w:r>
        <w:rPr>
          <w:rStyle w:val="FootnoteAnchor"/>
          <w:rtl w:val="true"/>
        </w:rPr>
        <w:footnoteReference w:id="10"/>
      </w:r>
      <w:r>
        <w:rPr>
          <w:rFonts w:ascii="IRNazanin" w:hAnsi="IRNazanin" w:eastAsia="IRNazanin"/>
          <w:color w:val="111111"/>
          <w:sz w:val="28"/>
          <w:sz w:val="28"/>
          <w:szCs w:val="28"/>
          <w:rtl w:val="true"/>
          <w:lang w:bidi="fa-IR"/>
        </w:rPr>
        <w:t xml:space="preserve">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دیوان اشعاری در مدح حسین بن علی علیه‌السلام است که آقا بزرگ بخشی از آن را در آثار خویش گزارش کرده است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قامع الفضول عن مسائل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راهنمای فهرست 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خه‌های خطّی کتابخانه عمومی آیة اللّه مرعشی نجفی،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یاد شده و در جای دیگر این گونه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قامع الفضول عن مسائل الاصول ملاّ عبدالرّحیم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مسائل اصول فقه به</w:t>
      </w:r>
    </w:p>
    <w:p>
      <w:pPr>
        <w:pStyle w:val="BookText"/>
        <w:rPr/>
      </w:pPr>
      <w:r>
        <w:rPr>
          <w:rFonts w:ascii="IRNazanin" w:hAnsi="IRNazanin" w:eastAsia="IRNazanin"/>
          <w:color w:val="111111"/>
          <w:sz w:val="28"/>
          <w:sz w:val="28"/>
          <w:szCs w:val="28"/>
          <w:rtl w:val="true"/>
          <w:lang w:bidi="fa-IR"/>
        </w:rPr>
        <w:t>طور مستدل آورده شده است و چون نسخه از اوّل و آخر افتاده دارد، امکان وصول فهرست ابواب و فصول کتاب میسّر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هفت باب است و هر باب شامل چند فصل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نستعلیق، شنگرف، نسخه فرسوده، جلد تیماج مشکی، بدون مقوا،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 w:name="__RefHeading___Toc1438611_1479056682"/>
      <w:bookmarkStart w:id="38" w:name="_Toc14"/>
      <w:bookmarkEnd w:id="37"/>
      <w:r>
        <w:rPr>
          <w:rtl w:val="true"/>
        </w:rPr>
        <w:t>استادان میرزا عبدالرّحیم نهاوندی</w:t>
      </w:r>
      <w:bookmarkEnd w:id="38"/>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محمّدحسن نجفی صاحب جواهر</w:t>
      </w:r>
      <w:r>
        <w:rPr>
          <w:rFonts w:eastAsia="IRNazanin" w:cs="IRNazanin"/>
          <w:color w:val="111111"/>
          <w:sz w:val="28"/>
          <w:szCs w:val="28"/>
          <w:rtl w:val="true"/>
          <w:lang w:bidi="fa-IR"/>
        </w:rPr>
        <w:t>.</w:t>
      </w:r>
      <w:bookmarkStart w:id="39" w:name="pg4391_50921"/>
    </w:p>
    <w:p>
      <w:pPr>
        <w:pStyle w:val="BookText"/>
        <w:rPr/>
      </w:pPr>
      <w:bookmarkEnd w:id="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مرتضی انصاری صاحب فرائد الاصول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محمّدکاظم طباطبایی یزدی صاحب حاشیه بر مکاسب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حسین خلیلی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مازندرانی</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40" w:name="__RefHeading___Toc1438613_1479056682"/>
      <w:bookmarkStart w:id="41" w:name="_Toc15"/>
      <w:bookmarkEnd w:id="40"/>
      <w:r>
        <w:rPr>
          <w:rtl w:val="true"/>
        </w:rPr>
        <w:t xml:space="preserve">میرزا محمّد حسن نهاوندی </w:t>
      </w:r>
      <w:r>
        <w:rPr>
          <w:rtl w:val="true"/>
        </w:rPr>
        <w:t xml:space="preserve">( - </w:t>
      </w:r>
      <w:r>
        <w:rPr/>
        <w:t>1329</w:t>
      </w:r>
      <w:r>
        <w:rPr>
          <w:rtl w:val="true"/>
        </w:rPr>
        <w:t xml:space="preserve"> </w:t>
      </w:r>
      <w:r>
        <w:rPr>
          <w:rtl w:val="true"/>
        </w:rPr>
        <w:t xml:space="preserve">ه </w:t>
      </w:r>
      <w:r>
        <w:rPr>
          <w:rtl w:val="true"/>
        </w:rPr>
        <w:t xml:space="preserve">. </w:t>
      </w:r>
      <w:r>
        <w:rPr>
          <w:rtl w:val="true"/>
        </w:rPr>
        <w:t>ق</w:t>
      </w:r>
      <w:r>
        <w:rPr>
          <w:rtl w:val="true"/>
        </w:rPr>
        <w:t>)</w:t>
      </w:r>
      <w:bookmarkEnd w:id="41"/>
    </w:p>
    <w:p>
      <w:pPr>
        <w:pStyle w:val="BookText"/>
        <w:rPr/>
      </w:pPr>
      <w:r>
        <w:rPr>
          <w:rFonts w:ascii="IRNazanin" w:hAnsi="IRNazanin" w:eastAsia="IRNazanin"/>
          <w:color w:val="111111"/>
          <w:sz w:val="28"/>
          <w:sz w:val="28"/>
          <w:szCs w:val="28"/>
          <w:rtl w:val="true"/>
          <w:lang w:bidi="fa-IR"/>
        </w:rPr>
        <w:t>او فرزند ارشد میرزا عبدالرّحیم و برادر تنی شیخ محمّد نهاوندی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نیز چون پدر و برادر از سرآمد روزگار و متبحّر در علوم فقه و اصول بود، مدّتی مرجعیت دینی مردم مشهد را عهده‌دار بود و پس از فوت پدر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سامرا هجرت کرد</w:t>
      </w:r>
    </w:p>
    <w:p>
      <w:pPr>
        <w:pStyle w:val="BookText"/>
        <w:rPr/>
      </w:pPr>
      <w:r>
        <w:rPr>
          <w:rFonts w:ascii="IRNazanin" w:hAnsi="IRNazanin" w:eastAsia="IRNazanin"/>
          <w:color w:val="111111"/>
          <w:sz w:val="28"/>
          <w:sz w:val="28"/>
          <w:szCs w:val="28"/>
          <w:rtl w:val="true"/>
          <w:lang w:bidi="fa-IR"/>
        </w:rPr>
        <w:t>و تا چند سال از درس مجدد و مرجع بزرگ، میرزای شیرازی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دانش دینی در حالی که به آب مروارید مبتلا شده بود، به ایران بازگشت، ابتدا برای مدّت اندکی در تهران اقامت گزید و سپس برای همیشه به مشهد رفت و پس از سالها تدریس و تحقیق و تربیت طالبان علوم دینی و نیز مرجعیت و امامت جماعت مردم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همان شهر به رحمت ایزدی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مشهد و طلاّب علوم دینی از فراق او ماتم گرفته بودند که دیری نپایید برادر آن مرجع بزرگ یعنی شیخ محمّد</w:t>
      </w:r>
    </w:p>
    <w:p>
      <w:pPr>
        <w:pStyle w:val="BookText"/>
        <w:rPr/>
      </w:pPr>
      <w:r>
        <w:rPr>
          <w:rFonts w:ascii="IRNazanin" w:hAnsi="IRNazanin" w:eastAsia="IRNazanin"/>
          <w:color w:val="111111"/>
          <w:sz w:val="28"/>
          <w:sz w:val="28"/>
          <w:szCs w:val="28"/>
          <w:rtl w:val="true"/>
          <w:lang w:bidi="fa-IR"/>
        </w:rPr>
        <w:t>نهاوندی به مشهد کوچید و جای خالی برادر را پر کرد و خلأ علمی و دینی مشهد را جبران ساخت</w:t>
      </w:r>
      <w:r>
        <w:rPr>
          <w:rFonts w:eastAsia="IRNazanin" w:cs="IRNazanin"/>
          <w:color w:val="111111"/>
          <w:sz w:val="28"/>
          <w:szCs w:val="28"/>
          <w:rtl w:val="true"/>
          <w:lang w:bidi="fa-IR"/>
        </w:rPr>
        <w:t>.</w:t>
      </w:r>
      <w:r>
        <w:rPr>
          <w:rStyle w:val="FootnoteAnchor"/>
          <w:rtl w:val="true"/>
        </w:rPr>
        <w:footnoteReference w:id="14"/>
      </w:r>
    </w:p>
    <w:p>
      <w:pPr>
        <w:pStyle w:val="Heading5"/>
        <w:numPr>
          <w:ilvl w:val="4"/>
          <w:numId w:val="1"/>
        </w:numPr>
        <w:rPr/>
      </w:pPr>
      <w:bookmarkStart w:id="42" w:name="__RefHeading___Toc1438615_1479056682"/>
      <w:bookmarkStart w:id="43" w:name="_Toc16"/>
      <w:bookmarkEnd w:id="42"/>
      <w:r>
        <w:rPr>
          <w:rtl w:val="true"/>
        </w:rPr>
        <w:t xml:space="preserve">شیخ محمّد نهاوندی </w:t>
      </w:r>
      <w:r>
        <w:rPr>
          <w:rtl w:val="true"/>
        </w:rPr>
        <w:t>(</w:t>
      </w:r>
      <w:r>
        <w:rPr/>
        <w:t>1291</w:t>
      </w:r>
      <w:r>
        <w:rPr>
          <w:rtl w:val="true"/>
        </w:rPr>
        <w:t xml:space="preserve"> - </w:t>
      </w:r>
      <w:r>
        <w:rPr/>
        <w:t>1371</w:t>
      </w:r>
      <w:r>
        <w:rPr>
          <w:rtl w:val="true"/>
        </w:rPr>
        <w:t xml:space="preserve"> </w:t>
      </w:r>
      <w:r>
        <w:rPr>
          <w:rtl w:val="true"/>
        </w:rPr>
        <w:t xml:space="preserve">ه </w:t>
      </w:r>
      <w:r>
        <w:rPr>
          <w:rtl w:val="true"/>
        </w:rPr>
        <w:t xml:space="preserve">. </w:t>
      </w:r>
      <w:r>
        <w:rPr>
          <w:rtl w:val="true"/>
        </w:rPr>
        <w:t>ق</w:t>
      </w:r>
      <w:r>
        <w:rPr>
          <w:rtl w:val="true"/>
        </w:rPr>
        <w:t>)</w:t>
      </w:r>
      <w:bookmarkEnd w:id="4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شیخ محمّد نهاوندی تا قبل از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به 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تولد او خانواده وی به تهران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آنان به ایران حامل برکت دیگری برای ایرانیان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کودکی پاک از خانواده‌ای عالم با دیانت تولد یافت،</w:t>
      </w:r>
    </w:p>
    <w:p>
      <w:pPr>
        <w:pStyle w:val="BookText"/>
        <w:rPr/>
      </w:pPr>
      <w:r>
        <w:rPr>
          <w:rFonts w:ascii="IRNazanin" w:hAnsi="IRNazanin" w:eastAsia="IRNazanin"/>
          <w:color w:val="111111"/>
          <w:sz w:val="28"/>
          <w:sz w:val="28"/>
          <w:szCs w:val="28"/>
          <w:rtl w:val="true"/>
          <w:lang w:bidi="fa-IR"/>
        </w:rPr>
        <w:t>کودکی که می‌رفت در آینده نزدیک چشمه جوشان علم و معرفت گردد و چون ستاره‌ای در آسمان تشیّع بدرخشد و چشمان منتظر قرآن دوستان را پرفروغ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نهاوندی در روزگاری که چهره‌های درخشان علم و معرفت، یکی پس از دیگری از پشت ابرهای پنهان ظاهر می‌شدند، خوش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در قرن چهاردهم با ظهور مفسّران نو اندیش رو به ترقّی و تعالی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شیخ محمّد نهاوندی سهم فراوانی در این مهم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خانواده‌ای پاک، متدین، علم‌دوست و دوست‌دار قرآن و فرهنگ شیعی پا به عرصه وجود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اوّلیه را در جوار پدر و برادر فرا گرفت،</w:t>
      </w:r>
    </w:p>
    <w:p>
      <w:pPr>
        <w:pStyle w:val="BookText"/>
        <w:rPr/>
      </w:pPr>
      <w:r>
        <w:rPr>
          <w:rFonts w:ascii="IRNazanin" w:hAnsi="IRNazanin" w:eastAsia="IRNazanin"/>
          <w:color w:val="111111"/>
          <w:sz w:val="28"/>
          <w:sz w:val="28"/>
          <w:szCs w:val="28"/>
          <w:rtl w:val="true"/>
          <w:lang w:bidi="fa-IR"/>
        </w:rPr>
        <w:t>حضور پیوسته شیخ محمّد نوجوان در مدرسه مروی تهران و بهره‌مندی از محضر پدر و</w:t>
      </w:r>
    </w:p>
    <w:p>
      <w:pPr>
        <w:pStyle w:val="BookText"/>
        <w:rPr/>
      </w:pPr>
      <w:r>
        <w:rPr>
          <w:rFonts w:ascii="IRNazanin" w:hAnsi="IRNazanin" w:eastAsia="IRNazanin"/>
          <w:color w:val="111111"/>
          <w:sz w:val="28"/>
          <w:sz w:val="28"/>
          <w:szCs w:val="28"/>
          <w:rtl w:val="true"/>
          <w:lang w:bidi="fa-IR"/>
        </w:rPr>
        <w:t>دیگر استادان وقت، استعدادهای او را یکی پس از دیگری شکوفا ساخت او تا زمان حیات پدر در کنار او در تهران و مدرسه خان آن روز به فعالیت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ارتحال پدر، سیزده بهار از ولادت او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سال از واقعه ارتحال پدر گذشت و شیخ محمّد جوان به عراق و سرزمین مقدّس نجف اشرف و حوزه علمیه آن سرزمین مهاجرت کرد و به زودی از شاگردان مبرّز و سختکوش آخوند ملاّ محمّد کاظم طباطبایی یزدی گردید؛ پنج الی هفت سال در حوزه نجف به تکمیل دانش خویش پرداخت و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برادرش شیخ محمّد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و پیشوای دینی مردم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ایران بازگشت و ساکن مشهد گردید و جای برادر را پر کرد و از آن پس به تدریس و تحقیق و تربیت تشنگان علم و معرفت پرداخت تا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مشهد اقامت داشت در آن سال به حجّة الاسلام مشرف شد و پس از حج به عراق بازگشت و مدّتی نه چندان طولانی در نجف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مشهد بازگشت و تا پایان عمر در آن جا به تحقیق و تتبع در علوم دینی به ویژه تفسیر، حدیث، رجال و فقه پرداخت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تألیف کتاب شریف نفحات الرّحمن مهمترین اثر علمی وی بود که در سه دهه آخر عمر وی، به رشته تحریر درآمد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رجال‌شناسان از او به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العلماء والمفسّرین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با</w:t>
      </w:r>
      <w:bookmarkStart w:id="44" w:name="pg4391_50923"/>
    </w:p>
    <w:p>
      <w:pPr>
        <w:pStyle w:val="BookText"/>
        <w:rPr/>
      </w:pPr>
      <w:bookmarkEnd w:id="44"/>
      <w:r>
        <w:rPr>
          <w:rFonts w:ascii="IRNazanin" w:hAnsi="IRNazanin" w:eastAsia="IRNazanin"/>
          <w:color w:val="111111"/>
          <w:sz w:val="28"/>
          <w:sz w:val="28"/>
          <w:szCs w:val="28"/>
          <w:rtl w:val="true"/>
          <w:lang w:bidi="fa-IR"/>
        </w:rPr>
        <w:t xml:space="preserve">تخلّص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می‌سرود او از علما و مفسران نهاوندی الاصل و نزیل مشهد و از علمای مورد احترام آستان قدس و مردم و فرهیختگان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آیة اللّه مجاهد سیّد</w:t>
      </w:r>
    </w:p>
    <w:p>
      <w:pPr>
        <w:pStyle w:val="BookText"/>
        <w:rPr/>
      </w:pPr>
      <w:r>
        <w:rPr>
          <w:rFonts w:ascii="IRNazanin" w:hAnsi="IRNazanin" w:eastAsia="IRNazanin"/>
          <w:color w:val="111111"/>
          <w:sz w:val="28"/>
          <w:sz w:val="28"/>
          <w:szCs w:val="28"/>
          <w:rtl w:val="true"/>
          <w:lang w:bidi="fa-IR"/>
        </w:rPr>
        <w:t>ابوالقاسم کاشانی مصاحبت فراوان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تهران عزیمت می‌کرد به منزل آن روحانی انقلابی مراجعت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 رازی، صاحب کتاب گنجینه دانشمندان، اظهار داشته که چندین بار به منزل مرحوم آیة اللّه کاشانی رفته و هربار شیخ محمّد نهاوندی را در آن جا زیارت کرده و بهره‌های علمی از وی فرا گرفته است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صاحب ریحانة الادب این عالم ژرف‌اندیش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اکابر علمای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نهاوندی از اکابر علمای معاصر در اوایل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وفات یافت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در فهرست رضویه، از شیخ محمّد نهاوندی به عنوان یکی از معاریف علمای معاصر مشهد یاد شده که نزد سیّد محمّد کاظم طباطب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ائی یزدی و میرزا حسین خلیلی و شیخ عبداللّه مازندرانی تلمّذ کرده است</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45" w:name="__RefHeading___Toc1438617_1479056682"/>
      <w:bookmarkStart w:id="46" w:name="_Toc17"/>
      <w:bookmarkEnd w:id="45"/>
      <w:r>
        <w:rPr>
          <w:rtl w:val="true"/>
        </w:rPr>
        <w:t>کتابنامه شرح حال مفسّر بزرگ، محمّد بن عبدالرّحیم نهاوندی</w:t>
      </w:r>
      <w:bookmarkEnd w:id="46"/>
    </w:p>
    <w:p>
      <w:pPr>
        <w:pStyle w:val="BookText"/>
        <w:rPr/>
      </w:pPr>
      <w:r>
        <w:rPr>
          <w:rFonts w:ascii="IRNazanin" w:hAnsi="IRNazanin" w:eastAsia="IRNazanin"/>
          <w:color w:val="111111"/>
          <w:sz w:val="28"/>
          <w:sz w:val="28"/>
          <w:szCs w:val="28"/>
          <w:rtl w:val="true"/>
          <w:lang w:bidi="fa-IR"/>
        </w:rPr>
        <w:t>راقم این سطور هنگام بررسی شرح‌حال محمّد بن عبدالرّحیم نهاوندی متوجّه بی‌مهری تاریخ‌نگاران و شرح‌حال نویسان در حقّ این شخصیت بزرگ علمی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مجموعه کتب تراجم و شرح حال علمای قرن چهاردهم که رقم آنها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می‌رسد، تنها کتابهای زیر به شرح‌حال این دانشمند فرزانه پرداخته‌اند، آن هم به</w:t>
      </w:r>
    </w:p>
    <w:p>
      <w:pPr>
        <w:pStyle w:val="BookText"/>
        <w:rPr/>
      </w:pPr>
      <w:r>
        <w:rPr>
          <w:rFonts w:ascii="IRNazanin" w:hAnsi="IRNazanin" w:eastAsia="IRNazanin"/>
          <w:color w:val="111111"/>
          <w:sz w:val="28"/>
          <w:sz w:val="28"/>
          <w:szCs w:val="28"/>
          <w:rtl w:val="true"/>
          <w:lang w:bidi="fa-IR"/>
        </w:rPr>
        <w:t>اختصار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الذریعه، شیخ آقا بزرگ تهرانی، مجلدات </w:t>
      </w:r>
      <w:r>
        <w:rPr>
          <w:rFonts w:eastAsia="IRNazanin" w:cs="IRNazanin"/>
          <w:color w:val="111111"/>
          <w:sz w:val="28"/>
          <w:szCs w:val="28"/>
          <w:lang w:bidi="fa-IR"/>
        </w:rPr>
        <w:t>9/687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24/247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خان بابا مشار </w:t>
      </w:r>
      <w:r>
        <w:rPr>
          <w:rFonts w:eastAsia="IRNazanin" w:cs="IRNazanin"/>
          <w:color w:val="111111"/>
          <w:sz w:val="28"/>
          <w:szCs w:val="28"/>
          <w:lang w:bidi="fa-IR"/>
        </w:rPr>
        <w:t>5/566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ریحانة الادب مدرس خیابانی </w:t>
      </w:r>
      <w:r>
        <w:rPr>
          <w:rFonts w:eastAsia="IRNazanin" w:cs="IRNazanin"/>
          <w:color w:val="111111"/>
          <w:sz w:val="28"/>
          <w:szCs w:val="28"/>
          <w:lang w:bidi="fa-IR"/>
        </w:rPr>
        <w:t>6/266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نقباء البشر فی القرن الرابع عشر، شیخ آقا بزرگ </w:t>
      </w:r>
      <w:r>
        <w:rPr>
          <w:rFonts w:eastAsia="IRNazanin" w:cs="IRNazanin"/>
          <w:color w:val="111111"/>
          <w:sz w:val="28"/>
          <w:szCs w:val="28"/>
          <w:lang w:bidi="fa-IR"/>
        </w:rPr>
        <w:t>3/1108</w:t>
      </w:r>
      <w:r>
        <w:rPr>
          <w:rFonts w:eastAsia="IRNazanin" w:cs="IRNazanin"/>
          <w:color w:val="111111"/>
          <w:sz w:val="28"/>
          <w:szCs w:val="28"/>
          <w:rtl w:val="true"/>
          <w:lang w:bidi="fa-IR"/>
        </w:rPr>
        <w:t xml:space="preserve"> - </w:t>
      </w:r>
      <w:r>
        <w:rPr>
          <w:rFonts w:eastAsia="IRNazanin" w:cs="IRNazanin"/>
          <w:color w:val="111111"/>
          <w:sz w:val="28"/>
          <w:szCs w:val="28"/>
          <w:lang w:bidi="fa-IR"/>
        </w:rPr>
        <w:t>1109</w:t>
      </w:r>
      <w:r>
        <w:rPr>
          <w:rFonts w:eastAsia="IRNazanin" w:cs="IRNazanin"/>
          <w:color w:val="111111"/>
          <w:sz w:val="28"/>
          <w:szCs w:val="28"/>
          <w:rtl w:val="true"/>
          <w:lang w:bidi="fa-IR"/>
        </w:rPr>
        <w:t>.</w:t>
      </w:r>
      <w:bookmarkStart w:id="47" w:name="pg4391_50924"/>
    </w:p>
    <w:p>
      <w:pPr>
        <w:pStyle w:val="BookText"/>
        <w:rPr/>
      </w:pPr>
      <w:bookmarkEnd w:id="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العلماء، حسین جلالی شاهرودی، ص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هدیة الرازی، شیخ آقا بزرگ،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کتابهایی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اعیان الشیعه، سید محسن امین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فوائد الرضویه، شیخ عباس قمی 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گذرا بدون این که فصل مستقلّی به شرح‌حال مفسّر اختصاص دهند به معرفی اجمالی وی و یا گزارش یکی از سخنان وی پرداخته‌اند، و عجیب است از سیّد محسن امین صاحب اعیان الشیعه که شرح‌حال این مفسّر را مورد غفلت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دیگر که اهمّیت آن به اعیان الشیعه نمی‌رسد،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العلمای تنکابنی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معاصرین ملاّ علی واعظ خیابانی که به معرفی علمای زنده در سالهای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اثری از شرح‌حال محمّد بن عبدالرّحیم نهاوندی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بیشترین منبع کتاب‌شناسی و شرح‌حال نگاری پیرامون شیخ محمّد نهاوندی را می‌توان در آثار متفکّر فرزانه شیخ آقا بزرگ تهرانی جست و جو کرد</w:t>
      </w:r>
      <w:r>
        <w:rPr>
          <w:rFonts w:eastAsia="IRNazanin" w:cs="IRNazanin"/>
          <w:color w:val="111111"/>
          <w:sz w:val="28"/>
          <w:szCs w:val="28"/>
          <w:rtl w:val="true"/>
          <w:lang w:bidi="fa-IR"/>
        </w:rPr>
        <w:t>.</w:t>
      </w:r>
    </w:p>
    <w:p>
      <w:pPr>
        <w:pStyle w:val="Heading5"/>
        <w:numPr>
          <w:ilvl w:val="4"/>
          <w:numId w:val="1"/>
        </w:numPr>
        <w:rPr/>
      </w:pPr>
      <w:bookmarkStart w:id="48" w:name="__RefHeading___Toc1438619_1479056682"/>
      <w:bookmarkStart w:id="49" w:name="_Toc18"/>
      <w:bookmarkEnd w:id="48"/>
      <w:r>
        <w:rPr>
          <w:rtl w:val="true"/>
        </w:rPr>
        <w:t>استادان شیخ محمّد نهاوندی</w:t>
      </w:r>
      <w:bookmarkEnd w:id="49"/>
    </w:p>
    <w:p>
      <w:pPr>
        <w:pStyle w:val="BookText"/>
        <w:rPr/>
      </w:pPr>
      <w:r>
        <w:rPr>
          <w:rFonts w:ascii="IRNazanin" w:hAnsi="IRNazanin" w:eastAsia="IRNazanin"/>
          <w:color w:val="111111"/>
          <w:sz w:val="28"/>
          <w:sz w:val="28"/>
          <w:szCs w:val="28"/>
          <w:rtl w:val="true"/>
          <w:lang w:bidi="fa-IR"/>
        </w:rPr>
        <w:t>بر اساس مدارک موجود، افراد زیر در رشد شخصیّت علمی محمّد بن عبدالرّحیم نهاوندی نقش بیشتری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 شیخ، میرزا عبدالرّحیم که خود از شاگردان مبرز و فرهیخته صاحب جواهر و شیخ مرتضی انصاری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 شیخ، میرزا محمّد حسن نهاوندی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محمّد کاظم طباطبائی یزدی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 میرزا حسین خلیلی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عبداللّه مازندرانی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 این نظارت تربیتی و آموزشی، تألیف آثار مهمّی چون کتاب نفحات الرّحمن</w:t>
      </w:r>
      <w:bookmarkStart w:id="50" w:name="pg4391_50925"/>
    </w:p>
    <w:p>
      <w:pPr>
        <w:pStyle w:val="BookText"/>
        <w:rPr/>
      </w:pPr>
      <w:bookmarkEnd w:id="50"/>
      <w:r>
        <w:rPr>
          <w:rFonts w:ascii="IRNazanin" w:hAnsi="IRNazanin" w:eastAsia="IRNazanin"/>
          <w:color w:val="111111"/>
          <w:sz w:val="28"/>
          <w:sz w:val="28"/>
          <w:szCs w:val="28"/>
          <w:rtl w:val="true"/>
          <w:lang w:bidi="fa-IR"/>
        </w:rPr>
        <w:t>فی تفسیر القرآن بود</w:t>
      </w:r>
      <w:r>
        <w:rPr>
          <w:rFonts w:eastAsia="IRNazanin" w:cs="IRNazanin"/>
          <w:color w:val="111111"/>
          <w:sz w:val="28"/>
          <w:szCs w:val="28"/>
          <w:rtl w:val="true"/>
          <w:lang w:bidi="fa-IR"/>
        </w:rPr>
        <w:t>.</w:t>
      </w:r>
    </w:p>
    <w:p>
      <w:pPr>
        <w:pStyle w:val="Heading5"/>
        <w:numPr>
          <w:ilvl w:val="4"/>
          <w:numId w:val="1"/>
        </w:numPr>
        <w:rPr/>
      </w:pPr>
      <w:bookmarkStart w:id="51" w:name="__RefHeading___Toc1438621_1479056682"/>
      <w:bookmarkStart w:id="52" w:name="_Toc19"/>
      <w:bookmarkEnd w:id="51"/>
      <w:r>
        <w:rPr>
          <w:rtl w:val="true"/>
        </w:rPr>
        <w:t>تألیفات و آثار علمی شیخ محمّد نهاوندی</w:t>
      </w:r>
      <w:bookmarkEnd w:id="52"/>
    </w:p>
    <w:p>
      <w:pPr>
        <w:pStyle w:val="BookText"/>
        <w:rPr/>
      </w:pPr>
      <w:r>
        <w:rPr>
          <w:rFonts w:ascii="IRNazanin" w:hAnsi="IRNazanin" w:eastAsia="IRNazanin"/>
          <w:color w:val="111111"/>
          <w:sz w:val="28"/>
          <w:sz w:val="28"/>
          <w:szCs w:val="28"/>
          <w:rtl w:val="true"/>
          <w:lang w:bidi="fa-IR"/>
        </w:rPr>
        <w:t>کمبود مدارک و مآخذ اطّلاع‌رسانی پیرامون این شخصیّت بزرگ مانع از آن شده است که به تمام آثار علمی او دسترسی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در زیر معرفی می‌گردد، مستفاد از مدارک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الرّحمن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مجلّد رحلی به شرح زیر که دربردارنده</w:t>
      </w:r>
    </w:p>
    <w:p>
      <w:pPr>
        <w:pStyle w:val="BookText"/>
        <w:rPr/>
      </w:pPr>
      <w:r>
        <w:rPr>
          <w:rFonts w:ascii="IRNazanin" w:hAnsi="IRNazanin" w:eastAsia="IRNazanin"/>
          <w:color w:val="111111"/>
          <w:sz w:val="28"/>
          <w:sz w:val="28"/>
          <w:szCs w:val="28"/>
          <w:rtl w:val="true"/>
          <w:lang w:bidi="fa-IR"/>
        </w:rPr>
        <w:t>یک دوره تفسیر کامل بر تمام سوره‌ها و آیات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جلد اوّل نفحات الرّحمن فی 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یک مقدّمه مفصّل پیرامون علوم</w:t>
      </w:r>
    </w:p>
    <w:p>
      <w:pPr>
        <w:pStyle w:val="BookText"/>
        <w:rPr/>
      </w:pPr>
      <w:r>
        <w:rPr>
          <w:rFonts w:ascii="IRNazanin" w:hAnsi="IRNazanin" w:eastAsia="IRNazanin"/>
          <w:color w:val="111111"/>
          <w:sz w:val="28"/>
          <w:sz w:val="28"/>
          <w:szCs w:val="28"/>
          <w:rtl w:val="true"/>
          <w:lang w:bidi="fa-IR"/>
        </w:rPr>
        <w:t>قرآن و برخی مباحث مربوط به تاریخچه قرآن و فضایل سُوَر و علوم مورد نیاز در تفسیر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مجلّد تفسیر سوره فاتحة الکتاب تا پایان سوره انعام را پیش‌روی داریم این کتاب به قطع رحلی و چاپ سنگی در زمان حیات مؤلّف یعنی ذی حجه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چاپ رسیده است، تعداد صفحات این کتاب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و طول هر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و تنها برای یک‌بار به اهتمام سیّد ابوالقاسم بن مصطفی حسینی نجفی کاشانی و در چاپخانه سنگی علمی به چاپ رسیده است، و از آن پس هرگز چاپ نشد و نسخه‌های موجود در کتابخانه‌های کشور به همین چاپ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 دوم نفحات الرّحمن فی تفسیر القرآن در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رحلی با مشخّصات پیش گفته به چاپ سنگی رسیده و دربردارنده تفسیر آیات نخستین سوره اعراف تا پایان سوره اسراء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مجلّد به اهتمام اسماعیل معارف‌خواه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مجلّد سوم نفحات الرّحمن فی تفسیر القرآن 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چاپخانه سنگی علمی به چاپ رسیده است این مجلّد از تفسیر که دربردارنده تفسیر سوره کهف تا پایان سوره فاطر می‌باشد، به خطّ سیّد احمد خوانساری و محمّد صانعی خوانساری و به هزینه محمّد حسین شالچیار، چاپ سنگی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مجلّد چهارم نفحات الرّحمن فی تفسیر القرآن در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 حاوی تفسیر سوره یس تا پایان سوره ناس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یعنی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وفاتش موفّق</w:t>
      </w:r>
    </w:p>
    <w:p>
      <w:pPr>
        <w:pStyle w:val="BookText"/>
        <w:rPr/>
      </w:pPr>
      <w:r>
        <w:rPr>
          <w:rFonts w:ascii="IRNazanin" w:hAnsi="IRNazanin" w:eastAsia="IRNazanin"/>
          <w:color w:val="111111"/>
          <w:sz w:val="28"/>
          <w:sz w:val="28"/>
          <w:szCs w:val="28"/>
          <w:rtl w:val="true"/>
          <w:lang w:bidi="fa-IR"/>
        </w:rPr>
        <w:t>به اتمام این دوره تفسیری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چهارم تفسیر به دست‌خط محمّد صانعی</w:t>
      </w:r>
    </w:p>
    <w:p>
      <w:pPr>
        <w:pStyle w:val="BookText"/>
        <w:rPr/>
      </w:pPr>
      <w:r>
        <w:rPr>
          <w:rFonts w:ascii="IRNazanin" w:hAnsi="IRNazanin" w:eastAsia="IRNazanin"/>
          <w:color w:val="111111"/>
          <w:sz w:val="28"/>
          <w:sz w:val="28"/>
          <w:szCs w:val="28"/>
          <w:rtl w:val="true"/>
          <w:lang w:bidi="fa-IR"/>
        </w:rPr>
        <w:t xml:space="preserve">خوانساری مشهور به سیمین در چاپخانه سنگی میرزا عبدالرّحیم علمی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هر چهار مجلّد تفسیر در زمان حیات مفسّر و با نظارت و صلاحدید و اصلاح و غلط‌یابی وی به چاپ سنگی رسیده و از آن پس تا کنون به هیچ عنوان چاپ نشده و توسط هیچ کس تصحیح یا تحقیق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ضیاء الأبصار فی مباحث الخیار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المصائب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سراج النهج فی مسائل العمرة والحج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خلل الصلاة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تحفة المرضیه فی العمل بجداول الستّیة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دو کتاب خطّی در جمع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آن ریاضی است و در مرکز کامپیوتر مرکز مخطوطات آستان قدس رضوی به شماره </w:t>
      </w:r>
      <w:r>
        <w:rPr>
          <w:rFonts w:eastAsia="IRNazanin" w:cs="IRNazanin"/>
          <w:color w:val="111111"/>
          <w:sz w:val="28"/>
          <w:szCs w:val="28"/>
          <w:lang w:bidi="fa-IR"/>
        </w:rPr>
        <w:t>13294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عبدالرّحیم نهاوندی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شیخ آقا بزرگ تهرانی در آثار مختلف خویش در مواضع متعدّد به شرح‌حال شیخ محمّد نهاوندی پرداخته است امّا در کتاب یک جلدی هدیة الرازی که در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چاپ شده و به شرح‌حال آیة اللّه سیّد میرزا محمّد حسن شیرازی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در فصل مستقلی شاگردان میرزای شیرازی را معرّفی می‌نماید امّا اشاره‌ای به شیخ محمّد نمی‌کند و دلیل آن کاملاً روشن است زیرا شیخ در</w:t>
      </w:r>
    </w:p>
    <w:p>
      <w:pPr>
        <w:pStyle w:val="BookText"/>
        <w:rPr/>
      </w:pPr>
      <w:r>
        <w:rPr>
          <w:rFonts w:ascii="IRNazanin" w:hAnsi="IRNazanin" w:eastAsia="IRNazanin"/>
          <w:color w:val="111111"/>
          <w:sz w:val="28"/>
          <w:sz w:val="28"/>
          <w:szCs w:val="28"/>
          <w:rtl w:val="true"/>
          <w:lang w:bidi="fa-IR"/>
        </w:rPr>
        <w:t xml:space="preserve">زمان وفات میرزا محمّد حسن شیرازی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داشته و مجلس درس میرزا را درک نکرده 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کتاب میرزا محمّد حسن نهاوندی برادر ارشد شیخ محمّد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آقا بزرگ، شرح‌حال شاگردان میرزای شیرازی را به تفصیل در نقباء</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البشر آورده است</w:t>
      </w:r>
      <w:r>
        <w:rPr>
          <w:rFonts w:eastAsia="IRNazanin" w:cs="IRNazanin"/>
          <w:color w:val="111111"/>
          <w:sz w:val="28"/>
          <w:szCs w:val="28"/>
          <w:rtl w:val="true"/>
          <w:lang w:bidi="fa-IR"/>
        </w:rPr>
        <w:t>.</w:t>
      </w:r>
      <w:bookmarkStart w:id="53" w:name="pg4391_50927"/>
    </w:p>
    <w:p>
      <w:pPr>
        <w:pStyle w:val="Heading5"/>
        <w:numPr>
          <w:ilvl w:val="4"/>
          <w:numId w:val="1"/>
        </w:numPr>
        <w:rPr/>
      </w:pPr>
      <w:bookmarkStart w:id="54" w:name="__RefHeading___Toc1438623_1479056682"/>
      <w:bookmarkStart w:id="55" w:name="_Toc20"/>
      <w:bookmarkEnd w:id="53"/>
      <w:bookmarkEnd w:id="54"/>
      <w:r>
        <w:rPr>
          <w:rtl w:val="true"/>
        </w:rPr>
        <w:t>کتابنامه شرح حال خاندان نهاوندی</w:t>
      </w:r>
      <w:bookmarkEnd w:id="55"/>
    </w:p>
    <w:p>
      <w:pPr>
        <w:pStyle w:val="BookText"/>
        <w:rPr/>
      </w:pPr>
      <w:r>
        <w:rPr>
          <w:rFonts w:ascii="IRNazanin" w:hAnsi="IRNazanin" w:eastAsia="IRNazanin"/>
          <w:color w:val="111111"/>
          <w:sz w:val="28"/>
          <w:sz w:val="28"/>
          <w:szCs w:val="28"/>
          <w:rtl w:val="true"/>
          <w:lang w:bidi="fa-IR"/>
        </w:rPr>
        <w:t>برای آگاهی از شرح‌حال مفسّر مورد تحقیق در این رساله و خاندان نهاوندی می‌توان به مصادر و مآخذ زیر مراجعه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الذریعة إلی تصانیف الشیعة، شیخ آقا بزرگ تهرانی،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ریحانة الأدب، مدرس تبریزی،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نقباء البشر فی القرن الرّابع عشر، شیخ آقا بزرگ تهرانی، ج</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هدیة الرازی إلی الإمام المجدد الشیرازی، شیخ آقا بزرگ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گنجینه دانشمندان، محمّد شریف رازی، 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وفیات العلماء، حسین جلالی 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فهرست خان‌بابا مُشار، ج</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أعیان الشیعة، سیّد محسن امین، 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الرّضویة فی أحوال علماء المذهب الجعفریة، شیخ عباس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لغت‌نامه دهخدا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نسخه‌های خطّی کتابخانه آیة اللّه مرعشی نجفی،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راقم این سطور برخی از اطّلاعات مربوط به شرح‌حال و چگونگی اوصاف اخلاقی و مراتب علمی شیخ محمّد نهاوندی را در مشهد الرضا، روضه بالاسر ثامن الحجج علیه‌السلاماز آقای حائری طبسی، نیز پاره‌ای از اطّلاعات را از عبدالحسین حائری شاغل در کتابخانه و مرکز اسناد مجلس شورای اسلامی و نیز استاد ارجمند آقای علی اکبر غفاری و شیخ حسن کافی امام جماعت مسجد قائم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آقای صدر زاده پیر کهنسال مشهدی ساکن تهران و دیگران، ستانده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علی اکبر غفاری استاد مدعو علوم حدیث دانشگاههای تهران و امام صادق علیه‌السلام و نیز محقّق و مصحّح کتب حدیث شیعه به‌ویژه کتب اربعه و آثار شیخ صدوق که</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جانب افتخار شاگردی وی را داشته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نهاوندی از نوادر علما و محقّقان معاصر 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فردی عالم فاضل، حاذق و مدقّق بود علی رغم</w:t>
      </w:r>
    </w:p>
    <w:p>
      <w:pPr>
        <w:pStyle w:val="BookText"/>
        <w:rPr/>
      </w:pPr>
      <w:r>
        <w:rPr>
          <w:rFonts w:ascii="IRNazanin" w:hAnsi="IRNazanin" w:eastAsia="IRNazanin"/>
          <w:color w:val="111111"/>
          <w:sz w:val="28"/>
          <w:sz w:val="28"/>
          <w:szCs w:val="28"/>
          <w:rtl w:val="true"/>
          <w:lang w:bidi="fa-IR"/>
        </w:rPr>
        <w:t>توان بالای علمی و به جای گذاردن آثار علمی مفید و منحصر به فرد، بسیار زاهدانه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معیشت وی بسیار ضعیف بود و در حال تنگدستی از دنیا رفت و از مال و ثروت دنیوی چیزی از خود به جای نگذاشت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علی اکبر غفاری و معرّفان پیش‌گفته، همگی اظهار داشتند که در سنین نوجوانی محضر درس شیخ محمّد نهاوندی را درک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اجتهاد، بلاغت، تقوا و مردمداری شیخ بر آنها محرز گردید</w:t>
      </w:r>
      <w:r>
        <w:rPr>
          <w:rFonts w:eastAsia="IRNazanin" w:cs="IRNazanin"/>
          <w:color w:val="111111"/>
          <w:sz w:val="28"/>
          <w:szCs w:val="28"/>
          <w:rtl w:val="true"/>
          <w:lang w:bidi="fa-IR"/>
        </w:rPr>
        <w:t>.</w:t>
      </w:r>
      <w:bookmarkStart w:id="56" w:name="pg4391_50929"/>
    </w:p>
    <w:p>
      <w:pPr>
        <w:pStyle w:val="Heading4"/>
        <w:numPr>
          <w:ilvl w:val="3"/>
          <w:numId w:val="1"/>
        </w:numPr>
        <w:rPr/>
      </w:pPr>
      <w:bookmarkStart w:id="57" w:name="__RefHeading___Toc1438625_1479056682"/>
      <w:bookmarkStart w:id="58" w:name="_Toc21"/>
      <w:bookmarkEnd w:id="56"/>
      <w:bookmarkEnd w:id="57"/>
      <w:r>
        <w:rPr>
          <w:rtl w:val="true"/>
        </w:rPr>
        <w:t xml:space="preserve">فصل دوم </w:t>
      </w:r>
      <w:r>
        <w:rPr>
          <w:rtl w:val="true"/>
        </w:rPr>
        <w:t xml:space="preserve">- </w:t>
      </w:r>
      <w:r>
        <w:rPr>
          <w:rtl w:val="true"/>
        </w:rPr>
        <w:t>ویژگی‌های کلّی تفسیر نفحات الرّحمن در یک نگاه</w:t>
      </w:r>
      <w:bookmarkEnd w:id="58"/>
    </w:p>
    <w:p>
      <w:pPr>
        <w:pStyle w:val="Heading5"/>
        <w:numPr>
          <w:ilvl w:val="4"/>
          <w:numId w:val="1"/>
        </w:numPr>
        <w:rPr/>
      </w:pPr>
      <w:bookmarkStart w:id="59" w:name="__RefHeading___Toc1438627_1479056682"/>
      <w:bookmarkStart w:id="60" w:name="_Toc22"/>
      <w:bookmarkEnd w:id="59"/>
      <w:r>
        <w:rPr>
          <w:rtl w:val="true"/>
        </w:rPr>
        <w:t>جنبه‌های مثبت</w:t>
      </w:r>
      <w:bookmarkEnd w:id="60"/>
    </w:p>
    <w:p>
      <w:pPr>
        <w:pStyle w:val="Heading6"/>
        <w:numPr>
          <w:ilvl w:val="5"/>
          <w:numId w:val="1"/>
        </w:numPr>
        <w:rPr/>
      </w:pPr>
      <w:bookmarkStart w:id="61" w:name="__RefHeading___Toc1438629_1479056682"/>
      <w:bookmarkStart w:id="62" w:name="_Toc23"/>
      <w:bookmarkEnd w:id="61"/>
      <w:r>
        <w:rPr/>
        <w:t>1</w:t>
      </w:r>
      <w:r>
        <w:rPr>
          <w:rtl w:val="true"/>
        </w:rPr>
        <w:t xml:space="preserve"> - </w:t>
      </w:r>
      <w:r>
        <w:rPr>
          <w:rtl w:val="true"/>
        </w:rPr>
        <w:t>تفسیر قرآن به قرآن</w:t>
      </w:r>
      <w:bookmarkEnd w:id="62"/>
    </w:p>
    <w:p>
      <w:pPr>
        <w:pStyle w:val="BookText"/>
        <w:rPr/>
      </w:pPr>
      <w:r>
        <w:rPr>
          <w:rFonts w:ascii="IRNazanin" w:hAnsi="IRNazanin" w:eastAsia="IRNazanin"/>
          <w:color w:val="111111"/>
          <w:sz w:val="28"/>
          <w:sz w:val="28"/>
          <w:szCs w:val="28"/>
          <w:rtl w:val="true"/>
          <w:lang w:bidi="fa-IR"/>
        </w:rPr>
        <w:t>یکی از ویژگی‌های مشهور در این تفسیر، استفسار متقابل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در مواضع مختلف کتاب، هرجا اقتضا داشته، در تفسیر آیات، به ویژه آیات متشابه، از آیات محکم قرآن کمک گرفته و این نکته به اثر وی اعتبار خاصّی بخشیده است؛ مثلاً در تفسیر آیات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بقره 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انعام به ترتیب به آیات</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نساء،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انبیاء،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بقره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آل عمران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مائده ارجاع داده است</w:t>
      </w:r>
      <w:r>
        <w:rPr>
          <w:rFonts w:eastAsia="IRNazanin" w:cs="IRNazanin"/>
          <w:color w:val="111111"/>
          <w:sz w:val="28"/>
          <w:szCs w:val="28"/>
          <w:rtl w:val="true"/>
          <w:lang w:bidi="fa-IR"/>
        </w:rPr>
        <w:t>.</w:t>
      </w:r>
      <w:r>
        <w:rPr>
          <w:rStyle w:val="FootnoteAnchor"/>
          <w:rtl w:val="true"/>
        </w:rPr>
        <w:footnoteReference w:id="22"/>
      </w:r>
    </w:p>
    <w:p>
      <w:pPr>
        <w:pStyle w:val="Heading6"/>
        <w:numPr>
          <w:ilvl w:val="5"/>
          <w:numId w:val="1"/>
        </w:numPr>
        <w:rPr/>
      </w:pPr>
      <w:bookmarkStart w:id="63" w:name="__RefHeading___Toc1438631_1479056682"/>
      <w:bookmarkStart w:id="64" w:name="_Toc24"/>
      <w:bookmarkEnd w:id="63"/>
      <w:r>
        <w:rPr/>
        <w:t>2</w:t>
      </w:r>
      <w:r>
        <w:rPr>
          <w:rtl w:val="true"/>
        </w:rPr>
        <w:t xml:space="preserve"> - </w:t>
      </w:r>
      <w:r>
        <w:rPr>
          <w:rtl w:val="true"/>
        </w:rPr>
        <w:t>تفسیر قرآن به روایات</w:t>
      </w:r>
      <w:bookmarkEnd w:id="64"/>
    </w:p>
    <w:p>
      <w:pPr>
        <w:pStyle w:val="BookText"/>
        <w:rPr/>
      </w:pPr>
      <w:r>
        <w:rPr>
          <w:rFonts w:ascii="IRNazanin" w:hAnsi="IRNazanin" w:eastAsia="IRNazanin"/>
          <w:color w:val="111111"/>
          <w:sz w:val="28"/>
          <w:sz w:val="28"/>
          <w:szCs w:val="28"/>
          <w:rtl w:val="true"/>
          <w:lang w:bidi="fa-IR"/>
        </w:rPr>
        <w:t>صبغه غالب در روش تفسیری مفسّر، استناد به روایات و اخبار پیامبر صلی‌الله‌علیه‌و‌آله، ائمّه</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اطهار علیهم‌السلام و پاره‌ای از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به گونه‌ای فراگیر دیده می‌شود که هر پژوهشگری در ابتدای امر تصور می‌کند، تفسیر وی از نوع تفاسیر مأثور است امّا چنین</w:t>
      </w:r>
      <w:bookmarkStart w:id="65" w:name="pg4391_50930"/>
    </w:p>
    <w:p>
      <w:pPr>
        <w:pStyle w:val="BookText"/>
        <w:rPr/>
      </w:pPr>
      <w:bookmarkEnd w:id="65"/>
      <w:r>
        <w:rPr>
          <w:rFonts w:ascii="IRNazanin" w:hAnsi="IRNazanin" w:eastAsia="IRNazanin"/>
          <w:color w:val="111111"/>
          <w:sz w:val="28"/>
          <w:sz w:val="28"/>
          <w:szCs w:val="28"/>
          <w:rtl w:val="true"/>
          <w:lang w:bidi="fa-IR"/>
        </w:rPr>
        <w:t xml:space="preserve">قضاوتی پا برجا نخواهد بود، مثلاً در تفسیر آیات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آل عمران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نبوی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مواضع دیگرِ تفسیر، به نقل روایات و اخبار فراوانی پرداخته است</w:t>
      </w:r>
      <w:r>
        <w:rPr>
          <w:rFonts w:eastAsia="IRNazanin" w:cs="IRNazanin"/>
          <w:color w:val="111111"/>
          <w:sz w:val="28"/>
          <w:szCs w:val="28"/>
          <w:rtl w:val="true"/>
          <w:lang w:bidi="fa-IR"/>
        </w:rPr>
        <w:t>.</w:t>
      </w:r>
      <w:r>
        <w:rPr>
          <w:rStyle w:val="FootnoteAnchor"/>
          <w:rtl w:val="true"/>
        </w:rPr>
        <w:footnoteReference w:id="23"/>
      </w:r>
    </w:p>
    <w:p>
      <w:pPr>
        <w:pStyle w:val="Heading6"/>
        <w:numPr>
          <w:ilvl w:val="5"/>
          <w:numId w:val="1"/>
        </w:numPr>
        <w:rPr/>
      </w:pPr>
      <w:bookmarkStart w:id="66" w:name="__RefHeading___Toc1438633_1479056682"/>
      <w:bookmarkStart w:id="67" w:name="_Toc25"/>
      <w:bookmarkEnd w:id="66"/>
      <w:r>
        <w:rPr/>
        <w:t>3</w:t>
      </w:r>
      <w:r>
        <w:rPr>
          <w:rtl w:val="true"/>
        </w:rPr>
        <w:t xml:space="preserve"> - </w:t>
      </w:r>
      <w:r>
        <w:rPr>
          <w:rtl w:val="true"/>
        </w:rPr>
        <w:t>اختصار در طرح مباحث ادبی، نحوی</w:t>
      </w:r>
      <w:bookmarkEnd w:id="67"/>
    </w:p>
    <w:p>
      <w:pPr>
        <w:pStyle w:val="BookText"/>
        <w:rPr/>
      </w:pPr>
      <w:r>
        <w:rPr>
          <w:rFonts w:ascii="IRNazanin" w:hAnsi="IRNazanin" w:eastAsia="IRNazanin"/>
          <w:color w:val="111111"/>
          <w:sz w:val="28"/>
          <w:sz w:val="28"/>
          <w:szCs w:val="28"/>
          <w:rtl w:val="true"/>
          <w:lang w:bidi="fa-IR"/>
        </w:rPr>
        <w:t>مفسّر از طرح مباحث ادبی و نحوی و بررسی نقش الفاظ و واژگان در آیات، خودداری ورزیده است، و این در حالی است که دیگر مفسّران بخشی از گفتار تفسیری خود را به تحلیل اِعراب الفاظِ مشکل اختصاص داده‌اند، مفسّر اگرچه به این اصل وفادار</w:t>
      </w:r>
    </w:p>
    <w:p>
      <w:pPr>
        <w:pStyle w:val="BookText"/>
        <w:rPr/>
      </w:pPr>
      <w:r>
        <w:rPr>
          <w:rFonts w:ascii="IRNazanin" w:hAnsi="IRNazanin" w:eastAsia="IRNazanin"/>
          <w:color w:val="111111"/>
          <w:sz w:val="28"/>
          <w:sz w:val="28"/>
          <w:szCs w:val="28"/>
          <w:rtl w:val="true"/>
          <w:lang w:bidi="fa-IR"/>
        </w:rPr>
        <w:t>نبوده امّا در ارائه تفسیر، مفاهیم صحیح الفاظ را که انطباق با اِعراب موردنظر مفسّر دارد، ارائه می‌دهد</w:t>
      </w:r>
      <w:r>
        <w:rPr>
          <w:rFonts w:eastAsia="IRNazanin" w:cs="IRNazanin"/>
          <w:color w:val="111111"/>
          <w:sz w:val="28"/>
          <w:szCs w:val="28"/>
          <w:rtl w:val="true"/>
          <w:lang w:bidi="fa-IR"/>
        </w:rPr>
        <w:t>.</w:t>
      </w:r>
    </w:p>
    <w:p>
      <w:pPr>
        <w:pStyle w:val="Heading6"/>
        <w:numPr>
          <w:ilvl w:val="5"/>
          <w:numId w:val="1"/>
        </w:numPr>
        <w:rPr/>
      </w:pPr>
      <w:bookmarkStart w:id="68" w:name="__RefHeading___Toc1438635_1479056682"/>
      <w:bookmarkStart w:id="69" w:name="_Toc26"/>
      <w:bookmarkEnd w:id="68"/>
      <w:r>
        <w:rPr/>
        <w:t>4</w:t>
      </w:r>
      <w:r>
        <w:rPr>
          <w:rtl w:val="true"/>
        </w:rPr>
        <w:t xml:space="preserve"> - </w:t>
      </w:r>
      <w:r>
        <w:rPr>
          <w:rtl w:val="true"/>
        </w:rPr>
        <w:t>اجتناب از طرح نظریات مختلف مربوط به وجوهِ قراءات</w:t>
      </w:r>
      <w:bookmarkEnd w:id="69"/>
    </w:p>
    <w:p>
      <w:pPr>
        <w:pStyle w:val="BookText"/>
        <w:rPr/>
      </w:pPr>
      <w:r>
        <w:rPr>
          <w:rFonts w:ascii="IRNazanin" w:hAnsi="IRNazanin" w:eastAsia="IRNazanin"/>
          <w:color w:val="111111"/>
          <w:sz w:val="28"/>
          <w:sz w:val="28"/>
          <w:szCs w:val="28"/>
          <w:rtl w:val="true"/>
          <w:lang w:bidi="fa-IR"/>
        </w:rPr>
        <w:t>مفسّر، پرداختن به وجوه مختلف قرائات را بیگانه از روح تفسیر می‌داند و در کمتر مواردی که به قرائات مختلف حتّی قرائات هفتگانه،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تفسیر خود، پای‌بندی خویش را به قراءت حفص از عاصم حفظ کرده و بنای تفسیر خود را بر همان نهاده و بدین ترتیب خواننده را از سردرگمی و تردید و بلا تکلیفی نجات داده است</w:t>
      </w:r>
      <w:r>
        <w:rPr>
          <w:rFonts w:eastAsia="IRNazanin" w:cs="IRNazanin"/>
          <w:color w:val="111111"/>
          <w:sz w:val="28"/>
          <w:szCs w:val="28"/>
          <w:rtl w:val="true"/>
          <w:lang w:bidi="fa-IR"/>
        </w:rPr>
        <w:t>.</w:t>
      </w:r>
    </w:p>
    <w:p>
      <w:pPr>
        <w:pStyle w:val="Heading6"/>
        <w:numPr>
          <w:ilvl w:val="5"/>
          <w:numId w:val="1"/>
        </w:numPr>
        <w:rPr/>
      </w:pPr>
      <w:bookmarkStart w:id="70" w:name="__RefHeading___Toc1438637_1479056682"/>
      <w:bookmarkStart w:id="71" w:name="_Toc27"/>
      <w:bookmarkEnd w:id="70"/>
      <w:r>
        <w:rPr/>
        <w:t>5</w:t>
      </w:r>
      <w:r>
        <w:rPr>
          <w:rtl w:val="true"/>
        </w:rPr>
        <w:t xml:space="preserve"> - </w:t>
      </w:r>
      <w:r>
        <w:rPr>
          <w:rtl w:val="true"/>
        </w:rPr>
        <w:t>مزجی بودن تفسیر</w:t>
      </w:r>
      <w:bookmarkEnd w:id="71"/>
    </w:p>
    <w:p>
      <w:pPr>
        <w:pStyle w:val="BookText"/>
        <w:rPr/>
      </w:pPr>
      <w:r>
        <w:rPr>
          <w:rFonts w:ascii="IRNazanin" w:hAnsi="IRNazanin" w:eastAsia="IRNazanin"/>
          <w:color w:val="111111"/>
          <w:sz w:val="28"/>
          <w:sz w:val="28"/>
          <w:szCs w:val="28"/>
          <w:rtl w:val="true"/>
          <w:lang w:bidi="fa-IR"/>
        </w:rPr>
        <w:t>تفسیر نفحات الرّحمن در دسته‌بندی کتب تفسیری در گروه تفاسیر مزجی قرار می‌گیرد زیرا متن تفسیر کتاب با پاره‌ای توضیحات تفسیری به زبان فارسی ممزوج شده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و خمیر مایه و متن اصلی تفسیر، به زبان عربی است امّا مفسّر قبل از پرداختن به متن اصلی، خلاصه تفسیر را به زبان فارسی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متن فارسی تفسیر هرگز مباحث فنّی و تخصّصی تفسیری را بیان نمی‌کند، ترجمه تفسیری</w:t>
      </w:r>
      <w:bookmarkStart w:id="72" w:name="pg4391_50931"/>
    </w:p>
    <w:p>
      <w:pPr>
        <w:pStyle w:val="BookText"/>
        <w:rPr/>
      </w:pPr>
      <w:bookmarkEnd w:id="72"/>
      <w:r>
        <w:rPr>
          <w:rFonts w:ascii="IRNazanin" w:hAnsi="IRNazanin" w:eastAsia="IRNazanin"/>
          <w:color w:val="111111"/>
          <w:sz w:val="28"/>
          <w:sz w:val="28"/>
          <w:szCs w:val="28"/>
          <w:rtl w:val="true"/>
          <w:lang w:bidi="fa-IR"/>
        </w:rPr>
        <w:t>آیات به انضمام کشف نسبت بین آیات از مهمترین اهداف بخش فارسی تفسیر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زمینه مناسبی را برای استفاده فارسی زبانان از تفسیر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فارسی تفسیر نفحات الرّحمن در یک نگاه کلّی و تقریبی،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 کلّ تفسیر را تشکیل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فارسی و عربی او متناسب ادبیات قرن چهاردهم بوده و شیوا و پرفایده است</w:t>
      </w:r>
      <w:r>
        <w:rPr>
          <w:rFonts w:eastAsia="IRNazanin" w:cs="IRNazanin"/>
          <w:color w:val="111111"/>
          <w:sz w:val="28"/>
          <w:szCs w:val="28"/>
          <w:rtl w:val="true"/>
          <w:lang w:bidi="fa-IR"/>
        </w:rPr>
        <w:t>.</w:t>
      </w:r>
    </w:p>
    <w:p>
      <w:pPr>
        <w:pStyle w:val="Heading6"/>
        <w:numPr>
          <w:ilvl w:val="5"/>
          <w:numId w:val="1"/>
        </w:numPr>
        <w:rPr/>
      </w:pPr>
      <w:bookmarkStart w:id="73" w:name="__RefHeading___Toc1438639_1479056682"/>
      <w:bookmarkStart w:id="74" w:name="_Toc28"/>
      <w:bookmarkEnd w:id="73"/>
      <w:r>
        <w:rPr/>
        <w:t>6</w:t>
      </w:r>
      <w:r>
        <w:rPr>
          <w:rtl w:val="true"/>
        </w:rPr>
        <w:t xml:space="preserve"> - </w:t>
      </w:r>
      <w:r>
        <w:rPr>
          <w:rtl w:val="true"/>
        </w:rPr>
        <w:t>توجّه به نظم آیات</w:t>
      </w:r>
      <w:bookmarkEnd w:id="74"/>
    </w:p>
    <w:p>
      <w:pPr>
        <w:pStyle w:val="BookText"/>
        <w:rPr/>
      </w:pPr>
      <w:r>
        <w:rPr>
          <w:rFonts w:ascii="IRNazanin" w:hAnsi="IRNazanin" w:eastAsia="IRNazanin"/>
          <w:color w:val="111111"/>
          <w:sz w:val="28"/>
          <w:sz w:val="28"/>
          <w:szCs w:val="28"/>
          <w:rtl w:val="true"/>
          <w:lang w:bidi="fa-IR"/>
        </w:rPr>
        <w:t>توجه فراوان به نظم آیات و سور و کشف مناسبات بین سوره‌ها و آیات، از جنبه‌های درخشان و چشمگیر این تفسیر به شمار می‌رود، و مفسّر همواره در تفسیر آیات به این اصل پایبندی نشان داده است و عروة الوثقایی را در درون آیات و سوره‌ها کشف کرده و بدین ترتیب به وجود ارتباط و سازگاری و وفاق خاصّی در سوره‌های قرآن قایل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75" w:name="__RefHeading___Toc1438641_1479056682"/>
      <w:bookmarkStart w:id="76" w:name="_Toc29"/>
      <w:bookmarkEnd w:id="75"/>
      <w:r>
        <w:rPr/>
        <w:t>7</w:t>
      </w:r>
      <w:r>
        <w:rPr>
          <w:rtl w:val="true"/>
        </w:rPr>
        <w:t xml:space="preserve"> - </w:t>
      </w:r>
      <w:r>
        <w:rPr>
          <w:rtl w:val="true"/>
        </w:rPr>
        <w:t>برخورداری از مقدّمه کامل</w:t>
      </w:r>
      <w:bookmarkEnd w:id="76"/>
    </w:p>
    <w:p>
      <w:pPr>
        <w:pStyle w:val="BookText"/>
        <w:rPr/>
      </w:pPr>
      <w:r>
        <w:rPr>
          <w:rFonts w:ascii="IRNazanin" w:hAnsi="IRNazanin" w:eastAsia="IRNazanin"/>
          <w:color w:val="111111"/>
          <w:sz w:val="28"/>
          <w:sz w:val="28"/>
          <w:szCs w:val="28"/>
          <w:rtl w:val="true"/>
          <w:lang w:bidi="fa-IR"/>
        </w:rPr>
        <w:t xml:space="preserve">برخورداری از مقدمه‌ای کامل و مفید از دیگر مشخّصه‌های قابل توجه نفحات‌الرّحمن به شمار می‌آید او به شیوه معمول مفسّران قبل از ورود به تفسیر، تحت عنوان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یا بخش به بیان مبادی و دیدگاههای خود پیرامون علوم قرآنی، تاریخ</w:t>
      </w:r>
    </w:p>
    <w:p>
      <w:pPr>
        <w:pStyle w:val="BookText"/>
        <w:rPr/>
      </w:pPr>
      <w:r>
        <w:rPr>
          <w:rFonts w:ascii="IRNazanin" w:hAnsi="IRNazanin" w:eastAsia="IRNazanin"/>
          <w:color w:val="111111"/>
          <w:sz w:val="28"/>
          <w:sz w:val="28"/>
          <w:szCs w:val="28"/>
          <w:rtl w:val="true"/>
          <w:lang w:bidi="fa-IR"/>
        </w:rPr>
        <w:t>قرآن، شروط تفسیر و فضایل آیات و سور، و دیگر موضوعات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این تفسیر به تنهایی و جدا از اصل کتاب، قابل توجه است و یکی از منابع آموزشی و پژوهشی شیعی در مباحث مربوط به علوم قرآن به شمار می‌رود، این مقدمه در مقایسه با</w:t>
      </w:r>
    </w:p>
    <w:p>
      <w:pPr>
        <w:pStyle w:val="BookText"/>
        <w:rPr/>
      </w:pPr>
      <w:r>
        <w:rPr>
          <w:rFonts w:ascii="IRNazanin" w:hAnsi="IRNazanin" w:eastAsia="IRNazanin"/>
          <w:color w:val="111111"/>
          <w:sz w:val="28"/>
          <w:sz w:val="28"/>
          <w:szCs w:val="28"/>
          <w:rtl w:val="true"/>
          <w:lang w:bidi="fa-IR"/>
        </w:rPr>
        <w:t>مقدمه دیگر متون تفسیری جامعتر بوده و می‌توان تا حدودی از آن به عنوان اثر مستقل شیعی در سلسله کاوشها و پژوهشهای مربوط به علوم قرآنی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آغاز هر بخش از گفتار خویش به جای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قولٌ، مقدّمةٌ،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جدید و لطیف یاد می‌کند و تا پایان مقدمه به ذکر چهل طُرفه پرداخته و زیر هر طُرفه بحث مستقلّی پیرامون قرآنشناسی تدارک دیده است</w:t>
      </w:r>
      <w:r>
        <w:rPr>
          <w:rFonts w:eastAsia="IRNazanin" w:cs="IRNazanin"/>
          <w:color w:val="111111"/>
          <w:sz w:val="28"/>
          <w:szCs w:val="28"/>
          <w:rtl w:val="true"/>
          <w:lang w:bidi="fa-IR"/>
        </w:rPr>
        <w:t>.</w:t>
      </w:r>
      <w:bookmarkStart w:id="77" w:name="pg4391_50932"/>
    </w:p>
    <w:p>
      <w:pPr>
        <w:pStyle w:val="Heading6"/>
        <w:numPr>
          <w:ilvl w:val="5"/>
          <w:numId w:val="1"/>
        </w:numPr>
        <w:rPr/>
      </w:pPr>
      <w:bookmarkStart w:id="78" w:name="__RefHeading___Toc1438643_1479056682"/>
      <w:bookmarkStart w:id="79" w:name="_Toc30"/>
      <w:bookmarkEnd w:id="77"/>
      <w:bookmarkEnd w:id="78"/>
      <w:r>
        <w:rPr/>
        <w:t>8</w:t>
      </w:r>
      <w:r>
        <w:rPr>
          <w:rtl w:val="true"/>
        </w:rPr>
        <w:t xml:space="preserve"> - </w:t>
      </w:r>
      <w:r>
        <w:rPr>
          <w:rtl w:val="true"/>
        </w:rPr>
        <w:t>دیدگاههای کلامی در تفسیر</w:t>
      </w:r>
      <w:bookmarkEnd w:id="79"/>
    </w:p>
    <w:p>
      <w:pPr>
        <w:pStyle w:val="BookText"/>
        <w:rPr/>
      </w:pPr>
      <w:r>
        <w:rPr>
          <w:rFonts w:ascii="IRNazanin" w:hAnsi="IRNazanin" w:eastAsia="IRNazanin"/>
          <w:color w:val="111111"/>
          <w:sz w:val="28"/>
          <w:sz w:val="28"/>
          <w:szCs w:val="28"/>
          <w:rtl w:val="true"/>
          <w:lang w:bidi="fa-IR"/>
        </w:rPr>
        <w:t>محمّد بن عبدالرّحیم نهاوندی به عنوان یک مفسّر شیعی به بیان دیدگاهی کلامی شیعه می‌پردازد و هرجا اقتضا نماید موضوعات کلامی را از نقطه نظرات کلام شیعی مورد نقد و بررسی قرار می‌دهد و به خوبی می‌تواند در تحلیل مسائل کلامی، قدرت و اقتدار کلام شیعه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پیرامون نسبت بین اراده انسان و اراده خداوند،</w:t>
      </w:r>
    </w:p>
    <w:p>
      <w:pPr>
        <w:pStyle w:val="BookText"/>
        <w:rPr/>
      </w:pPr>
      <w:r>
        <w:rPr>
          <w:rFonts w:ascii="IRNazanin" w:hAnsi="IRNazanin" w:eastAsia="IRNazanin"/>
          <w:color w:val="111111"/>
          <w:sz w:val="28"/>
          <w:sz w:val="28"/>
          <w:szCs w:val="28"/>
          <w:rtl w:val="true"/>
          <w:lang w:bidi="fa-IR"/>
        </w:rPr>
        <w:t>جبر و اختیار یا آزادی عمل در فعّالیتهای انسان، وجوب امر به معروف و نهی از منکر، امامت رکن تشیع و ولایت روح قرآن، صفات خداوند، عدل الهی، محال بودن تکلیف ما</w:t>
      </w:r>
    </w:p>
    <w:p>
      <w:pPr>
        <w:pStyle w:val="BookText"/>
        <w:rPr/>
      </w:pPr>
      <w:r>
        <w:rPr>
          <w:rFonts w:ascii="IRNazanin" w:hAnsi="IRNazanin" w:eastAsia="IRNazanin"/>
          <w:color w:val="111111"/>
          <w:sz w:val="28"/>
          <w:sz w:val="28"/>
          <w:szCs w:val="28"/>
          <w:rtl w:val="true"/>
          <w:lang w:bidi="fa-IR"/>
        </w:rPr>
        <w:t>لا یطاق، اعتقاد به شفاعت و توسّل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موضوعات کلامی در این تفسیر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جنبه‌های مثبت این تفسیر به ترتیب عبارت‌اند از</w:t>
      </w:r>
      <w:r>
        <w:rPr>
          <w:rFonts w:eastAsia="IRNazanin" w:cs="IRNazanin"/>
          <w:color w:val="111111"/>
          <w:sz w:val="28"/>
          <w:szCs w:val="28"/>
          <w:rtl w:val="true"/>
          <w:lang w:bidi="fa-IR"/>
        </w:rPr>
        <w:t>:</w:t>
      </w:r>
    </w:p>
    <w:p>
      <w:pPr>
        <w:pStyle w:val="Heading6"/>
        <w:numPr>
          <w:ilvl w:val="5"/>
          <w:numId w:val="1"/>
        </w:numPr>
        <w:rPr/>
      </w:pPr>
      <w:bookmarkStart w:id="80" w:name="__RefHeading___Toc1438645_1479056682"/>
      <w:bookmarkStart w:id="81" w:name="_Toc31"/>
      <w:bookmarkEnd w:id="80"/>
      <w:r>
        <w:rPr/>
        <w:t>9</w:t>
      </w:r>
      <w:r>
        <w:rPr>
          <w:rtl w:val="true"/>
        </w:rPr>
        <w:t xml:space="preserve"> - </w:t>
      </w:r>
      <w:r>
        <w:rPr>
          <w:rtl w:val="true"/>
        </w:rPr>
        <w:t>مذهبی بودن تفسیر</w:t>
      </w:r>
      <w:bookmarkEnd w:id="81"/>
    </w:p>
    <w:p>
      <w:pPr>
        <w:pStyle w:val="BookText"/>
        <w:rPr/>
      </w:pPr>
      <w:r>
        <w:rPr>
          <w:rFonts w:ascii="IRNazanin" w:hAnsi="IRNazanin" w:eastAsia="IRNazanin"/>
          <w:color w:val="111111"/>
          <w:sz w:val="28"/>
          <w:sz w:val="28"/>
          <w:szCs w:val="28"/>
          <w:rtl w:val="true"/>
          <w:lang w:bidi="fa-IR"/>
        </w:rPr>
        <w:t>اگر ویژگیهای تفسیرنگاری قرن چهاردهم قمری را در پنج نوع تفسیر علمی، اجتماعی، مذهبی، ادبی و الحادی تقسیم کنیم، تفسیر نفحات الرّحمن در گروه تفسیر</w:t>
      </w:r>
    </w:p>
    <w:p>
      <w:pPr>
        <w:pStyle w:val="BookText"/>
        <w:rPr/>
      </w:pPr>
      <w:r>
        <w:rPr>
          <w:rFonts w:ascii="IRNazanin" w:hAnsi="IRNazanin" w:eastAsia="IRNazanin"/>
          <w:color w:val="111111"/>
          <w:sz w:val="28"/>
          <w:sz w:val="28"/>
          <w:szCs w:val="28"/>
          <w:rtl w:val="true"/>
          <w:lang w:bidi="fa-IR"/>
        </w:rPr>
        <w:t>مذهبی قرار می‌گیرد</w:t>
      </w:r>
      <w:r>
        <w:rPr>
          <w:rFonts w:eastAsia="IRNazanin" w:cs="IRNazanin"/>
          <w:color w:val="111111"/>
          <w:sz w:val="28"/>
          <w:szCs w:val="28"/>
          <w:rtl w:val="true"/>
          <w:lang w:bidi="fa-IR"/>
        </w:rPr>
        <w:t>.</w:t>
      </w:r>
    </w:p>
    <w:p>
      <w:pPr>
        <w:pStyle w:val="Heading6"/>
        <w:numPr>
          <w:ilvl w:val="5"/>
          <w:numId w:val="1"/>
        </w:numPr>
        <w:rPr/>
      </w:pPr>
      <w:bookmarkStart w:id="82" w:name="__RefHeading___Toc1438647_1479056682"/>
      <w:bookmarkStart w:id="83" w:name="_Toc32"/>
      <w:bookmarkEnd w:id="82"/>
      <w:r>
        <w:rPr/>
        <w:t>10</w:t>
      </w:r>
      <w:r>
        <w:rPr>
          <w:rtl w:val="true"/>
        </w:rPr>
        <w:t xml:space="preserve"> - </w:t>
      </w:r>
      <w:r>
        <w:rPr>
          <w:rtl w:val="true"/>
        </w:rPr>
        <w:t>توجه به مسائل اجتماعی و عرفانی</w:t>
      </w:r>
      <w:bookmarkEnd w:id="83"/>
    </w:p>
    <w:p>
      <w:pPr>
        <w:pStyle w:val="BookText"/>
        <w:rPr/>
      </w:pPr>
      <w:r>
        <w:rPr>
          <w:rFonts w:ascii="IRNazanin" w:hAnsi="IRNazanin" w:eastAsia="IRNazanin"/>
          <w:color w:val="111111"/>
          <w:sz w:val="28"/>
          <w:sz w:val="28"/>
          <w:szCs w:val="28"/>
          <w:rtl w:val="true"/>
          <w:lang w:bidi="fa-IR"/>
        </w:rPr>
        <w:t>در این تفسیر به مسائل و مباحث اجتماعی و عرفانی و تاریخی توجّه خاصّی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84" w:name="__RefHeading___Toc1438649_1479056682"/>
      <w:bookmarkStart w:id="85" w:name="_Toc33"/>
      <w:bookmarkEnd w:id="84"/>
      <w:r>
        <w:rPr/>
        <w:t>11</w:t>
      </w:r>
      <w:r>
        <w:rPr>
          <w:rtl w:val="true"/>
        </w:rPr>
        <w:t xml:space="preserve"> - </w:t>
      </w:r>
      <w:r>
        <w:rPr>
          <w:rtl w:val="true"/>
        </w:rPr>
        <w:t>تفسیر مبهمات</w:t>
      </w:r>
      <w:bookmarkEnd w:id="85"/>
    </w:p>
    <w:p>
      <w:pPr>
        <w:pStyle w:val="BookText"/>
        <w:rPr/>
      </w:pPr>
      <w:r>
        <w:rPr>
          <w:rFonts w:ascii="IRNazanin" w:hAnsi="IRNazanin" w:eastAsia="IRNazanin"/>
          <w:color w:val="111111"/>
          <w:sz w:val="28"/>
          <w:sz w:val="28"/>
          <w:szCs w:val="28"/>
          <w:rtl w:val="true"/>
          <w:lang w:bidi="fa-IR"/>
        </w:rPr>
        <w:t>تفسیر مبهمات قرآن از ویژگیهای قابل توجّه این تفسیر است</w:t>
      </w:r>
      <w:r>
        <w:rPr>
          <w:rFonts w:eastAsia="IRNazanin" w:cs="IRNazanin"/>
          <w:color w:val="111111"/>
          <w:sz w:val="28"/>
          <w:szCs w:val="28"/>
          <w:rtl w:val="true"/>
          <w:lang w:bidi="fa-IR"/>
        </w:rPr>
        <w:t>.</w:t>
      </w:r>
    </w:p>
    <w:p>
      <w:pPr>
        <w:pStyle w:val="Heading6"/>
        <w:numPr>
          <w:ilvl w:val="5"/>
          <w:numId w:val="1"/>
        </w:numPr>
        <w:rPr/>
      </w:pPr>
      <w:bookmarkStart w:id="86" w:name="__RefHeading___Toc1438651_1479056682"/>
      <w:bookmarkStart w:id="87" w:name="_Toc34"/>
      <w:bookmarkEnd w:id="86"/>
      <w:r>
        <w:rPr/>
        <w:t>12</w:t>
      </w:r>
      <w:r>
        <w:rPr>
          <w:rtl w:val="true"/>
        </w:rPr>
        <w:t xml:space="preserve"> - </w:t>
      </w:r>
      <w:r>
        <w:rPr>
          <w:rtl w:val="true"/>
        </w:rPr>
        <w:t>توجه به اسباب نزول</w:t>
      </w:r>
      <w:bookmarkEnd w:id="8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اسباب نزول آیات و بررسی زمینه‌ها و وقایع منجر به نزول آیات یکی از</w:t>
      </w:r>
      <w:bookmarkStart w:id="88" w:name="pg4391_50933"/>
    </w:p>
    <w:p>
      <w:pPr>
        <w:pStyle w:val="BookText"/>
        <w:rPr/>
      </w:pPr>
      <w:bookmarkEnd w:id="88"/>
      <w:r>
        <w:rPr>
          <w:rFonts w:ascii="IRNazanin" w:hAnsi="IRNazanin" w:eastAsia="IRNazanin"/>
          <w:color w:val="111111"/>
          <w:sz w:val="28"/>
          <w:sz w:val="28"/>
          <w:szCs w:val="28"/>
          <w:rtl w:val="true"/>
          <w:lang w:bidi="fa-IR"/>
        </w:rPr>
        <w:t>نکات قابل توجّه در سرتاسر این تفسیر است</w:t>
      </w:r>
      <w:r>
        <w:rPr>
          <w:rFonts w:eastAsia="IRNazanin" w:cs="IRNazanin"/>
          <w:color w:val="111111"/>
          <w:sz w:val="28"/>
          <w:szCs w:val="28"/>
          <w:rtl w:val="true"/>
          <w:lang w:bidi="fa-IR"/>
        </w:rPr>
        <w:t>.</w:t>
      </w:r>
    </w:p>
    <w:p>
      <w:pPr>
        <w:pStyle w:val="Heading6"/>
        <w:numPr>
          <w:ilvl w:val="5"/>
          <w:numId w:val="1"/>
        </w:numPr>
        <w:rPr/>
      </w:pPr>
      <w:bookmarkStart w:id="89" w:name="__RefHeading___Toc1438653_1479056682"/>
      <w:bookmarkStart w:id="90" w:name="_Toc35"/>
      <w:bookmarkEnd w:id="89"/>
      <w:r>
        <w:rPr/>
        <w:t>13</w:t>
      </w:r>
      <w:r>
        <w:rPr>
          <w:rtl w:val="true"/>
        </w:rPr>
        <w:t xml:space="preserve"> - </w:t>
      </w:r>
      <w:r>
        <w:rPr>
          <w:rtl w:val="true"/>
        </w:rPr>
        <w:t>اجتهاد در تفسیر</w:t>
      </w:r>
      <w:bookmarkEnd w:id="90"/>
    </w:p>
    <w:p>
      <w:pPr>
        <w:pStyle w:val="BookText"/>
        <w:rPr/>
      </w:pPr>
      <w:r>
        <w:rPr>
          <w:rFonts w:ascii="IRNazanin" w:hAnsi="IRNazanin" w:eastAsia="IRNazanin"/>
          <w:color w:val="111111"/>
          <w:sz w:val="28"/>
          <w:sz w:val="28"/>
          <w:szCs w:val="28"/>
          <w:rtl w:val="true"/>
          <w:lang w:bidi="fa-IR"/>
        </w:rPr>
        <w:t>اجتهاد در تفسیر و تحلیل آیات بر مبنای مبانی کلامی و عرفانی شیعه از ویژگیهای مشهود در این تفسیر است</w:t>
      </w:r>
      <w:r>
        <w:rPr>
          <w:rFonts w:eastAsia="IRNazanin" w:cs="IRNazanin"/>
          <w:color w:val="111111"/>
          <w:sz w:val="28"/>
          <w:szCs w:val="28"/>
          <w:rtl w:val="true"/>
          <w:lang w:bidi="fa-IR"/>
        </w:rPr>
        <w:t>.</w:t>
      </w:r>
    </w:p>
    <w:p>
      <w:pPr>
        <w:pStyle w:val="Heading6"/>
        <w:numPr>
          <w:ilvl w:val="5"/>
          <w:numId w:val="1"/>
        </w:numPr>
        <w:rPr/>
      </w:pPr>
      <w:bookmarkStart w:id="91" w:name="__RefHeading___Toc1438655_1479056682"/>
      <w:bookmarkStart w:id="92" w:name="_Toc36"/>
      <w:bookmarkEnd w:id="91"/>
      <w:r>
        <w:rPr/>
        <w:t>14</w:t>
      </w:r>
      <w:r>
        <w:rPr>
          <w:rtl w:val="true"/>
        </w:rPr>
        <w:t xml:space="preserve"> - </w:t>
      </w:r>
      <w:r>
        <w:rPr>
          <w:rtl w:val="true"/>
        </w:rPr>
        <w:t>توجّه به منابع تفسیری اهل تسنّن</w:t>
      </w:r>
      <w:bookmarkEnd w:id="92"/>
    </w:p>
    <w:p>
      <w:pPr>
        <w:pStyle w:val="BookText"/>
        <w:rPr/>
      </w:pPr>
      <w:r>
        <w:rPr>
          <w:rFonts w:ascii="IRNazanin" w:hAnsi="IRNazanin" w:eastAsia="IRNazanin"/>
          <w:color w:val="111111"/>
          <w:sz w:val="28"/>
          <w:sz w:val="28"/>
          <w:szCs w:val="28"/>
          <w:rtl w:val="true"/>
          <w:lang w:bidi="fa-IR"/>
        </w:rPr>
        <w:t>مراجعه به منابع و مآخذ تفسیری اهل تسنّن و اِشراف مفسّر بر دیدگاههای تفسیری مفسّران مذاهب مختلف اسلامی در کمال علمی تفسیر نفحات الرّحمن نقش خاصّی داشته و مفسّر را از اتهام یک‌سو نگری در تفسیر دور کرده است</w:t>
      </w:r>
      <w:r>
        <w:rPr>
          <w:rFonts w:eastAsia="IRNazanin" w:cs="IRNazanin"/>
          <w:color w:val="111111"/>
          <w:sz w:val="28"/>
          <w:szCs w:val="28"/>
          <w:rtl w:val="true"/>
          <w:lang w:bidi="fa-IR"/>
        </w:rPr>
        <w:t>.</w:t>
      </w:r>
    </w:p>
    <w:p>
      <w:pPr>
        <w:pStyle w:val="Heading6"/>
        <w:numPr>
          <w:ilvl w:val="5"/>
          <w:numId w:val="1"/>
        </w:numPr>
        <w:rPr/>
      </w:pPr>
      <w:bookmarkStart w:id="93" w:name="__RefHeading___Toc1438657_1479056682"/>
      <w:bookmarkStart w:id="94" w:name="_Toc37"/>
      <w:bookmarkEnd w:id="93"/>
      <w:r>
        <w:rPr/>
        <w:t>15</w:t>
      </w:r>
      <w:r>
        <w:rPr>
          <w:rtl w:val="true"/>
        </w:rPr>
        <w:t xml:space="preserve"> - </w:t>
      </w:r>
      <w:r>
        <w:rPr>
          <w:rtl w:val="true"/>
        </w:rPr>
        <w:t>توجّه به اصل امامت</w:t>
      </w:r>
      <w:bookmarkEnd w:id="94"/>
    </w:p>
    <w:p>
      <w:pPr>
        <w:pStyle w:val="BookText"/>
        <w:rPr/>
      </w:pPr>
      <w:r>
        <w:rPr>
          <w:rFonts w:ascii="IRNazanin" w:hAnsi="IRNazanin" w:eastAsia="IRNazanin"/>
          <w:color w:val="111111"/>
          <w:sz w:val="28"/>
          <w:sz w:val="28"/>
          <w:szCs w:val="28"/>
          <w:rtl w:val="true"/>
          <w:lang w:bidi="fa-IR"/>
        </w:rPr>
        <w:t>امامت و ولایت ائمّه اطهار علیهم‌السلام به عنوان نقطه ثقل گفتارهای تفسیری این کتاب به شمار می‌رود و ما در بخش مستقلّی پیرامون امامت و ولایت در تفسیر نفحات الرّحمندر این خصوص سخن گفته‌ایم</w:t>
      </w:r>
      <w:r>
        <w:rPr>
          <w:rFonts w:eastAsia="IRNazanin" w:cs="IRNazanin"/>
          <w:color w:val="111111"/>
          <w:sz w:val="28"/>
          <w:szCs w:val="28"/>
          <w:rtl w:val="true"/>
          <w:lang w:bidi="fa-IR"/>
        </w:rPr>
        <w:t>.</w:t>
      </w:r>
    </w:p>
    <w:p>
      <w:pPr>
        <w:pStyle w:val="Heading6"/>
        <w:numPr>
          <w:ilvl w:val="5"/>
          <w:numId w:val="1"/>
        </w:numPr>
        <w:rPr/>
      </w:pPr>
      <w:bookmarkStart w:id="95" w:name="__RefHeading___Toc1438659_1479056682"/>
      <w:bookmarkStart w:id="96" w:name="_Toc38"/>
      <w:bookmarkEnd w:id="95"/>
      <w:r>
        <w:rPr/>
        <w:t>16</w:t>
      </w:r>
      <w:r>
        <w:rPr>
          <w:rtl w:val="true"/>
        </w:rPr>
        <w:t xml:space="preserve"> - </w:t>
      </w:r>
      <w:r>
        <w:rPr>
          <w:rtl w:val="true"/>
        </w:rPr>
        <w:t>تفسیر آیات الاحکام</w:t>
      </w:r>
      <w:bookmarkEnd w:id="96"/>
    </w:p>
    <w:p>
      <w:pPr>
        <w:pStyle w:val="BookText"/>
        <w:rPr/>
      </w:pPr>
      <w:r>
        <w:rPr>
          <w:rFonts w:ascii="IRNazanin" w:hAnsi="IRNazanin" w:eastAsia="IRNazanin"/>
          <w:color w:val="111111"/>
          <w:sz w:val="28"/>
          <w:sz w:val="28"/>
          <w:szCs w:val="28"/>
          <w:rtl w:val="true"/>
          <w:lang w:bidi="fa-IR"/>
        </w:rPr>
        <w:t>همان گونه که در شرح حال مفسّ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آمده، رجال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ناسان از محمّد بن عبدالرّحیم شیخ محمد نهاوندی به عنوان فقیه و اصولی بزرگ یاد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فقهی و اصولی مفسّر، او را در تفسیر آیات الاحکام یاری کرده و تخصّص وی هنگام تفسیر این گونه آیات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حقیقت را نباید از خاطر دور دانست که اصولی و فقیه بودن مفسّر، تفسیر او را در شمار تفاسیر فقهی محدود نکرده است</w:t>
      </w:r>
      <w:r>
        <w:rPr>
          <w:rFonts w:eastAsia="IRNazanin" w:cs="IRNazanin"/>
          <w:color w:val="111111"/>
          <w:sz w:val="28"/>
          <w:szCs w:val="28"/>
          <w:rtl w:val="true"/>
          <w:lang w:bidi="fa-IR"/>
        </w:rPr>
        <w:t>.</w:t>
      </w:r>
    </w:p>
    <w:p>
      <w:pPr>
        <w:pStyle w:val="Heading6"/>
        <w:numPr>
          <w:ilvl w:val="5"/>
          <w:numId w:val="1"/>
        </w:numPr>
        <w:rPr/>
      </w:pPr>
      <w:bookmarkStart w:id="97" w:name="__RefHeading___Toc1438661_1479056682"/>
      <w:bookmarkStart w:id="98" w:name="_Toc39"/>
      <w:bookmarkEnd w:id="97"/>
      <w:r>
        <w:rPr/>
        <w:t>17</w:t>
      </w:r>
      <w:r>
        <w:rPr>
          <w:rtl w:val="true"/>
        </w:rPr>
        <w:t xml:space="preserve"> - </w:t>
      </w:r>
      <w:r>
        <w:rPr>
          <w:rtl w:val="true"/>
        </w:rPr>
        <w:t>گستردگی موضوعات تفسیری</w:t>
      </w:r>
      <w:bookmarkEnd w:id="98"/>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تفسیر نفحات الرّحمن، گویای آن است که مفسّر، در هر زمینه‌ای که اقتضا</w:t>
      </w:r>
      <w:bookmarkStart w:id="99" w:name="pg4391_50934"/>
    </w:p>
    <w:p>
      <w:pPr>
        <w:pStyle w:val="BookText"/>
        <w:rPr/>
      </w:pPr>
      <w:bookmarkEnd w:id="99"/>
      <w:r>
        <w:rPr>
          <w:rFonts w:ascii="IRNazanin" w:hAnsi="IRNazanin" w:eastAsia="IRNazanin"/>
          <w:color w:val="111111"/>
          <w:sz w:val="28"/>
          <w:sz w:val="28"/>
          <w:szCs w:val="28"/>
          <w:rtl w:val="true"/>
          <w:lang w:bidi="fa-IR"/>
        </w:rPr>
        <w:t>کرده، بر اساس مدارک و منابع پیش فرض خویش به بیان تفسیری پرداخته و گستردگی بیانات وی موجب شده است تفسیر وی، دربردارنده مباحث و مسائل مختلف دین‌شناسی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پیرامون مسائل اخلاقی، کلامی، فقهی، تاریخی، عرفانی و گاه فلسفی و حدیث‌شناسی، تفسیر او را به یک دائرة المعارف تبدیل کرده است</w:t>
      </w:r>
      <w:r>
        <w:rPr>
          <w:rFonts w:eastAsia="IRNazanin" w:cs="IRNazanin"/>
          <w:color w:val="111111"/>
          <w:sz w:val="28"/>
          <w:szCs w:val="28"/>
          <w:rtl w:val="true"/>
          <w:lang w:bidi="fa-IR"/>
        </w:rPr>
        <w:t>.</w:t>
      </w:r>
    </w:p>
    <w:p>
      <w:pPr>
        <w:pStyle w:val="Heading6"/>
        <w:numPr>
          <w:ilvl w:val="5"/>
          <w:numId w:val="1"/>
        </w:numPr>
        <w:rPr/>
      </w:pPr>
      <w:bookmarkStart w:id="100" w:name="__RefHeading___Toc1438663_1479056682"/>
      <w:bookmarkStart w:id="101" w:name="_Toc40"/>
      <w:bookmarkEnd w:id="100"/>
      <w:r>
        <w:rPr/>
        <w:t>18</w:t>
      </w:r>
      <w:r>
        <w:rPr>
          <w:rtl w:val="true"/>
        </w:rPr>
        <w:t xml:space="preserve"> - </w:t>
      </w:r>
      <w:r>
        <w:rPr>
          <w:rtl w:val="true"/>
        </w:rPr>
        <w:t>قرآن منشأ علوم</w:t>
      </w:r>
      <w:bookmarkEnd w:id="101"/>
    </w:p>
    <w:p>
      <w:pPr>
        <w:pStyle w:val="BookText"/>
        <w:rPr/>
      </w:pPr>
      <w:r>
        <w:rPr>
          <w:rFonts w:ascii="IRNazanin" w:hAnsi="IRNazanin" w:eastAsia="IRNazanin"/>
          <w:color w:val="111111"/>
          <w:sz w:val="28"/>
          <w:sz w:val="28"/>
          <w:szCs w:val="28"/>
          <w:rtl w:val="true"/>
          <w:lang w:bidi="fa-IR"/>
        </w:rPr>
        <w:t>اگرچه از این تفسیر نمی‌توان به عنوان تفسیر علمی یاد کرد امّا اعتقاد مفسّر بر آن است که قرآن مشوّق انسان به فراگیری علوم است و هیچ علم و دانشی نیست مگر آن که قرآن به فراگیری آن توجه نشان داده و سرنخ و سر منشأ تمام علوم در قرآن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خصوص اعتقاد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العظیم قد اشتمل علی کلّ شیءٍ امّا أنواع العلوم، فلیس منها باب ولا مسألةٌ هی</w:t>
      </w:r>
    </w:p>
    <w:p>
      <w:pPr>
        <w:pStyle w:val="BookText"/>
        <w:rPr/>
      </w:pPr>
      <w:r>
        <w:rPr>
          <w:rFonts w:ascii="Amiri" w:hAnsi="Amiri" w:eastAsia="Amiri" w:cs="Amiri"/>
          <w:color w:val="111111"/>
          <w:sz w:val="28"/>
          <w:sz w:val="28"/>
          <w:szCs w:val="28"/>
          <w:rtl w:val="true"/>
          <w:lang w:bidi="ar-SA"/>
        </w:rPr>
        <w:t>أصلٌ إلاّ وفی القرآن ما یدلّ علیها</w:t>
      </w:r>
      <w:r>
        <w:rPr>
          <w:rFonts w:eastAsia="Amiri" w:cs="Amiri" w:ascii="Amiri" w:hAnsi="Amiri"/>
          <w:color w:val="111111"/>
          <w:sz w:val="28"/>
          <w:szCs w:val="28"/>
          <w:rtl w:val="true"/>
          <w:lang w:bidi="ar-SA"/>
        </w:rPr>
        <w:t xml:space="preserve">... »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2" w:name="__RefHeading___Toc1438665_1479056682"/>
      <w:bookmarkStart w:id="103" w:name="_Toc41"/>
      <w:bookmarkEnd w:id="102"/>
      <w:r>
        <w:rPr/>
        <w:t>19</w:t>
      </w:r>
      <w:r>
        <w:rPr>
          <w:rtl w:val="true"/>
        </w:rPr>
        <w:t xml:space="preserve"> - </w:t>
      </w:r>
      <w:r>
        <w:rPr>
          <w:rtl w:val="true"/>
        </w:rPr>
        <w:t>پایان ناپذیری تفسیر</w:t>
      </w:r>
      <w:bookmarkEnd w:id="103"/>
    </w:p>
    <w:p>
      <w:pPr>
        <w:pStyle w:val="BookText"/>
        <w:rPr/>
      </w:pPr>
      <w:r>
        <w:rPr>
          <w:rFonts w:ascii="IRNazanin" w:hAnsi="IRNazanin" w:eastAsia="IRNazanin"/>
          <w:color w:val="111111"/>
          <w:sz w:val="28"/>
          <w:sz w:val="28"/>
          <w:szCs w:val="28"/>
          <w:rtl w:val="true"/>
          <w:lang w:bidi="fa-IR"/>
        </w:rPr>
        <w:t>اعتقاد به پایان ناپذیری تفسیر قرآن از دیگر عقاید مفسّر است که موجب شده از تفسیر او به عنوان فصل الختام یا سخن پایان در تفسیر یا مطلق انگاری در تفسیر قرآن یاد</w:t>
      </w:r>
    </w:p>
    <w:p>
      <w:pPr>
        <w:pStyle w:val="BookText"/>
        <w:rPr/>
      </w:pP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از برداشتهای تفسیری خود، به عنوان آخرین سخن قرآن یا آخرین فهم از قرآن یاد نمی‌کند زیرا به اعتقاد وی قرآن دارای ظواهر و بواطن متعدّدی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هر بطنی از بطون قرآن در حکم ظاهری خواهد بود که باطن دیگری را در درون خود جای داده است</w:t>
      </w:r>
      <w:r>
        <w:rPr>
          <w:rFonts w:eastAsia="IRNazanin" w:cs="IRNazanin"/>
          <w:color w:val="111111"/>
          <w:sz w:val="28"/>
          <w:szCs w:val="28"/>
          <w:rtl w:val="true"/>
          <w:lang w:bidi="fa-IR"/>
        </w:rPr>
        <w:t>.</w:t>
      </w:r>
    </w:p>
    <w:p>
      <w:pPr>
        <w:pStyle w:val="Heading6"/>
        <w:numPr>
          <w:ilvl w:val="5"/>
          <w:numId w:val="1"/>
        </w:numPr>
        <w:rPr/>
      </w:pPr>
      <w:bookmarkStart w:id="104" w:name="__RefHeading___Toc1438667_1479056682"/>
      <w:bookmarkStart w:id="105" w:name="_Toc42"/>
      <w:bookmarkEnd w:id="104"/>
      <w:r>
        <w:rPr/>
        <w:t>20</w:t>
      </w:r>
      <w:r>
        <w:rPr>
          <w:rtl w:val="true"/>
        </w:rPr>
        <w:t xml:space="preserve"> - </w:t>
      </w:r>
      <w:r>
        <w:rPr>
          <w:rtl w:val="true"/>
        </w:rPr>
        <w:t>گستردگی مصادر و منابع تفسیری</w:t>
      </w:r>
      <w:bookmarkEnd w:id="10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که مفسّر در انتهای مقدّمه تفسیر بیان داشته وی در تنظیم و تألیف اثر</w:t>
      </w:r>
      <w:bookmarkStart w:id="106" w:name="pg4391_50935"/>
    </w:p>
    <w:p>
      <w:pPr>
        <w:pStyle w:val="BookText"/>
        <w:rPr/>
      </w:pPr>
      <w:bookmarkEnd w:id="106"/>
      <w:r>
        <w:rPr>
          <w:rFonts w:ascii="IRNazanin" w:hAnsi="IRNazanin" w:eastAsia="IRNazanin"/>
          <w:color w:val="111111"/>
          <w:sz w:val="28"/>
          <w:sz w:val="28"/>
          <w:szCs w:val="28"/>
          <w:rtl w:val="true"/>
          <w:lang w:bidi="fa-IR"/>
        </w:rPr>
        <w:t>علمی خویش از مصادر و منابع متعدّد فریقین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استثناء از کتب اربعه شیعه و آثار محدّثین متقدّم و متأخّر به طور کامل بهره گرفته و از جوامع حدیثی اهل تسنّن و کتب تفسیری آنان و نیز از آثار قرآنپژوهان مذاهب مختلف اسلامی با تکیه بر دیدگاههای مفسّران و قرآن پژوهان شیعی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بررسی که در سرتاسر نفحات الرّحمن به عمل آمده است، شاهد ارجاعات و استنادات مفسّر به بیش</w:t>
      </w:r>
    </w:p>
    <w:p>
      <w:pPr>
        <w:pStyle w:val="BookText"/>
        <w:rPr/>
      </w:pPr>
      <w:r>
        <w:rPr>
          <w:rFonts w:ascii="IRNazanin" w:hAnsi="IRNazanin" w:eastAsia="IRNazanin"/>
          <w:color w:val="111111"/>
          <w:sz w:val="28"/>
          <w:sz w:val="28"/>
          <w:szCs w:val="28"/>
          <w:rtl w:val="true"/>
          <w:lang w:bidi="fa-IR"/>
        </w:rPr>
        <w:t xml:space="preserve">از پنجاه اثر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حدیث شناسی، کلامی،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w:t>
      </w:r>
    </w:p>
    <w:p>
      <w:pPr>
        <w:pStyle w:val="Heading6"/>
        <w:numPr>
          <w:ilvl w:val="5"/>
          <w:numId w:val="1"/>
        </w:numPr>
        <w:rPr/>
      </w:pPr>
      <w:bookmarkStart w:id="107" w:name="__RefHeading___Toc1438669_1479056682"/>
      <w:bookmarkStart w:id="108" w:name="_Toc43"/>
      <w:bookmarkEnd w:id="107"/>
      <w:r>
        <w:rPr/>
        <w:t>21</w:t>
      </w:r>
      <w:r>
        <w:rPr>
          <w:rtl w:val="true"/>
        </w:rPr>
        <w:t xml:space="preserve"> - </w:t>
      </w:r>
      <w:r>
        <w:rPr>
          <w:rtl w:val="true"/>
        </w:rPr>
        <w:t>تحلیل روایات</w:t>
      </w:r>
      <w:bookmarkEnd w:id="108"/>
    </w:p>
    <w:p>
      <w:pPr>
        <w:pStyle w:val="BookText"/>
        <w:rPr/>
      </w:pPr>
      <w:r>
        <w:rPr>
          <w:rFonts w:ascii="IRNazanin" w:hAnsi="IRNazanin" w:eastAsia="IRNazanin"/>
          <w:color w:val="111111"/>
          <w:sz w:val="28"/>
          <w:sz w:val="28"/>
          <w:szCs w:val="28"/>
          <w:rtl w:val="true"/>
          <w:lang w:bidi="fa-IR"/>
        </w:rPr>
        <w:t>فراوانی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تنادات و 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اعات روایی مفسّر در نفحات الرّحمن کاملاً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بحثهای رجال شناسی و حدیث شناسی در این گونه آثار، از نشانه‌های وثاقت و اعتبار آن به شمار می‌رود؛ اگرچه مقدار مباحث درایی و رجالیی که در این کتاب مشاهده</w:t>
      </w:r>
    </w:p>
    <w:p>
      <w:pPr>
        <w:pStyle w:val="BookText"/>
        <w:rPr/>
      </w:pPr>
      <w:r>
        <w:rPr>
          <w:rFonts w:ascii="IRNazanin" w:hAnsi="IRNazanin" w:eastAsia="IRNazanin"/>
          <w:color w:val="111111"/>
          <w:sz w:val="28"/>
          <w:sz w:val="28"/>
          <w:szCs w:val="28"/>
          <w:rtl w:val="true"/>
          <w:lang w:bidi="fa-IR"/>
        </w:rPr>
        <w:t xml:space="preserve">می‌شود، نسبت به فراوانی استنادات و ارجاعات روایی کتاب، کم است امّا مفسّر هر جا نیاز داشته به تحلیل و ارزیابی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و متن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مقدمه کتاب،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الطُّرفة الثانیة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گروه زیادی از روایات و اخبار که موضوع آن وجوب و استحباب ذکر پاره‌ای از اذکار و کلمات پس از تلاوت برخی آیات قرآن است،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این گونه روایات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 إنّ هذهِ الروایات إمّا عامیّةٌ أو إمامیّة ضعیفةٌ لا یمکن أنْ یُعتمد علیها فی إثبات حکم شرعی حتّی یجوز قصد التعبّد والورود بما تضمّنها خصوصا فی الصلوة إذ لم یکن من ذکر اللّه</w:t>
      </w:r>
    </w:p>
    <w:p>
      <w:pPr>
        <w:pStyle w:val="BookText"/>
        <w:rPr/>
      </w:pPr>
      <w:r>
        <w:rPr>
          <w:rFonts w:ascii="Amiri" w:hAnsi="Amiri" w:eastAsia="Amiri" w:cs="Amiri"/>
          <w:color w:val="111111"/>
          <w:sz w:val="28"/>
          <w:sz w:val="28"/>
          <w:szCs w:val="28"/>
          <w:rtl w:val="true"/>
          <w:lang w:bidi="ar-SA"/>
        </w:rPr>
        <w:t>أو من الدُّعاء</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هر مورد که علم و تحقیقات او اجازه داده قبل یا بعد از نقل روایت به تحلیل</w:t>
      </w:r>
    </w:p>
    <w:p>
      <w:pPr>
        <w:pStyle w:val="BookText"/>
        <w:rPr/>
      </w:pPr>
      <w:r>
        <w:rPr>
          <w:rFonts w:ascii="IRNazanin" w:hAnsi="IRNazanin" w:eastAsia="IRNazanin"/>
          <w:color w:val="111111"/>
          <w:sz w:val="28"/>
          <w:sz w:val="28"/>
          <w:szCs w:val="28"/>
          <w:rtl w:val="true"/>
          <w:lang w:bidi="fa-IR"/>
        </w:rPr>
        <w:t>نوع سند یا روایت پرداخته است، مثلاً هنگام بحث پیرامون فضیلت برخی آیات و سور نسبت به برخی سور و آیات دیگر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روایة مرسلة، أفضل القرآن سورة البقرة وأعظم آیة فیها آیة الکرسی</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bookmarkStart w:id="109" w:name="pg4391_50936"/>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تحلیل آن دسته اخبار و روایاتی که در منابع حدیثی عامّه پیرامون نسخ تلاوت ذکر شده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عدّ جمع من العامّة من أقسام النسخ، نسخ التلاوة وذکروا لذلک أمثلة من عباراتٍ مرویّةٍ</w:t>
      </w:r>
    </w:p>
    <w:p>
      <w:pPr>
        <w:pStyle w:val="BookText"/>
        <w:rPr/>
      </w:pPr>
      <w:r>
        <w:rPr>
          <w:rFonts w:ascii="IRNazanin" w:hAnsi="IRNazanin" w:eastAsia="IRNazanin"/>
          <w:color w:val="111111"/>
          <w:sz w:val="28"/>
          <w:sz w:val="28"/>
          <w:szCs w:val="28"/>
          <w:rtl w:val="true"/>
          <w:lang w:bidi="fa-IR"/>
        </w:rPr>
        <w:t>عن عمر و ابنه عبداللّه وعایشة وغیرهم من الصحابة، وهذا من الأغلاط المشهورة بینهم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گاه در تحلیل روایات و اخبار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والعبارات المنقولة الّتی قالوا إنّها من الآیات المنسوخة التلاوة لا تشبه کلمات فصحاء العرب فَضْلاً عن آیات القرآن المجید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والمتأمّل المنصف یقطع بأ نّها ممّا اختلقه المنافقون</w:t>
      </w:r>
    </w:p>
    <w:p>
      <w:pPr>
        <w:pStyle w:val="BookText"/>
        <w:rPr/>
      </w:pPr>
      <w:r>
        <w:rPr>
          <w:rFonts w:ascii="IRNazanin" w:hAnsi="IRNazanin" w:eastAsia="IRNazanin"/>
          <w:color w:val="111111"/>
          <w:sz w:val="28"/>
          <w:sz w:val="28"/>
          <w:szCs w:val="28"/>
          <w:rtl w:val="true"/>
          <w:lang w:bidi="fa-IR"/>
        </w:rPr>
        <w:t>لتخریب أساس الدین وتوهین الکتاب المبین</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عنوان یک پاسخ نقضی در ردّ اعتبار این گونه اخبار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ویؤیِّد ذلک بل یشهد علیه أنّه لم ینقل عن أمیر المؤمنین علیه‌السلام وابن عباس والمعتمدین من</w:t>
      </w:r>
    </w:p>
    <w:p>
      <w:pPr>
        <w:pStyle w:val="BookText"/>
        <w:rPr/>
      </w:pPr>
      <w:r>
        <w:rPr>
          <w:rFonts w:ascii="IRNazanin" w:hAnsi="IRNazanin" w:eastAsia="IRNazanin"/>
          <w:color w:val="111111"/>
          <w:sz w:val="28"/>
          <w:sz w:val="28"/>
          <w:szCs w:val="28"/>
          <w:rtl w:val="true"/>
          <w:lang w:bidi="fa-IR"/>
        </w:rPr>
        <w:t xml:space="preserve">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أمثال هذه الروایات مع کونهم أعرف بآیات القرآن من غیرهم والعجب من بعض العامّة حیث إنّهم أنکروا هذا القسم من النسخ ونفوا کون هذه العبارات المنقولة من القرآن، مستدلاًّ بأنّ الأخبار الواردة أخبار آحاد ولا یجوز القطع علی انزال القرآن ونسخه بأخبار الآحاد</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 w:name="__RefHeading___Toc1438671_1479056682"/>
      <w:bookmarkStart w:id="111" w:name="_Toc44"/>
      <w:bookmarkEnd w:id="110"/>
      <w:r>
        <w:rPr>
          <w:rtl w:val="true"/>
        </w:rPr>
        <w:t>جنبه‌های منفی یا کاستی‌های تفسیر</w:t>
      </w:r>
      <w:bookmarkEnd w:id="111"/>
    </w:p>
    <w:p>
      <w:pPr>
        <w:pStyle w:val="Heading6"/>
        <w:numPr>
          <w:ilvl w:val="5"/>
          <w:numId w:val="1"/>
        </w:numPr>
        <w:rPr/>
      </w:pPr>
      <w:bookmarkStart w:id="112" w:name="__RefHeading___Toc1438673_1479056682"/>
      <w:bookmarkStart w:id="113" w:name="_Toc45"/>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تفسیر نفحات الرّحمن مانند دیگر متون تفسیری در عین برخورداری از ویژگی‌های مثبت و قابل توجه، نواقص و کاستی‌هایی نیز در آن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پاره‌ای از این کاستی‌ها اشاره می‌شود</w:t>
      </w:r>
      <w:r>
        <w:rPr>
          <w:rFonts w:eastAsia="IRNazanin" w:cs="IRNazanin"/>
          <w:color w:val="111111"/>
          <w:sz w:val="28"/>
          <w:szCs w:val="28"/>
          <w:rtl w:val="true"/>
          <w:lang w:bidi="fa-IR"/>
        </w:rPr>
        <w:t>.</w:t>
      </w:r>
    </w:p>
    <w:p>
      <w:pPr>
        <w:pStyle w:val="Heading6"/>
        <w:numPr>
          <w:ilvl w:val="5"/>
          <w:numId w:val="1"/>
        </w:numPr>
        <w:rPr/>
      </w:pPr>
      <w:bookmarkStart w:id="114" w:name="__RefHeading___Toc1438675_1479056682"/>
      <w:bookmarkStart w:id="115" w:name="_Toc46"/>
      <w:bookmarkEnd w:id="114"/>
      <w:r>
        <w:rPr/>
        <w:t>1</w:t>
      </w:r>
      <w:r>
        <w:rPr>
          <w:rtl w:val="true"/>
        </w:rPr>
        <w:t xml:space="preserve"> - </w:t>
      </w:r>
      <w:r>
        <w:rPr>
          <w:rtl w:val="true"/>
        </w:rPr>
        <w:t>بی‌توجّهی به سند روایات</w:t>
      </w:r>
      <w:bookmarkEnd w:id="11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پیش گفته شد، جنبه غالب در نفحات الرّحمن، استنادات روایی مفسّر است این امر، ویژگی ممتازی را برای کتاب به وجود آورده امّا از نقص مربوط به</w:t>
      </w:r>
      <w:bookmarkStart w:id="116" w:name="pg4391_50937"/>
    </w:p>
    <w:p>
      <w:pPr>
        <w:pStyle w:val="BookText"/>
        <w:rPr/>
      </w:pPr>
      <w:bookmarkEnd w:id="116"/>
      <w:r>
        <w:rPr>
          <w:rFonts w:ascii="IRNazanin" w:hAnsi="IRNazanin" w:eastAsia="IRNazanin"/>
          <w:color w:val="111111"/>
          <w:sz w:val="28"/>
          <w:sz w:val="28"/>
          <w:szCs w:val="28"/>
          <w:rtl w:val="true"/>
          <w:lang w:bidi="fa-IR"/>
        </w:rPr>
        <w:t>خود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تفسیری در این کتاب عموما بدون سند ذکر شده و روایات جز مواردی معدود مستقیما به معصوم نسبت داده شده است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گرچه</w:t>
      </w:r>
    </w:p>
    <w:p>
      <w:pPr>
        <w:pStyle w:val="BookText"/>
        <w:rPr/>
      </w:pPr>
      <w:r>
        <w:rPr>
          <w:rFonts w:ascii="IRNazanin" w:hAnsi="IRNazanin" w:eastAsia="IRNazanin"/>
          <w:color w:val="111111"/>
          <w:sz w:val="28"/>
          <w:sz w:val="28"/>
          <w:szCs w:val="28"/>
          <w:rtl w:val="true"/>
          <w:lang w:bidi="fa-IR"/>
        </w:rPr>
        <w:t>در عهد متقدّمان بدون اشکال بوده امّا در عهد متأخّر به ویژه در دوران معاصر نقل روایات بدون توجه به اسناد آن نقص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بود که در تمام روایات دست کم به طبقه اوّل و دوم روات اشاره می‌کرد</w:t>
      </w:r>
      <w:r>
        <w:rPr>
          <w:rFonts w:eastAsia="IRNazanin" w:cs="IRNazanin"/>
          <w:color w:val="111111"/>
          <w:sz w:val="28"/>
          <w:szCs w:val="28"/>
          <w:rtl w:val="true"/>
          <w:lang w:bidi="fa-IR"/>
        </w:rPr>
        <w:t>.</w:t>
      </w:r>
    </w:p>
    <w:p>
      <w:pPr>
        <w:pStyle w:val="Heading6"/>
        <w:numPr>
          <w:ilvl w:val="5"/>
          <w:numId w:val="1"/>
        </w:numPr>
        <w:rPr/>
      </w:pPr>
      <w:bookmarkStart w:id="117" w:name="__RefHeading___Toc1438677_1479056682"/>
      <w:bookmarkStart w:id="118" w:name="_Toc47"/>
      <w:bookmarkEnd w:id="117"/>
      <w:r>
        <w:rPr/>
        <w:t>2</w:t>
      </w:r>
      <w:r>
        <w:rPr>
          <w:rtl w:val="true"/>
        </w:rPr>
        <w:t xml:space="preserve"> - </w:t>
      </w:r>
      <w:r>
        <w:rPr>
          <w:rtl w:val="true"/>
        </w:rPr>
        <w:t>عدم ذکر مآخذ و مصادر روایی</w:t>
      </w:r>
      <w:bookmarkEnd w:id="118"/>
    </w:p>
    <w:p>
      <w:pPr>
        <w:pStyle w:val="BookText"/>
        <w:rPr/>
      </w:pPr>
      <w:r>
        <w:rPr>
          <w:rFonts w:ascii="IRNazanin" w:hAnsi="IRNazanin" w:eastAsia="IRNazanin"/>
          <w:color w:val="111111"/>
          <w:sz w:val="28"/>
          <w:sz w:val="28"/>
          <w:szCs w:val="28"/>
          <w:rtl w:val="true"/>
          <w:lang w:bidi="fa-IR"/>
        </w:rPr>
        <w:t xml:space="preserve">مفسّر جز در مواردی اندک از معرّفی مصادر روایی خودداری می‌ورزد و این در کنار کاستی پیش گفته، نقص مضاعف در بحث حدیث شناسی وی ایجاد کرده است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عنایت مفسّران به مصادر روایی و اسناد آن می‌تواند ضریب خطاپذیری متون تفسیری را پایین آورد، امّا بی‌توجهی به این امر با اصل احتیاط در نقل اقوال سازگاری</w:t>
      </w:r>
    </w:p>
    <w:p>
      <w:pPr>
        <w:pStyle w:val="BookText"/>
        <w:rPr/>
      </w:pPr>
      <w:r>
        <w:rPr>
          <w:rFonts w:ascii="IRNazanin" w:hAnsi="IRNazanin" w:eastAsia="IRNazanin"/>
          <w:color w:val="111111"/>
          <w:sz w:val="28"/>
          <w:sz w:val="28"/>
          <w:szCs w:val="28"/>
          <w:rtl w:val="true"/>
          <w:lang w:bidi="fa-IR"/>
        </w:rPr>
        <w:t>ندارد، و می‌تواند راههای درج احادیث و اخبار ضعیف و گاه مجعول را به متون تفسیری، هموار سازد</w:t>
      </w:r>
      <w:r>
        <w:rPr>
          <w:rFonts w:eastAsia="IRNazanin" w:cs="IRNazanin"/>
          <w:color w:val="111111"/>
          <w:sz w:val="28"/>
          <w:szCs w:val="28"/>
          <w:rtl w:val="true"/>
          <w:lang w:bidi="fa-IR"/>
        </w:rPr>
        <w:t>.</w:t>
      </w:r>
    </w:p>
    <w:p>
      <w:pPr>
        <w:pStyle w:val="Heading6"/>
        <w:numPr>
          <w:ilvl w:val="5"/>
          <w:numId w:val="1"/>
        </w:numPr>
        <w:rPr/>
      </w:pPr>
      <w:bookmarkStart w:id="119" w:name="__RefHeading___Toc1438679_1479056682"/>
      <w:bookmarkStart w:id="120" w:name="_Toc48"/>
      <w:bookmarkEnd w:id="119"/>
      <w:r>
        <w:rPr/>
        <w:t>3</w:t>
      </w:r>
      <w:r>
        <w:rPr>
          <w:rtl w:val="true"/>
        </w:rPr>
        <w:t xml:space="preserve"> - </w:t>
      </w:r>
      <w:r>
        <w:rPr>
          <w:rtl w:val="true"/>
        </w:rPr>
        <w:t>بی‌نشان گذاردن آیات و سوره‌ها</w:t>
      </w:r>
      <w:bookmarkEnd w:id="120"/>
    </w:p>
    <w:p>
      <w:pPr>
        <w:pStyle w:val="BookText"/>
        <w:rPr/>
      </w:pPr>
      <w:r>
        <w:rPr>
          <w:rFonts w:ascii="IRNazanin" w:hAnsi="IRNazanin" w:eastAsia="IRNazanin"/>
          <w:color w:val="111111"/>
          <w:sz w:val="28"/>
          <w:sz w:val="28"/>
          <w:szCs w:val="28"/>
          <w:rtl w:val="true"/>
          <w:lang w:bidi="fa-IR"/>
        </w:rPr>
        <w:t>مفسّر گاه در تفسیر آیات به ارجاعات فراوان قرآنی می‌پردازد، امّا هیچگاه به نشانی</w:t>
      </w:r>
    </w:p>
    <w:p>
      <w:pPr>
        <w:pStyle w:val="BookText"/>
        <w:rPr/>
      </w:pPr>
      <w:r>
        <w:rPr>
          <w:rFonts w:ascii="IRNazanin" w:hAnsi="IRNazanin" w:eastAsia="IRNazanin"/>
          <w:color w:val="111111"/>
          <w:sz w:val="28"/>
          <w:sz w:val="28"/>
          <w:szCs w:val="28"/>
          <w:rtl w:val="true"/>
          <w:lang w:bidi="fa-IR"/>
        </w:rPr>
        <w:t>آیات و سور اشاره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اگر تصحیف یا خلط و اشتباهی در آیه‌ای صورت گرفته باشد، مراجعه پژوهشگر به اصل آیه و سوره مشکل خواهد بود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نیز در ارائه نشانی سوره به خطا رفته است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1" w:name="__RefHeading___Toc1438681_1479056682"/>
      <w:bookmarkStart w:id="122" w:name="_Toc49"/>
      <w:bookmarkEnd w:id="121"/>
      <w:r>
        <w:rPr/>
        <w:t>4</w:t>
      </w:r>
      <w:r>
        <w:rPr>
          <w:rtl w:val="true"/>
        </w:rPr>
        <w:t xml:space="preserve"> - </w:t>
      </w:r>
      <w:r>
        <w:rPr>
          <w:rtl w:val="true"/>
        </w:rPr>
        <w:t>نقل ذهنی پاره‌ای از آیات و روایات</w:t>
      </w:r>
      <w:bookmarkEnd w:id="122"/>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گاه به ذکر شواهدی از آیات و روایات و اقوال دیگر مفسّران و دانشمندان</w:t>
      </w:r>
    </w:p>
    <w:p>
      <w:pPr>
        <w:pStyle w:val="BookText"/>
        <w:rPr/>
      </w:pPr>
      <w:r>
        <w:rPr>
          <w:rFonts w:ascii="IRNazanin" w:hAnsi="IRNazanin" w:eastAsia="IRNazanin"/>
          <w:color w:val="111111"/>
          <w:sz w:val="28"/>
          <w:sz w:val="28"/>
          <w:szCs w:val="28"/>
          <w:rtl w:val="true"/>
          <w:lang w:bidi="fa-IR"/>
        </w:rPr>
        <w:t>می‌پردازد، امّا از آن جا که در این گونه ارجاعات به ذهن خویش اعتماد می‌ورزد، نتیجه</w:t>
      </w:r>
    </w:p>
    <w:p>
      <w:pPr>
        <w:pStyle w:val="BookText"/>
        <w:rPr/>
      </w:pPr>
      <w:r>
        <w:rPr>
          <w:rFonts w:ascii="IRNazanin" w:hAnsi="IRNazanin" w:eastAsia="IRNazanin"/>
          <w:color w:val="111111"/>
          <w:sz w:val="28"/>
          <w:sz w:val="28"/>
          <w:szCs w:val="28"/>
          <w:rtl w:val="true"/>
          <w:lang w:bidi="fa-IR"/>
        </w:rPr>
        <w:t>آن شده است که در مواردی چند آیات و روایات به شکل نادرست نقل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تصحیح و تحقیق مقدمه این کتاب هرجا به کاستی‌ها و نواقص و اشکالاتی در نگارش آیات قرآنی برخورد کرده‌ایم، در اصل متن به اصلاح آن پرداخته‌ایم، امّا اشکالات</w:t>
      </w:r>
    </w:p>
    <w:p>
      <w:pPr>
        <w:pStyle w:val="BookText"/>
        <w:rPr/>
      </w:pPr>
      <w:r>
        <w:rPr>
          <w:rFonts w:ascii="IRNazanin" w:hAnsi="IRNazanin" w:eastAsia="IRNazanin"/>
          <w:color w:val="111111"/>
          <w:sz w:val="28"/>
          <w:sz w:val="28"/>
          <w:szCs w:val="28"/>
          <w:rtl w:val="true"/>
          <w:lang w:bidi="fa-IR"/>
        </w:rPr>
        <w:t>موجود در روایات و اقوال را در پاورقی آورده‌ایم، مثلاً در مقدمه نفحات الرّحمن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نوشته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عَلَیْکَ ا لْکِتابَ تِبْیَانا لِکُلِّ شَیْ‌ءٍ </w:t>
      </w:r>
      <w:r>
        <w:rPr>
          <w:rFonts w:eastAsia="Amiri" w:cs="Amiri" w:ascii="Amiri" w:hAnsi="Amiri"/>
          <w:color w:val="111111"/>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را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وَنَزَّلْنَا عَلَیْکَ القُرْآن تِبْیَانا لِکُلِّ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است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روایت منسوب به امیر المؤمنان علی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هیهنا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وأشار إلی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لعلما جمّا لو وجدت حملةً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وجدت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نگارش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کَانَ مِنْ عِندِ غَیْرِ اللّه‌ِ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دچار خطا شده و 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کان من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کرده است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فَقَضیهُنَّ سَبْعَ سَموَاتٍ فِی یَومَینِ</w:t>
      </w:r>
      <w:r>
        <w:rPr>
          <w:rFonts w:eastAsia="Amiri" w:cs="Amiri" w:ascii="Amiri" w:hAnsi="Amiri"/>
          <w:color w:val="111111"/>
          <w:sz w:val="28"/>
          <w:szCs w:val="28"/>
          <w:rtl w:val="true"/>
          <w:lang w:bidi="ar-SA"/>
        </w:rPr>
        <w:t>... »</w:t>
      </w:r>
      <w:r>
        <w:rPr>
          <w:rStyle w:val="FootnoteAnchor"/>
          <w:rtl w:val="true"/>
        </w:rPr>
        <w:footnoteReference w:id="40"/>
      </w:r>
      <w:r>
        <w:rPr>
          <w:rFonts w:ascii="Amiri" w:hAnsi="Amiri" w:eastAsia="Amiri" w:cs="Amiri"/>
          <w:color w:val="111111"/>
          <w:sz w:val="28"/>
          <w:sz w:val="28"/>
          <w:szCs w:val="28"/>
          <w:rtl w:val="true"/>
          <w:lang w:bidi="ar-SA"/>
        </w:rPr>
        <w:t>به صورت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فَسَوّیهُنَّ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شده است </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نبوی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یفنا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است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نَاضِرَةٌ</w:t>
      </w:r>
      <w:r>
        <w:rPr>
          <w:rFonts w:eastAsia="IRNazanin" w:cs="IRNazanin"/>
          <w:color w:val="111111"/>
          <w:sz w:val="28"/>
          <w:szCs w:val="28"/>
          <w:rtl w:val="true"/>
          <w:lang w:bidi="fa-IR"/>
        </w:rPr>
        <w:t>... »</w:t>
      </w:r>
      <w:r>
        <w:rPr>
          <w:rStyle w:val="FootnoteAnchor"/>
          <w:rtl w:val="true"/>
        </w:rPr>
        <w:footnoteReference w:id="43"/>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وجوهٌ یومئذٍ ناظرة</w:t>
      </w:r>
      <w:r>
        <w:rPr>
          <w:rFonts w:eastAsia="IRNazanin" w:cs="IRNazanin"/>
          <w:color w:val="111111"/>
          <w:sz w:val="28"/>
          <w:szCs w:val="28"/>
          <w:rtl w:val="true"/>
          <w:lang w:bidi="fa-IR"/>
        </w:rPr>
        <w:t xml:space="preserve">... » </w:t>
      </w:r>
      <w:r>
        <w:rPr>
          <w:rStyle w:val="FootnoteAnchor"/>
          <w:rtl w:val="true"/>
        </w:rPr>
        <w:footnoteReference w:id="44"/>
      </w:r>
      <w:r>
        <w:rPr>
          <w:rFonts w:ascii="Amiri" w:hAnsi="Amiri" w:eastAsia="Amiri" w:cs="Amiri"/>
          <w:color w:val="111111"/>
          <w:sz w:val="28"/>
          <w:sz w:val="28"/>
          <w:szCs w:val="28"/>
          <w:rtl w:val="true"/>
          <w:lang w:bidi="ar-SA"/>
        </w:rPr>
        <w:t>و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 لِجُلُودِهِمْ لِمَ شَهِدتُمْ عَلَیْنَا</w:t>
      </w:r>
      <w:r>
        <w:rPr>
          <w:rFonts w:eastAsia="Amiri" w:cs="Amiri" w:ascii="Amiri" w:hAnsi="Amiri"/>
          <w:color w:val="111111"/>
          <w:sz w:val="28"/>
          <w:szCs w:val="28"/>
          <w:rtl w:val="true"/>
          <w:lang w:bidi="ar-SA"/>
        </w:rPr>
        <w:t>... »</w:t>
      </w:r>
      <w:r>
        <w:rPr>
          <w:rStyle w:val="FootnoteAnchor"/>
          <w:rtl w:val="true"/>
        </w:rPr>
        <w:footnoteReference w:id="45"/>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فَیقُولُون لِجُلُودِهِم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گونه خطاها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مسؤولیت این گونه خطاها در برخی موارد، متوجه نسخه نویسان است امّا نمی‌توان در تمام موارد، مفسّر را بی‌تقصیر دانست</w:t>
      </w:r>
      <w:r>
        <w:rPr>
          <w:rFonts w:eastAsia="IRNazanin" w:cs="IRNazanin"/>
          <w:color w:val="111111"/>
          <w:sz w:val="28"/>
          <w:szCs w:val="28"/>
          <w:rtl w:val="true"/>
          <w:lang w:bidi="fa-IR"/>
        </w:rPr>
        <w:t>.</w:t>
      </w:r>
      <w:bookmarkStart w:id="123" w:name="pg4391_50939"/>
    </w:p>
    <w:p>
      <w:pPr>
        <w:pStyle w:val="Heading6"/>
        <w:numPr>
          <w:ilvl w:val="5"/>
          <w:numId w:val="1"/>
        </w:numPr>
        <w:rPr/>
      </w:pPr>
      <w:bookmarkStart w:id="124" w:name="__RefHeading___Toc1438683_1479056682"/>
      <w:bookmarkStart w:id="125" w:name="_Toc50"/>
      <w:bookmarkEnd w:id="123"/>
      <w:bookmarkEnd w:id="124"/>
      <w:r>
        <w:rPr/>
        <w:t>5</w:t>
      </w:r>
      <w:r>
        <w:rPr>
          <w:rtl w:val="true"/>
        </w:rPr>
        <w:t xml:space="preserve"> - </w:t>
      </w:r>
      <w:r>
        <w:rPr>
          <w:rtl w:val="true"/>
        </w:rPr>
        <w:t>تأثیرپذیری از آراء و دیدگاههای علمای اهل تسنّن</w:t>
      </w:r>
      <w:bookmarkEnd w:id="125"/>
    </w:p>
    <w:p>
      <w:pPr>
        <w:pStyle w:val="BookText"/>
        <w:rPr/>
      </w:pPr>
      <w:r>
        <w:rPr>
          <w:rFonts w:ascii="IRNazanin" w:hAnsi="IRNazanin" w:eastAsia="IRNazanin"/>
          <w:color w:val="111111"/>
          <w:sz w:val="28"/>
          <w:sz w:val="28"/>
          <w:szCs w:val="28"/>
          <w:rtl w:val="true"/>
          <w:lang w:bidi="fa-IR"/>
        </w:rPr>
        <w:t>از بررسی نفحات الرّحمن چنین استنباط می‌شود که تلاش مفسّر در راستای تدوین کتاب تفسیری مستقل و ممتاز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او در اثبات دیدگاههای کلامی و فقهی و تفسیری شیعه و توجه او به اصل اجتهاد و اعتبار مدرکات عقلی و اعتقاد به حجّیت آنها</w:t>
      </w:r>
    </w:p>
    <w:p>
      <w:pPr>
        <w:pStyle w:val="BookText"/>
        <w:rPr/>
      </w:pPr>
      <w:r>
        <w:rPr>
          <w:rFonts w:ascii="IRNazanin" w:hAnsi="IRNazanin" w:eastAsia="IRNazanin"/>
          <w:color w:val="111111"/>
          <w:sz w:val="28"/>
          <w:sz w:val="28"/>
          <w:szCs w:val="28"/>
          <w:rtl w:val="true"/>
          <w:lang w:bidi="fa-IR"/>
        </w:rPr>
        <w:t>و نیز مشی او بر سبیل امامت و ولایت و پیروی ایشان از بیانات تفسیری ائمّه اطهار علیهم‌السلامو عنایت او به گفتارهای تفسیری صحابه عادل و نیز اعتماد وی بر کتب اربعه و آثار علمی علما و محدّثین و مفسّران شیعه و نظایر آن، نشان دهنده پشتکار و همّت والای مفسّر در</w:t>
      </w:r>
    </w:p>
    <w:p>
      <w:pPr>
        <w:pStyle w:val="BookText"/>
        <w:rPr/>
      </w:pPr>
      <w:r>
        <w:rPr>
          <w:rFonts w:ascii="IRNazanin" w:hAnsi="IRNazanin" w:eastAsia="IRNazanin"/>
          <w:color w:val="111111"/>
          <w:sz w:val="28"/>
          <w:sz w:val="28"/>
          <w:szCs w:val="28"/>
          <w:rtl w:val="true"/>
          <w:lang w:bidi="fa-IR"/>
        </w:rPr>
        <w:t>ارائه یک اثر مستقل تفسیری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 مشاهده می‌شود در فواصل بیانات تفسیری خود که برگرفته از مبانی تفسیری شیعی است، از آرا و اندیشه‌های تفسیری اهل تسنّن تأثیر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جای جای تفسیر به مجادله و تخطئه دیدگاههای تفسیری برخی متکلّمان و مفسّران سنّی چون فخرالدین رازی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بخشی از این تحقیق به تأثیرپذیری نهاوندی از منابع تفسیری و حدیثی عامّه و در جای دیگر به انتقادات او از آثار و اندیش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ه‌های عامّه اشاره کرده و مواردی را به عنوان مث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آورده‌ایم</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موارد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اشکالات فخر رازی پیرامون آیه ولایت، نفحات الرّحمن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اشکالات فخر رازی پیرامون آیه تبلیغ، نفحات الرّحمن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اشکالات فخر رازی پیرامون آیه مباهله، نفحات الرّحمن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به اشکالات فخر رازی پیرامون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نفحات الرّحمن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6"/>
        <w:numPr>
          <w:ilvl w:val="5"/>
          <w:numId w:val="1"/>
        </w:numPr>
        <w:rPr/>
      </w:pPr>
      <w:bookmarkStart w:id="126" w:name="__RefHeading___Toc1438685_1479056682"/>
      <w:bookmarkStart w:id="127" w:name="_Toc51"/>
      <w:bookmarkEnd w:id="126"/>
      <w:r>
        <w:rPr/>
        <w:t>6</w:t>
      </w:r>
      <w:r>
        <w:rPr>
          <w:rtl w:val="true"/>
        </w:rPr>
        <w:t xml:space="preserve"> - </w:t>
      </w:r>
      <w:r>
        <w:rPr>
          <w:rtl w:val="true"/>
        </w:rPr>
        <w:t>نقل برخی روایات از طرق عامّه، علی رغم وجود طرق شیعی</w:t>
      </w:r>
      <w:bookmarkEnd w:id="127"/>
    </w:p>
    <w:p>
      <w:pPr>
        <w:pStyle w:val="BookText"/>
        <w:rPr/>
      </w:pPr>
      <w:r>
        <w:rPr>
          <w:rFonts w:ascii="IRNazanin" w:hAnsi="IRNazanin" w:eastAsia="IRNazanin"/>
          <w:color w:val="111111"/>
          <w:sz w:val="28"/>
          <w:sz w:val="28"/>
          <w:szCs w:val="28"/>
          <w:rtl w:val="true"/>
          <w:lang w:bidi="fa-IR"/>
        </w:rPr>
        <w:t>توجّه به منابع روایی فریقین در تدوین یک اثر علمی، اگرچه می‌تواند به عنوان شرط</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و قابل توجه به شمار آید، امّا تکیه به منابع غیر در مواردی که فرهنگ و متون خودی مستغنی از آن است و خود از نظر مدارک چیزی کم ندارد، جز در موارد همراهی و</w:t>
      </w:r>
      <w:bookmarkStart w:id="128" w:name="pg4391_50940"/>
    </w:p>
    <w:p>
      <w:pPr>
        <w:pStyle w:val="BookText"/>
        <w:rPr/>
      </w:pPr>
      <w:bookmarkEnd w:id="128"/>
      <w:r>
        <w:rPr>
          <w:rFonts w:ascii="IRNazanin" w:hAnsi="IRNazanin" w:eastAsia="IRNazanin"/>
          <w:color w:val="111111"/>
          <w:sz w:val="28"/>
          <w:sz w:val="28"/>
          <w:szCs w:val="28"/>
          <w:rtl w:val="true"/>
          <w:lang w:bidi="fa-IR"/>
        </w:rPr>
        <w:t>مجارات با خصم، توصیه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نفحات الرّحمن بارها مشاهده می‌شود که مفسّر</w:t>
      </w:r>
    </w:p>
    <w:p>
      <w:pPr>
        <w:pStyle w:val="BookText"/>
        <w:rPr/>
      </w:pPr>
      <w:r>
        <w:rPr>
          <w:rFonts w:ascii="IRNazanin" w:hAnsi="IRNazanin" w:eastAsia="IRNazanin"/>
          <w:color w:val="111111"/>
          <w:sz w:val="28"/>
          <w:sz w:val="28"/>
          <w:szCs w:val="28"/>
          <w:rtl w:val="true"/>
          <w:lang w:bidi="fa-IR"/>
        </w:rPr>
        <w:t>روایتی نبوی را نه از طرق شیعی که از طرق عامّه نقل کرده و این در حالی است که همان</w:t>
      </w:r>
    </w:p>
    <w:p>
      <w:pPr>
        <w:pStyle w:val="BookText"/>
        <w:rPr/>
      </w:pPr>
      <w:r>
        <w:rPr>
          <w:rFonts w:ascii="IRNazanin" w:hAnsi="IRNazanin" w:eastAsia="IRNazanin"/>
          <w:color w:val="111111"/>
          <w:sz w:val="28"/>
          <w:sz w:val="28"/>
          <w:szCs w:val="28"/>
          <w:rtl w:val="true"/>
          <w:lang w:bidi="fa-IR"/>
        </w:rPr>
        <w:t>سخن در طرق و مصادر روایی شیعی نیز یافت می‌شده و این گونه اعتماد و استناد در عصری که فریقین تلاش می‌کنند در راستای اثبات حقّانیت دیدگاههای خویش به تدوین آثار مستقل علمی بپردازند چندان موجّه و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مطالعات و پژوهشهای قرآنی که لازم است دانشمندان و متفکّران شیعی علاوه بر تعمیق و گسترش</w:t>
      </w:r>
    </w:p>
    <w:p>
      <w:pPr>
        <w:pStyle w:val="BookText"/>
        <w:rPr/>
      </w:pPr>
      <w:r>
        <w:rPr>
          <w:rFonts w:ascii="IRNazanin" w:hAnsi="IRNazanin" w:eastAsia="IRNazanin"/>
          <w:color w:val="111111"/>
          <w:sz w:val="28"/>
          <w:sz w:val="28"/>
          <w:szCs w:val="28"/>
          <w:rtl w:val="true"/>
          <w:lang w:bidi="fa-IR"/>
        </w:rPr>
        <w:t>تحقیقات و تألیفات خویش به تصفیه متون علمی خود از افکار و آرای و مدارک و طرق غیر ضروری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نهاوندی در بیان فضیلت سوره فاتحة الکتاب سخنی را از طریق سخن ترمذی از اُبی بن کعب نقل کرده</w:t>
      </w:r>
      <w:r>
        <w:rPr>
          <w:rStyle w:val="FootnoteAnchor"/>
          <w:rtl w:val="true"/>
        </w:rPr>
        <w:footnoteReference w:id="48"/>
      </w:r>
      <w:r>
        <w:rPr>
          <w:rFonts w:ascii="IRNazanin" w:hAnsi="IRNazanin" w:eastAsia="IRNazanin"/>
          <w:color w:val="111111"/>
          <w:sz w:val="28"/>
          <w:sz w:val="28"/>
          <w:szCs w:val="28"/>
          <w:rtl w:val="true"/>
          <w:lang w:bidi="fa-IR"/>
        </w:rPr>
        <w:t xml:space="preserve">که همین سخن در بحار الانوار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شیعی به پیامبر صلی‌الله‌علیه‌و‌آله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فضیلت سوره اخلاص به نقل از الاتقان 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سخنی را از ابی هریره نقل می‌کند </w:t>
      </w:r>
      <w:r>
        <w:rPr>
          <w:rStyle w:val="FootnoteAnchor"/>
          <w:rtl w:val="true"/>
        </w:rPr>
        <w:footnoteReference w:id="49"/>
      </w:r>
      <w:r>
        <w:rPr>
          <w:rFonts w:ascii="IRNazanin" w:hAnsi="IRNazanin" w:eastAsia="IRNazanin"/>
          <w:color w:val="111111"/>
          <w:sz w:val="28"/>
          <w:sz w:val="28"/>
          <w:szCs w:val="28"/>
          <w:rtl w:val="true"/>
          <w:lang w:bidi="fa-IR"/>
        </w:rPr>
        <w:t xml:space="preserve">در حالی که همین سخن در مصادر حدیثی شیعی از قول امام صادق علیه‌السلام نقل شده است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9" w:name="__RefHeading___Toc1438687_1479056682"/>
      <w:bookmarkStart w:id="130" w:name="_Toc52"/>
      <w:bookmarkEnd w:id="129"/>
      <w:r>
        <w:rPr/>
        <w:t>7</w:t>
      </w:r>
      <w:r>
        <w:rPr>
          <w:rtl w:val="true"/>
        </w:rPr>
        <w:t xml:space="preserve"> - </w:t>
      </w:r>
      <w:r>
        <w:rPr>
          <w:rtl w:val="true"/>
        </w:rPr>
        <w:t>فقدان فهرست</w:t>
      </w:r>
      <w:bookmarkEnd w:id="130"/>
    </w:p>
    <w:p>
      <w:pPr>
        <w:pStyle w:val="BookText"/>
        <w:rPr/>
      </w:pPr>
      <w:r>
        <w:rPr>
          <w:rFonts w:ascii="IRNazanin" w:hAnsi="IRNazanin" w:eastAsia="IRNazanin"/>
          <w:color w:val="111111"/>
          <w:sz w:val="28"/>
          <w:sz w:val="28"/>
          <w:szCs w:val="28"/>
          <w:rtl w:val="true"/>
          <w:lang w:bidi="fa-IR"/>
        </w:rPr>
        <w:t>فقدان هرگونه فهرست در نفحات الرّحمن، امکان استفاده مطلوب را از پژوهشگران سلب کرده است؛ این کتاب، نَه فهرست مطالب دارد، نه فهرست آیات و روایات و اعلام و امکنه و حتّی کتابنامه و مصادر و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فقدان فهرست در کنار عدم معرفی مآخذ</w:t>
      </w:r>
    </w:p>
    <w:p>
      <w:pPr>
        <w:pStyle w:val="BookText"/>
        <w:rPr/>
      </w:pPr>
      <w:r>
        <w:rPr>
          <w:rFonts w:ascii="IRNazanin" w:hAnsi="IRNazanin" w:eastAsia="IRNazanin"/>
          <w:color w:val="111111"/>
          <w:sz w:val="28"/>
          <w:sz w:val="28"/>
          <w:szCs w:val="28"/>
          <w:rtl w:val="true"/>
          <w:lang w:bidi="fa-IR"/>
        </w:rPr>
        <w:t>روایات و گفتارهای مفسّران و نیز ارسال در سند روایات و معلّق گذاردن روایات، به صورت موقوف و مقطوع، زیبایی‌های این اثر علمی را تحت الشعاع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معمول نویسندگان و مصنفین دوره‌های متقدّم و متأخّر چنین نبوده که خود برای آثار و تألیفات خویش فهرست نویسی کنند و معمولاً این مسؤولیت بدوش شاگردان نسخه‌برداران گذارده می‌شده است، امّا کتاب نفحات الرّحمن که از تألیفات قرن چهارده و معاصر محسوب می‌شود، شایسته آن بود که به وجود برخی فهرستها، دست‌کم</w:t>
      </w:r>
      <w:bookmarkStart w:id="131" w:name="pg4391_50941"/>
    </w:p>
    <w:p>
      <w:pPr>
        <w:pStyle w:val="BookText"/>
        <w:rPr/>
      </w:pPr>
      <w:bookmarkEnd w:id="131"/>
      <w:r>
        <w:rPr>
          <w:rFonts w:ascii="IRNazanin" w:hAnsi="IRNazanin" w:eastAsia="IRNazanin"/>
          <w:color w:val="111111"/>
          <w:sz w:val="28"/>
          <w:sz w:val="28"/>
          <w:szCs w:val="28"/>
          <w:rtl w:val="true"/>
          <w:lang w:bidi="fa-IR"/>
        </w:rPr>
        <w:t>فهرست مطالب زینت داده می‌شد</w:t>
      </w:r>
      <w:r>
        <w:rPr>
          <w:rFonts w:eastAsia="IRNazanin" w:cs="IRNazanin"/>
          <w:color w:val="111111"/>
          <w:sz w:val="28"/>
          <w:szCs w:val="28"/>
          <w:rtl w:val="true"/>
          <w:lang w:bidi="fa-IR"/>
        </w:rPr>
        <w:t>.</w:t>
      </w:r>
    </w:p>
    <w:p>
      <w:pPr>
        <w:pStyle w:val="Heading6"/>
        <w:numPr>
          <w:ilvl w:val="5"/>
          <w:numId w:val="1"/>
        </w:numPr>
        <w:rPr/>
      </w:pPr>
      <w:bookmarkStart w:id="132" w:name="__RefHeading___Toc1438689_1479056682"/>
      <w:bookmarkStart w:id="133" w:name="_Toc53"/>
      <w:bookmarkEnd w:id="132"/>
      <w:r>
        <w:rPr/>
        <w:t>8</w:t>
      </w:r>
      <w:r>
        <w:rPr>
          <w:rtl w:val="true"/>
        </w:rPr>
        <w:t xml:space="preserve"> - </w:t>
      </w:r>
      <w:r>
        <w:rPr>
          <w:rtl w:val="true"/>
        </w:rPr>
        <w:t>عدم رعایت قواعد و نکات مربوط به نگارش</w:t>
      </w:r>
      <w:bookmarkEnd w:id="133"/>
    </w:p>
    <w:p>
      <w:pPr>
        <w:pStyle w:val="BookText"/>
        <w:rPr/>
      </w:pPr>
      <w:r>
        <w:rPr>
          <w:rFonts w:ascii="IRNazanin" w:hAnsi="IRNazanin" w:eastAsia="IRNazanin"/>
          <w:color w:val="111111"/>
          <w:sz w:val="28"/>
          <w:sz w:val="28"/>
          <w:szCs w:val="28"/>
          <w:rtl w:val="true"/>
          <w:lang w:bidi="fa-IR"/>
        </w:rPr>
        <w:t>نگارش مطالب در نفحات الرّحمن به صورت مسلسل و پیوسته و بدور از هرگونه نشانه‌های خوشنویسی و قواعد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نقطه، نَه پرانتز، نَه گیومه، نَه علایم استفهام و تعجّب و نَه دیگر نشانه‌ها، هیچ کدام به چشم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خلط</w:t>
      </w:r>
    </w:p>
    <w:p>
      <w:pPr>
        <w:pStyle w:val="BookText"/>
        <w:rPr/>
      </w:pPr>
      <w:r>
        <w:rPr>
          <w:rFonts w:ascii="IRNazanin" w:hAnsi="IRNazanin" w:eastAsia="IRNazanin"/>
          <w:color w:val="111111"/>
          <w:sz w:val="28"/>
          <w:sz w:val="28"/>
          <w:szCs w:val="28"/>
          <w:rtl w:val="true"/>
          <w:lang w:bidi="fa-IR"/>
        </w:rPr>
        <w:t>مطالب می‌شود و گاه خوانندگان کتاب با اندک غفلتی دو سخن کاملاً مجزّا را درهم می‌آمیزند، و به نتیجه‌گیری‌های نامطلوبی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علامتی که در این کتاب مشاهده</w:t>
      </w:r>
    </w:p>
    <w:p>
      <w:pPr>
        <w:pStyle w:val="BookText"/>
        <w:rPr/>
      </w:pPr>
      <w:r>
        <w:rPr>
          <w:rFonts w:ascii="IRNazanin" w:hAnsi="IRNazanin" w:eastAsia="IRNazanin"/>
          <w:color w:val="111111"/>
          <w:sz w:val="28"/>
          <w:sz w:val="28"/>
          <w:szCs w:val="28"/>
          <w:rtl w:val="true"/>
          <w:lang w:bidi="fa-IR"/>
        </w:rPr>
        <w:t>می‌شود، درشت‌نویسی کلمات آغازین برخی عبارات است، کلماتی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عنوان طُرفه‌های موجود در مقدمه، و علامت</w:t>
      </w:r>
    </w:p>
    <w:p>
      <w:pPr>
        <w:pStyle w:val="BookText"/>
        <w:rPr/>
      </w:pPr>
      <w:r>
        <w:rPr>
          <w:rFonts w:ascii="IRNazanin" w:hAnsi="IRNazanin" w:eastAsia="IRNazanin"/>
          <w:color w:val="111111"/>
          <w:sz w:val="28"/>
          <w:sz w:val="28"/>
          <w:szCs w:val="28"/>
          <w:rtl w:val="true"/>
          <w:lang w:bidi="fa-IR"/>
        </w:rPr>
        <w:t xml:space="preserve">دیگر، آن است، در مقدمه تفسیر در بالای هر عبارت قرآنی، خطی غیر ممتد </w:t>
      </w:r>
      <w:r>
        <w:rPr>
          <w:rFonts w:eastAsia="IRNazanin" w:cs="IRNazanin"/>
          <w:color w:val="111111"/>
          <w:sz w:val="28"/>
          <w:szCs w:val="28"/>
          <w:rtl w:val="true"/>
          <w:lang w:bidi="fa-IR"/>
        </w:rPr>
        <w:t xml:space="preserve">( - - - - ) </w:t>
      </w:r>
      <w:r>
        <w:rPr>
          <w:rFonts w:ascii="IRNazanin" w:hAnsi="IRNazanin" w:eastAsia="IRNazanin"/>
          <w:color w:val="111111"/>
          <w:sz w:val="28"/>
          <w:sz w:val="28"/>
          <w:szCs w:val="28"/>
          <w:rtl w:val="true"/>
          <w:lang w:bidi="fa-IR"/>
        </w:rPr>
        <w:t>رسم شده که آن هم همیشه رعایت نشده است</w:t>
      </w:r>
      <w:r>
        <w:rPr>
          <w:rFonts w:eastAsia="IRNazanin" w:cs="IRNazanin"/>
          <w:color w:val="111111"/>
          <w:sz w:val="28"/>
          <w:szCs w:val="28"/>
          <w:rtl w:val="true"/>
          <w:lang w:bidi="fa-IR"/>
        </w:rPr>
        <w:t>.</w:t>
      </w:r>
    </w:p>
    <w:p>
      <w:pPr>
        <w:pStyle w:val="Heading6"/>
        <w:numPr>
          <w:ilvl w:val="5"/>
          <w:numId w:val="1"/>
        </w:numPr>
        <w:rPr/>
      </w:pPr>
      <w:bookmarkStart w:id="134" w:name="__RefHeading___Toc1438691_1479056682"/>
      <w:bookmarkStart w:id="135" w:name="_Toc54"/>
      <w:bookmarkEnd w:id="134"/>
      <w:r>
        <w:rPr/>
        <w:t>9</w:t>
      </w:r>
      <w:r>
        <w:rPr>
          <w:rtl w:val="true"/>
        </w:rPr>
        <w:t xml:space="preserve"> - </w:t>
      </w:r>
      <w:r>
        <w:rPr>
          <w:rtl w:val="true"/>
        </w:rPr>
        <w:t>فقدان بحثهای لغوی</w:t>
      </w:r>
      <w:bookmarkEnd w:id="135"/>
    </w:p>
    <w:p>
      <w:pPr>
        <w:pStyle w:val="BookText"/>
        <w:rPr/>
      </w:pPr>
      <w:r>
        <w:rPr>
          <w:rFonts w:ascii="IRNazanin" w:hAnsi="IRNazanin" w:eastAsia="IRNazanin"/>
          <w:color w:val="111111"/>
          <w:sz w:val="28"/>
          <w:sz w:val="28"/>
          <w:szCs w:val="28"/>
          <w:rtl w:val="true"/>
          <w:lang w:bidi="fa-IR"/>
        </w:rPr>
        <w:t>معمول مفسّران که به تدوین کتب تفسیری می‌پردازند و روش آنها در تفسیر توجه به مسائل اجتهادی و لغت‌شناسی است، آن است که در مواقع ضروری به تحلیل ریشه لغوی واژگان سخت و تحلیل معنا و مفاهیم آن می‌پردازند، آنچه طبرسی در مجمع البیان</w:t>
      </w:r>
    </w:p>
    <w:p>
      <w:pPr>
        <w:pStyle w:val="BookText"/>
        <w:rPr/>
      </w:pPr>
      <w:r>
        <w:rPr>
          <w:rFonts w:ascii="IRNazanin" w:hAnsi="IRNazanin" w:eastAsia="IRNazanin"/>
          <w:color w:val="111111"/>
          <w:sz w:val="28"/>
          <w:sz w:val="28"/>
          <w:szCs w:val="28"/>
          <w:rtl w:val="true"/>
          <w:lang w:bidi="fa-IR"/>
        </w:rPr>
        <w:t>و شیخ طوسی در تبیان و علاّمه طباطبائی در المیزان و فخر رازی در مفاتیح الغیب و دیگران در تفاسیر خود برده‌اند جنبه مثبت و قابل توجهی به تفسیر آنها داده است، امّا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نفحات الرّحمن خالی از هرگونه بحث لغت‌شناسی است و در تفسیر و تبیین مفاهیم لغات هرگز به شواهد ادبیات عرب و اشعار جاهلی و کتب لغت ارجاع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در تفسیر نگاری قرن چهاردهم تلاش شده به این نکته مهم توجه نشان داده شود</w:t>
      </w:r>
      <w:r>
        <w:rPr>
          <w:rFonts w:eastAsia="IRNazanin" w:cs="IRNazanin"/>
          <w:color w:val="111111"/>
          <w:sz w:val="28"/>
          <w:szCs w:val="28"/>
          <w:rtl w:val="true"/>
          <w:lang w:bidi="fa-IR"/>
        </w:rPr>
        <w:t>.</w:t>
      </w:r>
      <w:bookmarkStart w:id="136" w:name="pg4391_50942"/>
    </w:p>
    <w:p>
      <w:pPr>
        <w:pStyle w:val="Heading6"/>
        <w:numPr>
          <w:ilvl w:val="5"/>
          <w:numId w:val="1"/>
        </w:numPr>
        <w:rPr/>
      </w:pPr>
      <w:bookmarkStart w:id="137" w:name="__RefHeading___Toc1438693_1479056682"/>
      <w:bookmarkStart w:id="138" w:name="_Toc55"/>
      <w:bookmarkEnd w:id="136"/>
      <w:bookmarkEnd w:id="137"/>
      <w:r>
        <w:rPr/>
        <w:t>10</w:t>
      </w:r>
      <w:r>
        <w:rPr>
          <w:rtl w:val="true"/>
        </w:rPr>
        <w:t xml:space="preserve"> - </w:t>
      </w:r>
      <w:r>
        <w:rPr>
          <w:rtl w:val="true"/>
        </w:rPr>
        <w:t>فقدان عناوین اصلی و فرعی در تفسیر آیات</w:t>
      </w:r>
      <w:bookmarkEnd w:id="138"/>
    </w:p>
    <w:p>
      <w:pPr>
        <w:pStyle w:val="BookText"/>
        <w:rPr/>
      </w:pPr>
      <w:r>
        <w:rPr>
          <w:rFonts w:ascii="IRNazanin" w:hAnsi="IRNazanin" w:eastAsia="IRNazanin"/>
          <w:color w:val="111111"/>
          <w:sz w:val="28"/>
          <w:sz w:val="28"/>
          <w:szCs w:val="28"/>
          <w:rtl w:val="true"/>
          <w:lang w:bidi="fa-IR"/>
        </w:rPr>
        <w:t>روش مفسّر در این تفسیر، تفسیر مسلسل آیات است وی هر بخش از آیه را که می‌آورد،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دسته‌بندی آیات متجانس و متقارن که وحدت موضوع داشته می‌باشند، در این تفسیر دیده نمی‌شود، علاوه بر آن، در صدر مطالب تفسیری هیچ‌گونه عنوانهای اصلی و فرعی دیده نمی‌شود، این شیوه، امکان استفاده مطلوب را از خواننده متن تفسیری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تفاسیری که براساس معیارهایی مشخص دارای عناوین ریز و کلّی است ارتباط بهتری را با خوانندگان برقرار می‌کنند، به عنوان مثال، شیوه طبرسی در</w:t>
      </w:r>
    </w:p>
    <w:p>
      <w:pPr>
        <w:pStyle w:val="BookText"/>
        <w:rPr/>
      </w:pPr>
      <w:r>
        <w:rPr>
          <w:rFonts w:ascii="IRNazanin" w:hAnsi="IRNazanin" w:eastAsia="IRNazanin"/>
          <w:color w:val="111111"/>
          <w:sz w:val="28"/>
          <w:sz w:val="28"/>
          <w:szCs w:val="28"/>
          <w:rtl w:val="true"/>
          <w:lang w:bidi="fa-IR"/>
        </w:rPr>
        <w:t>تنظیم تفسیر مجمع البیان، آن است که ابتدا آیه یا آیات متقارن را تعیین کرده سپس به بررسی قراءت به عمل آمده از آیات پرداخته، آن گاه دلیل خود را در اختیار نوع قراءت بیان می‌کند، آن گاه به بررسی مفردات آیات و تحلیل لغوی آن می‌پردازد سپس بررسی ادبی و نحوی آیات را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سبب نزول آیات و وجه مناسب آیه با آیات قبل</w:t>
      </w:r>
    </w:p>
    <w:p>
      <w:pPr>
        <w:pStyle w:val="BookText"/>
        <w:rPr/>
      </w:pPr>
      <w:r>
        <w:rPr>
          <w:rFonts w:ascii="IRNazanin" w:hAnsi="IRNazanin" w:eastAsia="IRNazanin"/>
          <w:color w:val="111111"/>
          <w:sz w:val="28"/>
          <w:sz w:val="28"/>
          <w:szCs w:val="28"/>
          <w:rtl w:val="true"/>
          <w:lang w:bidi="fa-IR"/>
        </w:rPr>
        <w:t>و بعد آن، از نکات مورد توجه طبرسی است و در پایان به بیان مطالب تفسیر و معنی اصلی آیه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خواننده با مشاهده عناوین فرعی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ناوین</w:t>
      </w:r>
    </w:p>
    <w:p>
      <w:pPr>
        <w:pStyle w:val="BookText"/>
        <w:rPr/>
      </w:pPr>
      <w:r>
        <w:rPr>
          <w:rFonts w:ascii="IRNazanin" w:hAnsi="IRNazanin" w:eastAsia="IRNazanin"/>
          <w:color w:val="111111"/>
          <w:sz w:val="28"/>
          <w:sz w:val="28"/>
          <w:szCs w:val="28"/>
          <w:rtl w:val="true"/>
          <w:lang w:bidi="fa-IR"/>
        </w:rPr>
        <w:t>احتمالی، انگیزه مطالعه یافته، مطالب را با دقّت و علاقه بیشتری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طبرسی در آغاز تفسیر هر سوره به معرفی نام سوره، مکّی یا مدنی بودن آن، فضیلت تلاوت آن و در برخی موارد، وجه نامگذاری سوره نیز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نفحات الرّحمن، اگرچه مفسّر در آغاز هر سوره به معرفی سوره، مکّی یا مدنی بودن آن، مناسبت سوره نسبت به سوره قبل و فضیلت تلاوت سوره پرداخته امّا</w:t>
      </w:r>
    </w:p>
    <w:p>
      <w:pPr>
        <w:pStyle w:val="BookText"/>
        <w:rPr/>
      </w:pPr>
      <w:r>
        <w:rPr>
          <w:rFonts w:ascii="IRNazanin" w:hAnsi="IRNazanin" w:eastAsia="IRNazanin"/>
          <w:color w:val="111111"/>
          <w:sz w:val="28"/>
          <w:sz w:val="28"/>
          <w:szCs w:val="28"/>
          <w:rtl w:val="true"/>
          <w:lang w:bidi="fa-IR"/>
        </w:rPr>
        <w:t>هیچ‌گونه عنوان‌گذاری و درشت‌نویسی به عمل نیامده است و در ادامه تفسیر، آن گونه که مفسّران متقدم چون طبرسی و پاره‌ای مفسّران معاصر چون سیّد عبداللّه شبّر و دکتر وهبه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زحیلی </w:t>
      </w:r>
      <w:r>
        <w:rPr>
          <w:rStyle w:val="FootnoteAnchor"/>
          <w:rtl w:val="true"/>
        </w:rPr>
        <w:footnoteReference w:id="51"/>
      </w:r>
      <w:r>
        <w:rPr>
          <w:rFonts w:ascii="IRNazanin" w:hAnsi="IRNazanin" w:eastAsia="IRNazanin"/>
          <w:color w:val="111111"/>
          <w:sz w:val="28"/>
          <w:sz w:val="28"/>
          <w:szCs w:val="28"/>
          <w:rtl w:val="true"/>
          <w:lang w:bidi="fa-IR"/>
        </w:rPr>
        <w:t>صاحب تفسیر المنیر فی العقیدة والشریعة والمنهج انجام داده‌اند، عمل نکرده و لذا امکان بهره‌بری فراوان از این اثر ارزشمند، کمتر شده است</w:t>
      </w:r>
      <w:r>
        <w:rPr>
          <w:rFonts w:eastAsia="IRNazanin" w:cs="IRNazanin"/>
          <w:color w:val="111111"/>
          <w:sz w:val="28"/>
          <w:szCs w:val="28"/>
          <w:rtl w:val="true"/>
          <w:lang w:bidi="fa-IR"/>
        </w:rPr>
        <w:t>.</w:t>
      </w:r>
      <w:bookmarkStart w:id="139" w:name="pg4391_50943"/>
    </w:p>
    <w:p>
      <w:pPr>
        <w:pStyle w:val="Heading6"/>
        <w:numPr>
          <w:ilvl w:val="5"/>
          <w:numId w:val="1"/>
        </w:numPr>
        <w:rPr/>
      </w:pPr>
      <w:bookmarkStart w:id="140" w:name="__RefHeading___Toc1438695_1479056682"/>
      <w:bookmarkStart w:id="141" w:name="_Toc56"/>
      <w:bookmarkEnd w:id="139"/>
      <w:bookmarkEnd w:id="140"/>
      <w:r>
        <w:rPr/>
        <w:t>11</w:t>
      </w:r>
      <w:r>
        <w:rPr>
          <w:rtl w:val="true"/>
        </w:rPr>
        <w:t xml:space="preserve"> - </w:t>
      </w:r>
      <w:r>
        <w:rPr>
          <w:rtl w:val="true"/>
        </w:rPr>
        <w:t>عدم مراجعه به منابع دست اوّل در پاره‌ای از موارد</w:t>
      </w:r>
      <w:bookmarkEnd w:id="141"/>
    </w:p>
    <w:p>
      <w:pPr>
        <w:pStyle w:val="BookText"/>
        <w:rPr/>
      </w:pPr>
      <w:r>
        <w:rPr>
          <w:rFonts w:ascii="IRNazanin" w:hAnsi="IRNazanin" w:eastAsia="IRNazanin"/>
          <w:color w:val="111111"/>
          <w:sz w:val="28"/>
          <w:sz w:val="28"/>
          <w:szCs w:val="28"/>
          <w:rtl w:val="true"/>
          <w:lang w:bidi="fa-IR"/>
        </w:rPr>
        <w:t>باید اعتراف کرد که مفسّر در استنادات و ارجاعات خویش، جز در برخی موارد، به منابع دست اوّل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کالات عمده وی در تنظیم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 به ویژه تألیف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کتاب، اعتماد به الاتقان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هرجا</w:t>
      </w:r>
    </w:p>
    <w:p>
      <w:pPr>
        <w:pStyle w:val="BookText"/>
        <w:rPr/>
      </w:pPr>
      <w:r>
        <w:rPr>
          <w:rFonts w:ascii="IRNazanin" w:hAnsi="IRNazanin" w:eastAsia="IRNazanin"/>
          <w:color w:val="111111"/>
          <w:sz w:val="28"/>
          <w:sz w:val="28"/>
          <w:szCs w:val="28"/>
          <w:rtl w:val="true"/>
          <w:lang w:bidi="fa-IR"/>
        </w:rPr>
        <w:t>ایجاب کرده است، به نقل نظریّات قرآنپژوهان قبل از قرن نهم می‌پردازد، امّا نه بر مبنای مراجعه به آثار اختصاصی هریک از آنان، بلکه گفته‌ها و نقل قولهای سیوطی را در الاتقان را مبنای گزارش خود قرار می‌دهد، و این از زیبایی کار او کاسته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سیوطی</w:t>
      </w:r>
    </w:p>
    <w:p>
      <w:pPr>
        <w:pStyle w:val="BookText"/>
        <w:rPr/>
      </w:pPr>
      <w:r>
        <w:rPr>
          <w:rFonts w:ascii="IRNazanin" w:hAnsi="IRNazanin" w:eastAsia="IRNazanin"/>
          <w:color w:val="111111"/>
          <w:sz w:val="28"/>
          <w:sz w:val="28"/>
          <w:szCs w:val="28"/>
          <w:rtl w:val="true"/>
          <w:lang w:bidi="fa-IR"/>
        </w:rPr>
        <w:t>در تدوین الاتقان انجام داده تا حدّ بسیار زیادی مرهون تلاشهای قرآنپژوه قبل از او یعنی بدرالدین زرکش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تکیه‌گاه سیوطی در ایجاد این اثر علمی،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البرهان فی علوم القرآن زرکشی است و حق آن بود که سیوطی در کتاب خویش از</w:t>
      </w:r>
    </w:p>
    <w:p>
      <w:pPr>
        <w:pStyle w:val="BookText"/>
        <w:rPr/>
      </w:pPr>
      <w:r>
        <w:rPr>
          <w:rFonts w:ascii="IRNazanin" w:hAnsi="IRNazanin" w:eastAsia="IRNazanin"/>
          <w:color w:val="111111"/>
          <w:sz w:val="28"/>
          <w:sz w:val="28"/>
          <w:szCs w:val="28"/>
          <w:rtl w:val="true"/>
          <w:lang w:bidi="fa-IR"/>
        </w:rPr>
        <w:t xml:space="preserve">زرکشی بسیار یاد می‌کرد، امّا گاه با حذف نام زرکشی، سخنان او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کتاب خود جای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نهاوندی نیز بدون مراجعه به البرهان، گفتارهای زرکشی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در مواردی نیز با حذف نام صاحبان آرای، بر دامنه و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افزوده است، ما در مقدمه تفسیر شاهد این نقص هستیم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42" w:name="__RefHeading___Toc1438697_1479056682"/>
      <w:bookmarkStart w:id="143" w:name="_Toc57"/>
      <w:bookmarkEnd w:id="142"/>
      <w:r>
        <w:rPr/>
        <w:t>12</w:t>
      </w:r>
      <w:r>
        <w:rPr>
          <w:rtl w:val="true"/>
        </w:rPr>
        <w:t xml:space="preserve"> - </w:t>
      </w:r>
      <w:r>
        <w:rPr>
          <w:rtl w:val="true"/>
        </w:rPr>
        <w:t>اعتماد بیش از حد به اخبار فضایل الآیات</w:t>
      </w:r>
      <w:bookmarkEnd w:id="143"/>
    </w:p>
    <w:p>
      <w:pPr>
        <w:pStyle w:val="BookText"/>
        <w:rPr/>
      </w:pPr>
      <w:r>
        <w:rPr>
          <w:rFonts w:ascii="IRNazanin" w:hAnsi="IRNazanin" w:eastAsia="IRNazanin"/>
          <w:color w:val="111111"/>
          <w:sz w:val="28"/>
          <w:sz w:val="28"/>
          <w:szCs w:val="28"/>
          <w:rtl w:val="true"/>
          <w:lang w:bidi="fa-IR"/>
        </w:rPr>
        <w:t>او در دو موضع از کتاب به نقل اخباری که ناظر بر فضایل تلاوت آیات قرآن است</w:t>
      </w:r>
    </w:p>
    <w:p>
      <w:pPr>
        <w:pStyle w:val="BookText"/>
        <w:rPr/>
      </w:pPr>
      <w:r>
        <w:rPr>
          <w:rFonts w:ascii="IRNazanin" w:hAnsi="IRNazanin" w:eastAsia="IRNazanin"/>
          <w:color w:val="111111"/>
          <w:sz w:val="28"/>
          <w:sz w:val="28"/>
          <w:szCs w:val="28"/>
          <w:rtl w:val="true"/>
          <w:lang w:bidi="fa-IR"/>
        </w:rPr>
        <w:t xml:space="preserve">می‌پردازد، نخست در مقدمه تفسیر، دوم در هنگام تفسیر آیات، او در مقدمه تفسیر چهار طُرفه از مجموع مباحث مقدماتی را به بیان فضایل و خواصّ آیات اختصاص می‌دهد در طُرفه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فضایل سوره‌ها نسبت به یکدیگر در طُرفه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تحت عنوان فضایل آیات نسبت به یکدیگر و در طُرفه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تحت عنوان بیان آثار و خواص دنیوی و اخروی آیات و سور و نیز در طُرفه‌های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فضل روایات پیرامون خواص و آثار برخی آیات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مجموع بیش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و خبر به نقل از پیامبر اکرم صلی‌الله‌علیه‌و‌آله و ائمّه اطهار علیهم‌السلام و</w:t>
      </w:r>
    </w:p>
    <w:p>
      <w:pPr>
        <w:pStyle w:val="BookText"/>
        <w:rPr/>
      </w:pPr>
      <w:r>
        <w:rPr>
          <w:rFonts w:ascii="IRNazanin" w:hAnsi="IRNazanin" w:eastAsia="IRNazanin"/>
          <w:color w:val="111111"/>
          <w:sz w:val="28"/>
          <w:sz w:val="28"/>
          <w:szCs w:val="28"/>
          <w:rtl w:val="true"/>
          <w:lang w:bidi="fa-IR"/>
        </w:rPr>
        <w:t>برخی اصحاب پیامبر صلی‌الله‌علیه‌و‌آله در فضیلت آیات و خواصّ دنیوی و درمانی آنها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آن بود که در نقل این گونه اخبار جانب احتیاط را بیشتر رعایت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خود او در بخشی از گفتارش چنین به تحلیل مناسبت فضیلت آیات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انّ فضیلة الآیات بفضیلة ما تضمّنتهُ من العلوم والمعارف الإلهیّة وعلی هذا فکل آیة یکون فیها بیان التوحید والصفات الجلالیّة والجمالیّة وعلم المبدأ والمعاد تکون</w:t>
      </w:r>
    </w:p>
    <w:p>
      <w:pPr>
        <w:pStyle w:val="BookText"/>
        <w:rPr/>
      </w:pPr>
      <w:r>
        <w:rPr>
          <w:rFonts w:ascii="IRNazanin" w:hAnsi="IRNazanin" w:eastAsia="IRNazanin"/>
          <w:color w:val="111111"/>
          <w:sz w:val="28"/>
          <w:sz w:val="28"/>
          <w:szCs w:val="28"/>
          <w:rtl w:val="true"/>
          <w:lang w:bidi="fa-IR"/>
        </w:rPr>
        <w:t>أفضل من غیرها وعظمة آیة الکرسی لکونها أشمل وبهذا الملاک الحاق بعض الآیات الّتی یقاربها فی المضمون بها، واللّه العالم</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اعتقاد نهاوندی، ملاک فضیلت آیات، موضوع آن است؛ لذا آیاتی که موضوع آن توحید، صفات جلال و جمال و معاد است، از آیات دیگر پرفضیلت‌تر است و آیه‌الکرسی به جهت آن که بسیار کامل و شامل، توحید و صفات جلال و جمال را در خود جای داده است، افضل از آیات دیگر به حساب می‌آید؛ و فضیلت دیگر آیات نیز به همین نسبت سنجیده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نقد سخن نهاوندی که او را به نتیجه‌گیری نامعقولی</w:t>
      </w:r>
    </w:p>
    <w:p>
      <w:pPr>
        <w:pStyle w:val="BookText"/>
        <w:rPr/>
      </w:pPr>
      <w:r>
        <w:rPr>
          <w:rFonts w:ascii="IRNazanin" w:hAnsi="IRNazanin" w:eastAsia="IRNazanin"/>
          <w:color w:val="111111"/>
          <w:sz w:val="28"/>
          <w:sz w:val="28"/>
          <w:szCs w:val="28"/>
          <w:rtl w:val="true"/>
          <w:lang w:bidi="fa-IR"/>
        </w:rPr>
        <w:t>کشانده است،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فضیلت آیات قرآنی به کلام اللّه بودن آن است؛ چون کلام الهی است، افضل از دیگر کلام است و چون اعجاز قرآن، شامل تمام سوره‌ها و</w:t>
      </w:r>
    </w:p>
    <w:p>
      <w:pPr>
        <w:pStyle w:val="BookText"/>
        <w:rPr/>
      </w:pPr>
      <w:r>
        <w:rPr>
          <w:rFonts w:ascii="IRNazanin" w:hAnsi="IRNazanin" w:eastAsia="IRNazanin"/>
          <w:color w:val="111111"/>
          <w:sz w:val="28"/>
          <w:sz w:val="28"/>
          <w:szCs w:val="28"/>
          <w:rtl w:val="true"/>
          <w:lang w:bidi="fa-IR"/>
        </w:rPr>
        <w:t>آیات و حتّی مفردات آن است، پس هر بخشی از آیات و سور که درنظر گرفته شود، فی</w:t>
      </w:r>
    </w:p>
    <w:p>
      <w:pPr>
        <w:pStyle w:val="BookText"/>
        <w:rPr/>
      </w:pPr>
      <w:r>
        <w:rPr>
          <w:rFonts w:ascii="IRNazanin" w:hAnsi="IRNazanin" w:eastAsia="IRNazanin"/>
          <w:color w:val="111111"/>
          <w:sz w:val="28"/>
          <w:sz w:val="28"/>
          <w:szCs w:val="28"/>
          <w:rtl w:val="true"/>
          <w:lang w:bidi="fa-IR"/>
        </w:rPr>
        <w:t>حدّ ذاته، کلام اللّه بوده و دارای اعجاز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هیچ بخشی از سور و آیات قرآنی نسبت به بخشهای دیگر، افضل نیست و هرگز نمی‌توان به اعتبار موضوع آیات،</w:t>
      </w:r>
    </w:p>
    <w:p>
      <w:pPr>
        <w:pStyle w:val="BookText"/>
        <w:rPr/>
      </w:pPr>
      <w:r>
        <w:rPr>
          <w:rFonts w:ascii="IRNazanin" w:hAnsi="IRNazanin" w:eastAsia="IRNazanin"/>
          <w:color w:val="111111"/>
          <w:sz w:val="28"/>
          <w:sz w:val="28"/>
          <w:szCs w:val="28"/>
          <w:rtl w:val="true"/>
          <w:lang w:bidi="fa-IR"/>
        </w:rPr>
        <w:t>یکی را بر دیگری افضل دانست؛ مگر آیه‌ای که به طرح احکام حج پرداخته افضل از آیاتی است که موضوع آن امر به معروف و نهی از منکر است ؟ و یا مگر می‌توان آیه‌ای را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به تشریع و قانونگذاری می‌پردازد یا درباره اصل نبوّت و امامت سخن می‌گوید، از لحاظ فضیلت و ارزش کم فضیلت‌تر از آیات توحیدی دانست ؟</w:t>
      </w:r>
      <w:bookmarkStart w:id="144" w:name="pg4391_50945"/>
    </w:p>
    <w:p>
      <w:pPr>
        <w:pStyle w:val="Heading4"/>
        <w:numPr>
          <w:ilvl w:val="3"/>
          <w:numId w:val="1"/>
        </w:numPr>
        <w:rPr/>
      </w:pPr>
      <w:bookmarkStart w:id="145" w:name="__RefHeading___Toc1438699_1479056682"/>
      <w:bookmarkStart w:id="146" w:name="_Toc58"/>
      <w:bookmarkEnd w:id="144"/>
      <w:bookmarkEnd w:id="145"/>
      <w:r>
        <w:rPr>
          <w:rtl w:val="true"/>
        </w:rPr>
        <w:t xml:space="preserve">فصل سوم </w:t>
      </w:r>
      <w:r>
        <w:rPr>
          <w:rtl w:val="true"/>
        </w:rPr>
        <w:t xml:space="preserve">- </w:t>
      </w:r>
      <w:r>
        <w:rPr>
          <w:rtl w:val="true"/>
        </w:rPr>
        <w:t>ویژگی‌های مقدّمه نفحات الرّحمن</w:t>
      </w:r>
      <w:bookmarkEnd w:id="146"/>
    </w:p>
    <w:p>
      <w:pPr>
        <w:pStyle w:val="Heading5"/>
        <w:numPr>
          <w:ilvl w:val="4"/>
          <w:numId w:val="1"/>
        </w:numPr>
        <w:rPr/>
      </w:pPr>
      <w:bookmarkStart w:id="147" w:name="__RefHeading___Toc1438701_1479056682"/>
      <w:bookmarkStart w:id="148" w:name="_Toc59"/>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از ویژگی‌های منحصر به فرد این کتاب، نگارش مقدّمه‌ای بس طولانی امّا مفید و منظّم و روایی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نفحات الرّحمن که تحت عنوان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طُرفه، یا فصل، تنظیم شده مطالب زیر مورد بحث و تحقیق قرار گرفته است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پیرامون اعجاز قرآن با استناد به آیات و اظهار عجز اعراب و تأیید</w:t>
      </w:r>
    </w:p>
    <w:p>
      <w:pPr>
        <w:pStyle w:val="BookText"/>
        <w:rPr/>
      </w:pPr>
      <w:r>
        <w:rPr>
          <w:rFonts w:ascii="IRNazanin" w:hAnsi="IRNazanin" w:eastAsia="IRNazanin"/>
          <w:color w:val="111111"/>
          <w:sz w:val="28"/>
          <w:sz w:val="28"/>
          <w:szCs w:val="28"/>
          <w:rtl w:val="true"/>
          <w:lang w:bidi="fa-IR"/>
        </w:rPr>
        <w:t>ادیبان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کلامی معجزه، انواع معجزه، ابعاد اعجاز عقلی قرآن با استناد به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قرآن با تورات و انجیل و اثبات اعجاز قرآن به ویژه در اشتمال بر تعالیم ویژه و اشاره به 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نزول قرآن، فلسفه نزول بر بیت المعمور و یا قلب پیامبر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و تدوین قرآن در زمان حیات پیامبر اکرم صلی‌الله‌علیه‌و‌آله ، مفهوم جمع، ادلّه جمع، اقدامات علی علیه‌السلام و دیگر صحابه، تحلیل و ردّ روایات جمع توسّط خلفا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ادّعای جمع قرآن در سه دوره زمانی خلفا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بودن نظم و ترتیب سوره‌های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موجود در قرآن کریم غیر از ترتیب نزولی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و صفات قرآن و وجه تسمیه و توصیف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وقوع تحریف در قرآن، تحلیل دیدگاههای معارض، نقل قولهای فراوان از علما و دانشمندان طراز اوّل شیعه در اثبات تحریف ناپذیری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سوره‌های قرآن و راز اختلاف در برخی شمارشها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توقیفی بودن نامگذاری سوره‌ها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نامگذاری سوره‌ها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مئین، مثانی، مفصل،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تقطیع قرآن به سوره‌های متنوّع و راز تفاوت سوره‌ها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p>
    <w:p>
      <w:pPr>
        <w:pStyle w:val="BookText"/>
        <w:rPr/>
      </w:pPr>
      <w:r>
        <w:rPr>
          <w:rFonts w:ascii="IRNazanin" w:hAnsi="IRNazanin" w:eastAsia="IRNazanin"/>
          <w:color w:val="111111"/>
          <w:sz w:val="28"/>
          <w:sz w:val="28"/>
          <w:szCs w:val="28"/>
          <w:rtl w:val="true"/>
          <w:lang w:bidi="fa-IR"/>
        </w:rPr>
        <w:t>کوتاهی و بلندی سوره‌ها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بسمله جزو تمام سوره‌های قرآن، جز سوره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قرآن مشتمل بر محکم و متشابه بوده و علم به متشابه مخصوص پیامبر صلی‌الله‌علیه‌و‌آله و امامان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متشابه بودن برخی آیات و شمارش تعداد آیات 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هجدهم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حروف مقطّعه و متشابه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نوزدهم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پیرامون تفسیر و تأویل، تفسیر و باطن قرآن، تعیین راسخان در علم و علم به تأویل، ادلّه مخالفان تفسیر قرآن، لزوم مراجعه به روایات تفسیری امامان در تفسیر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بیستم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پیرامون نسخ، امکان وقوع نسخ، معرّفی آیات ناسخ و منسوخ، انواع 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بیست‌و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نظریّه نسخ تلاوت که علمای عامّه آن 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بیست‌و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 باطن قرآن، و اثبات این که علوم و دانش پیامبر صلی‌الله‌علیه‌و‌آله و امامان همگی از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بیست‌و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که تمام قرآن در ارتباط با ولایت ائمّه اطهار علیهم‌السلام</w:t>
      </w:r>
    </w:p>
    <w:p>
      <w:pPr>
        <w:pStyle w:val="BookText"/>
        <w:rPr/>
      </w:pPr>
      <w:r>
        <w:rPr>
          <w:rFonts w:ascii="IRNazanin" w:hAnsi="IRNazanin" w:eastAsia="IRNazanin"/>
          <w:color w:val="111111"/>
          <w:sz w:val="28"/>
          <w:sz w:val="28"/>
          <w:szCs w:val="28"/>
          <w:rtl w:val="true"/>
          <w:lang w:bidi="fa-IR"/>
        </w:rPr>
        <w:t xml:space="preserve">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اطاعت، جایگاه موافقان و مخالفان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طُرفه بیست‌و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این ادّعا که ظاهر آیات حجّت نیست، بلکه معانی باطنی</w:t>
      </w:r>
    </w:p>
    <w:p>
      <w:pPr>
        <w:pStyle w:val="BookText"/>
        <w:rPr/>
      </w:pPr>
      <w:r>
        <w:rPr>
          <w:rFonts w:ascii="IRNazanin" w:hAnsi="IRNazanin" w:eastAsia="IRNazanin"/>
          <w:color w:val="111111"/>
          <w:sz w:val="28"/>
          <w:sz w:val="28"/>
          <w:szCs w:val="28"/>
          <w:rtl w:val="true"/>
          <w:lang w:bidi="fa-IR"/>
        </w:rPr>
        <w:t>آن مورد نظر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بیست‌و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امارات شرعی در تفسیر آیات غیر 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بیست‌و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تعارض و تناقض در آیات قرآن به همراه ذکر مواردی از تعارض ظاهری آیات و تحلیل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بیست‌و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قرآن بر دیگر کتابهای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بیست‌و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افضلیّت آموزش و یادگیری قرآن نسبت به تمام اعمال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بیست‌و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پیرامون محافظت از قرآن به عنوان مهمترین وظیفه عبادی و تحلیل روایات وارده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تلاوت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دعاها و ذکرهایی که خواندن آن پس از تلاوت آیات،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این ادّعای عامّه که به فراموشی سپردن آیات و سوری که در حافظه قاری است، گناه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ختم قرآن در کمتر از سه روز به خاطر مغایرت با اصل تدبّر و تفکّر در 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 که،ختم‌کننده قرآن، مستجاب الدعوه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سی‌و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سوره‌ها نسبت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آیات نسبت به یکدیگر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سی‌و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شامل آثار و خواصّ دنیوی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سی‌و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سوره‌ها دارای خواص و مشخّصات ویژه‌ای در درمان بیماری‌های روحی و جسمی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 چهلم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آثار دنیوی برخی آیات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خاتمه مقدّمه، به پاره‌ای از منابع و مآخذ تفسیر اشاره کرده، امّا کتابهایی که نام برده است در مقایسه با آنچه که در متن از آن یاد شده، به یک دهم</w:t>
      </w:r>
      <w:bookmarkStart w:id="149" w:name="pg4391_50948"/>
    </w:p>
    <w:p>
      <w:pPr>
        <w:pStyle w:val="BookText"/>
        <w:rPr/>
      </w:pPr>
      <w:bookmarkEnd w:id="149"/>
      <w:r>
        <w:rPr>
          <w:rFonts w:ascii="IRNazanin" w:hAnsi="IRNazanin" w:eastAsia="IRNazanin"/>
          <w:color w:val="111111"/>
          <w:sz w:val="28"/>
          <w:sz w:val="28"/>
          <w:szCs w:val="28"/>
          <w:rtl w:val="true"/>
          <w:lang w:bidi="fa-IR"/>
        </w:rPr>
        <w:t>می‌رسد، لذا در بخشی از تحقیق حاضر، کتابنامه و مصادر تفسیر نفحات الرّحمن شرح</w:t>
      </w:r>
    </w:p>
    <w:p>
      <w:pPr>
        <w:pStyle w:val="BookText"/>
        <w:rPr/>
      </w:pPr>
      <w:r>
        <w:rPr>
          <w:rFonts w:ascii="IRNazanin" w:hAnsi="IRNazanin" w:eastAsia="IRNazanin"/>
          <w:color w:val="111111"/>
          <w:sz w:val="28"/>
          <w:sz w:val="28"/>
          <w:szCs w:val="28"/>
          <w:rtl w:val="true"/>
          <w:lang w:bidi="fa-IR"/>
        </w:rPr>
        <w:t>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مقدّمه نفحات الرّحمن با مقدّمه دیگر متون تفسیری</w:t>
      </w:r>
    </w:p>
    <w:p>
      <w:pPr>
        <w:pStyle w:val="Heading5"/>
        <w:numPr>
          <w:ilvl w:val="4"/>
          <w:numId w:val="1"/>
        </w:numPr>
        <w:rPr/>
      </w:pPr>
      <w:bookmarkStart w:id="150" w:name="__RefHeading___Toc1438703_1479056682"/>
      <w:bookmarkStart w:id="151" w:name="_Toc60"/>
      <w:bookmarkEnd w:id="150"/>
      <w:r>
        <w:rPr>
          <w:rtl w:val="true"/>
        </w:rPr>
        <w:t>ویژگی‌های خاص و ابتکاری</w:t>
      </w:r>
      <w:bookmarkEnd w:id="1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در بحث اعجاز قرآن از دیدگاههای مختلف به موضوع می‌پردازد، آنچه که او افزون بر دیگر مفسّران بیان کرده است، اثبات اعجاز قرآن در مقایسه با کتابهای</w:t>
      </w:r>
    </w:p>
    <w:p>
      <w:pPr>
        <w:pStyle w:val="BookText"/>
        <w:rPr/>
      </w:pPr>
      <w:r>
        <w:rPr>
          <w:rFonts w:ascii="IRNazanin" w:hAnsi="IRNazanin" w:eastAsia="IRNazanin"/>
          <w:color w:val="111111"/>
          <w:sz w:val="28"/>
          <w:sz w:val="28"/>
          <w:szCs w:val="28"/>
          <w:rtl w:val="true"/>
          <w:lang w:bidi="fa-IR"/>
        </w:rPr>
        <w:t>پیامبران پیشین، بررسی ابعاد و وجوه اعجاز قرآن با استناد به روایات و اختصاص سه</w:t>
      </w:r>
    </w:p>
    <w:p>
      <w:pPr>
        <w:pStyle w:val="BookText"/>
        <w:rPr/>
      </w:pPr>
      <w:r>
        <w:rPr>
          <w:rFonts w:ascii="IRNazanin" w:hAnsi="IRNazanin" w:eastAsia="IRNazanin"/>
          <w:color w:val="111111"/>
          <w:sz w:val="28"/>
          <w:sz w:val="28"/>
          <w:szCs w:val="28"/>
          <w:rtl w:val="true"/>
          <w:lang w:bidi="fa-IR"/>
        </w:rPr>
        <w:t>طُرفه مستقل پیرامون اعجاز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او در نگارش مقدّمه ،آن است که ابتدا دیدگاه و اجتهاد و استنباط خود را به عنوان بحث آزاد و مستقلّ کلامی و قرآنپژوهانه بیان می‌دارد، سپس بدون استثنا در اثبات هریک از مدّعاهای خویش به استشهادات قرآنی و روایی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او در</w:t>
      </w:r>
    </w:p>
    <w:p>
      <w:pPr>
        <w:pStyle w:val="BookText"/>
        <w:rPr/>
      </w:pPr>
      <w:r>
        <w:rPr>
          <w:rFonts w:ascii="IRNazanin" w:hAnsi="IRNazanin" w:eastAsia="IRNazanin"/>
          <w:color w:val="111111"/>
          <w:sz w:val="28"/>
          <w:sz w:val="28"/>
          <w:szCs w:val="28"/>
          <w:rtl w:val="true"/>
          <w:lang w:bidi="fa-IR"/>
        </w:rPr>
        <w:t>نگارش مقدّمه کم‌نظیر است، زیرا التزامی که او در هر طُرفه به استشهاد روایات از خود</w:t>
      </w:r>
    </w:p>
    <w:p>
      <w:pPr>
        <w:pStyle w:val="BookText"/>
        <w:rPr/>
      </w:pPr>
      <w:r>
        <w:rPr>
          <w:rFonts w:ascii="IRNazanin" w:hAnsi="IRNazanin" w:eastAsia="IRNazanin"/>
          <w:color w:val="111111"/>
          <w:sz w:val="28"/>
          <w:sz w:val="28"/>
          <w:szCs w:val="28"/>
          <w:rtl w:val="true"/>
          <w:lang w:bidi="fa-IR"/>
        </w:rPr>
        <w:t>نشان می‌دهد، در دیگر مفسّران کمتر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به عنوان یک مفسّر شیعی کوشیده است مجموعه کامل و مدوّنی از مباحث و روایات مرتبط با مصطلحات علوم قرآنی گردآوری کند تا پژوهشگران شیعی را در برخورداری از منبعی مستقل یاری رساند؛ این در حالی است که بیشتر منابع و کتبی که پیرامون علوم قرآن نگاشته شده است، صبغه عامّی مذهبی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تا آن جا که توانسته نهایت تلاش خویش را در تعقیب روایات از طرق شیعه به کار بسته است و زیباتر آن که برخی مطالب، اخبار و روایاتی را که در مآخذ عامّه ثبت</w:t>
      </w:r>
    </w:p>
    <w:p>
      <w:pPr>
        <w:pStyle w:val="BookText"/>
        <w:rPr/>
      </w:pPr>
      <w:r>
        <w:rPr>
          <w:rFonts w:ascii="IRNazanin" w:hAnsi="IRNazanin" w:eastAsia="IRNazanin"/>
          <w:color w:val="111111"/>
          <w:sz w:val="28"/>
          <w:sz w:val="28"/>
          <w:szCs w:val="28"/>
          <w:rtl w:val="true"/>
          <w:lang w:bidi="fa-IR"/>
        </w:rPr>
        <w:t>شده، از طرق روات شیعه به همان راوی یا صحابی رسانده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 نفحات الرّحمن در شاخه علوم قرآن، تاریخ قرآن، فضایل قرآن و وظایف قاری و تلاوت کننده تنظیم شده و پیرامون هریک تحت عناوین فرعی و مستقل به تحقیق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دیگر مقدّمه‌ها اغلب پیرامون دو شاخه نخست گفت و گو شده است؛ تنوّع موضوعات و تفرّع در آن نسبت به دیگر مقدّمه‌ها نیز قابل</w:t>
      </w:r>
    </w:p>
    <w:p>
      <w:pPr>
        <w:pStyle w:val="BookText"/>
        <w:rPr/>
      </w:pPr>
      <w:r>
        <w:rPr>
          <w:rFonts w:ascii="IRNazanin" w:hAnsi="IRNazanin" w:eastAsia="IRNazanin"/>
          <w:color w:val="111111"/>
          <w:sz w:val="28"/>
          <w:sz w:val="28"/>
          <w:szCs w:val="28"/>
          <w:rtl w:val="true"/>
          <w:lang w:bidi="fa-IR"/>
        </w:rPr>
        <w:t>چشمگیر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بین تأویل و اعتقاد به حجّیت ظواهر آیات به طرح دو فصل مستقل انجامیده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فصلی در باره اهمیّت و لزوم توجّه به تأویل آیات سخن گفته و در فصل دیگر استدلالهای خود را مستند به روایات تفسیری و نیز دلایل عقلی کرده و بدین ترتیب فصل بین این دو مبحث را که در اغلب اندیشه‌های مفسّران دیده می‌شود، به هم ربط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اختصاص فصل مستقلّی پیرامون ارتباط قرآن و امامان و اصرار بر این که آیات قرآن به اعتباری در شأن امامان و ولایت آنان نازل شده است، حال یا در توصیف مقام</w:t>
      </w:r>
    </w:p>
    <w:p>
      <w:pPr>
        <w:pStyle w:val="BookText"/>
        <w:rPr/>
      </w:pPr>
      <w:r>
        <w:rPr>
          <w:rFonts w:ascii="IRNazanin" w:hAnsi="IRNazanin" w:eastAsia="IRNazanin"/>
          <w:color w:val="111111"/>
          <w:sz w:val="28"/>
          <w:sz w:val="28"/>
          <w:szCs w:val="28"/>
          <w:rtl w:val="true"/>
          <w:lang w:bidi="fa-IR"/>
        </w:rPr>
        <w:t>امامت و ولایت آنان و یا در تبیین وظایف پیروان آنان و یا نیز در وصف و تبیین اندیشه</w:t>
      </w:r>
    </w:p>
    <w:p>
      <w:pPr>
        <w:pStyle w:val="BookText"/>
        <w:rPr/>
      </w:pPr>
      <w:r>
        <w:rPr>
          <w:rFonts w:ascii="IRNazanin" w:hAnsi="IRNazanin" w:eastAsia="IRNazanin"/>
          <w:color w:val="111111"/>
          <w:sz w:val="28"/>
          <w:sz w:val="28"/>
          <w:szCs w:val="28"/>
          <w:rtl w:val="true"/>
          <w:lang w:bidi="fa-IR"/>
        </w:rPr>
        <w:t>مخالفان امام و طرح احکام در خصوص این سه موضوع می‌باشد، این فصل، زیبایی خاصّی به مقدّمه داده است و این اُفق را در تفکّر هر پژوهشگری می‌گشاید که به راستی</w:t>
      </w:r>
    </w:p>
    <w:p>
      <w:pPr>
        <w:pStyle w:val="BookText"/>
        <w:rPr/>
      </w:pPr>
      <w:r>
        <w:rPr>
          <w:rFonts w:ascii="IRNazanin" w:hAnsi="IRNazanin" w:eastAsia="IRNazanin"/>
          <w:color w:val="111111"/>
          <w:sz w:val="28"/>
          <w:sz w:val="28"/>
          <w:szCs w:val="28"/>
          <w:rtl w:val="true"/>
          <w:lang w:bidi="fa-IR"/>
        </w:rPr>
        <w:t>پیرامون فلسفه امامت بیندیشد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تدبّر و تلاوت از موضوعات مهمّ این مقدّمه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صبغه روایی که این مقدّمه و متن اصلی تفسیر دارد، لزوم تفکّر و تعقلّ و تدبّر در مفاهیم قرآنی و آیات آن، پیوسته به تصویر کشانده شده و همواره قاری و پژوهشگر را به تدبّر، آینده‌نگری و ژرف‌نگری در قرآن و تفسیر فرا می‌خواند و اعتقاد دارد که با وسایط عقل و نقل یا با یکی از این دو می‌توان به فهم بهتری از آیات رسید؛ این در حالی است که در</w:t>
      </w:r>
    </w:p>
    <w:p>
      <w:pPr>
        <w:pStyle w:val="BookText"/>
        <w:rPr/>
      </w:pPr>
      <w:r>
        <w:rPr>
          <w:rFonts w:ascii="IRNazanin" w:hAnsi="IRNazanin" w:eastAsia="IRNazanin"/>
          <w:color w:val="111111"/>
          <w:sz w:val="28"/>
          <w:sz w:val="28"/>
          <w:szCs w:val="28"/>
          <w:rtl w:val="true"/>
          <w:lang w:bidi="fa-IR"/>
        </w:rPr>
        <w:t>مقدّمه‌های دیگر چنین اهتمام مستقل و تصریحی دیده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تأخّر مؤلّف در نگارش این مقدّمه، فرصتی را برای او فراهم ساخته تا کتابهای</w:t>
      </w:r>
    </w:p>
    <w:p>
      <w:pPr>
        <w:pStyle w:val="BookText"/>
        <w:rPr/>
      </w:pPr>
      <w:r>
        <w:rPr>
          <w:rFonts w:ascii="IRNazanin" w:hAnsi="IRNazanin" w:eastAsia="IRNazanin"/>
          <w:color w:val="111111"/>
          <w:sz w:val="28"/>
          <w:sz w:val="28"/>
          <w:szCs w:val="28"/>
          <w:rtl w:val="true"/>
          <w:lang w:bidi="fa-IR"/>
        </w:rPr>
        <w:t>متقدّمان و متأخّران را مورد رجوع و مطالعه قرار دهد و کاملتر از آنچه در آثار پیشینیان دیده است، به بحث و گفت و گو بپردازد، اختصاص چهل طُرفه در بیش از سی موضوع تخصّصی، دلیل این ادّعاست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اصرار مؤلّف بر تدوین مقدّمه مستقلّ شیعی مانع از جرح و تعدیل و بلکه استناد به سخنان نخبگان از مفسّران اهل تسنّن نشده، بلکه هرجا لازم می‌دیده از کلام آنان محملی برای اثبات مدّعای خویش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او به تفسیر فخر رازی و در</w:t>
      </w:r>
      <w:bookmarkStart w:id="152" w:name="pg4391_50950"/>
    </w:p>
    <w:p>
      <w:pPr>
        <w:pStyle w:val="BookText"/>
        <w:rPr/>
      </w:pPr>
      <w:bookmarkEnd w:id="152"/>
      <w:r>
        <w:rPr>
          <w:rFonts w:ascii="IRNazanin" w:hAnsi="IRNazanin" w:eastAsia="IRNazanin"/>
          <w:color w:val="111111"/>
          <w:sz w:val="28"/>
          <w:sz w:val="28"/>
          <w:szCs w:val="28"/>
          <w:rtl w:val="true"/>
          <w:lang w:bidi="fa-IR"/>
        </w:rPr>
        <w:t>درجه دوم تفسیر کشّاف زمخشری در مباحث تفسیری و اتقان سیوطی در مباحث علوم قرآنی، نسبت به دیگر منابع، عامه نمود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مفسّران و</w:t>
      </w:r>
    </w:p>
    <w:p>
      <w:pPr>
        <w:pStyle w:val="BookText"/>
        <w:rPr/>
      </w:pPr>
      <w:r>
        <w:rPr>
          <w:rFonts w:ascii="IRNazanin" w:hAnsi="IRNazanin" w:eastAsia="IRNazanin"/>
          <w:color w:val="111111"/>
          <w:sz w:val="28"/>
          <w:sz w:val="28"/>
          <w:szCs w:val="28"/>
          <w:rtl w:val="true"/>
          <w:lang w:bidi="fa-IR"/>
        </w:rPr>
        <w:t>محدّثان عامّی مذهب کمتر به خود اجازه می‌دهند از روایات شیعی و اقوال دانشمندان امامیّه تضمین و یا تلمیح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مفسّر می‌کوشد در استنادات روایی شیعی به جوامع حدیثی و کتابهای تفسیری درجه اوّل مراجعه کند و لذا اخباری که از کتب اربعه و تفاسیر دوره‌های نخست تا قرن ششم مثل تفسیر علیّ بن ابراهیم قمی، تفسیر عیّاشی، تفسیر شیخ طوسی، تفسیر طبرسی</w:t>
      </w:r>
    </w:p>
    <w:p>
      <w:pPr>
        <w:pStyle w:val="BookText"/>
        <w:rPr/>
      </w:pPr>
      <w:r>
        <w:rPr>
          <w:rFonts w:ascii="IRNazanin" w:hAnsi="IRNazanin" w:eastAsia="IRNazanin"/>
          <w:color w:val="111111"/>
          <w:sz w:val="28"/>
          <w:sz w:val="28"/>
          <w:szCs w:val="28"/>
          <w:rtl w:val="true"/>
          <w:lang w:bidi="fa-IR"/>
        </w:rPr>
        <w:t>نقل می‌کند، فراوان است، امّا در مواردی نیز از این التزام رهیده و به کتابهای حدیث و تفسیر متأخّران پرداخته و راه آنان را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ما استناد به کتابهای متأخّران در حدیث و تفسیر، ضرور و مبارک است، امّا اگر طریق محدّثان و مفسّران متأخّر به متقدّمان</w:t>
      </w:r>
    </w:p>
    <w:p>
      <w:pPr>
        <w:pStyle w:val="BookText"/>
        <w:rPr/>
      </w:pPr>
      <w:r>
        <w:rPr>
          <w:rFonts w:ascii="IRNazanin" w:hAnsi="IRNazanin" w:eastAsia="IRNazanin"/>
          <w:color w:val="111111"/>
          <w:sz w:val="28"/>
          <w:sz w:val="28"/>
          <w:szCs w:val="28"/>
          <w:rtl w:val="true"/>
          <w:lang w:bidi="fa-IR"/>
        </w:rPr>
        <w:t>وفادار خود رسد و یا مطلبی در یکی از جوامع متأخّر به نقل از جوامع و منابع متقدّم یافت شود، بهتر آن است که مفسّران و پژوهشگران ما به متقدّمان و آثار آنان وفادار باشند</w:t>
      </w:r>
      <w:r>
        <w:rPr>
          <w:rFonts w:eastAsia="IRNazanin" w:cs="IRNazanin"/>
          <w:color w:val="111111"/>
          <w:sz w:val="28"/>
          <w:szCs w:val="28"/>
          <w:rtl w:val="true"/>
          <w:lang w:bidi="fa-IR"/>
        </w:rPr>
        <w:t>.</w:t>
      </w:r>
    </w:p>
    <w:p>
      <w:pPr>
        <w:pStyle w:val="Heading5"/>
        <w:numPr>
          <w:ilvl w:val="4"/>
          <w:numId w:val="1"/>
        </w:numPr>
        <w:rPr/>
      </w:pPr>
      <w:bookmarkStart w:id="153" w:name="__RefHeading___Toc1438705_1479056682"/>
      <w:bookmarkStart w:id="154" w:name="_Toc61"/>
      <w:bookmarkEnd w:id="153"/>
      <w:r>
        <w:rPr>
          <w:rtl w:val="true"/>
        </w:rPr>
        <w:t>اشکالات ساختاری و محتوایی</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تلخیص در عناوین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عناوین برخی فصول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تام به یکدیگر دارد، و مباحث مطرح شده در آنها نیز دارای اشتراک محتوایی‌اند مناسبتر آن</w:t>
      </w:r>
    </w:p>
    <w:p>
      <w:pPr>
        <w:pStyle w:val="BookText"/>
        <w:rPr/>
      </w:pPr>
      <w:r>
        <w:rPr>
          <w:rFonts w:ascii="IRNazanin" w:hAnsi="IRNazanin" w:eastAsia="IRNazanin"/>
          <w:color w:val="111111"/>
          <w:sz w:val="28"/>
          <w:sz w:val="28"/>
          <w:szCs w:val="28"/>
          <w:rtl w:val="true"/>
          <w:lang w:bidi="fa-IR"/>
        </w:rPr>
        <w:t>بود که این گونه عناوین را درهم ادغام کند و از حجم و تنوّع عناوین فصول بکاهد، مثلاً،</w:t>
      </w:r>
    </w:p>
    <w:p>
      <w:pPr>
        <w:pStyle w:val="BookText"/>
        <w:rPr/>
      </w:pPr>
      <w:r>
        <w:rPr>
          <w:rFonts w:ascii="IRNazanin" w:hAnsi="IRNazanin" w:eastAsia="IRNazanin"/>
          <w:color w:val="111111"/>
          <w:sz w:val="28"/>
          <w:sz w:val="28"/>
          <w:szCs w:val="28"/>
          <w:rtl w:val="true"/>
          <w:lang w:bidi="fa-IR"/>
        </w:rPr>
        <w:t>موضوعات مطرح شده در طُرفه پنجم و ششم می‌تواند تحت عنوان تاریخ تدوین و جمع قرآن و در یک طُرفه خلاصه گردد و ضمن آن پس از طرح دیدگاههای مختلف به نقد و</w:t>
      </w:r>
    </w:p>
    <w:p>
      <w:pPr>
        <w:pStyle w:val="BookText"/>
        <w:rPr/>
      </w:pPr>
      <w:r>
        <w:rPr>
          <w:rFonts w:ascii="IRNazanin" w:hAnsi="IRNazanin" w:eastAsia="IRNazanin"/>
          <w:color w:val="111111"/>
          <w:sz w:val="28"/>
          <w:sz w:val="28"/>
          <w:szCs w:val="28"/>
          <w:rtl w:val="true"/>
          <w:lang w:bidi="fa-IR"/>
        </w:rPr>
        <w:t>بررسی آنها بپردازد و نیز اگر بپذیریم بحث پیرامون اسامی سور از جمله مباحث نظم و بررسی ساختار قرآن است، می‌توانست مباحث طُرفه دوازدهم با طُرفه هفتم درهم ادغام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گردد و هر دو گفتار تحت یک طُرفه و تحت عنوان نظم توقیفی قرآن قرار گیرد و نیز طُرفه سی‌ام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طُرفه سی‌و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جمع است، و نیز طُرفه سی‌و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طُرفه سی‌و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 و</w:t>
      </w:r>
    </w:p>
    <w:p>
      <w:pPr>
        <w:pStyle w:val="BookText"/>
        <w:rPr/>
      </w:pPr>
      <w:r>
        <w:rPr>
          <w:rFonts w:ascii="IRNazanin" w:hAnsi="IRNazanin" w:eastAsia="IRNazanin"/>
          <w:color w:val="111111"/>
          <w:sz w:val="28"/>
          <w:sz w:val="28"/>
          <w:szCs w:val="28"/>
          <w:rtl w:val="true"/>
          <w:lang w:bidi="fa-IR"/>
        </w:rPr>
        <w:t xml:space="preserve">طُرفه‌های سی‌و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دنیوی و اخروی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سی‌و 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درمانی برخی سوره‌ها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طُرفه چهلم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درمانی برخی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جمع دارد و می‌تواند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و آثار قرآن، طُرفه جامع و واحدی را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w:t>
      </w:r>
    </w:p>
    <w:p>
      <w:pPr>
        <w:pStyle w:val="BookText"/>
        <w:rPr/>
      </w:pPr>
      <w:r>
        <w:rPr>
          <w:rFonts w:ascii="IRNazanin" w:hAnsi="IRNazanin" w:eastAsia="IRNazanin"/>
          <w:color w:val="111111"/>
          <w:sz w:val="28"/>
          <w:sz w:val="28"/>
          <w:szCs w:val="28"/>
          <w:rtl w:val="true"/>
          <w:lang w:bidi="fa-IR"/>
        </w:rPr>
        <w:t xml:space="preserve">طُرفه بیست‌و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 قرآن بر دیگر کتابهای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طُرفه بیست‌و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برتری آموزش قرآن نسبت به دیگر اعمال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 و می‌تواند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نظری و عملی قرآن به بحث کشانده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فقدان فهرست مطالب و نیز عناوین طُرفه‌ها از دیگر نواقص نگارشی مؤلّف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بود ذیل هر طُرفه پس از آوردن شماره آن، عنوان گفتار و یا عنوان طُرفه می‌آمد تا پژوهشگر به آسانی عناوین را شناسایی کند و با سرعت بیشتری به دیدگاههای مؤلّف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تصحیح این مقدّمه، کوشیده‌ام علاوه بر ذکر فهرست مطالب، عناوین مستقلّی برای هر طُرفه تعیین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مؤلّف از ذکر منابع و مآخذ مستندات خویش، حتی مدارک قرآنی، دریغ ورزیده است و این، شیوه نگارش معمول در قرن چهاردهم نیست و او لازم بود مواقع ضرور و مهم، منابعش را ذکر کند نشانی آیات و سور و منابع تفسیری و روایی و غیره در این مقدّمه و نیز در متن اصلی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تحقیق این نقیصه را نیز برطرف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ناکافی بودن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محتوای این مقدّمه را تشکیل می‌دهد، در مقایسه با دیگر منابع و آثار مشابه از کمبودهایی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مباحث مهمّی که طرح آن در مقدّمه نفحات الرّحمن فراموش گشته است می‌توان علم قراءت، علم اسباب النزول،</w:t>
      </w:r>
    </w:p>
    <w:p>
      <w:pPr>
        <w:pStyle w:val="BookText"/>
        <w:rPr/>
      </w:pPr>
      <w:r>
        <w:rPr>
          <w:rFonts w:ascii="IRNazanin" w:hAnsi="IRNazanin" w:eastAsia="IRNazanin"/>
          <w:color w:val="111111"/>
          <w:sz w:val="28"/>
          <w:sz w:val="28"/>
          <w:szCs w:val="28"/>
          <w:rtl w:val="true"/>
          <w:lang w:bidi="fa-IR"/>
        </w:rPr>
        <w:t>علوم و ادوات لازم در تفسیر، تعریف تفسیر به رأی و تعیین مرز آن با تفسیر اجتهادی و</w:t>
      </w:r>
    </w:p>
    <w:p>
      <w:pPr>
        <w:pStyle w:val="BookText"/>
        <w:rPr/>
      </w:pPr>
      <w:r>
        <w:rPr>
          <w:rFonts w:ascii="IRNazanin" w:hAnsi="IRNazanin" w:eastAsia="IRNazanin"/>
          <w:color w:val="111111"/>
          <w:sz w:val="28"/>
          <w:sz w:val="28"/>
          <w:szCs w:val="28"/>
          <w:rtl w:val="true"/>
          <w:lang w:bidi="fa-IR"/>
        </w:rPr>
        <w:t>جامع، و مباحث لغت‌شناسی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می‌توانست چهره زیباتری به این تفسیر ببخشد، حذف مباحث تکراری، پرداختن به برخی نیازهای علمی قرن چهارده از جمله جایگاه تفکّر در قصص انبیاء، قرآن و اشارت علمی، قرآن و مخاطبان و یا به تعبیری خطابات قرآن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سند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نظر به شواهد روایی فراوان در نفحات</w:t>
      </w:r>
    </w:p>
    <w:p>
      <w:pPr>
        <w:pStyle w:val="BookText"/>
        <w:rPr/>
      </w:pPr>
      <w:r>
        <w:rPr>
          <w:rFonts w:ascii="IRNazanin" w:hAnsi="IRNazanin" w:eastAsia="IRNazanin"/>
          <w:color w:val="111111"/>
          <w:sz w:val="28"/>
          <w:sz w:val="28"/>
          <w:szCs w:val="28"/>
          <w:rtl w:val="true"/>
          <w:lang w:bidi="fa-IR"/>
        </w:rPr>
        <w:t>الرّحمن و نیز مقدّمه آن، مؤلّف به رعایت اختصار در نقل روایات وادار شده باشد و لذا جز اوّلین سند، بقیه اسناد را ساقط کرده و این کار پژوهش را بر پژوهشگران دشوار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اشکالات نگارشی و تصحیفات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اثری از رعایت اصول و نکات لازم در نگارش و زیبانویسی در این مقدّمه به چشم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این تصحیح، این اشکالات را نیز برطرف و از نشانه‌های لازم نگارشی استفاده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برخی اغلاط نگارشی که احتمال دارد ناشی از تصحیف یا بی‌دقّتی در استنساخ بوده باشد شناسایی و به اصلاح آن پرداخته‌ام،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غُضْتَ، لا توجد علما وعملاً، من عند غیر اللّه، فقضیهُنَّ، ویغنا عنهم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به غلط نوشته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غصت، لا توجد علما، من عند اللّه، 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وّیهُنَّ، ویفنا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از طرق روایی شیعه در موارد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دیده می‌شود از پیامبر صلی‌الله‌علیه‌و‌آله یا صحابه یا تابعین سخنی را از طرق عامّه نقل کرده است در حالی که همان مطلب در طرق شیعه نیز دیده می‌شود؛ در صورتی که در تدوین اثر مستقلّ شیعی لازم است همواره به طرق مبارک امامیّه ملتزم بود، نه آن که با وجود تصریحات شیعی به نقلیّات دیگران تمسّک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تحقیق کوشیده‌ام این گونه مطالب را از طرق شیعه نقل کنم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طُرفه‌های مقدّمه، مثل طُرفه ششم و هشتم، هرگز استنادی به مآخذ شیعی نشده، در حالی که در دیگر کتابهای شیعی ذیل همین عناوین به طرق شیعه اعتماد و اتّکا شده است</w:t>
      </w:r>
      <w:r>
        <w:rPr>
          <w:rFonts w:eastAsia="IRNazanin" w:cs="IRNazanin"/>
          <w:color w:val="111111"/>
          <w:sz w:val="28"/>
          <w:szCs w:val="28"/>
          <w:rtl w:val="true"/>
          <w:lang w:bidi="fa-IR"/>
        </w:rPr>
        <w:t>.</w:t>
      </w:r>
      <w:bookmarkStart w:id="155" w:name="pg4391_50953"/>
    </w:p>
    <w:p>
      <w:pPr>
        <w:pStyle w:val="Heading4"/>
        <w:numPr>
          <w:ilvl w:val="3"/>
          <w:numId w:val="1"/>
        </w:numPr>
        <w:rPr/>
      </w:pPr>
      <w:bookmarkStart w:id="156" w:name="__RefHeading___Toc1438707_1479056682"/>
      <w:bookmarkStart w:id="157" w:name="_Toc62"/>
      <w:bookmarkEnd w:id="155"/>
      <w:bookmarkEnd w:id="156"/>
      <w:r>
        <w:rPr>
          <w:rtl w:val="true"/>
        </w:rPr>
        <w:t xml:space="preserve">فصل چهارم </w:t>
      </w:r>
      <w:r>
        <w:rPr>
          <w:rtl w:val="true"/>
        </w:rPr>
        <w:t xml:space="preserve">- </w:t>
      </w:r>
      <w:r>
        <w:rPr>
          <w:rtl w:val="true"/>
        </w:rPr>
        <w:t>منابع تفسیری نفحات الرّحمن</w:t>
      </w:r>
      <w:bookmarkEnd w:id="157"/>
    </w:p>
    <w:p>
      <w:pPr>
        <w:pStyle w:val="Heading5"/>
        <w:numPr>
          <w:ilvl w:val="4"/>
          <w:numId w:val="1"/>
        </w:numPr>
        <w:rPr/>
      </w:pPr>
      <w:bookmarkStart w:id="158" w:name="__RefHeading___Toc1438709_1479056682"/>
      <w:bookmarkStart w:id="159" w:name="_Toc63"/>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نفحات الرّحمن فی تفسیر القرآن از جمله متون تفسیری است که از منابع عمده تفسیر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سنّت، عقل،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این کتاب آثار فراوانی از تأثیر منابع چهارگانه فوق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تأثیرپذیری او از روایات اسلامی، دیگر منابع را تحت الشعاع قرار داده است و استنادات فراوان مفسّر به اخبار و روایات فراوان</w:t>
      </w:r>
    </w:p>
    <w:p>
      <w:pPr>
        <w:pStyle w:val="BookText"/>
        <w:rPr/>
      </w:pPr>
      <w:r>
        <w:rPr>
          <w:rFonts w:ascii="IRNazanin" w:hAnsi="IRNazanin" w:eastAsia="IRNazanin"/>
          <w:color w:val="111111"/>
          <w:sz w:val="28"/>
          <w:sz w:val="28"/>
          <w:szCs w:val="28"/>
          <w:rtl w:val="true"/>
          <w:lang w:bidi="fa-IR"/>
        </w:rPr>
        <w:t>دیده می‌شود، امّا این کثرت و فراوانی هرگز به کتاب وی چهره 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باری‌گری نداده زیرا</w:t>
      </w:r>
    </w:p>
    <w:p>
      <w:pPr>
        <w:pStyle w:val="BookText"/>
        <w:rPr/>
      </w:pPr>
      <w:r>
        <w:rPr>
          <w:rFonts w:ascii="IRNazanin" w:hAnsi="IRNazanin" w:eastAsia="IRNazanin"/>
          <w:color w:val="111111"/>
          <w:sz w:val="28"/>
          <w:sz w:val="28"/>
          <w:szCs w:val="28"/>
          <w:rtl w:val="true"/>
          <w:lang w:bidi="fa-IR"/>
        </w:rPr>
        <w:t>توجه او به 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آیات،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تدلالهای عقلی و نیز ورود به مسائل اجتماعی این اتهام را از وی دور 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توضیح منابع تفسیر نهاوندی و ذکر شواهدی از تأثیرات آن</w:t>
      </w:r>
      <w:r>
        <w:rPr>
          <w:rFonts w:eastAsia="IRNazanin" w:cs="IRNazanin"/>
          <w:color w:val="111111"/>
          <w:sz w:val="28"/>
          <w:szCs w:val="28"/>
          <w:rtl w:val="true"/>
          <w:lang w:bidi="fa-IR"/>
        </w:rPr>
        <w:t>:</w:t>
      </w:r>
    </w:p>
    <w:p>
      <w:pPr>
        <w:pStyle w:val="Heading5"/>
        <w:numPr>
          <w:ilvl w:val="4"/>
          <w:numId w:val="1"/>
        </w:numPr>
        <w:rPr/>
      </w:pPr>
      <w:bookmarkStart w:id="160" w:name="__RefHeading___Toc1438711_1479056682"/>
      <w:bookmarkStart w:id="161" w:name="_Toc64"/>
      <w:bookmarkEnd w:id="160"/>
      <w:r>
        <w:rPr>
          <w:rtl w:val="true"/>
        </w:rPr>
        <w:t>قرآن کریم</w:t>
      </w:r>
      <w:bookmarkEnd w:id="161"/>
    </w:p>
    <w:p>
      <w:pPr>
        <w:pStyle w:val="BookText"/>
        <w:rPr/>
      </w:pPr>
      <w:r>
        <w:rPr>
          <w:rFonts w:ascii="IRNazanin" w:hAnsi="IRNazanin" w:eastAsia="IRNazanin"/>
          <w:color w:val="111111"/>
          <w:sz w:val="28"/>
          <w:sz w:val="28"/>
          <w:szCs w:val="28"/>
          <w:rtl w:val="true"/>
          <w:lang w:bidi="fa-IR"/>
        </w:rPr>
        <w:t>به اعتقاد نهاوندی، آیات قرآن به طور متقابل یکدیگر را تفسیر می‌کنند و اگر ابهام یا اجمال یا تشابهی در کلمه یا آیه‌ای وجود داشته باشد، می‌توان با رجوع به آیات دیگر آن</w:t>
      </w:r>
    </w:p>
    <w:p>
      <w:pPr>
        <w:pStyle w:val="BookText"/>
        <w:rPr/>
      </w:pPr>
      <w:r>
        <w:rPr>
          <w:rFonts w:ascii="IRNazanin" w:hAnsi="IRNazanin" w:eastAsia="IRNazanin"/>
          <w:color w:val="111111"/>
          <w:sz w:val="28"/>
          <w:sz w:val="28"/>
          <w:szCs w:val="28"/>
          <w:rtl w:val="true"/>
          <w:lang w:bidi="fa-IR"/>
        </w:rPr>
        <w:t>ابهام، اجمال و تشابه را برطرف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که الهام گرفته از مکتب تفسیری پیامبر و اهل بیت است، نخستین منبع وی را در تفسیر آیات تشکیل داده، با وجود آیات مفسّر و</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مبیّن و محکم مراجعه به دیگر منابع تفسیری چون روایات، ضروری نیست اگرچه به منظور تأکید در مفاد تفسیر، استناد به دیگر منابع جایز و بدون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w:t>
      </w:r>
    </w:p>
    <w:p>
      <w:pPr>
        <w:pStyle w:val="BookText"/>
        <w:rPr/>
      </w:pPr>
      <w:r>
        <w:rPr>
          <w:rFonts w:ascii="IRNazanin" w:hAnsi="IRNazanin" w:eastAsia="IRNazanin"/>
          <w:color w:val="111111"/>
          <w:sz w:val="28"/>
          <w:sz w:val="28"/>
          <w:szCs w:val="28"/>
          <w:rtl w:val="true"/>
          <w:lang w:bidi="fa-IR"/>
        </w:rPr>
        <w:t xml:space="preserve">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 کلّ شیء</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توصیف شده‌است، قبل از آن که مفسّر موضوعات خارج از قرآن باشد، به طریق اولی، خود، مفسّر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تردیدی باقی نمی‌ماند که تفسیر</w:t>
      </w:r>
    </w:p>
    <w:p>
      <w:pPr>
        <w:pStyle w:val="BookText"/>
        <w:rPr/>
      </w:pPr>
      <w:r>
        <w:rPr>
          <w:rFonts w:ascii="IRNazanin" w:hAnsi="IRNazanin" w:eastAsia="IRNazanin"/>
          <w:color w:val="111111"/>
          <w:sz w:val="28"/>
          <w:sz w:val="28"/>
          <w:szCs w:val="28"/>
          <w:rtl w:val="true"/>
          <w:lang w:bidi="fa-IR"/>
        </w:rPr>
        <w:t>قرآن به قرآن، بهترین، مطمئن‌ترین و نخستین روش در تفسیر قرآن است، نهاوندی با این بینش به تفسیر برخی آیات قرآنی پرداخته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وَعَلَی سَمْعِهِمْ</w:t>
      </w:r>
      <w:r>
        <w:rPr>
          <w:rFonts w:eastAsia="Amiri" w:cs="Amiri" w:ascii="Amiri" w:hAnsi="Amiri"/>
          <w:color w:val="111111"/>
          <w:sz w:val="28"/>
          <w:szCs w:val="28"/>
          <w:rtl w:val="true"/>
          <w:lang w:bidi="ar-SA"/>
        </w:rPr>
        <w:t>... »</w:t>
      </w:r>
      <w:r>
        <w:rPr>
          <w:rStyle w:val="FootnoteAnchor"/>
          <w:rtl w:val="true"/>
        </w:rPr>
        <w:footnoteReference w:id="56"/>
      </w:r>
      <w:r>
        <w:rPr>
          <w:rFonts w:ascii="Amiri" w:hAnsi="Amiri" w:eastAsia="Amiri" w:cs="Amiri"/>
          <w:color w:val="111111"/>
          <w:sz w:val="28"/>
          <w:sz w:val="28"/>
          <w:szCs w:val="28"/>
          <w:rtl w:val="true"/>
          <w:lang w:bidi="ar-SA"/>
        </w:rPr>
        <w:t>به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اللّه‌ُ عَلَیْهَا بِکُفْرِهِمْ فَلاَ یُؤْمِنُونَ إِلاَّ قَلِیلاً </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 xml:space="preserve">رجوع کرده و بحث کلامی دراز دامنی ذیل این آیات ترتیب داده است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سَأَلَکَ عِبَادِی عَنِّی فَإِنِّی قَرِیبٌ</w:t>
      </w:r>
      <w:r>
        <w:rPr>
          <w:rFonts w:eastAsia="Amiri" w:cs="Amiri" w:ascii="Amiri" w:hAnsi="Amiri"/>
          <w:color w:val="111111"/>
          <w:sz w:val="28"/>
          <w:szCs w:val="28"/>
          <w:rtl w:val="true"/>
          <w:lang w:bidi="ar-SA"/>
        </w:rPr>
        <w:t>... »</w:t>
      </w:r>
      <w:r>
        <w:rPr>
          <w:rStyle w:val="FootnoteAnchor"/>
          <w:rtl w:val="true"/>
        </w:rPr>
        <w:footnoteReference w:id="59"/>
      </w:r>
      <w:r>
        <w:rPr>
          <w:rFonts w:ascii="Amiri" w:hAnsi="Amiri" w:eastAsia="Amiri" w:cs="Amiri"/>
          <w:color w:val="111111"/>
          <w:sz w:val="28"/>
          <w:sz w:val="28"/>
          <w:szCs w:val="28"/>
          <w:rtl w:val="true"/>
          <w:lang w:bidi="ar-SA"/>
        </w:rPr>
        <w:t>به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أَنتَ سُبْحَانَکَ إِنِّی کُنتُ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فَاسْتَجَبْنَا لَهُ وَنَجَّیْنَاهُ مِنَ ا لْغَمِّ</w:t>
      </w:r>
      <w:r>
        <w:rPr>
          <w:rFonts w:eastAsia="Amiri" w:cs="Amiri" w:ascii="Amiri" w:hAnsi="Amiri"/>
          <w:color w:val="111111"/>
          <w:sz w:val="28"/>
          <w:szCs w:val="28"/>
          <w:rtl w:val="true"/>
          <w:lang w:bidi="ar-SA"/>
        </w:rPr>
        <w:t>... »</w:t>
      </w:r>
      <w:r>
        <w:rPr>
          <w:rStyle w:val="FootnoteAnchor"/>
          <w:rtl w:val="true"/>
        </w:rPr>
        <w:footnoteReference w:id="60"/>
      </w:r>
      <w:r>
        <w:rPr>
          <w:rFonts w:ascii="Amiri" w:hAnsi="Amiri" w:eastAsia="Amiri" w:cs="Amiri"/>
          <w:color w:val="111111"/>
          <w:sz w:val="28"/>
          <w:sz w:val="28"/>
          <w:szCs w:val="28"/>
          <w:rtl w:val="true"/>
          <w:lang w:bidi="ar-SA"/>
        </w:rPr>
        <w:t>رجوع کرده و استغاثه و استغفار یونس علیه‌السلام و اجابت سریع الهی و نجات وی از شکم ماهی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از مصادیق بارز و روشن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فَإِنِّی قَرِیبٌ أُجِیبُ دَعْوَةَ الدَّاعِ إِذَا دَعَانِ </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xml:space="preserve">می‌داند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إِلَیْهِ مِن رَبِّهِ وَالمُؤْمِنُونَ کُلٌّ آمَنَ بِاللّه‌ِ وَمَلاَئِکَتِهِ وکُتُبِهِ وَرُسُلِهِ </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به آیات نخستین همین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لَّذِینَ یُؤْمِنُونَ بِالْغَیْبِ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لَّذِینَ یُؤْمِنُونَ بِمَا أُنزِلَ إِلَیْکَ وَمَا أُنزِلَ مِن قَبْلِکَ</w:t>
      </w:r>
      <w:r>
        <w:rPr>
          <w:rFonts w:eastAsia="Amiri" w:cs="Amiri" w:ascii="Amiri" w:hAnsi="Amiri"/>
          <w:color w:val="111111"/>
          <w:sz w:val="28"/>
          <w:szCs w:val="28"/>
          <w:rtl w:val="true"/>
          <w:lang w:bidi="ar-SA"/>
        </w:rPr>
        <w:t>... »</w:t>
      </w:r>
      <w:r>
        <w:rPr>
          <w:rStyle w:val="FootnoteAnchor"/>
          <w:rtl w:val="true"/>
        </w:rPr>
        <w:footnoteReference w:id="64"/>
      </w:r>
      <w:r>
        <w:rPr>
          <w:rFonts w:ascii="IRNazanin" w:hAnsi="IRNazanin" w:eastAsia="IRNazanin"/>
          <w:color w:val="111111"/>
          <w:sz w:val="28"/>
          <w:sz w:val="28"/>
          <w:szCs w:val="28"/>
          <w:rtl w:val="true"/>
          <w:lang w:bidi="fa-IR"/>
        </w:rPr>
        <w:t>استناد کرده و گفته است خداوند در آیات نخستین سوره بقره صفات و ویژگی‌های متّقین و مؤمنان را بدون ذکر مصادیق آن بیان کرده، در آیات پایانی همین سوره، از پیامبر صلی‌الله‌علیه‌و‌آله و مؤمنان خاص به عنوان شاهدان و نشانه‌های</w:t>
      </w:r>
    </w:p>
    <w:p>
      <w:pPr>
        <w:pStyle w:val="BookText"/>
        <w:rPr/>
      </w:pPr>
      <w:r>
        <w:rPr>
          <w:rFonts w:ascii="IRNazanin" w:hAnsi="IRNazanin" w:eastAsia="IRNazanin"/>
          <w:color w:val="111111"/>
          <w:sz w:val="28"/>
          <w:sz w:val="28"/>
          <w:szCs w:val="28"/>
          <w:rtl w:val="true"/>
          <w:lang w:bidi="fa-IR"/>
        </w:rPr>
        <w:t xml:space="preserve">ایمان کامل و حسن اطاعت و عبادت یاد می‌کند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بهترین نوع تناسب و ارتباط بین آیات به ویژه تناسب پایان و آغاز سوره به شمار می‌رود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فَانْصُرْنَا عَلَی ا لْقَوْمِ ا لْکَافِرِینَ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به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لِلَّذِینَ کَفَرُوا سَتُغْلَبُونَ </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xml:space="preserve">، استناد کرده است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62" w:name="pg4391_50955"/>
    </w:p>
    <w:p>
      <w:pPr>
        <w:pStyle w:val="BookText"/>
        <w:rPr/>
      </w:pPr>
      <w:bookmarkEnd w:id="162"/>
      <w:r>
        <w:rPr>
          <w:rFonts w:ascii="IRNazanin" w:hAnsi="IRNazanin" w:eastAsia="IRNazanin"/>
          <w:color w:val="111111"/>
          <w:sz w:val="28"/>
          <w:sz w:val="28"/>
          <w:szCs w:val="28"/>
          <w:rtl w:val="true"/>
          <w:lang w:bidi="fa-IR"/>
        </w:rPr>
        <w:t>هر کسی که تفسیر نفحات الرّحمن را مطالعه می‌کند، در ابتدا گمان می‌برد در این کتاب استشهادات قرآنی در تفسیر آیات فراوان است به ویژه آن که عنوان نفحات رحمانی را بر تفسیر خود گذارده است و چنین تلقی می‌شود که آنچه بیش از همه در تفسیر او به کار رفته، استناد و اقتباس و نقل آیات تفسیری است، امّا باید گفت استنادات</w:t>
      </w:r>
    </w:p>
    <w:p>
      <w:pPr>
        <w:pStyle w:val="BookText"/>
        <w:rPr/>
      </w:pPr>
      <w:r>
        <w:rPr>
          <w:rFonts w:ascii="IRNazanin" w:hAnsi="IRNazanin" w:eastAsia="IRNazanin"/>
          <w:color w:val="111111"/>
          <w:sz w:val="28"/>
          <w:sz w:val="28"/>
          <w:szCs w:val="28"/>
          <w:rtl w:val="true"/>
          <w:lang w:bidi="fa-IR"/>
        </w:rPr>
        <w:t>واستشهادات روایی مفسّر در این کتاب به مراتب بیش از استفسارات قرآنی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لَکُمْ أَلاَّ تَأْکُلُوا مِمَّا ذُکِرَ اسْمُ اللّه‌ِ عَلَیْهِ وَقَدْ فَصَّلَ لَکُم مَا حَرَّمَ عَلَیْکُمْ</w:t>
      </w:r>
      <w:r>
        <w:rPr>
          <w:rFonts w:eastAsia="Amiri" w:cs="Amiri" w:ascii="Amiri" w:hAnsi="Amiri"/>
          <w:color w:val="111111"/>
          <w:sz w:val="28"/>
          <w:szCs w:val="28"/>
          <w:rtl w:val="true"/>
          <w:lang w:bidi="ar-SA"/>
        </w:rPr>
        <w:t>... »</w:t>
      </w:r>
      <w:r>
        <w:rPr>
          <w:rStyle w:val="FootnoteAnchor"/>
          <w:rtl w:val="true"/>
        </w:rPr>
        <w:footnoteReference w:id="69"/>
      </w:r>
      <w:r>
        <w:rPr>
          <w:rFonts w:ascii="Amiri" w:hAnsi="Amiri" w:eastAsia="Amiri" w:cs="Amiri"/>
          <w:color w:val="111111"/>
          <w:sz w:val="28"/>
          <w:sz w:val="28"/>
          <w:szCs w:val="28"/>
          <w:rtl w:val="true"/>
          <w:lang w:bidi="ar-SA"/>
        </w:rPr>
        <w:t>به آیات شریفه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 لْمَیْتَةُ</w:t>
      </w:r>
      <w:r>
        <w:rPr>
          <w:rFonts w:eastAsia="Amiri" w:cs="Amiri" w:ascii="Amiri" w:hAnsi="Amiri"/>
          <w:color w:val="111111"/>
          <w:sz w:val="28"/>
          <w:szCs w:val="28"/>
          <w:rtl w:val="true"/>
          <w:lang w:bidi="ar-SA"/>
        </w:rPr>
        <w:t>... »</w:t>
      </w:r>
      <w:r>
        <w:rPr>
          <w:rStyle w:val="FootnoteAnchor"/>
          <w:rtl w:val="true"/>
        </w:rPr>
        <w:footnoteReference w:id="7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فِی مَا أُوحِیَ</w:t>
      </w:r>
      <w:r>
        <w:rPr>
          <w:rFonts w:eastAsia="Amiri" w:cs="Amiri" w:ascii="Amiri" w:hAnsi="Amiri"/>
          <w:color w:val="111111"/>
          <w:sz w:val="28"/>
          <w:szCs w:val="28"/>
          <w:rtl w:val="true"/>
          <w:lang w:bidi="ar-SA"/>
        </w:rPr>
        <w:t>... »</w:t>
      </w:r>
      <w:r>
        <w:rPr>
          <w:rStyle w:val="FootnoteAnchor"/>
          <w:rtl w:val="true"/>
        </w:rPr>
        <w:footnoteReference w:id="71"/>
      </w:r>
      <w:r>
        <w:rPr>
          <w:rFonts w:ascii="IRNazanin" w:hAnsi="IRNazanin" w:eastAsia="IRNazanin"/>
          <w:color w:val="111111"/>
          <w:sz w:val="28"/>
          <w:sz w:val="28"/>
          <w:szCs w:val="28"/>
          <w:rtl w:val="true"/>
          <w:lang w:bidi="fa-IR"/>
        </w:rPr>
        <w:t>استناد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استنادات دیگر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438713_1479056682"/>
      <w:bookmarkStart w:id="164" w:name="_Toc65"/>
      <w:bookmarkEnd w:id="163"/>
      <w:r>
        <w:rPr>
          <w:rtl w:val="true"/>
        </w:rPr>
        <w:t>روایات نبوی</w:t>
      </w:r>
      <w:bookmarkEnd w:id="164"/>
    </w:p>
    <w:p>
      <w:pPr>
        <w:pStyle w:val="BookText"/>
        <w:rPr/>
      </w:pPr>
      <w:r>
        <w:rPr>
          <w:rFonts w:ascii="IRNazanin" w:hAnsi="IRNazanin" w:eastAsia="IRNazanin"/>
          <w:color w:val="111111"/>
          <w:sz w:val="28"/>
          <w:sz w:val="28"/>
          <w:szCs w:val="28"/>
          <w:rtl w:val="true"/>
          <w:lang w:bidi="fa-IR"/>
        </w:rPr>
        <w:t>تمام مفسّران عامّه و خاصّه پذیرفته‌اند که نخستین مفسّر قرآن پس از قرآن، شخص پیامبر صلی‌الله‌علیه‌و‌آله بوده است از آن جا که خداوند پیامبرش را برای پیروان خود با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 xml:space="preserve">آتاکُم الرّسولُ فَخذوهُ وما نَهاکُم عنهُ فانْتَهوا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 و پیامبر صلی‌الله‌علیه‌و‌آله نخستین مخاطب</w:t>
      </w:r>
    </w:p>
    <w:p>
      <w:pPr>
        <w:pStyle w:val="BookText"/>
        <w:rPr/>
      </w:pPr>
      <w:r>
        <w:rPr>
          <w:rFonts w:ascii="IRNazanin" w:hAnsi="IRNazanin" w:eastAsia="IRNazanin"/>
          <w:color w:val="111111"/>
          <w:sz w:val="28"/>
          <w:sz w:val="28"/>
          <w:szCs w:val="28"/>
          <w:rtl w:val="true"/>
          <w:lang w:bidi="fa-IR"/>
        </w:rPr>
        <w:t>قرآن و عامل به اوامر و نواهی آن است و فهم و ادراک او از کلام الهی، کامل و بدون نقص می‌باشد و او چون ابراهیم علیه‌السلام به باطن اشیا و ملکوت آن آگاه گردید، لذا چنین می‌نماید که بهترین مفسّر قرآن که خود آورنده آن بود، خودِ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علاقه پیامبر صلی‌الله‌علیه‌و‌آله به ارشاد مردم به گونه‌ای بود که هیچ عاملی، بازدارنده او در انجام وظایف پیامبری نبود؛ با این وصف، مردم زمان او و نیز آیندگان، برای فهم قرآن قبل از هر کس به ایشان مراجعه</w:t>
      </w:r>
    </w:p>
    <w:p>
      <w:pPr>
        <w:pStyle w:val="BookText"/>
        <w:rPr/>
      </w:pPr>
      <w:r>
        <w:rPr>
          <w:rFonts w:ascii="IRNazanin" w:hAnsi="IRNazanin" w:eastAsia="IRNazanin"/>
          <w:color w:val="111111"/>
          <w:sz w:val="28"/>
          <w:sz w:val="28"/>
          <w:szCs w:val="28"/>
          <w:rtl w:val="true"/>
          <w:lang w:bidi="fa-IR"/>
        </w:rPr>
        <w:t>می‌کردند و اکنون نیز روایات تفسیری رسول خدا در اولویت نخست بهره‌وری قرار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در تفسیر نفحات الرّحمن، استنادات فراوانی به روایات تفسیری حضرت</w:t>
      </w:r>
      <w:bookmarkStart w:id="165" w:name="pg4391_50956"/>
    </w:p>
    <w:p>
      <w:pPr>
        <w:pStyle w:val="BookText"/>
        <w:rPr/>
      </w:pPr>
      <w:bookmarkEnd w:id="165"/>
      <w:r>
        <w:rPr>
          <w:rFonts w:ascii="IRNazanin" w:hAnsi="IRNazanin" w:eastAsia="IRNazanin"/>
          <w:color w:val="111111"/>
          <w:sz w:val="28"/>
          <w:sz w:val="28"/>
          <w:szCs w:val="28"/>
          <w:rtl w:val="true"/>
          <w:lang w:bidi="fa-IR"/>
        </w:rPr>
        <w:t>محمّد صلی‌الله‌علیه‌و‌آله دارد و از طرق مختلفی که صحّت سند یا متن خبر بر او مکشوف بوده است، به نقل روایات نبوی می‌پردازد، چه از طرق محدّثین شیعی و چه از طرق محدّثین وروات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پاره‌ای از تصریحات نهاوندی به روایات آن حضرت، نقل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خِفْتُمْ أَلاَّ یُقِیمَا حُدُودَ اللّه‌ِ فَلاَ جُنَاحَ عَلَیْهِمَا فِیما افْتَدَتْ بِهِ</w:t>
      </w:r>
      <w:r>
        <w:rPr>
          <w:rFonts w:eastAsia="Amiri" w:cs="Amiri" w:ascii="Amiri" w:hAnsi="Amiri"/>
          <w:color w:val="111111"/>
          <w:sz w:val="28"/>
          <w:szCs w:val="28"/>
          <w:rtl w:val="true"/>
          <w:lang w:bidi="ar-SA"/>
        </w:rPr>
        <w:t>... »</w:t>
      </w:r>
      <w:r>
        <w:rPr>
          <w:rStyle w:val="FootnoteAnchor"/>
          <w:rtl w:val="true"/>
        </w:rPr>
        <w:footnoteReference w:id="73"/>
      </w:r>
      <w:r>
        <w:rPr>
          <w:rFonts w:ascii="Amiri" w:hAnsi="Amiri" w:eastAsia="Amiri" w:cs="Amiri"/>
          <w:color w:val="111111"/>
          <w:sz w:val="28"/>
          <w:sz w:val="28"/>
          <w:szCs w:val="28"/>
          <w:rtl w:val="true"/>
          <w:lang w:bidi="ar-SA"/>
        </w:rPr>
        <w:t>به حدیث نبوی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أضرّ بامرأته حتّی تَقْتَدی منه نفسها لَمْ یرض اللّه عنه بعقوبة دون النّار لأنّ اللّه یَغضب لِلْمَرأَةِ کما یغضبُ للیتیم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 می‌جوید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وَأَحَلَّ اللّه‌ُ الْبَیْعَ وَحَرَّمَ الرِّبَا </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به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من الرِّبا أعظم عند اللّه من سبعین زینة بذات مُحرم فی 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می‌جوید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کُنتَ فَظّا غَلِیظَ ا لْقَلْبِ لاَنْفَضُّوا مِنْ حَوْلِکَ</w:t>
      </w:r>
      <w:r>
        <w:rPr>
          <w:rFonts w:eastAsia="Amiri" w:cs="Amiri" w:ascii="Amiri" w:hAnsi="Amiri"/>
          <w:color w:val="111111"/>
          <w:sz w:val="28"/>
          <w:szCs w:val="28"/>
          <w:rtl w:val="true"/>
          <w:lang w:bidi="ar-SA"/>
        </w:rPr>
        <w:t>... »</w:t>
      </w:r>
      <w:r>
        <w:rPr>
          <w:rStyle w:val="FootnoteAnchor"/>
          <w:rtl w:val="true"/>
        </w:rPr>
        <w:footnoteReference w:id="77"/>
      </w:r>
      <w:r>
        <w:rPr>
          <w:rFonts w:ascii="IRNazanin" w:hAnsi="IRNazanin" w:eastAsia="IRNazanin"/>
          <w:color w:val="111111"/>
          <w:sz w:val="28"/>
          <w:sz w:val="28"/>
          <w:szCs w:val="28"/>
          <w:rtl w:val="true"/>
          <w:lang w:bidi="fa-IR"/>
        </w:rPr>
        <w:t>به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حِلمَ أحبّ إلی اللّه مِن حِلم امامٍ ورفقه ولا جهلَ أبغض إلی اللّه مِن جهل امامٍ وخرقه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خصلتان لا یجتمعان فی مؤمنٍ البخل وسوء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وقیل لرسول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الشّؤْم ؟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الخلق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استناد می‌جوید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خَیْرَ فِی کَثِیرٍ مِن نَجْوَاهُمْ إِلاَّ مَنْ أَمَرَ بِصَدَقَةٍ أَوْ مَعْرُوفٍ أَوْ إِصْلاَحٍ بَیْنَ النَّاسِ</w:t>
      </w:r>
      <w:r>
        <w:rPr>
          <w:rFonts w:eastAsia="Amiri" w:cs="Amiri" w:ascii="Amiri" w:hAnsi="Amiri"/>
          <w:color w:val="111111"/>
          <w:sz w:val="28"/>
          <w:szCs w:val="28"/>
          <w:rtl w:val="true"/>
          <w:lang w:bidi="ar-SA"/>
        </w:rPr>
        <w:t>... »</w:t>
      </w:r>
      <w:r>
        <w:rPr>
          <w:rStyle w:val="FootnoteAnchor"/>
          <w:rtl w:val="true"/>
        </w:rPr>
        <w:footnoteReference w:id="79"/>
      </w:r>
      <w:r>
        <w:rPr>
          <w:rFonts w:ascii="IRNazanin" w:hAnsi="IRNazanin" w:eastAsia="IRNazanin"/>
          <w:color w:val="111111"/>
          <w:sz w:val="28"/>
          <w:sz w:val="28"/>
          <w:szCs w:val="28"/>
          <w:rtl w:val="true"/>
          <w:lang w:bidi="fa-IR"/>
        </w:rPr>
        <w:t>به احادیث 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اُخبرکم بأفضل درجة من الصّلاة والصّدقة،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یحسّن فیهنّ الکذب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المکیدة فی الحرب وعدتک زوجتک والإصلاح بین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می‌جوید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بسیاری موارد دیگر</w:t>
      </w:r>
      <w:r>
        <w:rPr>
          <w:rFonts w:eastAsia="IRNazanin" w:cs="IRNazanin"/>
          <w:color w:val="111111"/>
          <w:sz w:val="28"/>
          <w:szCs w:val="28"/>
          <w:rtl w:val="true"/>
          <w:lang w:bidi="fa-IR"/>
        </w:rPr>
        <w:t>.</w:t>
      </w:r>
    </w:p>
    <w:p>
      <w:pPr>
        <w:pStyle w:val="Heading5"/>
        <w:numPr>
          <w:ilvl w:val="4"/>
          <w:numId w:val="1"/>
        </w:numPr>
        <w:rPr/>
      </w:pPr>
      <w:bookmarkStart w:id="166" w:name="__RefHeading___Toc1438715_1479056682"/>
      <w:bookmarkStart w:id="167" w:name="_Toc66"/>
      <w:bookmarkEnd w:id="166"/>
      <w:r>
        <w:rPr>
          <w:rtl w:val="true"/>
        </w:rPr>
        <w:t>روایات تفسیری علیّ بن ابی طالب علیه‌السلام</w:t>
      </w:r>
      <w:bookmarkEnd w:id="16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روایات تفسیری علیّ بن ابی طالب علیه‌السلام در مکاتب و مذاهب تفسیری فریقین</w:t>
      </w:r>
    </w:p>
    <w:p>
      <w:pPr>
        <w:pStyle w:val="BookText"/>
        <w:rPr/>
      </w:pPr>
      <w:r>
        <w:rPr>
          <w:rFonts w:ascii="IRNazanin" w:hAnsi="IRNazanin" w:eastAsia="IRNazanin"/>
          <w:color w:val="111111"/>
          <w:sz w:val="28"/>
          <w:sz w:val="28"/>
          <w:szCs w:val="28"/>
          <w:rtl w:val="true"/>
          <w:lang w:bidi="fa-IR"/>
        </w:rPr>
        <w:t>بسیار دیده می‌شود و مذاهب اسلامی خصوصا شیعه به روایات و اخبار منقول از آن حضرت بهای زیادی می‌دهند در نفحات الرّحمن، نام علی علیه‌السلام و بیانات تفسیری وی چون چراغ پرفروغ می‌درخشد و وجد و نشاط و بهجت و سرور در دل خوانندگان کتاب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پاره‌ای از آن را به عنوان شاهد مثال ذکر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کَانَتْ لَکُمُ الدَّارُ ا لاْخِرَةُ عِندَ اللّه‌ِ خَالِصَةً مِن دُونِ النَّاسِ فَتَمَنَّوُا</w:t>
      </w:r>
    </w:p>
    <w:p>
      <w:pPr>
        <w:pStyle w:val="BookText"/>
        <w:rPr/>
      </w:pPr>
      <w:r>
        <w:rPr>
          <w:rFonts w:ascii="Amiri" w:hAnsi="Amiri" w:eastAsia="Amiri" w:cs="Amiri"/>
          <w:color w:val="111111"/>
          <w:sz w:val="28"/>
          <w:sz w:val="28"/>
          <w:szCs w:val="28"/>
          <w:rtl w:val="true"/>
          <w:lang w:bidi="ar-SA"/>
        </w:rPr>
        <w:t xml:space="preserve">ا لْمَوْتَ إِن کُنتُمْ صَادِقِینَ </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سخن علی علیه‌السلام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لابن أبی طالب آنس بالموت مِن الطفل بثدی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أمیر المؤمنین علیه‌السلام بماذا أحببت لقاء ربّک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رأیته قد اختار لی دین ملائکته ورُسُله وأنبیائه علمت بأنّ الّذی أکرمنی بهذا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ناخوانا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فاحببت لقائه فمن کان صادقا فی الحبّ لا محالة یتمنّی لقاء الحبیب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استناد می‌جوید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فَأَیْنَما تُوَلُّوا فَثَمَّ وَجْهُ اللّه‌ِ إِنَّ اللّه‌َ وَاسِعٌ عَلِیمٌ </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به روایتی که سلمان فارسی از علی علیه‌السلام نقل کرده است، استناد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پرسشهایی که از علی علیه‌السلام سؤال شد و سلمان طیّ حدیث جاثلیق آن را نقل کرده است، آن است که فردی از حضرت پرسید که در آیه فوق، وجه خدا در کجاست و مقصود از آن چیست ؟ حضرت در پاسخ مقداری هیزم خواست و سپس هیزم‌ها را آتش زد، همین که مشتعل گردید، از پرسنده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أین وجه هذه النّار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وجه من جمیع حدودها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ادامه 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النّار مدبرة 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نوعة لا یعرف وجهها وخالقها لا یشبهها وللّه المشرق والمغرب، فأینما تولّوا فثَمّ وجهُ اللّه، لا یخفی علی ربِّنا خافیة</w:t>
      </w:r>
      <w:r>
        <w:rPr>
          <w:rFonts w:eastAsia="IRNazanin" w:cs="IRNazanin"/>
          <w:color w:val="111111"/>
          <w:sz w:val="28"/>
          <w:szCs w:val="28"/>
          <w:rtl w:val="true"/>
          <w:lang w:bidi="fa-IR"/>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تفسیری که در تفسیر نهاوندی از علیّ بن ابی طالب نقل شده، از هر دو طریق خاصّه و عامّه فراوان است که از ذکر بقیه موارد خودداری می‌ورزیم</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168" w:name="pg4391_50958"/>
    </w:p>
    <w:p>
      <w:pPr>
        <w:pStyle w:val="Heading5"/>
        <w:numPr>
          <w:ilvl w:val="4"/>
          <w:numId w:val="1"/>
        </w:numPr>
        <w:rPr/>
      </w:pPr>
      <w:bookmarkStart w:id="169" w:name="__RefHeading___Toc1438717_1479056682"/>
      <w:bookmarkStart w:id="170" w:name="_Toc67"/>
      <w:bookmarkEnd w:id="168"/>
      <w:bookmarkEnd w:id="169"/>
      <w:r>
        <w:rPr>
          <w:rtl w:val="true"/>
        </w:rPr>
        <w:t>روایات تفسیری ائمّه اطهار علیهم‌السلام</w:t>
      </w:r>
      <w:bookmarkEnd w:id="170"/>
    </w:p>
    <w:p>
      <w:pPr>
        <w:pStyle w:val="BookText"/>
        <w:rPr/>
      </w:pPr>
      <w:r>
        <w:rPr>
          <w:rFonts w:ascii="IRNazanin" w:hAnsi="IRNazanin" w:eastAsia="IRNazanin"/>
          <w:color w:val="111111"/>
          <w:sz w:val="28"/>
          <w:sz w:val="28"/>
          <w:szCs w:val="28"/>
          <w:rtl w:val="true"/>
          <w:lang w:bidi="fa-IR"/>
        </w:rPr>
        <w:t>نهاوندی با چهار عنوان از روایات ائمّه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تحت عنوان و اسامی تک تک ائمّه و گاه تحت عنوان عن الصادقین، عن الباقرین و گاه تحت عنوان عن ائمّتنا و گاه تحت</w:t>
      </w:r>
    </w:p>
    <w:p>
      <w:pPr>
        <w:pStyle w:val="BookText"/>
        <w:rPr/>
      </w:pPr>
      <w:r>
        <w:rPr>
          <w:rFonts w:ascii="IRNazanin" w:hAnsi="IRNazanin" w:eastAsia="IRNazanin"/>
          <w:color w:val="111111"/>
          <w:sz w:val="28"/>
          <w:sz w:val="28"/>
          <w:szCs w:val="28"/>
          <w:rtl w:val="true"/>
          <w:lang w:bidi="fa-IR"/>
        </w:rPr>
        <w:t>عنوان عن المعصومین به نقل روایت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تحت عنوان عن ائمّتنا </w:t>
      </w:r>
      <w:r>
        <w:rPr>
          <w:rStyle w:val="FootnoteAnchor"/>
          <w:rtl w:val="true"/>
        </w:rPr>
        <w:footnoteReference w:id="86"/>
      </w:r>
      <w:r>
        <w:rPr>
          <w:rFonts w:ascii="IRNazanin" w:hAnsi="IRNazanin" w:eastAsia="IRNazanin"/>
          <w:color w:val="111111"/>
          <w:sz w:val="28"/>
          <w:sz w:val="28"/>
          <w:szCs w:val="28"/>
          <w:rtl w:val="true"/>
          <w:lang w:bidi="fa-IR"/>
        </w:rPr>
        <w:t xml:space="preserve">و یا عن المعصومین </w:t>
      </w:r>
      <w:r>
        <w:rPr>
          <w:rStyle w:val="FootnoteAnchor"/>
          <w:rtl w:val="true"/>
        </w:rPr>
        <w:footnoteReference w:id="87"/>
      </w:r>
      <w:r>
        <w:rPr>
          <w:rFonts w:ascii="IRNazanin" w:hAnsi="IRNazanin" w:eastAsia="IRNazanin"/>
          <w:color w:val="111111"/>
          <w:sz w:val="28"/>
          <w:sz w:val="28"/>
          <w:szCs w:val="28"/>
          <w:rtl w:val="true"/>
          <w:lang w:bidi="fa-IR"/>
        </w:rPr>
        <w:t xml:space="preserve">یاد می‌کند، اندک است، امّا بسیار دیده می‌شود که با نام عن الصادقین و عن الباقرین </w:t>
      </w:r>
      <w:r>
        <w:rPr>
          <w:rStyle w:val="FootnoteAnchor"/>
          <w:rtl w:val="true"/>
        </w:rPr>
        <w:footnoteReference w:id="88"/>
      </w:r>
      <w:r>
        <w:rPr>
          <w:rFonts w:ascii="IRNazanin" w:hAnsi="IRNazanin" w:eastAsia="IRNazanin"/>
          <w:color w:val="111111"/>
          <w:sz w:val="28"/>
          <w:sz w:val="28"/>
          <w:szCs w:val="28"/>
          <w:rtl w:val="true"/>
          <w:lang w:bidi="fa-IR"/>
        </w:rPr>
        <w:t>و بیشتر و مفصّل‌تر از آن تحت عنوان یکی از ائمّه به نقل روایات تفسیری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باید گفت که تفسیر نهاوندی پر از روایات تفسیری ائمّه اطهار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روایات تفسیری امام حسن علیه‌السلام </w:t>
      </w:r>
      <w:r>
        <w:rPr>
          <w:rStyle w:val="FootnoteAnchor"/>
          <w:rtl w:val="true"/>
        </w:rPr>
        <w:footnoteReference w:id="89"/>
      </w:r>
      <w:r>
        <w:rPr>
          <w:rFonts w:ascii="IRNazanin" w:hAnsi="IRNazanin" w:eastAsia="IRNazanin"/>
          <w:color w:val="111111"/>
          <w:sz w:val="28"/>
          <w:sz w:val="28"/>
          <w:szCs w:val="28"/>
          <w:rtl w:val="true"/>
          <w:lang w:bidi="fa-IR"/>
        </w:rPr>
        <w:t xml:space="preserve">، حسین بن علی علیه‌السلام </w:t>
      </w:r>
      <w:r>
        <w:rPr>
          <w:rStyle w:val="FootnoteAnchor"/>
          <w:rtl w:val="true"/>
        </w:rPr>
        <w:footnoteReference w:id="90"/>
      </w:r>
      <w:r>
        <w:rPr>
          <w:rFonts w:ascii="IRNazanin" w:hAnsi="IRNazanin" w:eastAsia="IRNazanin"/>
          <w:color w:val="111111"/>
          <w:sz w:val="28"/>
          <w:sz w:val="28"/>
          <w:szCs w:val="28"/>
          <w:rtl w:val="true"/>
          <w:lang w:bidi="fa-IR"/>
        </w:rPr>
        <w:t xml:space="preserve">، علیّ بن الحسین علیه‌السلام </w:t>
      </w:r>
      <w:r>
        <w:rPr>
          <w:rStyle w:val="FootnoteAnchor"/>
          <w:rtl w:val="true"/>
        </w:rPr>
        <w:footnoteReference w:id="91"/>
      </w:r>
      <w:r>
        <w:rPr>
          <w:rFonts w:ascii="IRNazanin" w:hAnsi="IRNazanin" w:eastAsia="IRNazanin"/>
          <w:color w:val="111111"/>
          <w:sz w:val="28"/>
          <w:sz w:val="28"/>
          <w:szCs w:val="28"/>
          <w:rtl w:val="true"/>
          <w:lang w:bidi="fa-IR"/>
        </w:rPr>
        <w:t xml:space="preserve">، محمّد بن علیّ الباقر علیه‌السلام </w:t>
      </w:r>
      <w:r>
        <w:rPr>
          <w:rStyle w:val="FootnoteAnchor"/>
          <w:rtl w:val="true"/>
        </w:rPr>
        <w:footnoteReference w:id="92"/>
      </w:r>
      <w:r>
        <w:rPr>
          <w:rFonts w:ascii="IRNazanin" w:hAnsi="IRNazanin" w:eastAsia="IRNazanin"/>
          <w:color w:val="111111"/>
          <w:sz w:val="28"/>
          <w:sz w:val="28"/>
          <w:szCs w:val="28"/>
          <w:rtl w:val="true"/>
          <w:lang w:bidi="fa-IR"/>
        </w:rPr>
        <w:t xml:space="preserve">، جعفر بن محمّد الصادق علیه‌السلام </w:t>
      </w:r>
      <w:r>
        <w:rPr>
          <w:rStyle w:val="FootnoteAnchor"/>
          <w:rtl w:val="true"/>
        </w:rPr>
        <w:footnoteReference w:id="93"/>
      </w:r>
      <w:r>
        <w:rPr>
          <w:rFonts w:ascii="IRNazanin" w:hAnsi="IRNazanin" w:eastAsia="IRNazanin"/>
          <w:color w:val="111111"/>
          <w:sz w:val="28"/>
          <w:sz w:val="28"/>
          <w:szCs w:val="28"/>
          <w:rtl w:val="true"/>
          <w:lang w:bidi="fa-IR"/>
        </w:rPr>
        <w:t>، موسی الکاظم</w:t>
      </w:r>
    </w:p>
    <w:p>
      <w:pPr>
        <w:pStyle w:val="BookText"/>
        <w:rPr/>
      </w:pPr>
      <w:r>
        <w:rPr>
          <w:rFonts w:ascii="IRNazanin" w:hAnsi="IRNazanin" w:eastAsia="IRNazanin"/>
          <w:color w:val="111111"/>
          <w:sz w:val="28"/>
          <w:sz w:val="28"/>
          <w:szCs w:val="28"/>
          <w:rtl w:val="true"/>
          <w:lang w:bidi="fa-IR"/>
        </w:rPr>
        <w:t xml:space="preserve">علیه‌السلام </w:t>
      </w:r>
      <w:r>
        <w:rPr>
          <w:rStyle w:val="FootnoteAnchor"/>
          <w:rtl w:val="true"/>
        </w:rPr>
        <w:footnoteReference w:id="94"/>
      </w:r>
      <w:r>
        <w:rPr>
          <w:rFonts w:ascii="IRNazanin" w:hAnsi="IRNazanin" w:eastAsia="IRNazanin"/>
          <w:color w:val="111111"/>
          <w:sz w:val="28"/>
          <w:sz w:val="28"/>
          <w:szCs w:val="28"/>
          <w:rtl w:val="true"/>
          <w:lang w:bidi="fa-IR"/>
        </w:rPr>
        <w:t xml:space="preserve">، علیّ ابن موسی الرضا علیه‌السلام </w:t>
      </w:r>
      <w:r>
        <w:rPr>
          <w:rStyle w:val="FootnoteAnchor"/>
          <w:rtl w:val="true"/>
        </w:rPr>
        <w:footnoteReference w:id="95"/>
      </w:r>
      <w:r>
        <w:rPr>
          <w:rFonts w:ascii="IRNazanin" w:hAnsi="IRNazanin" w:eastAsia="IRNazanin"/>
          <w:color w:val="111111"/>
          <w:sz w:val="28"/>
          <w:sz w:val="28"/>
          <w:szCs w:val="28"/>
          <w:rtl w:val="true"/>
          <w:lang w:bidi="fa-IR"/>
        </w:rPr>
        <w:t xml:space="preserve">، محمّد بن علیّ الجواد علیه‌السلام </w:t>
      </w:r>
      <w:r>
        <w:rPr>
          <w:rStyle w:val="FootnoteAnchor"/>
          <w:rtl w:val="true"/>
        </w:rPr>
        <w:footnoteReference w:id="96"/>
      </w:r>
      <w:r>
        <w:rPr>
          <w:rFonts w:ascii="Amiri" w:hAnsi="Amiri" w:eastAsia="Amiri" w:cs="Amiri"/>
          <w:color w:val="111111"/>
          <w:sz w:val="28"/>
          <w:sz w:val="28"/>
          <w:szCs w:val="28"/>
          <w:rtl w:val="true"/>
          <w:lang w:bidi="ar-SA"/>
        </w:rPr>
        <w:t>، حسن بن علیّ</w:t>
      </w:r>
    </w:p>
    <w:p>
      <w:pPr>
        <w:pStyle w:val="BookText"/>
        <w:rPr/>
      </w:pPr>
      <w:r>
        <w:rPr>
          <w:rFonts w:ascii="IRNazanin" w:hAnsi="IRNazanin" w:eastAsia="IRNazanin"/>
          <w:color w:val="111111"/>
          <w:sz w:val="28"/>
          <w:sz w:val="28"/>
          <w:szCs w:val="28"/>
          <w:rtl w:val="true"/>
          <w:lang w:bidi="fa-IR"/>
        </w:rPr>
        <w:t xml:space="preserve">العسکری علیه‌السلام </w:t>
      </w:r>
      <w:r>
        <w:rPr>
          <w:rStyle w:val="FootnoteAnchor"/>
          <w:rtl w:val="true"/>
        </w:rPr>
        <w:footnoteReference w:id="97"/>
      </w:r>
      <w:r>
        <w:rPr>
          <w:rFonts w:ascii="IRNazanin" w:hAnsi="IRNazanin" w:eastAsia="IRNazanin"/>
          <w:color w:val="111111"/>
          <w:sz w:val="28"/>
          <w:sz w:val="28"/>
          <w:szCs w:val="28"/>
          <w:rtl w:val="true"/>
          <w:lang w:bidi="fa-IR"/>
        </w:rPr>
        <w:t>به فراوانی امّا بدون ذکر سند و مآخذ دیده می‌شود</w:t>
      </w:r>
      <w:r>
        <w:rPr>
          <w:rFonts w:eastAsia="IRNazanin" w:cs="IRNazanin"/>
          <w:color w:val="111111"/>
          <w:sz w:val="28"/>
          <w:szCs w:val="28"/>
          <w:rtl w:val="true"/>
          <w:lang w:bidi="fa-IR"/>
        </w:rPr>
        <w:t>.</w:t>
      </w:r>
    </w:p>
    <w:p>
      <w:pPr>
        <w:pStyle w:val="Heading5"/>
        <w:numPr>
          <w:ilvl w:val="4"/>
          <w:numId w:val="1"/>
        </w:numPr>
        <w:rPr/>
      </w:pPr>
      <w:bookmarkStart w:id="171" w:name="__RefHeading___Toc1438719_1479056682"/>
      <w:bookmarkStart w:id="172" w:name="_Toc68"/>
      <w:bookmarkEnd w:id="171"/>
      <w:r>
        <w:rPr>
          <w:rtl w:val="true"/>
        </w:rPr>
        <w:t>روایات تفسیری صحابه و تابعین</w:t>
      </w:r>
      <w:bookmarkEnd w:id="17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در مواردی چند از تفسیر خویش به گفتار صحابه توجه خاص نشان داده و بازگو 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اقوال و توجیهات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صحابه بیشترین روایات برگرفت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از ابن عباس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از هر دو طریق عامّه و خاصّه و گاه با ذکر مآخذ روایات امّا نه سند، به نقل سخنان تفسیری ابن عباس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روایات تفسیری</w:t>
      </w:r>
    </w:p>
    <w:p>
      <w:pPr>
        <w:pStyle w:val="BookText"/>
        <w:rPr/>
      </w:pPr>
      <w:r>
        <w:rPr>
          <w:rFonts w:ascii="IRNazanin" w:hAnsi="IRNazanin" w:eastAsia="IRNazanin"/>
          <w:color w:val="111111"/>
          <w:sz w:val="28"/>
          <w:sz w:val="28"/>
          <w:szCs w:val="28"/>
          <w:rtl w:val="true"/>
          <w:lang w:bidi="fa-IR"/>
        </w:rPr>
        <w:t xml:space="preserve">ابن عباس در مقایسه با دیگر اصحاب پیامبر را می‌توان در دعای پیامبر در حقّ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فَقِّهْهُ فی الدِّین وعلِّمْهُ التأویل</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بارک فیه وانشُرْ منه</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عَلِّمهُ الحکمة</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عنایت الهی نسبت به او و طول مصاحبتش با پیامبر و علی علیه‌السلامدانست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اثیر از قول ابن عباس چنین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أهل البیت، شجرة النبوّة ومختلف الملائکة وأهل بیت الرِّسالة وأهل بیت الرّحمة ومعدن العلم</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تفسیری ابن عباس آبشخور بسیاری از صحابه و تابعین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هیچ کتاب تفسیری دیده نمی‌شود که به گونه‌ای به سخنان ابن عباس اشاره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نیز بنابر ویژگی‌های موجود در شخصیت ابن عباس و سخنان او گفتارهای وی را در تفسیر خود جای می‌دهد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گفتارهای تفسیری پاره‌ای از مفسّران عصر صحابه و تابعین به شرح زیر در تفسیر نهاوندی دیده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جابر بن عبداللّه انصاری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سلمان فارسی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ابوذر غفّاری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مقداد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عکرمه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گفتارهای تفسیری سدّی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کبیر یا صغیر بودن آن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سدّی کبیر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عایشه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ابو هریره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عمّار بن یاسر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حذیفة بن یمان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سعید بن جبیر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ابو ملیکه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اُمّ ورقه بنت عبداللّه بن حارث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مجاهد بن جبر مکّی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اُبیّ بن کعب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عمر بن خطّاب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عثمان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عوف بن مالک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زرارة بن أعین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داود رقی از اصحاب امام صادق علیه‌السلام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محمّد بن حنفیه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اسحاق بن عمّار از اصحاب امام صادق علیه‌السلام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علیّ بن خلف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مجمِّع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3" w:name="pg4391_50961"/>
    </w:p>
    <w:p>
      <w:pPr>
        <w:pStyle w:val="BookText"/>
        <w:rPr/>
      </w:pPr>
      <w:bookmarkEnd w:id="173"/>
      <w:r>
        <w:rPr>
          <w:rFonts w:ascii="IRNazanin" w:hAnsi="IRNazanin" w:eastAsia="IRNazanin"/>
          <w:color w:val="111111"/>
          <w:sz w:val="28"/>
          <w:sz w:val="28"/>
          <w:szCs w:val="28"/>
          <w:rtl w:val="true"/>
          <w:lang w:bidi="fa-IR"/>
        </w:rPr>
        <w:t xml:space="preserve">گفتارهای تفسیری محمّد بن ابی عمیر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سعید بن مسیّب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عبداللّه بن مسعود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گفتارهای تفسیری عبداللّه بن اُمیّه مخزومی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سخنی از شهر بن حوشب</w:t>
      </w:r>
      <w:r>
        <w:rPr>
          <w:rStyle w:val="FootnoteAnchor"/>
          <w:rtl w:val="true"/>
        </w:rPr>
        <w:footnoteReference w:id="131"/>
      </w:r>
    </w:p>
    <w:p>
      <w:pPr>
        <w:pStyle w:val="Heading5"/>
        <w:numPr>
          <w:ilvl w:val="4"/>
          <w:numId w:val="1"/>
        </w:numPr>
        <w:rPr/>
      </w:pPr>
      <w:bookmarkStart w:id="174" w:name="__RefHeading___Toc1438721_1479056682"/>
      <w:bookmarkStart w:id="175" w:name="_Toc69"/>
      <w:bookmarkEnd w:id="174"/>
      <w:r>
        <w:rPr>
          <w:rtl w:val="true"/>
        </w:rPr>
        <w:t>آثار اندیشه‌های قرآن‌پژوهان سنّی در نفحات الرّحمن</w:t>
      </w:r>
      <w:bookmarkEnd w:id="175"/>
    </w:p>
    <w:p>
      <w:pPr>
        <w:pStyle w:val="BookText"/>
        <w:rPr/>
      </w:pPr>
      <w:r>
        <w:rPr>
          <w:rFonts w:ascii="IRNazanin" w:hAnsi="IRNazanin" w:eastAsia="IRNazanin"/>
          <w:color w:val="111111"/>
          <w:sz w:val="28"/>
          <w:sz w:val="28"/>
          <w:szCs w:val="28"/>
          <w:rtl w:val="true"/>
          <w:lang w:bidi="fa-IR"/>
        </w:rPr>
        <w:t>کمتر کتاب تفسیری و قرآنپژوهی یافت می‌شود که مفسّر یا مؤلّف آن متأثّر از اندیشه‌های متفکّران سایر مذاهب پنجگانه اسلامی قرار نگرفته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کلامی معتزلی‌ها و اشاعره و آرای تفسیری و فقهی مفسّران و دیدگاههای عرفانی و صوفیانه و چالشهای حدیث‌شناسی و رجال و خلاصه تفاوتهای موجود در منابع تفسیری و شیوه‌های تفسیر و اندیشه‌های کلامی شیعی و نظایر آن به نوعی در تمام تفاسیر و منابع</w:t>
      </w:r>
    </w:p>
    <w:p>
      <w:pPr>
        <w:pStyle w:val="BookText"/>
        <w:rPr/>
      </w:pPr>
      <w:r>
        <w:rPr>
          <w:rFonts w:ascii="IRNazanin" w:hAnsi="IRNazanin" w:eastAsia="IRNazanin"/>
          <w:color w:val="111111"/>
          <w:sz w:val="28"/>
          <w:sz w:val="28"/>
          <w:szCs w:val="28"/>
          <w:rtl w:val="true"/>
          <w:lang w:bidi="fa-IR"/>
        </w:rPr>
        <w:t xml:space="preserve">قرآنپژوهی متکلّمان و مفسّران و متفکّران مذاهب خمسه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شافعیه، مالکیه، حنفیه،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می‌شود، به ویژه اشتراکات فقهی و تفسیری بسیار بین مفسّران دو مذهب نخست، هریک از آنان را به نقل مستقیم یا غیر مستقیم یا تضمین و یا تلمیح و یا نقد و سنجش افکار و آثار یکدیگر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تأثیرپذیری مفسّران از افکار و اندیشه‌های یکدیگر را می‌توان به یکی از شکلهای زیر مشاهده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مستقیم نکات تفسیری و پذیرش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مستقیم نکات تفسیری و نقّادی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اقتباس از اندیشه‌های دیگران با ذکر نام مآخذ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اقتباس و الهام از اندیشه‌های دیگران بدون تصریح در ذکر نام مآخذ</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تضمین گفتارهای تفسیری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تغذیه از مکتب تفسیری مشترک به دلیل شاگردی استاد و محدّث واحد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روایات تفسیری مشترک از طرق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متون تفسیری یافت می‌شود که تلاش مفسّر در اجتناب وی از تأثیرپذیری و نقل مطالب تفسیری دیگران، کاملاً مشهود است و استقلال در آرای تفسیری و اعتماد به مذهب و مکتب تفسیری خویش و یا تعصّب و یک سویه‌نگری مانع از تبادل آرای تفسیری با مذاهب مخالف خود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پذیرفت که قرآن، کتاب آسمانی دین اسلام است، امّا اختصاص به مذهب خاصّی ندارد و پیروان هریک از مذاهب اسلامی و نیز مستشرقان و قرآنپژوهان غیر مسلمان از آن کتاب آسمانی سهمی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آیات و سوره‌های آن می‌تواند در بین تمام انسانها از هر نژاد و مذهب و ملّیت و فرقه‌ای</w:t>
      </w:r>
    </w:p>
    <w:p>
      <w:pPr>
        <w:pStyle w:val="BookText"/>
        <w:rPr/>
      </w:pPr>
      <w:r>
        <w:rPr>
          <w:rFonts w:ascii="IRNazanin" w:hAnsi="IRNazanin" w:eastAsia="IRNazanin"/>
          <w:color w:val="111111"/>
          <w:sz w:val="28"/>
          <w:sz w:val="28"/>
          <w:szCs w:val="28"/>
          <w:rtl w:val="true"/>
          <w:lang w:bidi="fa-IR"/>
        </w:rPr>
        <w:t xml:space="preserve">که باشند، مخاطبانی را داشته باشد و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 للمتّقین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آن، مخاطبان ویژه‌ای در بین پارسایان و صالحان و نیک‌اندیشان و شیعیان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قرآنپژوهان که در چهارده قرن گذشته چه در قالب تفاسیر روایی، کلامی، فقهی، عرفانی، ادبی و علمی با هر صبغه و رنگی که از مفسّر و شخصیت وی نشأت گرفته و شکل تألیف به خود گرفته است، همه</w:t>
      </w:r>
    </w:p>
    <w:p>
      <w:pPr>
        <w:pStyle w:val="BookText"/>
        <w:rPr/>
      </w:pPr>
      <w:r>
        <w:rPr>
          <w:rFonts w:ascii="IRNazanin" w:hAnsi="IRNazanin" w:eastAsia="IRNazanin"/>
          <w:color w:val="111111"/>
          <w:sz w:val="28"/>
          <w:sz w:val="28"/>
          <w:szCs w:val="28"/>
          <w:rtl w:val="true"/>
          <w:lang w:bidi="fa-IR"/>
        </w:rPr>
        <w:t>محصول تلاش فکری بشر بوده است که هریک از مفسّران می‌توانند تابعیت مذهب و ملّیت خاصّی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کاوشهای فکری مفسّران و قرآنشناسان، از طریق اسناد و مدارک و گویشهای شفاهی دست به دست، سینه به سینه در بین مذاهب و قاره‌ها و حوزه‌ها و مدارس مختلف گشته و عناصر مشترک و هم‌نام و هم‌سوی آن، معرفت و علم تفسیر مستقل یا به هم پیوسته‌ای را تشکیل داده است و بعید می‌رسد جز تفاسیری که انتساب آنان به پیامبر صلی‌الله‌علیه‌و‌آله و ائمّه هدی علیهم‌السلامقطعی است، تفسیری یافت شود که متأثر از افکار و آرای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متقدّمان، متأخّران، معاصران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باشد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قرآنپژوهان بر تدوین و نگارش متن تفسیری مستقل و کاملاً گرفته شده از منابع و مآخذ تفسیری مذهب خویش پافشاری می‌کنند و نقل و اقتباس آرای دیگران را نقصی بر تفسیرنگاری خود می‌انگارند؛ برخی دیگر نیز چهارچوب خاصّی برای تفسیر خویش طراحی می‌کنند و تلاش وافر آنان، بر تنظیم و تألیف متن مستقل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شیعی یا</w:t>
      </w:r>
    </w:p>
    <w:p>
      <w:pPr>
        <w:pStyle w:val="BookText"/>
        <w:rPr/>
      </w:pPr>
      <w:r>
        <w:rPr>
          <w:rFonts w:ascii="IRNazanin" w:hAnsi="IRNazanin" w:eastAsia="IRNazanin"/>
          <w:color w:val="111111"/>
          <w:sz w:val="28"/>
          <w:sz w:val="28"/>
          <w:szCs w:val="28"/>
          <w:rtl w:val="true"/>
          <w:lang w:bidi="fa-IR"/>
        </w:rPr>
        <w:t>اعتزالی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می‌گردد، امّا این بدان معنا نیست که اگر نکته ظریف و رأی قوی و سخن حقّی در آثار مفسّران و دیگر مذاهب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فقهی، کلامی یافتند، بدان نزدیک نشوند و خود و خوانندگان آثار خویش را از فهم آن محروم سازند، بلکه به موازات اصرار و در حفظ چهارچوب و مذهب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یری خویش با ذکر نشانی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بدون ذکر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سخنان دیگران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از مفسّران در تفسیرنگاری تابع مذهب دینی خاصّی نبوده، و از منظرهای ادبی یا علمی به قرآن می‌نگرند؛ لذا در تفسیر خویش بر التزام به نکات و حقایق ادبی و علمی بیشتر مواظبت و اهتمام دارند تا اثبات مذهب فقهی خویش؛ زیرا کمتر به تعرّضات فقهی نیاز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تفسیر نفحات الرّحمن از نوع دوم باشد، زیرا اهتمام مفسّر در طول بیانات تفسیری</w:t>
      </w:r>
    </w:p>
    <w:p>
      <w:pPr>
        <w:pStyle w:val="BookText"/>
        <w:rPr/>
      </w:pPr>
      <w:r>
        <w:rPr>
          <w:rFonts w:ascii="IRNazanin" w:hAnsi="IRNazanin" w:eastAsia="IRNazanin"/>
          <w:color w:val="111111"/>
          <w:sz w:val="28"/>
          <w:sz w:val="28"/>
          <w:szCs w:val="28"/>
          <w:rtl w:val="true"/>
          <w:lang w:bidi="fa-IR"/>
        </w:rPr>
        <w:t>خویش به تألیف کتاب مستقل تفسیری از دیدگاه مذهب حقّه تشیّع، استوار شده و تلاش وی در این مسیر مصروف گشته است، امّا در جای جای تفسیر او دیده می‌شود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نقل مطلبی آشکار از قرآنپژوهان اهل تسنّن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اقوال مفسّران و قرآنپژوهان عامّه را نقل، امّا ذکر نام و منبع آن را چندان مهم</w:t>
      </w:r>
    </w:p>
    <w:p>
      <w:pPr>
        <w:pStyle w:val="BookText"/>
        <w:rPr/>
      </w:pPr>
      <w:r>
        <w:rPr>
          <w:rFonts w:ascii="IRNazanin" w:hAnsi="IRNazanin" w:eastAsia="IRNazanin"/>
          <w:color w:val="111111"/>
          <w:sz w:val="28"/>
          <w:sz w:val="28"/>
          <w:szCs w:val="28"/>
          <w:rtl w:val="true"/>
          <w:lang w:bidi="fa-IR"/>
        </w:rPr>
        <w:t>نمی‌داند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با نقل قول مفسّران عامّه، به نقّادی سخن آنان و مآلاً ردّ گفتارشان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به غفلت، مطلبی را از منابع و طرق عامّه نقل می‌کند و حال آن که همان مطلب در شیعه و منابع آن یافت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مستقیم و آشکار از منابع اهل تسنّن در تفسیر نفحات الرّحمن بدون نقّادی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 ابن ابی داود در المصاحف پیرامون جمع قرآن در طُرفه پنجم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 بخاری و روایت انس بن مالک پیرامون جمع قرآن در طُرفه پنجم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 نسائی، ابن سیرین پیرامون جمع قرآن در زمان پیامبر صلی‌الله‌علیه‌و‌آلهدر طُرفه پنجم</w:t>
      </w:r>
    </w:p>
    <w:p>
      <w:pPr>
        <w:pStyle w:val="BookText"/>
        <w:rPr/>
      </w:pPr>
      <w:r>
        <w:rPr>
          <w:rFonts w:ascii="IRNazanin" w:hAnsi="IRNazanin" w:eastAsia="IRNazanin"/>
          <w:color w:val="111111"/>
          <w:sz w:val="28"/>
          <w:sz w:val="28"/>
          <w:szCs w:val="28"/>
          <w:rtl w:val="true"/>
          <w:lang w:bidi="fa-IR"/>
        </w:rPr>
        <w:t>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قول حاکم نیشابوری و حارث محاسبی پیرامون جمع قرآن در سه زمان در طُرفه</w:t>
      </w:r>
    </w:p>
    <w:p>
      <w:pPr>
        <w:pStyle w:val="BookText"/>
        <w:rPr/>
      </w:pPr>
      <w:r>
        <w:rPr>
          <w:rFonts w:ascii="IRNazanin" w:hAnsi="IRNazanin" w:eastAsia="IRNazanin"/>
          <w:color w:val="111111"/>
          <w:sz w:val="28"/>
          <w:sz w:val="28"/>
          <w:szCs w:val="28"/>
          <w:rtl w:val="true"/>
          <w:lang w:bidi="fa-IR"/>
        </w:rPr>
        <w:t>ششم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روایت نبوی از صحیح بخاری و مسلم به نقل از الاتقان سیوطی پیرامون کراهت</w:t>
      </w:r>
    </w:p>
    <w:p>
      <w:pPr>
        <w:pStyle w:val="BookText"/>
        <w:rPr/>
      </w:pPr>
      <w:r>
        <w:rPr>
          <w:rFonts w:ascii="IRNazanin" w:hAnsi="IRNazanin" w:eastAsia="IRNazanin"/>
          <w:color w:val="111111"/>
          <w:sz w:val="28"/>
          <w:sz w:val="28"/>
          <w:szCs w:val="28"/>
          <w:rtl w:val="true"/>
          <w:lang w:bidi="fa-IR"/>
        </w:rPr>
        <w:t xml:space="preserve">فراموش کردن محفوظات قرآنی در طُرفه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دیدگاه پاره‌ای از مفسّران عامّه پیرامون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احْکُمْ بَیْنَهُمْ بِما أَنْزَلَ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فلسفه تکرار آن در سوره و پذیرش دیدگاه آنان در نفحات الرّحمن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دیدگاه تفسیری عامّه راجع به ستاره پرستی، ماه پرستی، خورشید پرستی مصلحتی ابراهیم علیه‌السلام و انطباق آن با دیدگاههای امامیّه در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تلاش به منظور جمع بین روایات عامّه و خاصّه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غیرمستقیم از منابع اهل تسنّن بدون ذکر نام گوینده یا مآخذ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سخن ترمذی به نقل از الاتقان سیوطی و نیز سخن سخاوی از همان منبع در طُرفه چهارم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 حاکم نیشابوری در مستدرک صحیحین در پیرامون جمع قرآن، در چندین</w:t>
      </w:r>
    </w:p>
    <w:p>
      <w:pPr>
        <w:pStyle w:val="BookText"/>
        <w:rPr/>
      </w:pPr>
      <w:r>
        <w:rPr>
          <w:rFonts w:ascii="IRNazanin" w:hAnsi="IRNazanin" w:eastAsia="IRNazanin"/>
          <w:color w:val="111111"/>
          <w:sz w:val="28"/>
          <w:sz w:val="28"/>
          <w:szCs w:val="28"/>
          <w:rtl w:val="true"/>
          <w:lang w:bidi="fa-IR"/>
        </w:rPr>
        <w:t>نوبت در طُرفه پنجم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 جریر بن عبدالحمید از کتاب الاتقان در پیرامون تقسیم سُوَر در طُرفه</w:t>
      </w:r>
    </w:p>
    <w:p>
      <w:pPr>
        <w:pStyle w:val="BookText"/>
        <w:rPr/>
      </w:pPr>
      <w:r>
        <w:rPr>
          <w:rFonts w:ascii="IRNazanin" w:hAnsi="IRNazanin" w:eastAsia="IRNazanin"/>
          <w:color w:val="111111"/>
          <w:sz w:val="28"/>
          <w:sz w:val="28"/>
          <w:szCs w:val="28"/>
          <w:rtl w:val="true"/>
          <w:lang w:bidi="fa-IR"/>
        </w:rPr>
        <w:t>سیزدهم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سخن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پیرامون فلسفه تقطیع سُوَر در طُرفه چهاردهم از مقدمه تفسیر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نظرات صحابه و تابعین در پیرامون مفهوم حروف مقطّعه، مأخوذ از الاتقان سیوطی در طُرفه هجدهم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 سیوطی در پیرامون ضرورت رجوع به راسخین در علم هنگام تفسیر قرآن در طُرفه نوزدهم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سخنان فراوان از سیوطی و اتقان او در مقدمه 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قول مفسّران عامّه و نقّادی آن و ردّ گفتارشان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سخن ابن حجر به نقل از سیوطی در الاتقان، پیرامون جمع قرآن و نقّادی در آن در طُرفه پنجم از مقدمه تفسیر</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سخن فخر رازی صاحب تفسیر کبیر و طرح اشکالات او بر استنباطهای شیعه از آیات ولایت، تبلیغ مباهله،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و نقّادی گفتار او و ردّ عقاید و تحلیل‌های فخر به ترتیب در نفحات 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دیدگاه عامّه در چگونگی نصب امام و نقّادی مختصر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اشکال فخر رازی بر دیدگاههای کلامی امامیّه مأخوذ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 یُّها الّذینَ</w:t>
      </w:r>
    </w:p>
    <w:p>
      <w:pPr>
        <w:pStyle w:val="BookText"/>
        <w:rPr/>
      </w:pPr>
      <w:r>
        <w:rPr>
          <w:rFonts w:ascii="IRNazanin" w:hAnsi="IRNazanin" w:eastAsia="IRNazanin"/>
          <w:color w:val="111111"/>
          <w:sz w:val="28"/>
          <w:sz w:val="28"/>
          <w:szCs w:val="28"/>
          <w:rtl w:val="true"/>
          <w:lang w:bidi="fa-IR"/>
        </w:rPr>
        <w:t>آمَنُوا مَن یَرتَدَّ مِنْکُم عن دینِهِ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پاسخ به آن در نفحات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مطلب از طرق عامّه با وجود نقل همان مطالب در طرق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روایت حارث بن اعور از علی علیه‌السلام از الاتقان بدون ذکر نام مآخذ در پیرامون افضلیت قرآن بر سایر کتابهای آسمانی در طُرفه بیست و هفت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روایتی از علیّ بن ابی طالب علیه‌السلام در پیرامون مستجاب الدعوه بودن ختم‌کننده</w:t>
      </w:r>
    </w:p>
    <w:p>
      <w:pPr>
        <w:pStyle w:val="BookText"/>
        <w:rPr/>
      </w:pPr>
      <w:r>
        <w:rPr>
          <w:rFonts w:ascii="IRNazanin" w:hAnsi="IRNazanin" w:eastAsia="IRNazanin"/>
          <w:color w:val="111111"/>
          <w:sz w:val="28"/>
          <w:sz w:val="28"/>
          <w:szCs w:val="28"/>
          <w:rtl w:val="true"/>
          <w:lang w:bidi="fa-IR"/>
        </w:rPr>
        <w:t>قرآن از کنز العمال متّقی هندی بدون ذکر نام مآخذ، در طُرفه سی و پنجم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سخن اُبی بن کعب به نقل از ترمذی و حاکم و الاتقان سیوطی در پیرامون فضیلت سوره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این سخن در بحارالأنوار </w:t>
      </w: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سی و ششم از مقدمه 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سخن ابی هریره در فضیلت سوره اخلاص از اتقان سیوطی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 که این سخن از صفوان بن یحیی و او از امام صادق علیه‌السلام در کافی </w:t>
      </w:r>
      <w:r>
        <w:rPr>
          <w:rFonts w:eastAsia="IRNazanin" w:cs="IRNazanin"/>
          <w:color w:val="111111"/>
          <w:sz w:val="28"/>
          <w:szCs w:val="28"/>
          <w:lang w:bidi="fa-IR"/>
        </w:rPr>
        <w:t>2/593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 سی‌وششم از مقدّمه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تصریحات مفسّر نفحات الرّحمن به آرا و عقاید راویان و قرآنپژوهان اهل تسنّن اغلب</w:t>
      </w:r>
    </w:p>
    <w:p>
      <w:pPr>
        <w:pStyle w:val="BookText"/>
        <w:rPr/>
      </w:pPr>
      <w:r>
        <w:rPr>
          <w:rFonts w:ascii="IRNazanin" w:hAnsi="IRNazanin" w:eastAsia="IRNazanin"/>
          <w:color w:val="111111"/>
          <w:sz w:val="28"/>
          <w:sz w:val="28"/>
          <w:szCs w:val="28"/>
          <w:rtl w:val="true"/>
          <w:lang w:bidi="fa-IR"/>
        </w:rPr>
        <w:t>در مقدمه تفسیر جای گرفته و در متن اصلی تفسیر، بسیار اندک به سمت آن کشانده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مواضعی چند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آرای مفسّران عامّه پرداخته</w:t>
      </w:r>
    </w:p>
    <w:p>
      <w:pPr>
        <w:pStyle w:val="BookText"/>
        <w:rPr/>
      </w:pPr>
      <w:r>
        <w:rPr>
          <w:rFonts w:ascii="IRNazanin" w:hAnsi="IRNazanin" w:eastAsia="IRNazanin"/>
          <w:color w:val="111111"/>
          <w:sz w:val="28"/>
          <w:sz w:val="28"/>
          <w:szCs w:val="28"/>
          <w:rtl w:val="true"/>
          <w:lang w:bidi="fa-IR"/>
        </w:rPr>
        <w:t>به منظور تحلیل و نقد عقاید آنان و ردّ اتهاماتی بوده که برخی مفسّران عامّه به شیعه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مطلب باید گفته شود، نهاوندی در این تفسیر آن جا که تصریحات وی به آرای عامّه دیده می‌شود، اغلب متوجه آرای فخرالدین رازی است، به گونه‌ای که در موارد بسیاری دیده می‌شود هنگام طرح مسائل کلامی، به تعرّضات فخر</w:t>
      </w:r>
    </w:p>
    <w:p>
      <w:pPr>
        <w:pStyle w:val="BookText"/>
        <w:rPr/>
      </w:pPr>
      <w:r>
        <w:rPr>
          <w:rFonts w:ascii="IRNazanin" w:hAnsi="IRNazanin" w:eastAsia="IRNazanin"/>
          <w:color w:val="111111"/>
          <w:sz w:val="28"/>
          <w:sz w:val="28"/>
          <w:szCs w:val="28"/>
          <w:rtl w:val="true"/>
          <w:lang w:bidi="fa-IR"/>
        </w:rPr>
        <w:t>علیه شیعه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آرای فخر، آرای مفسّر دیگری از عامّه به نقد و تحلیل</w:t>
      </w:r>
    </w:p>
    <w:p>
      <w:pPr>
        <w:pStyle w:val="BookText"/>
        <w:rPr/>
      </w:pPr>
      <w:r>
        <w:rPr>
          <w:rFonts w:ascii="IRNazanin" w:hAnsi="IRNazanin" w:eastAsia="IRNazanin"/>
          <w:color w:val="111111"/>
          <w:sz w:val="28"/>
          <w:sz w:val="28"/>
          <w:szCs w:val="28"/>
          <w:rtl w:val="true"/>
          <w:lang w:bidi="fa-IR"/>
        </w:rPr>
        <w:t>کشانده نشده است، و اگر چنین باشد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این که مفسّر در مقدمه مبسوط خود به آرای قرآنپژوهان و حدیث‌نگاران اهل تسنّن استنادهای بیشتری کرده است، باید در تقدم آنان در نگارش کتب علوم قرآنی و نیز کثرت‌نگاری آنان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و سرشت نهاوندی، حبّ به اهل بیت علیهم‌السلام و پاسداری از کیان دینی و مذهبی بسیار دیده می‌شود، این امر گاه و بی گاه او را به دفاع از آرا و عقاید خاصّ شیعه که بعضا از سوی نویسندگان عامّه مورد تهاجم قرار گرفته، وا داشته است و لذا در تفسیر او دفاعیاتی در مقابل آنان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 تقدم عامّه در نگارش منابع تخصصی پیرامون علوم قرآنی وی را به تأثیرپذیری از این گونه آثار واداشته است، بدان معنا نیست که پژوهشگران و مفسّران شیعی دیرتر از محقّقان عامّه به تألیف و</w:t>
      </w:r>
    </w:p>
    <w:p>
      <w:pPr>
        <w:pStyle w:val="BookText"/>
        <w:rPr/>
      </w:pPr>
      <w:r>
        <w:rPr>
          <w:rFonts w:ascii="IRNazanin" w:hAnsi="IRNazanin" w:eastAsia="IRNazanin"/>
          <w:color w:val="111111"/>
          <w:sz w:val="28"/>
          <w:sz w:val="28"/>
          <w:szCs w:val="28"/>
          <w:rtl w:val="true"/>
          <w:lang w:bidi="fa-IR"/>
        </w:rPr>
        <w:t>نگارش دست یافته باشند، بلکه قبل از آن که بحث پیرامون علوم و مصطلحات قرآنی در اندیشه محقّقان عامّه جای گیرد، مطالب و آرای بسیار علمی و دقیقی در متون تفسیری شیعیان جای گرفت، امّا تفاوت در یک مطلب کاملاً مشهود است و آن تقدّم قرآنپژوهان و حدیث‌نگاران اهل تسنّن و تدوین آثار مستقل پیرامون علوم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w:t>
      </w:r>
    </w:p>
    <w:p>
      <w:pPr>
        <w:pStyle w:val="BookText"/>
        <w:rPr/>
      </w:pPr>
      <w:r>
        <w:rPr>
          <w:rFonts w:ascii="IRNazanin" w:hAnsi="IRNazanin" w:eastAsia="IRNazanin"/>
          <w:color w:val="111111"/>
          <w:sz w:val="28"/>
          <w:sz w:val="28"/>
          <w:szCs w:val="28"/>
          <w:rtl w:val="true"/>
          <w:lang w:bidi="fa-IR"/>
        </w:rPr>
        <w:t>مشاهده فعّالیتهای پژوهشی دانشگاههای اسلامی و فراوانی نوشته‌های آنان در زمینه‌های علوم قرآن و تفسیر به ویژه تفاسیر علمی، امری مشهود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دیده می‌شود جناب نهاوندی به آثار مستقل اهل تسنّن در زمینه‌های علوم قرآن مثل الاتقان سیوطی و البرهان زرکشی مراجعات مستمرّی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استناد به آرا و نظریّات متفکّران مذاهب مختلف، نشان از آزاد اندیشی و قدرت در تحلیل و دفاع از عقاید و اندیشه‌های خودی است و در میان پژوهشگران و اهل تحقیق، امتیاز خاصّی به شمار می‌رود، به ویژه شیعیان که در طرح عقاید و آرای مخالفان</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در کتابها و مقالات و خطبه‌ها و جای دادن کتابها و آثار مطبوع و علمی آنان در کتابخانه‌های شخصی و دولتی از هرکس دیگری سبقت گرفته‌اند و در علوم درایه و رجال نام برخی روات اهل تسنّن دیده می‌شود که علی رغم اختلافی که با مذهب و عقاید امامیّه دارند، گفتارشان نزد شیعه مقبول بوده و روایات آنان مورد استناد و</w:t>
      </w:r>
    </w:p>
    <w:p>
      <w:pPr>
        <w:pStyle w:val="BookText"/>
        <w:rPr/>
      </w:pPr>
      <w:r>
        <w:rPr>
          <w:rFonts w:ascii="IRNazanin" w:hAnsi="IRNazanin" w:eastAsia="IRNazanin"/>
          <w:color w:val="111111"/>
          <w:sz w:val="28"/>
          <w:sz w:val="28"/>
          <w:szCs w:val="28"/>
          <w:rtl w:val="true"/>
          <w:lang w:bidi="fa-IR"/>
        </w:rPr>
        <w:t>استدلال شیعه قرار گرفته است، امّا متأسفانه عکس آن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عالم و اندیشمند سنّی مذهب دیده می‌شود که با احترام به عقاید و آرای متفکّران شیعی بنگرد؛</w:t>
      </w:r>
    </w:p>
    <w:p>
      <w:pPr>
        <w:pStyle w:val="BookText"/>
        <w:rPr/>
      </w:pPr>
      <w:r>
        <w:rPr>
          <w:rFonts w:ascii="IRNazanin" w:hAnsi="IRNazanin" w:eastAsia="IRNazanin"/>
          <w:color w:val="111111"/>
          <w:sz w:val="28"/>
          <w:sz w:val="28"/>
          <w:szCs w:val="28"/>
          <w:rtl w:val="true"/>
          <w:lang w:bidi="fa-IR"/>
        </w:rPr>
        <w:t>و حتّی برخی از محدّثین اهل تسنّن چون بخاری، سخن هر گوینده‌ای را در کتاب خود جای داده‌اند، امّا اثری و حدیثی از امام صادق علیه‌السلام در آن دیده نمی‌شود ولو یک حدیث، آن گاه کتاب خود را صحیح نامیده‌اند و این در حالی است که محدّثین شیعی چنین عنوانی را به جوامع حدیثی خود نداده‌اند و اخبار و احادیث خود را با کمال قدرت و شجاعت به انواع و اقسامی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نیز چون سیّد مرتضی، احتیاط را بدانجا رسانده‌اند که خبر واحد را حجّت ندانسته‌اند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چهره‌های نمونه عالم تشیّع که از طرح عقاید و آرای متفکّران اهل تسنّن بیمی نداشته‌اند، بلکه آن را شیوه‌ای عادلانه و روشنگرانه در تحقیق دانسته‌اند، می‌توان سیّد عبدالحسین شرف الدین عاملی، صاحب کتاب المراجعات و نیز علاّمه امینی را در نگارش کتاب الغدیر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برآنچه از تصریحات نهاوندی بر اقوال محدّثین یا مفسّران اهل تسنّن که گفته شد، در برخی مواضع کتاب مشاهده می‌شود، مفسّر، بدون آن که از شخص خاصّی نام ببرد، به ذکر آرای تفسیری اهل 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او با دو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العامّة</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العامّة</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IRNazanin" w:hAnsi="IRNazanin" w:eastAsia="IRNazanin"/>
          <w:color w:val="111111"/>
          <w:sz w:val="28"/>
          <w:sz w:val="28"/>
          <w:szCs w:val="28"/>
          <w:rtl w:val="true"/>
          <w:lang w:bidi="fa-IR"/>
        </w:rPr>
        <w:t>به ذکر و نقل دیدگاههای تفسیری اهل تسنّن</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در اکثر مواردی که با عناوین فوق به نقل گفتارهای تفسیری عامّه پرداخته، به تحلیل و بررسی آن و نیز برخی مواقع، رد و انکار آنها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انکارهای نهاوندی بر این گونه گفتارها بیشتر در جاهایی است که موضوع آنها یکی از مباحث مربوط به امامت، ولایت، حکومت، عقاید تشیّع و یا طرح موضوعهای بی‌اساس و</w:t>
      </w:r>
      <w:bookmarkStart w:id="176" w:name="pg4391_50968"/>
    </w:p>
    <w:p>
      <w:pPr>
        <w:pStyle w:val="BookText"/>
        <w:rPr/>
      </w:pPr>
      <w:bookmarkEnd w:id="176"/>
      <w:r>
        <w:rPr>
          <w:rFonts w:ascii="IRNazanin" w:hAnsi="IRNazanin" w:eastAsia="IRNazanin"/>
          <w:color w:val="111111"/>
          <w:sz w:val="28"/>
          <w:sz w:val="28"/>
          <w:szCs w:val="28"/>
          <w:rtl w:val="true"/>
          <w:lang w:bidi="fa-IR"/>
        </w:rPr>
        <w:t>غیرعلمی و نیز اختلاف‌نظر در دیدگاههای فقهی و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دیگری از تفسیر مشاهده می‌شود مفسّر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اتّفقت العامّة والخاصّة</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العامّة والخاصّة</w:t>
      </w:r>
      <w:r>
        <w:rPr>
          <w:rFonts w:eastAsia="IRNazanin" w:cs="IRNazanin"/>
          <w:color w:val="111111"/>
          <w:sz w:val="28"/>
          <w:szCs w:val="28"/>
          <w:rtl w:val="true"/>
          <w:lang w:bidi="fa-IR"/>
        </w:rPr>
        <w:t xml:space="preserve">» </w:t>
      </w:r>
      <w:r>
        <w:rPr>
          <w:rStyle w:val="FootnoteAnchor"/>
          <w:rtl w:val="true"/>
        </w:rPr>
        <w:footnoteReference w:id="137"/>
      </w:r>
      <w:r>
        <w:rPr>
          <w:rFonts w:ascii="IRNazanin" w:hAnsi="IRNazanin" w:eastAsia="IRNazanin"/>
          <w:color w:val="111111"/>
          <w:sz w:val="28"/>
          <w:sz w:val="28"/>
          <w:szCs w:val="28"/>
          <w:rtl w:val="true"/>
          <w:lang w:bidi="fa-IR"/>
        </w:rPr>
        <w:t>به طرح روایات و دیدگاههای تفس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w:t>
      </w:r>
    </w:p>
    <w:p>
      <w:pPr>
        <w:pStyle w:val="BookText"/>
        <w:rPr/>
      </w:pPr>
      <w:r>
        <w:rPr>
          <w:rFonts w:ascii="IRNazanin" w:hAnsi="IRNazanin" w:eastAsia="IRNazanin"/>
          <w:color w:val="111111"/>
          <w:sz w:val="28"/>
          <w:sz w:val="28"/>
          <w:szCs w:val="28"/>
          <w:rtl w:val="true"/>
          <w:lang w:bidi="fa-IR"/>
        </w:rPr>
        <w:t>متّفقٌ علیه می‌پردازد</w:t>
      </w:r>
      <w:r>
        <w:rPr>
          <w:rFonts w:eastAsia="IRNazanin" w:cs="IRNazanin"/>
          <w:color w:val="111111"/>
          <w:sz w:val="28"/>
          <w:szCs w:val="28"/>
          <w:rtl w:val="true"/>
          <w:lang w:bidi="fa-IR"/>
        </w:rPr>
        <w:t>.</w:t>
      </w:r>
    </w:p>
    <w:p>
      <w:pPr>
        <w:pStyle w:val="Heading5"/>
        <w:numPr>
          <w:ilvl w:val="4"/>
          <w:numId w:val="1"/>
        </w:numPr>
        <w:rPr/>
      </w:pPr>
      <w:bookmarkStart w:id="177" w:name="__RefHeading___Toc1438723_1479056682"/>
      <w:bookmarkStart w:id="178" w:name="_Toc70"/>
      <w:bookmarkEnd w:id="177"/>
      <w:r>
        <w:rPr>
          <w:rtl w:val="true"/>
        </w:rPr>
        <w:t>عقل</w:t>
      </w:r>
      <w:bookmarkEnd w:id="178"/>
    </w:p>
    <w:p>
      <w:pPr>
        <w:pStyle w:val="BookText"/>
        <w:rPr/>
      </w:pPr>
      <w:r>
        <w:rPr>
          <w:rFonts w:ascii="IRNazanin" w:hAnsi="IRNazanin" w:eastAsia="IRNazanin"/>
          <w:color w:val="111111"/>
          <w:sz w:val="28"/>
          <w:sz w:val="28"/>
          <w:szCs w:val="28"/>
          <w:rtl w:val="true"/>
          <w:lang w:bidi="fa-IR"/>
        </w:rPr>
        <w:t>مهمترین مبنا در تفسیر قرآن کریم، پس از قرآن و روایات معصومین، و نیز مناسب‌ترین روش در فهم آیات قرآنی و تشخیص کاربرد صحیح ابزار و روشهای تفسیری و تکیه بر مبانی مقتضی و مناسب، عقل و دلالتهای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آیات و حقیقت الفاظ و عبارات قرآنی و شناخت کشف اسرار و راهیابی به عمق آیات جز از طریق تفکّر و تدبّر مقدور نیست، و آن جا که تنها مفسّر و مبیّن آیات قرآن، چیزی جز خود قرآن نیست و آن جا نیز محل تفکّر و تدبّر است، فقدان عقل و تدبّر و تفکّر، و مسدود کردن راههای عقلانی در مراجعه به قرآن و روایات، موجب حیرت و سرگردانی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راهنمایی‌ها و استنباطهای عقلی موجب می‌شود در مراجعه به اقوال و آرای تفسیری دیگران، قدرت تشخیص مناسب داشته باشیم و هر سخنی که در منابع تفسیری یافتیم ولو آن که منسوب به مفسّر مشهور و معتبری باشد و یا حتّی به امام معصوم یا پیامبر صلی‌الله‌علیه‌و‌آله نسبت داده شده باشد، به طور مطلق نپذیریم بلکه با عرضه به قرآن و روایات صحیح و مورد وثوق به نقّادی و جرح و تعدیل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اصل تفکّر</w:t>
      </w:r>
    </w:p>
    <w:p>
      <w:pPr>
        <w:pStyle w:val="BookText"/>
        <w:rPr/>
      </w:pPr>
      <w:r>
        <w:rPr>
          <w:rFonts w:ascii="IRNazanin" w:hAnsi="IRNazanin" w:eastAsia="IRNazanin"/>
          <w:color w:val="111111"/>
          <w:sz w:val="28"/>
          <w:sz w:val="28"/>
          <w:szCs w:val="28"/>
          <w:rtl w:val="true"/>
          <w:lang w:bidi="fa-IR"/>
        </w:rPr>
        <w:t>و تعقّل در مراجعه به متون تفسیری، مفسّر را از روی آوردن به بدعتها، اصرار در خطاها،</w:t>
      </w:r>
    </w:p>
    <w:p>
      <w:pPr>
        <w:pStyle w:val="BookText"/>
        <w:rPr/>
      </w:pPr>
      <w:r>
        <w:rPr>
          <w:rFonts w:ascii="IRNazanin" w:hAnsi="IRNazanin" w:eastAsia="IRNazanin"/>
          <w:color w:val="111111"/>
          <w:sz w:val="28"/>
          <w:sz w:val="28"/>
          <w:szCs w:val="28"/>
          <w:rtl w:val="true"/>
          <w:lang w:bidi="fa-IR"/>
        </w:rPr>
        <w:t>خودبینی‌ها، خطاپذیری‌ها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نیز پیوسته بی‌خردان و پشت‌کنندگان</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عقل و تعقّل را مورد مؤاخذه قرار می‌دهد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أَفَلاَ یَتَدَبَّرُونَ القُرآنَ أَمْ عَلَی قُلُوبٍ أَقْفَالُهَا </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و مبارک بودن قرآن را در تفکّر و تدبّر در آیات آن دانسته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کِتَابٌ أَنزَلْنَاهُ إِلَیْکَ مُبَارَکٌ</w:t>
      </w:r>
    </w:p>
    <w:p>
      <w:pPr>
        <w:pStyle w:val="BookText"/>
        <w:rPr/>
      </w:pPr>
      <w:r>
        <w:rPr>
          <w:rFonts w:ascii="Amiri" w:hAnsi="Amiri" w:eastAsia="Amiri" w:cs="Amiri"/>
          <w:color w:val="111111"/>
          <w:sz w:val="28"/>
          <w:sz w:val="28"/>
          <w:szCs w:val="28"/>
          <w:rtl w:val="true"/>
          <w:lang w:bidi="ar-SA"/>
        </w:rPr>
        <w:t xml:space="preserve">لِیَدَّبَّرُوا آیَاتِهِ </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و آن جا که اِنس و جن را به تحدّی با قرآن فرا خوانده قطعا با تکیه بر</w:t>
      </w:r>
    </w:p>
    <w:p>
      <w:pPr>
        <w:pStyle w:val="BookText"/>
        <w:rPr/>
      </w:pPr>
      <w:r>
        <w:rPr>
          <w:rFonts w:ascii="IRNazanin" w:hAnsi="IRNazanin" w:eastAsia="IRNazanin"/>
          <w:color w:val="111111"/>
          <w:sz w:val="28"/>
          <w:sz w:val="28"/>
          <w:szCs w:val="28"/>
          <w:rtl w:val="true"/>
          <w:lang w:bidi="fa-IR"/>
        </w:rPr>
        <w:t>نیروی تعقّل و تفکّر آدمی است، اگرچه نه عقل آدمی و نه عقل جنّیان، راهی به سوی هماوردی نداشته باشند، امّا اصل دعوت به تحدّی، مبتنی بر کاربرد عقل و قوای شناخت و ادراک در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کُنتُمْ فِی رَیْبٍ مِمّا نَزَّلْنا عَلَی عَبْدِنا فَأْتُوا بِسُورَةٍ مِن مِثْلِهِ وَادْعُوا شُهَدَاءَکُم مِن دُونِ اللّه‌ِ إِن کُنتُمْ صَادِقِینَ </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 نیست که عقل، یکی از مبانی مهم تفسیر قرآن به شمار می‌رود و دانشمندان اسلامی در آن اتفاق‌نظر دارند، امّا موضوع مورد اختلاف، حدود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متکلّمان و مفسّران برای عقل و دلالتهای آن، آن قدر ارزش قایل شده‌اند که حتّی احکام عقل را بر احکام شرع ترجیح داده‌اند، این رأی اگرچه از نظر علمای امامیّه</w:t>
      </w:r>
    </w:p>
    <w:p>
      <w:pPr>
        <w:pStyle w:val="BookText"/>
        <w:rPr/>
      </w:pPr>
      <w:r>
        <w:rPr>
          <w:rFonts w:ascii="IRNazanin" w:hAnsi="IRNazanin" w:eastAsia="IRNazanin"/>
          <w:color w:val="111111"/>
          <w:sz w:val="28"/>
          <w:sz w:val="28"/>
          <w:szCs w:val="28"/>
          <w:rtl w:val="true"/>
          <w:lang w:bidi="fa-IR"/>
        </w:rPr>
        <w:t>مورد نکوهش و انتقاد قرار گرفته است، در بین متکلّمان معتزله و مفسّران آنها، نمود خاصّ و جاذبه بیشتری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متکلّمان و مفسّران نیز عقل و دلالتهای آن را کاملاً مورد بی‌مهری قرار داده و</w:t>
      </w:r>
    </w:p>
    <w:p>
      <w:pPr>
        <w:pStyle w:val="BookText"/>
        <w:rPr/>
      </w:pPr>
      <w:r>
        <w:rPr>
          <w:rFonts w:ascii="IRNazanin" w:hAnsi="IRNazanin" w:eastAsia="IRNazanin"/>
          <w:color w:val="111111"/>
          <w:sz w:val="28"/>
          <w:sz w:val="28"/>
          <w:szCs w:val="28"/>
          <w:rtl w:val="true"/>
          <w:lang w:bidi="fa-IR"/>
        </w:rPr>
        <w:t>اصلاً آن را در فهم و ادراک احکام شرعی ناتوان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که در مقایسه با رأی نخست، تفریط در مقابل افراط تلقّی می‌شود، منسوب به متکلّمان اشعری و مفسّران آنها و نیز پاره‌ای از اخباریون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مفسّران به ویژه متکلّمان و مفسّران امامیّه، عقل را به عنوان راه قابل اطمینان و اعتماد در وصول به علم قطعی برشمرده‌اند؛ و به قول 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راه شناخت حجّیت قرآن و اخبار و روایات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تدریج از قرن ششم هجری به بعد، عقل، جایگاه مستقلّی در معرفت دینی به دست آورد و خود نیز مانند قرآن، سنّت و اجماع از ادلّه تفصیلی به شمار آمد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متون تفسیری، مفسّران عقل‌گرا علاوه بر استدلالهای قرآنی و رواییِ موجود در آن، شاهد استدلالهای عقلی، مباحث لغت‌شناسی، مباحث کلامی و فلسفی، طرح مباحث مربوط به تشخیص حُسن و قُبح عقلی افعال، تحلیل استعارات، مجازات، تمثیلات، تخیلات، قصص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این گروه از مفسّران، عقل آدمی،</w:t>
      </w:r>
    </w:p>
    <w:p>
      <w:pPr>
        <w:pStyle w:val="BookText"/>
        <w:rPr/>
      </w:pPr>
      <w:r>
        <w:rPr>
          <w:rFonts w:ascii="IRNazanin" w:hAnsi="IRNazanin" w:eastAsia="IRNazanin"/>
          <w:color w:val="111111"/>
          <w:sz w:val="28"/>
          <w:sz w:val="28"/>
          <w:szCs w:val="28"/>
          <w:rtl w:val="true"/>
          <w:lang w:bidi="fa-IR"/>
        </w:rPr>
        <w:t>علاوه بر توانایی در ادراک کلیّات قضایا، جزییّات مربوط به آن را نیز در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دانشمندان و اصولیّون امامیّه تا قبل از ابن ادریس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عقل به عنوان یک دلیل و منبع مستقل در کنار دیگر منابع معرفت دینی یاد نمی‌شد؛ بلکه صرفا به عنوان یک راه و روش در شناخت دلالتهای قرآنی و روایی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 إلی معرفة حجّیّة القرآن ودلایل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هرگز از آن به عنوان دلیل مستقل یاد نمی‌کرد، پس از وی شاگردش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ارزشمند و مبسوط خود در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عقل به عنوان منبع و دلیل</w:t>
      </w:r>
    </w:p>
    <w:p>
      <w:pPr>
        <w:pStyle w:val="BookText"/>
        <w:rPr/>
      </w:pPr>
      <w:r>
        <w:rPr>
          <w:rFonts w:ascii="IRNazanin" w:hAnsi="IRNazanin" w:eastAsia="IRNazanin"/>
          <w:color w:val="111111"/>
          <w:sz w:val="28"/>
          <w:sz w:val="28"/>
          <w:szCs w:val="28"/>
          <w:rtl w:val="true"/>
          <w:lang w:bidi="fa-IR"/>
        </w:rPr>
        <w:t xml:space="preserve">مستقل یاد نکرد بلکه او چون استادش شیخ مفید، عقل را به عنوان ابزار، در شناخت دلایل و منابع دین‌شناسی یاد کرد، امّا با ظهور ابن ادریس </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احیای تفکّر اصولی، عقل نیز در کنار سه منبع نخستین دین‌شناسی قرار گرفت و از آن پس از قرآن، سنّت، اجماع و عقل به عنوان منابع دین یاد شد </w:t>
      </w:r>
      <w:r>
        <w:rPr>
          <w:rStyle w:val="FootnoteAnchor"/>
          <w:rtl w:val="true"/>
        </w:rPr>
        <w:footnoteReference w:id="141"/>
      </w:r>
      <w:r>
        <w:rPr>
          <w:rFonts w:ascii="IRNazanin" w:hAnsi="IRNazanin" w:eastAsia="IRNazanin"/>
          <w:color w:val="111111"/>
          <w:sz w:val="28"/>
          <w:sz w:val="28"/>
          <w:szCs w:val="28"/>
          <w:rtl w:val="true"/>
          <w:lang w:bidi="fa-IR"/>
        </w:rPr>
        <w:t xml:space="preserve">، و از پی او نیز محقّق حلّی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دلیل و منبع عقل را توضیح داد و به تدریج با ظهور اصولیون دیگر چون شهید ثانی </w:t>
      </w:r>
      <w:r>
        <w:rPr>
          <w:rFonts w:eastAsia="IRNazanin" w:cs="IRNazanin"/>
          <w:color w:val="111111"/>
          <w:sz w:val="28"/>
          <w:szCs w:val="28"/>
          <w:rtl w:val="true"/>
          <w:lang w:bidi="fa-IR"/>
        </w:rPr>
        <w:t>(</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این رأی در اندیشه دانشمندان مسلمان ریشه دواند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نیز به تبع ظهور این نهضت، برای کاوشهای عقل نظری در فهم آیات و نصوص قرآنی ارزش خاصّی قایل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به عنوان مفسّر اصولی امامی مذهب، در جریان تفسیرنگاری خویش به پیروی از اندیشه رایج نزد اصولیّون به عقل به عنوان دلیل مستقل در شناخت دین و استنباط احکام آن نگریست و براساس آن، تفسیر نفحات الرّحمن را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w:t>
      </w:r>
    </w:p>
    <w:p>
      <w:pPr>
        <w:pStyle w:val="BookText"/>
        <w:rPr/>
      </w:pPr>
      <w:r>
        <w:rPr>
          <w:rFonts w:ascii="IRNazanin" w:hAnsi="IRNazanin" w:eastAsia="IRNazanin"/>
          <w:color w:val="111111"/>
          <w:sz w:val="28"/>
          <w:sz w:val="28"/>
          <w:szCs w:val="28"/>
          <w:rtl w:val="true"/>
          <w:lang w:bidi="fa-IR"/>
        </w:rPr>
        <w:t>مباحث کلامی و عقلی و فلسفی در تفسیر و نیز بهایی که برای مستقلاّت و ادراکات عقلی قایل شد، تفسیر زیبایی از او به جای گذاشت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بحث اثبات اختیاری بودن افعال انسان و نقش اراده آدمی در تحققّ افعال اختیاری با اعتم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 به کاوشهای عقلی، مطالب مبس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می‌کند و حتّی اَعمال</w:t>
      </w:r>
      <w:bookmarkStart w:id="179" w:name="pg4391_50971"/>
    </w:p>
    <w:p>
      <w:pPr>
        <w:pStyle w:val="BookText"/>
        <w:rPr/>
      </w:pPr>
      <w:bookmarkEnd w:id="179"/>
      <w:r>
        <w:rPr>
          <w:rFonts w:ascii="Amiri" w:hAnsi="Amiri" w:eastAsia="Amiri" w:cs="Amiri"/>
          <w:color w:val="111111"/>
          <w:sz w:val="28"/>
          <w:sz w:val="28"/>
          <w:szCs w:val="28"/>
          <w:rtl w:val="true"/>
          <w:lang w:bidi="ar-SA"/>
        </w:rPr>
        <w:t>کافران و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که مصداق و مشمول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خَتَمَ اللّه‌ُ عَلَی قُلُوبِهِمْ وَعَلَی سَمْعِهِمْ وَعَلَی أَبْصَارِهِمْ غِشَاوَةٌ</w:t>
      </w:r>
      <w:r>
        <w:rPr>
          <w:rFonts w:eastAsia="Amiri" w:cs="Amiri" w:ascii="Amiri" w:hAnsi="Amiri"/>
          <w:color w:val="111111"/>
          <w:sz w:val="28"/>
          <w:szCs w:val="28"/>
          <w:rtl w:val="true"/>
          <w:lang w:bidi="ar-SA"/>
        </w:rPr>
        <w:t>... »</w:t>
      </w:r>
      <w:r>
        <w:rPr>
          <w:rStyle w:val="FootnoteAnchor"/>
          <w:rtl w:val="true"/>
        </w:rPr>
        <w:footnoteReference w:id="142"/>
      </w:r>
      <w:r>
        <w:rPr>
          <w:rFonts w:ascii="IRNazanin" w:hAnsi="IRNazanin" w:eastAsia="IRNazanin"/>
          <w:color w:val="111111"/>
          <w:sz w:val="28"/>
          <w:sz w:val="28"/>
          <w:szCs w:val="28"/>
          <w:rtl w:val="true"/>
          <w:lang w:bidi="fa-IR"/>
        </w:rPr>
        <w:t>قرار دارند، نیز به اعتقاد وی برخاسته از اراده و اختیار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اثبات این مطلب فقط به دلایل عقل تکیه می‌کند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اثبات معاد جسمانی </w:t>
      </w:r>
      <w:r>
        <w:rPr>
          <w:rStyle w:val="FootnoteAnchor"/>
          <w:rtl w:val="true"/>
        </w:rPr>
        <w:footnoteReference w:id="144"/>
      </w:r>
      <w:r>
        <w:rPr>
          <w:rFonts w:ascii="IRNazanin" w:hAnsi="IRNazanin" w:eastAsia="IRNazanin"/>
          <w:color w:val="111111"/>
          <w:sz w:val="28"/>
          <w:sz w:val="28"/>
          <w:szCs w:val="28"/>
          <w:rtl w:val="true"/>
          <w:lang w:bidi="fa-IR"/>
        </w:rPr>
        <w:t>، عصمت پیامبران</w:t>
      </w:r>
      <w:r>
        <w:rPr>
          <w:rStyle w:val="FootnoteAnchor"/>
          <w:rtl w:val="true"/>
        </w:rPr>
        <w:footnoteReference w:id="145"/>
      </w:r>
      <w:r>
        <w:rPr>
          <w:rFonts w:ascii="IRNazanin" w:hAnsi="IRNazanin" w:eastAsia="IRNazanin"/>
          <w:color w:val="111111"/>
          <w:sz w:val="28"/>
          <w:sz w:val="28"/>
          <w:szCs w:val="28"/>
          <w:rtl w:val="true"/>
          <w:lang w:bidi="fa-IR"/>
        </w:rPr>
        <w:t>و تفسیر آیات کونیه</w:t>
      </w:r>
      <w:r>
        <w:rPr>
          <w:rStyle w:val="FootnoteAnchor"/>
          <w:rtl w:val="true"/>
        </w:rPr>
        <w:footnoteReference w:id="146"/>
      </w:r>
      <w:r>
        <w:rPr>
          <w:rFonts w:ascii="IRNazanin" w:hAnsi="IRNazanin" w:eastAsia="IRNazanin"/>
          <w:color w:val="111111"/>
          <w:sz w:val="28"/>
          <w:sz w:val="28"/>
          <w:szCs w:val="28"/>
          <w:rtl w:val="true"/>
          <w:lang w:bidi="fa-IR"/>
        </w:rPr>
        <w:t>و بیان ارزش تفکّر و فواید آن و ارزیابی نتایج تفکّر</w:t>
      </w:r>
      <w:r>
        <w:rPr>
          <w:rStyle w:val="FootnoteAnchor"/>
          <w:rtl w:val="true"/>
        </w:rPr>
        <w:footnoteReference w:id="147"/>
      </w:r>
      <w:r>
        <w:rPr>
          <w:rFonts w:ascii="IRNazanin" w:hAnsi="IRNazanin" w:eastAsia="IRNazanin"/>
          <w:color w:val="111111"/>
          <w:sz w:val="28"/>
          <w:sz w:val="28"/>
          <w:szCs w:val="28"/>
          <w:rtl w:val="true"/>
          <w:lang w:bidi="fa-IR"/>
        </w:rPr>
        <w:t>و نیز تفسیر و تحلیل آرای کلامی متکلّمان و فلاسفه با استناد به دلایل عقلی</w:t>
      </w:r>
      <w:r>
        <w:rPr>
          <w:rStyle w:val="FootnoteAnchor"/>
          <w:rtl w:val="true"/>
        </w:rPr>
        <w:footnoteReference w:id="14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عقل رجوع می‌کند، و این حاکی از توجه و اقبال وی به اهمیت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دیگر دلایل و منابع دین‌شناسی است</w:t>
      </w:r>
      <w:r>
        <w:rPr>
          <w:rFonts w:eastAsia="IRNazanin" w:cs="IRNazanin"/>
          <w:color w:val="111111"/>
          <w:sz w:val="28"/>
          <w:szCs w:val="28"/>
          <w:rtl w:val="true"/>
          <w:lang w:bidi="fa-IR"/>
        </w:rPr>
        <w:t>.</w:t>
      </w:r>
    </w:p>
    <w:p>
      <w:pPr>
        <w:pStyle w:val="Heading5"/>
        <w:numPr>
          <w:ilvl w:val="4"/>
          <w:numId w:val="1"/>
        </w:numPr>
        <w:rPr/>
      </w:pPr>
      <w:bookmarkStart w:id="180" w:name="__RefHeading___Toc1438725_1479056682"/>
      <w:bookmarkStart w:id="181" w:name="_Toc71"/>
      <w:bookmarkEnd w:id="180"/>
      <w:r>
        <w:rPr>
          <w:rtl w:val="true"/>
        </w:rPr>
        <w:t>اجماع</w:t>
      </w:r>
      <w:bookmarkEnd w:id="181"/>
    </w:p>
    <w:p>
      <w:pPr>
        <w:pStyle w:val="BookText"/>
        <w:rPr/>
      </w:pPr>
      <w:r>
        <w:rPr>
          <w:rFonts w:ascii="IRNazanin" w:hAnsi="IRNazanin" w:eastAsia="IRNazanin"/>
          <w:color w:val="111111"/>
          <w:sz w:val="28"/>
          <w:sz w:val="28"/>
          <w:szCs w:val="28"/>
          <w:rtl w:val="true"/>
          <w:lang w:bidi="fa-IR"/>
        </w:rPr>
        <w:t xml:space="preserve">کلمه اجماع اگرچه در نزد همه مذاهب و فرق اسلامی به عنوان نوعی اتفاق‌نظر علما و دانشمندان و یا اکثریت جامعه درنظر گرفته شده، از دیدگاه اصولیّون و دانشمندان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اجماع، آن نوع اتفاق‌نظر علمی است که کاشف از قول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نَفْس شرکت کننده در اجماع نیز چندان معتبر نیست، زیرا اگر صد نفر از علما</w:t>
      </w:r>
    </w:p>
    <w:p>
      <w:pPr>
        <w:pStyle w:val="BookText"/>
        <w:rPr/>
      </w:pPr>
      <w:r>
        <w:rPr>
          <w:rFonts w:ascii="IRNazanin" w:hAnsi="IRNazanin" w:eastAsia="IRNazanin"/>
          <w:color w:val="111111"/>
          <w:sz w:val="28"/>
          <w:sz w:val="28"/>
          <w:szCs w:val="28"/>
          <w:rtl w:val="true"/>
          <w:lang w:bidi="fa-IR"/>
        </w:rPr>
        <w:t>در اجماع مداخله کنند، امّا نتیجه اجماع، کاشف از قول معصوم نباشد، فاقد اعتبار است</w:t>
      </w:r>
    </w:p>
    <w:p>
      <w:pPr>
        <w:pStyle w:val="BookText"/>
        <w:rPr/>
      </w:pPr>
      <w:r>
        <w:rPr>
          <w:rFonts w:ascii="IRNazanin" w:hAnsi="IRNazanin" w:eastAsia="IRNazanin"/>
          <w:color w:val="111111"/>
          <w:sz w:val="28"/>
          <w:sz w:val="28"/>
          <w:szCs w:val="28"/>
          <w:rtl w:val="true"/>
          <w:lang w:bidi="fa-IR"/>
        </w:rPr>
        <w:t>و اگر تعداد آنان کم حتّی دو نفر باشد، امّا کاشف از قول معصوم گردد، آن اجماع معتبر</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 که چگونه می‌توان به اجماع قطعی و صحیح که کاشف از قول معصوم</w:t>
      </w:r>
    </w:p>
    <w:p>
      <w:pPr>
        <w:pStyle w:val="BookText"/>
        <w:rPr/>
      </w:pPr>
      <w:r>
        <w:rPr>
          <w:rFonts w:ascii="IRNazanin" w:hAnsi="IRNazanin" w:eastAsia="IRNazanin"/>
          <w:color w:val="111111"/>
          <w:sz w:val="28"/>
          <w:sz w:val="28"/>
          <w:szCs w:val="28"/>
          <w:rtl w:val="true"/>
          <w:lang w:bidi="fa-IR"/>
        </w:rPr>
        <w:t>باشد دست یافت؟ هریک از اصولیّون به طرح مباحثی، اغلب مشترک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رضا مظفّر با تحلیل سخنان محقّق اسد اللّه تستری از بین دوازده راه مطرح شده،</w:t>
      </w:r>
    </w:p>
    <w:p>
      <w:pPr>
        <w:pStyle w:val="BookText"/>
        <w:rPr/>
      </w:pPr>
      <w:r>
        <w:rPr>
          <w:rFonts w:ascii="IRNazanin" w:hAnsi="IRNazanin" w:eastAsia="IRNazanin"/>
          <w:color w:val="111111"/>
          <w:sz w:val="28"/>
          <w:sz w:val="28"/>
          <w:szCs w:val="28"/>
          <w:rtl w:val="true"/>
          <w:lang w:bidi="fa-IR"/>
        </w:rPr>
        <w:t>چهار راه نهایی را پیشنهاد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اجماع از طریق حس یعنی آدمی خود به طور قطع و یقین حضور امام در جمع اجماع کنندگان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سخن،سیّد مرتضی علم الهدی می‌باشد که تحقّق آن در</w:t>
      </w:r>
    </w:p>
    <w:p>
      <w:pPr>
        <w:pStyle w:val="BookText"/>
        <w:rPr/>
      </w:pPr>
      <w:r>
        <w:rPr>
          <w:rFonts w:ascii="IRNazanin" w:hAnsi="IRNazanin" w:eastAsia="IRNazanin"/>
          <w:color w:val="111111"/>
          <w:sz w:val="28"/>
          <w:sz w:val="28"/>
          <w:szCs w:val="28"/>
          <w:rtl w:val="true"/>
          <w:lang w:bidi="fa-IR"/>
        </w:rPr>
        <w:t xml:space="preserve">زمان غیبت بسیار نادر است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قاعده لطف، همان گونه که نصب امام لطف است، دانشمندان امامیّه اعتقاد دارند امام بر اساس قاعده، لطف، آن جا که لازم است، هنگام اختلاف‌نظر مسلمانان، حکم حق را در بین مردم منتشر می‌سازد، اگر غیر از این باشد، موجب اسقاط تکلیف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با چنین تفکّری به اهمّیت و حجّیت اجماع می‌نگرد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 حدس، یکی دیگر از طرق شناسایی اجماع آن است که فقیه و مفسّر به طور قطع، یقین حاصل کند هر چه آرا و عقاید از طریق دانشمندان امامیّه به دست او رسیده است، در واقع، از جانب امام و رئیس مذهب است که دست به دست به مسلمانان انتقال یافته است، این اتفاق‌نظر به معنی نفی اختلاف در دیگر مسائل تئوریک دین نیست، بلکه می‌توان چنین فرض کرد که دانشمندان در مسائلی چند دچار اختلاف‌نظر باشند، امّا در موردی خاص به وحدت‌نظر و اتفاق آرا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کاشف از قول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باشند، و اگر چنین باشد، دارای حجّیت و اعتبار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اصولیّون و دانشمندان متأخّر</w:t>
      </w:r>
    </w:p>
    <w:p>
      <w:pPr>
        <w:pStyle w:val="BookText"/>
        <w:rPr/>
      </w:pPr>
      <w:r>
        <w:rPr>
          <w:rFonts w:ascii="IRNazanin" w:hAnsi="IRNazanin" w:eastAsia="IRNazanin"/>
          <w:color w:val="111111"/>
          <w:sz w:val="28"/>
          <w:sz w:val="28"/>
          <w:szCs w:val="28"/>
          <w:rtl w:val="true"/>
          <w:lang w:bidi="fa-IR"/>
        </w:rPr>
        <w:t>این روش را در تحصیل و استنباط احکام شرعی و آرای دینی دنبال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تقریر، و آن روشی است که در آن رأی اتفاقی که حاصل گفت و گوها و تبادل نظر دانشمندان بوده در محضر امام بیان شود و امام صحّت آن را به گونه‌ای تقریر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w:t>
      </w:r>
    </w:p>
    <w:p>
      <w:pPr>
        <w:pStyle w:val="BookText"/>
        <w:rPr/>
      </w:pPr>
      <w:r>
        <w:rPr>
          <w:rFonts w:ascii="IRNazanin" w:hAnsi="IRNazanin" w:eastAsia="IRNazanin"/>
          <w:color w:val="111111"/>
          <w:sz w:val="28"/>
          <w:sz w:val="28"/>
          <w:szCs w:val="28"/>
          <w:rtl w:val="true"/>
          <w:lang w:bidi="fa-IR"/>
        </w:rPr>
        <w:t xml:space="preserve">صحّت این طریق، آن است که تمام شروط لازم در صحّت تقریر حاصل گردد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اصولیّون، اجماع را به دو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کرده‌اند، مقصود آنان از اجماع محصّل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نامگذاری آن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شخص فقیه و مفسّر، با تحقیق در سخنان و مناظرات و اقوالِ اهل فتوا، نتیجه اجماع را به دست آورد و آن اجماعی است که به یکی از روشهای چهارگانه فوق حاصل می‌شود، و نیز مقصود از اجماع منقول، آن است که، نَه از طریق تحصیل شخص فقیه و مفسّر بلکه از طریق نقل، پی به اجماع برده باشد و آن موقعی است که فرد یا افرادی که اجماع برای آنان حاصل</w:t>
      </w:r>
    </w:p>
    <w:p>
      <w:pPr>
        <w:pStyle w:val="BookText"/>
        <w:rPr/>
      </w:pPr>
      <w:r>
        <w:rPr>
          <w:rFonts w:ascii="IRNazanin" w:hAnsi="IRNazanin" w:eastAsia="IRNazanin"/>
          <w:color w:val="111111"/>
          <w:sz w:val="28"/>
          <w:sz w:val="28"/>
          <w:szCs w:val="28"/>
          <w:rtl w:val="true"/>
          <w:lang w:bidi="fa-IR"/>
        </w:rPr>
        <w:t>شده، نتیجه اجماع و یا خبر اجماع و ماهیت آن را برای فقیه و مفسّر و یا شخصی دیگر نقل کند و شخص دوم نیز به آن اعتماد ورزد و آن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تفاوتی در آن نیست که نقل</w:t>
      </w:r>
    </w:p>
    <w:p>
      <w:pPr>
        <w:pStyle w:val="BookText"/>
        <w:rPr/>
      </w:pPr>
      <w:r>
        <w:rPr>
          <w:rFonts w:ascii="IRNazanin" w:hAnsi="IRNazanin" w:eastAsia="IRNazanin"/>
          <w:color w:val="111111"/>
          <w:sz w:val="28"/>
          <w:sz w:val="28"/>
          <w:szCs w:val="28"/>
          <w:rtl w:val="true"/>
          <w:lang w:bidi="fa-IR"/>
        </w:rPr>
        <w:t>اجماع به وسیله یک نفر یا چند نفر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محمّدرضا مظفّر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 گاه در حدّ خبر متواتر یقین‌آور است و گاه به منزله خبر واحد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وی هرگاه در گفت و گوها و آثار علمی اصولیین</w:t>
      </w:r>
    </w:p>
    <w:p>
      <w:pPr>
        <w:pStyle w:val="BookText"/>
        <w:rPr/>
      </w:pPr>
      <w:r>
        <w:rPr>
          <w:rFonts w:ascii="IRNazanin" w:hAnsi="IRNazanin" w:eastAsia="IRNazanin"/>
          <w:color w:val="111111"/>
          <w:sz w:val="28"/>
          <w:sz w:val="28"/>
          <w:szCs w:val="28"/>
          <w:rtl w:val="true"/>
          <w:lang w:bidi="fa-IR"/>
        </w:rPr>
        <w:t xml:space="preserve">سخن از اجماع منقول به میان می‌آید، منظور، نوع دوم است که به منزله خبر واحد می‌باشد </w:t>
      </w:r>
      <w:r>
        <w:rPr>
          <w:rStyle w:val="FootnoteAnchor"/>
          <w:rtl w:val="true"/>
        </w:rPr>
        <w:footnoteReference w:id="153"/>
      </w:r>
      <w:r>
        <w:rPr>
          <w:rFonts w:ascii="IRNazanin" w:hAnsi="IRNazanin" w:eastAsia="IRNazanin"/>
          <w:color w:val="111111"/>
          <w:sz w:val="28"/>
          <w:sz w:val="28"/>
          <w:szCs w:val="28"/>
          <w:rtl w:val="true"/>
          <w:lang w:bidi="fa-IR"/>
        </w:rPr>
        <w:t>، وقتی چنین باشد، آن گاه اختلاف نظری که بین محدّثین و اصولیین در حجّیت خبر واحد یا عدم حجّت آن مطرح بود، در این جا نیز ظاهر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نهاوندی در تفسیر نفحات الرّحمن، اجماعی را که موافق با رأی امام معص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باشد، حجّت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أُمَّةٍ أُخْرِجَتْ لِلنَّاسِ</w:t>
      </w:r>
      <w:r>
        <w:rPr>
          <w:rFonts w:eastAsia="Amiri" w:cs="Amiri" w:ascii="Amiri" w:hAnsi="Amiri"/>
          <w:color w:val="111111"/>
          <w:sz w:val="28"/>
          <w:szCs w:val="28"/>
          <w:rtl w:val="true"/>
          <w:lang w:bidi="ar-SA"/>
        </w:rPr>
        <w:t>... »</w:t>
      </w:r>
      <w:r>
        <w:rPr>
          <w:rStyle w:val="FootnoteAnchor"/>
          <w:rtl w:val="true"/>
        </w:rPr>
        <w:footnoteReference w:id="154"/>
      </w:r>
      <w:r>
        <w:rPr>
          <w:rFonts w:ascii="IRNazanin" w:hAnsi="IRNazanin" w:eastAsia="IRNazanin"/>
          <w:color w:val="111111"/>
          <w:sz w:val="28"/>
          <w:sz w:val="28"/>
          <w:szCs w:val="28"/>
          <w:rtl w:val="true"/>
          <w:lang w:bidi="fa-IR"/>
        </w:rPr>
        <w:t>به تحصیل و ردّ سخن آن دسته مفسّران و دانشمندان عامّه که رأی امّت را عین صواب و به دور از خطا و لغزش</w:t>
      </w:r>
    </w:p>
    <w:p>
      <w:pPr>
        <w:pStyle w:val="BookText"/>
        <w:rPr/>
      </w:pPr>
      <w:r>
        <w:rPr>
          <w:rFonts w:ascii="IRNazanin" w:hAnsi="IRNazanin" w:eastAsia="IRNazanin"/>
          <w:color w:val="111111"/>
          <w:sz w:val="28"/>
          <w:sz w:val="28"/>
          <w:szCs w:val="28"/>
          <w:rtl w:val="true"/>
          <w:lang w:bidi="fa-IR"/>
        </w:rPr>
        <w:t>می‌دانند،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آیه فوق هیچ‌گونه دلالتی بر مصونیت رأی امّت از</w:t>
      </w:r>
    </w:p>
    <w:p>
      <w:pPr>
        <w:pStyle w:val="BookText"/>
        <w:rPr/>
      </w:pPr>
      <w:r>
        <w:rPr>
          <w:rFonts w:ascii="IRNazanin" w:hAnsi="IRNazanin" w:eastAsia="IRNazanin"/>
          <w:color w:val="111111"/>
          <w:sz w:val="28"/>
          <w:sz w:val="28"/>
          <w:szCs w:val="28"/>
          <w:rtl w:val="true"/>
          <w:lang w:bidi="fa-IR"/>
        </w:rPr>
        <w:t>خطا و نقص ندارد، و اگر مقصود اهل تسنّن و اشخاصی مثل فخر رازی از امّت در آیه فوق، تمام افراد امّت باشد، همان گونه که در ظاهر لفظ پیداست، علمای امامیّه نیز چنین</w:t>
      </w:r>
    </w:p>
    <w:p>
      <w:pPr>
        <w:pStyle w:val="BookText"/>
        <w:rPr/>
      </w:pPr>
      <w:r>
        <w:rPr>
          <w:rFonts w:ascii="IRNazanin" w:hAnsi="IRNazanin" w:eastAsia="IRNazanin"/>
          <w:color w:val="111111"/>
          <w:sz w:val="28"/>
          <w:sz w:val="28"/>
          <w:szCs w:val="28"/>
          <w:rtl w:val="true"/>
          <w:lang w:bidi="fa-IR"/>
        </w:rPr>
        <w:t>اعتقادی دارند، زیرا ایمان داریم که امام معصوم علیه‌السلام نیز به عنوان فردی از امّت اسلام در آن اتفاق‌نظر شرکت دارد و او افضل از همه افراد امّت است و به همین اعتبار است که رأی چنین امّتی قابل پذیرش بوده و حجّیت شرعی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مقصود فقها و مفسّران اهل تسنّن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اتفاق‌نظر بخشی از افراد امّت اسلام است، ما این مطلب را با ائمّه</w:t>
      </w:r>
    </w:p>
    <w:p>
      <w:pPr>
        <w:pStyle w:val="BookText"/>
        <w:rPr/>
      </w:pPr>
      <w:r>
        <w:rPr>
          <w:rFonts w:ascii="IRNazanin" w:hAnsi="IRNazanin" w:eastAsia="IRNazanin"/>
          <w:color w:val="111111"/>
          <w:sz w:val="28"/>
          <w:sz w:val="28"/>
          <w:szCs w:val="28"/>
          <w:rtl w:val="true"/>
          <w:lang w:bidi="fa-IR"/>
        </w:rPr>
        <w:t xml:space="preserve">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بخشی از امّت اسلام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می‌دهیم، در این صورت چنین اجماعی نیز دارای حجّیت شرعی است، زیرا خداوند، وجود شریف آنان را از هرگونه خطا و آلودگی و نقص پاک کرده و آنچه آنان گویند، عین حق و واقع خواهد بود، و</w:t>
      </w:r>
    </w:p>
    <w:p>
      <w:pPr>
        <w:pStyle w:val="BookText"/>
        <w:rPr/>
      </w:pPr>
      <w:r>
        <w:rPr>
          <w:rFonts w:ascii="IRNazanin" w:hAnsi="IRNazanin" w:eastAsia="IRNazanin"/>
          <w:color w:val="111111"/>
          <w:sz w:val="28"/>
          <w:sz w:val="28"/>
          <w:szCs w:val="28"/>
          <w:rtl w:val="true"/>
          <w:lang w:bidi="fa-IR"/>
        </w:rPr>
        <w:t>پیامبر صلی‌الله‌علیه‌و‌آله نیز در حقّ این بخش از امّت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 حبل اللّه وأوجب حبّهم وولایتهم أولی من ارادة غیرهم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پس از انکار درستی سخن فخر رازی و دیگر مفسّران و اصولیین عامّه در صحّت اجماع امّت یا بخشی از امّت در نتیجه‌گیری نهایی خویش، علاوه بر آن که ملاک</w:t>
      </w:r>
    </w:p>
    <w:p>
      <w:pPr>
        <w:pStyle w:val="BookText"/>
        <w:rPr/>
      </w:pPr>
      <w:r>
        <w:rPr>
          <w:rFonts w:ascii="IRNazanin" w:hAnsi="IRNazanin" w:eastAsia="IRNazanin"/>
          <w:color w:val="111111"/>
          <w:sz w:val="28"/>
          <w:sz w:val="28"/>
          <w:szCs w:val="28"/>
          <w:rtl w:val="true"/>
          <w:lang w:bidi="fa-IR"/>
        </w:rPr>
        <w:t xml:space="preserve">صحّت اجماع از دیدگاه امامیّه را توضیح می‌دهد،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فوق را</w:t>
      </w:r>
    </w:p>
    <w:p>
      <w:pPr>
        <w:pStyle w:val="BookText"/>
        <w:rPr/>
      </w:pPr>
      <w:r>
        <w:rPr>
          <w:rFonts w:ascii="IRNazanin" w:hAnsi="IRNazanin" w:eastAsia="IRNazanin"/>
          <w:color w:val="111111"/>
          <w:sz w:val="28"/>
          <w:sz w:val="28"/>
          <w:szCs w:val="28"/>
          <w:rtl w:val="true"/>
          <w:lang w:bidi="fa-IR"/>
        </w:rPr>
        <w:t xml:space="preserve">وجود شریف ائمّه اهل بیت علیهم‌السلام می‌داند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با برخورداری از چنین نگرشی نسبت به اتفاق‌نظر امّت و نیز اجماع منقول، گاه در تفسیر آیات قرآن به دلیل اجماع تمسّک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اتّفقت الاُمّة من الخاصّة والعامّة وتظافرت بل تواترت نصوصهم علی انّ الکتاب</w:t>
      </w:r>
    </w:p>
    <w:p>
      <w:pPr>
        <w:pStyle w:val="BookText"/>
        <w:rPr/>
      </w:pPr>
      <w:r>
        <w:rPr>
          <w:rFonts w:ascii="IRNazanin" w:hAnsi="IRNazanin" w:eastAsia="IRNazanin"/>
          <w:color w:val="111111"/>
          <w:sz w:val="28"/>
          <w:sz w:val="28"/>
          <w:szCs w:val="28"/>
          <w:rtl w:val="true"/>
          <w:lang w:bidi="fa-IR"/>
        </w:rPr>
        <w:t>العزیز نزل أوّلاً فی لیلة القدر مجموعا من اللّوح المحفوظ إلی البیت المعمور الّذی یکون فی السّماء الرّابعة أو إلی البیت العزّة فی سماء الدُّنیا إلی السفرة الکرام البررة ثمّ نزل به جبرئیل نجوما علی خاتم النبیّین صلی‌الله‌علیه‌و‌آله</w:t>
      </w:r>
      <w:r>
        <w:rPr>
          <w:rFonts w:eastAsia="IRNazanin" w:cs="IRNazanin"/>
          <w:color w:val="111111"/>
          <w:sz w:val="28"/>
          <w:szCs w:val="28"/>
          <w:rtl w:val="true"/>
          <w:lang w:bidi="fa-IR"/>
        </w:rPr>
        <w:t xml:space="preserve">... »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ذیل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أَفَإِن مَاتَ أَوْ قُتِلَ انقَلَبْتُمْ عَلَی أَعْقَابِکُمْ</w:t>
      </w:r>
      <w:r>
        <w:rPr>
          <w:rFonts w:eastAsia="Amiri" w:cs="Amiri" w:ascii="Amiri" w:hAnsi="Amiri"/>
          <w:color w:val="111111"/>
          <w:sz w:val="28"/>
          <w:szCs w:val="28"/>
          <w:rtl w:val="true"/>
          <w:lang w:bidi="ar-SA"/>
        </w:rPr>
        <w:t>... »</w:t>
      </w:r>
      <w:r>
        <w:rPr>
          <w:rStyle w:val="FootnoteAnchor"/>
          <w:rtl w:val="true"/>
        </w:rPr>
        <w:footnoteReference w:id="157"/>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انّه قد اتّفقت العامّة والخاصّة علی انّ عمر کان من الفارّین من الزحف المتولین الدُّبر</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182" w:name="pg4391_50975"/>
    </w:p>
    <w:p>
      <w:pPr>
        <w:pStyle w:val="Heading4"/>
        <w:numPr>
          <w:ilvl w:val="3"/>
          <w:numId w:val="1"/>
        </w:numPr>
        <w:rPr/>
      </w:pPr>
      <w:bookmarkStart w:id="183" w:name="__RefHeading___Toc1438727_1479056682"/>
      <w:bookmarkStart w:id="184" w:name="_Toc72"/>
      <w:bookmarkEnd w:id="182"/>
      <w:bookmarkEnd w:id="183"/>
      <w:r>
        <w:rPr>
          <w:rtl w:val="true"/>
        </w:rPr>
        <w:t xml:space="preserve">فصل پنجم </w:t>
      </w:r>
      <w:r>
        <w:rPr>
          <w:rtl w:val="true"/>
        </w:rPr>
        <w:t xml:space="preserve">- </w:t>
      </w:r>
      <w:r>
        <w:rPr>
          <w:rtl w:val="true"/>
        </w:rPr>
        <w:t>کتاب‌شناسی تفسیر نفحات الرّحمن</w:t>
      </w:r>
      <w:bookmarkEnd w:id="184"/>
    </w:p>
    <w:p>
      <w:pPr>
        <w:pStyle w:val="Heading5"/>
        <w:numPr>
          <w:ilvl w:val="4"/>
          <w:numId w:val="1"/>
        </w:numPr>
        <w:rPr/>
      </w:pPr>
      <w:bookmarkStart w:id="185" w:name="__RefHeading___Toc1438729_1479056682"/>
      <w:bookmarkStart w:id="186" w:name="_Toc73"/>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مفسّر در تألیف کتاب ارزشمند و مبسوط نفحات الرّحمن از منابع و مصادر مختلف، مطالب را اقتباس، تلخیص و یا نقل مستقیم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انتهای مقدمه جلد نخست تفسیر به نُه مورد از این منابع و مصادر اشاره کرده است، امّا نظر به تعدّد و تنوّع مآخذ</w:t>
      </w:r>
    </w:p>
    <w:p>
      <w:pPr>
        <w:pStyle w:val="BookText"/>
        <w:rPr/>
      </w:pPr>
      <w:r>
        <w:rPr>
          <w:rFonts w:ascii="IRNazanin" w:hAnsi="IRNazanin" w:eastAsia="IRNazanin"/>
          <w:color w:val="111111"/>
          <w:sz w:val="28"/>
          <w:sz w:val="28"/>
          <w:szCs w:val="28"/>
          <w:rtl w:val="true"/>
          <w:lang w:bidi="fa-IR"/>
        </w:rPr>
        <w:t>مورد رجوع مفسّر و به منظور شناخت کامل عناصر تشکیل‌دهنده این تفسیر، تحقیقی در سرتاسر نفحات الرّحمن به عمل آمد و در نهایت اشارات مفسّر در جای جای کتاب به</w:t>
      </w:r>
    </w:p>
    <w:p>
      <w:pPr>
        <w:pStyle w:val="BookText"/>
        <w:rPr/>
      </w:pPr>
      <w:r>
        <w:rPr>
          <w:rFonts w:ascii="IRNazanin" w:hAnsi="IRNazanin" w:eastAsia="IRNazanin"/>
          <w:color w:val="111111"/>
          <w:sz w:val="28"/>
          <w:sz w:val="28"/>
          <w:szCs w:val="28"/>
          <w:rtl w:val="true"/>
          <w:lang w:bidi="fa-IR"/>
        </w:rPr>
        <w:t>منابع و مصادر معرّفی شده در زیر، محرز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معرّفی اجمالی مصادر و منابع تفسیری نفحات الرّحمن، یا کتاب‌شناسی این تفسیر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جوامع الجامع، ابو علی فضل بن حسن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 سیّد محمّدباقر 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کتاب أسرار التنزیل، شیخ بهائی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الصافی فی تفسیر القرآن، فیض 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مفاتیح الغیب، فخرالدین 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الإتقان فی علوم القرآن، جلال الدین عبدالرّحمن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التنزیل وأسرار التأویل، بیضاوی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روح البیان، اسماعیل حقی بروسوی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تفصیل وسائل الشیعه، شیخ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مستدرک الصحیحین، حاکم نیشابوری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فهم السنن، حارث محاسبی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الصحیح، ابو عبداللّه محمّد بخاری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اُصول الکافی، ابو جعفر محمّد بن یعقوب 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قرطبی، محمّد بن کعب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 طبرسی، احمد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ابو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 فی تفسیر القرآن، ابو جعفر محمّد بن حسن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اعتقاداتنا،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الغطاء، شیخ جعفر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وافیه، مقدس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عن حقایق التنزیل وعیون الأقاویل فی وجوه التأویل، محمود 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العیاشی، محمّد بن مسعود بن عیاش سلمی سمرقندی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تهذیب الأحکام، شیخ محمّد بن حسن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احیاء العلوم الدینیه، امام محمّد غزالی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حلّیة الأولیاء، ابو نعیم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سُلیم بن قیس هلالی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سیّد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مناقب العلماء، ابن شهرآشوب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الاصابة فی تمییز الصحابه، ابن حجر عسقلانی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مصائب النواصب، قاضی نوراللّه شوشتری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 ، شیخ صدوق</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 و اتمام النعمه، شیخ صدوق</w:t>
      </w:r>
      <w:r>
        <w:rPr>
          <w:rFonts w:eastAsia="IRNazanin" w:cs="IRNazanin"/>
          <w:color w:val="111111"/>
          <w:sz w:val="28"/>
          <w:szCs w:val="28"/>
          <w:rtl w:val="true"/>
          <w:lang w:bidi="fa-IR"/>
        </w:rPr>
        <w:t>.</w:t>
      </w:r>
      <w:bookmarkStart w:id="187" w:name="pg4391_50977"/>
    </w:p>
    <w:p>
      <w:pPr>
        <w:pStyle w:val="BookText"/>
        <w:rPr/>
      </w:pPr>
      <w:bookmarkEnd w:id="187"/>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منسوب به امام حسن عسکری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علل الشرایع، محقّق حلّی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الخصال،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ثواب الأعمال و عقاب الأعمال،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الأخبار،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 شیخ صدوق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وسائل الشیعه، شیخ حرّ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الشریعه، که در آن احادیثی از امام صادق علیه‌السلامو دیگران، گردآوری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المتعلّمین، علاّمه حلّی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الحق، علاّمه حلّی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الجواهر الحسان فی تفسیر القرآن، عبدالرّحمان بن محمّد بن مخلوف ثعالبی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احقاق الحق، قاضی نور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کنز العرفان فی فقه القرآن، فاضل مقداد سیوری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ابن ابی الحدید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انجیل یوحنا، ترجمه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علیّ بن ابراهیم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لعلوم القرآن، فضل بن حسن طبرسی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لا یحضره الفقیه، شیخ صدوق</w:t>
      </w:r>
      <w:r>
        <w:rPr>
          <w:rFonts w:eastAsia="IRNazanin" w:cs="IRNazanin"/>
          <w:color w:val="111111"/>
          <w:sz w:val="28"/>
          <w:szCs w:val="28"/>
          <w:rtl w:val="true"/>
          <w:lang w:bidi="fa-IR"/>
        </w:rPr>
        <w:t>.</w:t>
      </w:r>
    </w:p>
    <w:p>
      <w:pPr>
        <w:pStyle w:val="Heading5"/>
        <w:numPr>
          <w:ilvl w:val="4"/>
          <w:numId w:val="1"/>
        </w:numPr>
        <w:rPr/>
      </w:pPr>
      <w:bookmarkStart w:id="188" w:name="__RefHeading___Toc1438731_1479056682"/>
      <w:bookmarkStart w:id="189" w:name="_Toc74"/>
      <w:bookmarkEnd w:id="188"/>
      <w:r>
        <w:rPr>
          <w:rtl w:val="true"/>
        </w:rPr>
        <w:t>تحلیل کتاب‌شناسی</w:t>
      </w:r>
      <w:bookmarkEnd w:id="189"/>
    </w:p>
    <w:p>
      <w:pPr>
        <w:pStyle w:val="BookText"/>
        <w:rPr/>
      </w:pPr>
      <w:r>
        <w:rPr>
          <w:rFonts w:ascii="IRNazanin" w:hAnsi="IRNazanin" w:eastAsia="IRNazanin"/>
          <w:color w:val="111111"/>
          <w:sz w:val="28"/>
          <w:sz w:val="28"/>
          <w:szCs w:val="28"/>
          <w:rtl w:val="true"/>
          <w:lang w:bidi="fa-IR"/>
        </w:rPr>
        <w:t>نهاوندی در استشهادات روایی خود به منابع درجه اوّل حدیثی شیعه و اهل تسنّن مراجعه کرده است، به ویژه در استنادات شیعی خویش، تمام کتب روایی شیخ صدوق را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 نظر داشته و از کتب اربعه، بهره کافی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مواقع ضرور به منابع روایی اهل تسنّن چون صحاح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سنن ترمذی و ابن 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استنادات روایی وی دیده می‌شود، آن است که در برخی موارد،</w:t>
      </w:r>
    </w:p>
    <w:p>
      <w:pPr>
        <w:pStyle w:val="BookText"/>
        <w:rPr/>
      </w:pPr>
      <w:r>
        <w:rPr>
          <w:rFonts w:ascii="IRNazanin" w:hAnsi="IRNazanin" w:eastAsia="IRNazanin"/>
          <w:color w:val="111111"/>
          <w:sz w:val="28"/>
          <w:sz w:val="28"/>
          <w:szCs w:val="28"/>
          <w:rtl w:val="true"/>
          <w:lang w:bidi="fa-IR"/>
        </w:rPr>
        <w:t>علی رغم وجود روایت خاصّی در مصادر روایی شیعی، آن را از مآخذ روایی اهل تسنّن نقل کرده که به پاره‌ای از این موارد در قسمت تحلیل منابع روایی مفسّر اشاره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گسترده از منابع حدیثی، جلوه و صبغه روایی تفسیر نفحات الرّحمن را کاملاً واضح و آشکار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ارجاعات نادر مفسّر به منابع کلامی و فلسفی، صبغه کلامی تفسیر را کم‌رنگ ساخته، اگرچه هرجا احساس ضرورت کرده به ارائه مباحث کافی و راهگشای کلامی و عرفانی پرداخته است</w:t>
      </w:r>
      <w:r>
        <w:rPr>
          <w:rFonts w:eastAsia="IRNazanin" w:cs="IRNazanin"/>
          <w:color w:val="111111"/>
          <w:sz w:val="28"/>
          <w:szCs w:val="28"/>
          <w:rtl w:val="true"/>
          <w:lang w:bidi="fa-IR"/>
        </w:rPr>
        <w:t>.</w:t>
      </w:r>
      <w:bookmarkStart w:id="190" w:name="pg4391_50979"/>
    </w:p>
    <w:p>
      <w:pPr>
        <w:pStyle w:val="Heading3"/>
        <w:numPr>
          <w:ilvl w:val="2"/>
          <w:numId w:val="1"/>
        </w:numPr>
        <w:rPr/>
      </w:pPr>
      <w:bookmarkStart w:id="191" w:name="__RefHeading___Toc1438733_1479056682"/>
      <w:bookmarkStart w:id="192" w:name="_Toc75"/>
      <w:bookmarkEnd w:id="190"/>
      <w:bookmarkEnd w:id="191"/>
      <w:r>
        <w:rPr>
          <w:rtl w:val="true"/>
        </w:rPr>
        <w:t>باب دوم</w:t>
      </w:r>
      <w:r>
        <w:rPr>
          <w:rtl w:val="true"/>
        </w:rPr>
        <w:t xml:space="preserve">: </w:t>
      </w:r>
      <w:r>
        <w:rPr>
          <w:rtl w:val="true"/>
        </w:rPr>
        <w:t>تاریخ و حقّانیت قرآن در نفحات الرّحمن فی تفسیر القرآن</w:t>
      </w:r>
      <w:bookmarkEnd w:id="192"/>
    </w:p>
    <w:p>
      <w:pPr>
        <w:pStyle w:val="Heading4"/>
        <w:numPr>
          <w:ilvl w:val="3"/>
          <w:numId w:val="1"/>
        </w:numPr>
        <w:rPr/>
      </w:pPr>
      <w:bookmarkStart w:id="193" w:name="__RefHeading___Toc1438735_1479056682"/>
      <w:bookmarkStart w:id="194" w:name="_Toc76"/>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باب دوم</w:t>
      </w:r>
    </w:p>
    <w:p>
      <w:pPr>
        <w:pStyle w:val="BookText"/>
        <w:rPr/>
      </w:pPr>
      <w:r>
        <w:rPr>
          <w:rFonts w:ascii="IRNazanin" w:hAnsi="IRNazanin" w:eastAsia="IRNazanin"/>
          <w:color w:val="111111"/>
          <w:sz w:val="28"/>
          <w:sz w:val="28"/>
          <w:szCs w:val="28"/>
          <w:rtl w:val="true"/>
          <w:lang w:bidi="fa-IR"/>
        </w:rPr>
        <w:t>تاریخ و حقّانیت قرآن</w:t>
      </w:r>
    </w:p>
    <w:p>
      <w:pPr>
        <w:pStyle w:val="BookText"/>
        <w:rPr/>
      </w:pPr>
      <w:r>
        <w:rPr>
          <w:rFonts w:ascii="IRNazanin" w:hAnsi="IRNazanin" w:eastAsia="IRNazanin"/>
          <w:color w:val="111111"/>
          <w:sz w:val="28"/>
          <w:sz w:val="28"/>
          <w:szCs w:val="28"/>
          <w:rtl w:val="true"/>
          <w:lang w:bidi="fa-IR"/>
        </w:rPr>
        <w:t>در نفحات الرّحمن فی تفسیر القرآن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تاریخ قرآن از نگاه نهاوندی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حقّانیت قرآن از نگاه نهاوندی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صفات و ویژگی‌های قرآن از نگاه نهاوندی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آیه بودن بسمله از نگاه نهاوندی</w:t>
      </w:r>
      <w:bookmarkStart w:id="195" w:name="pg4391_50981"/>
    </w:p>
    <w:p>
      <w:pPr>
        <w:pStyle w:val="Heading4"/>
        <w:numPr>
          <w:ilvl w:val="3"/>
          <w:numId w:val="1"/>
        </w:numPr>
        <w:rPr/>
      </w:pPr>
      <w:bookmarkStart w:id="196" w:name="__RefHeading___Toc1438737_1479056682"/>
      <w:bookmarkStart w:id="197" w:name="_Toc77"/>
      <w:bookmarkEnd w:id="195"/>
      <w:bookmarkEnd w:id="196"/>
      <w:r>
        <w:rPr>
          <w:rtl w:val="true"/>
        </w:rPr>
        <w:t xml:space="preserve">فصل ششم </w:t>
      </w:r>
      <w:r>
        <w:rPr>
          <w:rtl w:val="true"/>
        </w:rPr>
        <w:t xml:space="preserve">- </w:t>
      </w:r>
      <w:r>
        <w:rPr>
          <w:rtl w:val="true"/>
        </w:rPr>
        <w:t>بررسی تاریخ قرآن از نگاه نهاوندی</w:t>
      </w:r>
      <w:bookmarkEnd w:id="197"/>
    </w:p>
    <w:p>
      <w:pPr>
        <w:pStyle w:val="Heading5"/>
        <w:numPr>
          <w:ilvl w:val="4"/>
          <w:numId w:val="1"/>
        </w:numPr>
        <w:rPr/>
      </w:pPr>
      <w:bookmarkStart w:id="198" w:name="__RefHeading___Toc1438739_1479056682"/>
      <w:bookmarkStart w:id="199" w:name="_Toc78"/>
      <w:bookmarkEnd w:id="198"/>
      <w:r>
        <w:rPr>
          <w:rtl w:val="true"/>
        </w:rPr>
        <w:t>نزول قرآن</w:t>
      </w:r>
      <w:bookmarkEnd w:id="199"/>
    </w:p>
    <w:p>
      <w:pPr>
        <w:pStyle w:val="Heading6"/>
        <w:numPr>
          <w:ilvl w:val="5"/>
          <w:numId w:val="1"/>
        </w:numPr>
        <w:rPr/>
      </w:pPr>
      <w:bookmarkStart w:id="200" w:name="__RefHeading___Toc1438741_1479056682"/>
      <w:bookmarkStart w:id="201" w:name="_Toc79"/>
      <w:bookmarkEnd w:id="200"/>
      <w:r>
        <w:rPr>
          <w:rtl w:val="true"/>
        </w:rPr>
        <w:t>اشاره</w:t>
      </w:r>
      <w:bookmarkEnd w:id="201"/>
    </w:p>
    <w:p>
      <w:pPr>
        <w:pStyle w:val="BookText"/>
        <w:rPr/>
      </w:pPr>
      <w:r>
        <w:rPr>
          <w:rFonts w:ascii="IRNazanin" w:hAnsi="IRNazanin" w:eastAsia="IRNazanin"/>
          <w:color w:val="111111"/>
          <w:sz w:val="28"/>
          <w:sz w:val="28"/>
          <w:szCs w:val="28"/>
          <w:rtl w:val="true"/>
          <w:lang w:bidi="fa-IR"/>
        </w:rPr>
        <w:t xml:space="preserve">قرآن دارای دو نزول بوده است نزول اوّل، از لوح محفوظ به بیت معمور که در آسمان چهارم واقع شده و یا به بیت العزّة که در آسمان دنیا قرار گرفته، در این نزول قرآن به طور کامل و یکجا توسط سفیران کریم حامل وحی نازل گشته و از آن جا به بعد توسط جبرئیل امین در طول بیست و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پیامبر فرستاده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تدریجی که لطف خداوند در حق مؤمنان بود و فوایدی داشت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 و شوق مؤمنان در دریافت آیات افزایش می‌یافت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رعایت مناسبات و اسباب و وقایع خارجی را که آیات از پی آن نازل می‌شد به دنبال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معارضات کافران با مسلمانان و شبهه پراکنی آنان پاسخ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امکان حفظ و فهم آیات وعمل به مضامین آن را توسط ایمان آورندگان ساده‌تر</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می‌ساخت</w:t>
      </w:r>
      <w:r>
        <w:rPr>
          <w:rFonts w:eastAsia="IRNazanin" w:cs="IRNazanin"/>
          <w:color w:val="111111"/>
          <w:sz w:val="28"/>
          <w:szCs w:val="28"/>
          <w:rtl w:val="true"/>
          <w:lang w:bidi="fa-IR"/>
        </w:rPr>
        <w:t>.</w:t>
      </w:r>
      <w:bookmarkStart w:id="202" w:name="pg4391_50982"/>
    </w:p>
    <w:p>
      <w:pPr>
        <w:pStyle w:val="Heading6"/>
        <w:numPr>
          <w:ilvl w:val="5"/>
          <w:numId w:val="1"/>
        </w:numPr>
        <w:rPr/>
      </w:pPr>
      <w:bookmarkStart w:id="203" w:name="__RefHeading___Toc1438743_1479056682"/>
      <w:bookmarkStart w:id="204" w:name="_Toc80"/>
      <w:bookmarkEnd w:id="202"/>
      <w:bookmarkEnd w:id="203"/>
      <w:r>
        <w:rPr/>
        <w:t>1</w:t>
      </w:r>
      <w:r>
        <w:rPr>
          <w:rtl w:val="true"/>
        </w:rPr>
        <w:t xml:space="preserve"> - </w:t>
      </w:r>
      <w:r>
        <w:rPr>
          <w:rtl w:val="true"/>
        </w:rPr>
        <w:t>جمع و تدوین قرآن</w:t>
      </w:r>
      <w:bookmarkEnd w:id="204"/>
    </w:p>
    <w:p>
      <w:pPr>
        <w:pStyle w:val="BookText"/>
        <w:rPr/>
      </w:pPr>
      <w:r>
        <w:rPr>
          <w:rFonts w:ascii="IRNazanin" w:hAnsi="IRNazanin" w:eastAsia="IRNazanin"/>
          <w:color w:val="111111"/>
          <w:sz w:val="28"/>
          <w:sz w:val="28"/>
          <w:szCs w:val="28"/>
          <w:rtl w:val="true"/>
          <w:lang w:bidi="fa-IR"/>
        </w:rPr>
        <w:t>اگر چه آرای دانشمندان قرآن پژوه و مفسران، اعم از عامّه و خاصه، پیرامون چگونگی جمع و تدوین قرآن و تعداد و دفعات آن و نیز گردآورندگان و انگیزه و مقصودشان از جمع قرآن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تلاش می‌کند از تلفیق روایات مقبول و مشترک عامّه و خاصّه به دیدگاه مشخصی دست یابد و خوانندگان کتاب خویش را از تردید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مسیر به منابع و مآخذ قرآن پژوهی شیعه بسنده نمی‌کند</w:t>
      </w:r>
    </w:p>
    <w:p>
      <w:pPr>
        <w:pStyle w:val="BookText"/>
        <w:rPr/>
      </w:pPr>
      <w:r>
        <w:rPr>
          <w:rFonts w:ascii="IRNazanin" w:hAnsi="IRNazanin" w:eastAsia="IRNazanin"/>
          <w:color w:val="111111"/>
          <w:sz w:val="28"/>
          <w:sz w:val="28"/>
          <w:szCs w:val="28"/>
          <w:rtl w:val="true"/>
          <w:lang w:bidi="fa-IR"/>
        </w:rPr>
        <w:t>و به گزارش راویان و نظریه‌پردازان سنی نیز مراجعه کرده و کاوشهای روایی آنان را معتمد قرار می‌دهد تا بتواند نظر حق را بشناساند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مقدار و دفعات مراجعه او به منابع و مآخذ روایی و قرآنپژوهی عامّه در این کتاب، کم نیست اگرچه توجه به این گونه منابع، حُسن نظر وی و شیوه صحیح تحقیق و پژوهش در قرن چهارده را نشان می‌دهد، برخلاف محقّقان اهل تسنّن که اعتمادها و اقتباسهای روایی و غیر روایی آنان از منابع شیعی بسیار کم است، مع الوصف باید گفت شایسته آن بود که انصاف را در مراجعه به منابع فریقین رعایت می‌کرد و مقدمه کتاب خود را با اقوال و آرای علمای اهل تسنّن، بیش از آنچه که از شیعه نقل کرده است، زینت</w:t>
      </w:r>
    </w:p>
    <w:p>
      <w:pPr>
        <w:pStyle w:val="BookText"/>
        <w:rPr/>
      </w:pPr>
      <w:r>
        <w:rPr>
          <w:rFonts w:ascii="IRNazanin" w:hAnsi="IRNazanin" w:eastAsia="IRNazanin"/>
          <w:color w:val="111111"/>
          <w:sz w:val="28"/>
          <w:sz w:val="28"/>
          <w:szCs w:val="28"/>
          <w:rtl w:val="true"/>
          <w:lang w:bidi="fa-IR"/>
        </w:rPr>
        <w:t>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اعتقاد نهاوندی پیرامون چگونگی تدوین قرآن و زمان و تعداد</w:t>
      </w:r>
    </w:p>
    <w:p>
      <w:pPr>
        <w:pStyle w:val="BookText"/>
        <w:rPr/>
      </w:pPr>
      <w:r>
        <w:rPr>
          <w:rFonts w:ascii="IRNazanin" w:hAnsi="IRNazanin" w:eastAsia="IRNazanin"/>
          <w:color w:val="111111"/>
          <w:sz w:val="28"/>
          <w:sz w:val="28"/>
          <w:szCs w:val="28"/>
          <w:rtl w:val="true"/>
          <w:lang w:bidi="fa-IR"/>
        </w:rPr>
        <w:t>دفعات جمع و تدوین را می‌توان به شرح زیر گزارش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را باید قبل از هر سخنی پذیرفت که بنابر دلایل موجود، قرآن، نخستین بار در زمان حیات پیامبر اکرم صلی‌الله‌علیه‌و‌آله جمع و تدوین و سپس نگاشته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برای اثبات این مدّعا دلایل و شواهد خود را در سه شاخه دلایل نقلی، عقلی و سیره پیامبر صلی‌الله‌علیه‌و‌آلهگزارش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دلایل روایی او سخنی است که از امام صادق علیه‌السلام نقل شده است، آن</w:t>
      </w:r>
    </w:p>
    <w:p>
      <w:pPr>
        <w:pStyle w:val="BookText"/>
        <w:rPr/>
      </w:pPr>
      <w:r>
        <w:rPr>
          <w:rFonts w:ascii="IRNazanin" w:hAnsi="IRNazanin" w:eastAsia="IRNazanin"/>
          <w:color w:val="111111"/>
          <w:sz w:val="28"/>
          <w:sz w:val="28"/>
          <w:szCs w:val="28"/>
          <w:rtl w:val="true"/>
          <w:lang w:bidi="fa-IR"/>
        </w:rPr>
        <w:t>حضرت از قول پیامبر گرامی صلی‌الله‌علیه‌و‌آله نقل می‌کند که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به علیّ بن ابی طالب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در پشت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بر روی صحف و حریر و کاغذ نوشته شده است، آنها را بردار و گردآوری کن و هرگز ذرّه‌ای و آیه‌ای از آن را گم و ضایع مکن، آن گونه که یهودیان درباره تورات</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در ادامه سخن خویش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توصیه پیامبر صلی‌الله‌علیه‌و‌آله ، علی علیه‌السلام اقدام به گردآوری قرآن کرد، تمام نوشته‌های موجود را گردآوری کرد و درون پارچه زرد رنگ نهاد و به منزل خویش برد و سوگند یاد کرد که هرگز از خانه جز برای نماز جمعه بیرون نرود تا به‌جمع و تدوین قرآن بپردازد، آن</w:t>
      </w:r>
    </w:p>
    <w:p>
      <w:pPr>
        <w:pStyle w:val="BookText"/>
        <w:rPr/>
      </w:pPr>
      <w:r>
        <w:rPr>
          <w:rFonts w:ascii="IRNazanin" w:hAnsi="IRNazanin" w:eastAsia="IRNazanin"/>
          <w:color w:val="111111"/>
          <w:sz w:val="28"/>
          <w:sz w:val="28"/>
          <w:szCs w:val="28"/>
          <w:rtl w:val="true"/>
          <w:lang w:bidi="fa-IR"/>
        </w:rPr>
        <w:t>حضرت به وعده خویش عمل کرد و در این فاصله حتّی اگر کسی به دیدن او می‌رفت، امام بدون ردا و بالاپوش از او استقبال و با وی دیدار می‌کرد</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از قول قتاده نقل می‌کند که وی از اَنَس بن مالک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حیات پیامبر اکرم صلی‌الله‌علیه‌و‌آله چه کسی یا کسانی قرآن را گردآوری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نفر که همگی از انصار بودند، به گردآوری قرآن در زمان پیامبر صلی‌الله‌علیه‌و‌آله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بن کعب، معاذ بن جبل، زید بن ثابت و ابو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ابو زید برای قتاده ناآشنا بود، لذا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زید چه کسی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یکی از عموهای من بود </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ابو زید، همان سعید بن عبید و یا سعد بن عبید است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علاوه بر این، سخنان و روایات دیگری نیز از امام علیه‌السلام و یا صحابه و از طرق فریقین نقل می‌کند که مفاد آنها جمع و تدوین قرآن است در زمان حیات رسول اللّه صلی‌الله‌علیه‌و‌آله با</w:t>
      </w:r>
    </w:p>
    <w:p>
      <w:pPr>
        <w:pStyle w:val="BookText"/>
        <w:rPr/>
      </w:pPr>
      <w:r>
        <w:rPr>
          <w:rFonts w:ascii="IRNazanin" w:hAnsi="IRNazanin" w:eastAsia="IRNazanin"/>
          <w:color w:val="111111"/>
          <w:sz w:val="28"/>
          <w:sz w:val="28"/>
          <w:szCs w:val="28"/>
          <w:rtl w:val="true"/>
          <w:lang w:bidi="fa-IR"/>
        </w:rPr>
        <w:t>نظارت او</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در استدلال عقلی خود بر آنچه ادّعا کرده،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اساس دین و احکام اسلامی به شمار می‌رود و تمام تعالیم شریعت اسلام مبتنی بر نصوص قرآن کریم است، پس چگونه ممکن است پیامبر صلی‌الله‌علیه‌و‌آله که فردی حکیم و آینده‌نگر بود، جمع و ترتیب قرآن را رها سازد ؟ بلکه جمع قرآن از مهمترین واجباتی بود که مسلمانان و شخص</w:t>
      </w:r>
      <w:bookmarkStart w:id="205" w:name="pg4391_50984"/>
    </w:p>
    <w:p>
      <w:pPr>
        <w:pStyle w:val="BookText"/>
        <w:rPr/>
      </w:pPr>
      <w:bookmarkEnd w:id="205"/>
      <w:r>
        <w:rPr>
          <w:rFonts w:ascii="IRNazanin" w:hAnsi="IRNazanin" w:eastAsia="IRNazanin"/>
          <w:color w:val="111111"/>
          <w:sz w:val="28"/>
          <w:sz w:val="28"/>
          <w:szCs w:val="28"/>
          <w:rtl w:val="true"/>
          <w:lang w:bidi="fa-IR"/>
        </w:rPr>
        <w:t>پیامبر صلی‌الله‌علیه‌و‌آله نسبت به آن اهتمام فراوان داشتند، و ترک آن از پیامبر صلی‌الله‌علیه‌و‌آله محال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نهاوندی جز مسأله جهاد که آن هم موجب حفظ کیان سیاسی و دینی اسلام بود هیچ موضوع دیگری نمی‌توانست مهمتر از مسأله جمع و تدوین و تنظیم قرآن باشد، لذا در</w:t>
      </w:r>
    </w:p>
    <w:p>
      <w:pPr>
        <w:pStyle w:val="BookText"/>
        <w:rPr/>
      </w:pPr>
      <w:r>
        <w:rPr>
          <w:rFonts w:ascii="IRNazanin" w:hAnsi="IRNazanin" w:eastAsia="IRNazanin"/>
          <w:color w:val="111111"/>
          <w:sz w:val="28"/>
          <w:sz w:val="28"/>
          <w:szCs w:val="28"/>
          <w:rtl w:val="true"/>
          <w:lang w:bidi="fa-IR"/>
        </w:rPr>
        <w:t>زمان پیامبر صلی‌الله‌علیه‌و‌آلهبه این مهم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نهاوندی، سیره پیامبر است؛ به اعتقاد وی، پیامبر صلی‌الله‌علیه‌و‌آله برخی از اصحاب</w:t>
      </w:r>
    </w:p>
    <w:p>
      <w:pPr>
        <w:pStyle w:val="BookText"/>
        <w:rPr/>
      </w:pPr>
      <w:r>
        <w:rPr>
          <w:rFonts w:ascii="IRNazanin" w:hAnsi="IRNazanin" w:eastAsia="IRNazanin"/>
          <w:color w:val="111111"/>
          <w:sz w:val="28"/>
          <w:sz w:val="28"/>
          <w:szCs w:val="28"/>
          <w:rtl w:val="true"/>
          <w:lang w:bidi="fa-IR"/>
        </w:rPr>
        <w:t>مورد توجه خویش را به عنوان کاتبان و نویسندگان وحی، تعیین کرده بود و منصب کتابت وحی از مناصب عالی و قابل احترام در زمان پیامبر صلی‌الله‌علیه‌و‌آله به شمار می‌رفت، اصحاب پیامبر، اشتیاق زاید الوصفی در دریافت و استماع آیات قرآن داشتند و از حافظه خوبی نیز برخوردار بودند؛ این خصلت رایج، مانع از غفلت اصحاب و مؤمنان در حفظ قرآن می‌گردید با این که انتقال قرآن در بسیاری از مناطق دور از مکّه و مدینه از طریق سینه به سینه صورت می‌گرفت، پیامبر، افرادی را به عنوان کاتبان وحی منصوب کرده بود و هرگاه آیه‌ای نازل می‌شد، کاتب به امر پیامبر صلی‌الله‌علیه‌و‌آله طبق همان نظم و ترتیبی که حضرت تعیین می‌فرمود به کتابت آن می‌پرداخت، مفسّر، از علیّ بن ابی طالب علیه‌السلامبه عنوان یکی از کاتبان وحی نام می‌بَرد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6" w:name="__RefHeading___Toc1438745_1479056682"/>
      <w:bookmarkStart w:id="207" w:name="_Toc81"/>
      <w:bookmarkEnd w:id="206"/>
      <w:r>
        <w:rPr/>
        <w:t>2</w:t>
      </w:r>
      <w:r>
        <w:rPr>
          <w:rtl w:val="true"/>
        </w:rPr>
        <w:t xml:space="preserve"> - </w:t>
      </w:r>
      <w:r>
        <w:rPr>
          <w:rtl w:val="true"/>
        </w:rPr>
        <w:t>جمع قرآن برای بار دوم</w:t>
      </w:r>
      <w:bookmarkEnd w:id="20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جوامع روایی عامّه و خاصّه، پیوسته یادآوری شده است که قرآن در سه دوره زمانی متفاوت گردآوری شد و در هربار آیات و سور قرآن به طور کامل گردآوری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اوّل در زمان حیات پیامبر صورت گرفت و جمع‌آوری دوم در زمان خلافت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با نقل سخنی که حاکم در مستدرک خویش جای </w:t>
      </w:r>
      <w:r>
        <w:rPr>
          <w:rStyle w:val="FootnoteAnchor"/>
          <w:rtl w:val="true"/>
        </w:rPr>
        <w:footnoteReference w:id="164"/>
      </w:r>
      <w:r>
        <w:rPr>
          <w:rFonts w:ascii="IRNazanin" w:hAnsi="IRNazanin" w:eastAsia="IRNazanin"/>
          <w:color w:val="111111"/>
          <w:sz w:val="28"/>
          <w:sz w:val="28"/>
          <w:szCs w:val="28"/>
          <w:rtl w:val="true"/>
          <w:lang w:bidi="fa-IR"/>
        </w:rPr>
        <w:t>داده و دیگر محدّثین نیز آن را در کتابهای خویش گنجانده‌اند، چنین می‌گوید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برای بار دوم در زمان ابوبکر گردآوری شد و آن موقعی بود که گروه زیادی از حافظان و قاریان قرآن طیّ جنگ یمامه به شهادت رسیده بودند و با توجه به</w:t>
      </w:r>
      <w:bookmarkStart w:id="208" w:name="pg4391_50985"/>
    </w:p>
    <w:p>
      <w:pPr>
        <w:pStyle w:val="BookText"/>
        <w:rPr/>
      </w:pPr>
      <w:bookmarkEnd w:id="208"/>
      <w:r>
        <w:rPr>
          <w:rFonts w:ascii="IRNazanin" w:hAnsi="IRNazanin" w:eastAsia="IRNazanin"/>
          <w:color w:val="111111"/>
          <w:sz w:val="28"/>
          <w:sz w:val="28"/>
          <w:szCs w:val="28"/>
          <w:rtl w:val="true"/>
          <w:lang w:bidi="fa-IR"/>
        </w:rPr>
        <w:t>احساس خطری که برخی چون عمر داشتند پیشنهاد، گردآوری و تدوین قرآن به خلیفه وقت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نیز زید بن ثابت را که خود از کاتبان وحی در زمان پیامبر صلی‌الله‌علیه‌و‌آله بود، به این امر گماشت و سرانجام بار دیگر قرآن طبق همان نظم و ترتیب پیشین، در زمان</w:t>
      </w:r>
    </w:p>
    <w:p>
      <w:pPr>
        <w:pStyle w:val="BookText"/>
        <w:rPr/>
      </w:pPr>
      <w:r>
        <w:rPr>
          <w:rFonts w:ascii="IRNazanin" w:hAnsi="IRNazanin" w:eastAsia="IRNazanin"/>
          <w:color w:val="111111"/>
          <w:sz w:val="28"/>
          <w:sz w:val="28"/>
          <w:szCs w:val="28"/>
          <w:rtl w:val="true"/>
          <w:lang w:bidi="fa-IR"/>
        </w:rPr>
        <w:t xml:space="preserve">ابوبکر گردآوری شد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فقط به نقل سخن حاکم نیشابوری بسنده نمی‌کند بلکه از فحوای کلام او چنین پیداست که گردآوری قرآن در زمان خلیفه اوّل را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به نصب زید بن ثابت به عنوان مسؤول گردآوری قرآن علی رغم وجود چهره‌های موجّه و مُسن</w:t>
      </w:r>
    </w:p>
    <w:p>
      <w:pPr>
        <w:pStyle w:val="BookText"/>
        <w:rPr/>
      </w:pPr>
      <w:r>
        <w:rPr>
          <w:rFonts w:ascii="IRNazanin" w:hAnsi="IRNazanin" w:eastAsia="IRNazanin"/>
          <w:color w:val="111111"/>
          <w:sz w:val="28"/>
          <w:sz w:val="28"/>
          <w:szCs w:val="28"/>
          <w:rtl w:val="true"/>
          <w:lang w:bidi="fa-IR"/>
        </w:rPr>
        <w:t>مثل علیّ بن ابی طالب و عبداللّه بن مسعود اعتراض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وثاقت و صداقت و علم امام علی علیه‌السلامبر آیات قرآن بیش از تمام صحابه بود، چگونه است که شهادت خزیمه بن ثابت به عنوان شهادت دو شاهد عادل تلقی شد، امّا به اظهارات علی علیه‌السلاممراجعه نشد ؟</w:t>
      </w:r>
      <w:r>
        <w:rPr>
          <w:rFonts w:eastAsia="IRNazanin" w:cs="IRNazanin"/>
          <w:color w:val="111111"/>
          <w:sz w:val="28"/>
          <w:szCs w:val="28"/>
          <w:rtl w:val="true"/>
          <w:lang w:bidi="fa-IR"/>
        </w:rPr>
        <w:t>!»</w:t>
      </w:r>
    </w:p>
    <w:p>
      <w:pPr>
        <w:pStyle w:val="Heading6"/>
        <w:numPr>
          <w:ilvl w:val="5"/>
          <w:numId w:val="1"/>
        </w:numPr>
        <w:rPr/>
      </w:pPr>
      <w:bookmarkStart w:id="209" w:name="__RefHeading___Toc1438747_1479056682"/>
      <w:bookmarkStart w:id="210" w:name="_Toc82"/>
      <w:bookmarkEnd w:id="209"/>
      <w:r>
        <w:rPr/>
        <w:t>3</w:t>
      </w:r>
      <w:r>
        <w:rPr>
          <w:rtl w:val="true"/>
        </w:rPr>
        <w:t xml:space="preserve"> - </w:t>
      </w:r>
      <w:r>
        <w:rPr>
          <w:rtl w:val="true"/>
        </w:rPr>
        <w:t>جمع قرآن برای بار سوم</w:t>
      </w:r>
      <w:bookmarkEnd w:id="210"/>
    </w:p>
    <w:p>
      <w:pPr>
        <w:pStyle w:val="BookText"/>
        <w:rPr/>
      </w:pPr>
      <w:r>
        <w:rPr>
          <w:rFonts w:ascii="IRNazanin" w:hAnsi="IRNazanin" w:eastAsia="IRNazanin"/>
          <w:color w:val="111111"/>
          <w:sz w:val="28"/>
          <w:sz w:val="28"/>
          <w:szCs w:val="28"/>
          <w:rtl w:val="true"/>
          <w:lang w:bidi="fa-IR"/>
        </w:rPr>
        <w:t>نهاوندی، این ادّعای اهل تسنّن را که قرآن برای بار سوم در زمان خلیفه سوم جمع‌آوری شد، نمی‌پذیرد و اعتقاد دارد آنچه در زمان عثمان صورت گرفت، جمع و تدوین و ترتیب قرآن نبود؛ بلکه دعوت از مردم و قاریان بود برای</w:t>
      </w:r>
    </w:p>
    <w:p>
      <w:pPr>
        <w:pStyle w:val="BookText"/>
        <w:rPr/>
      </w:pPr>
      <w:r>
        <w:rPr>
          <w:rFonts w:ascii="IRNazanin" w:hAnsi="IRNazanin" w:eastAsia="IRNazanin"/>
          <w:color w:val="111111"/>
          <w:sz w:val="28"/>
          <w:sz w:val="28"/>
          <w:szCs w:val="28"/>
          <w:rtl w:val="true"/>
          <w:lang w:bidi="fa-IR"/>
        </w:rPr>
        <w:t>کنار گذاشتن قراءت‌های مختلف از قرآن و اجتماع بر قراءت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سخن حاکم نیشابوری به جمع‌آوری و تدوین قرآن در زمان عثمان تصریح نشده است و از اقدام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صرفا به عنوان مرتب کردن سوره‌ها یاد می‌کند، بسیاری حدیث‌نگاران اهل تسنّن از سخن حاکم و نیز آنچه در صحیح بخاری</w:t>
      </w:r>
      <w:r>
        <w:rPr>
          <w:rStyle w:val="FootnoteAnchor"/>
          <w:rtl w:val="true"/>
        </w:rPr>
        <w:footnoteReference w:id="166"/>
      </w:r>
      <w:r>
        <w:rPr>
          <w:rFonts w:ascii="IRNazanin" w:hAnsi="IRNazanin" w:eastAsia="IRNazanin"/>
          <w:color w:val="111111"/>
          <w:sz w:val="28"/>
          <w:sz w:val="28"/>
          <w:szCs w:val="28"/>
          <w:rtl w:val="true"/>
          <w:lang w:bidi="fa-IR"/>
        </w:rPr>
        <w:t>یاد شده است، جمع و تدوین قرآن را تلقّی کرده‌اند</w:t>
      </w:r>
      <w:r>
        <w:rPr>
          <w:rFonts w:eastAsia="IRNazanin" w:cs="IRNazanin"/>
          <w:color w:val="111111"/>
          <w:sz w:val="28"/>
          <w:szCs w:val="28"/>
          <w:rtl w:val="true"/>
          <w:lang w:bidi="fa-IR"/>
        </w:rPr>
        <w:t>.</w:t>
      </w:r>
      <w:bookmarkStart w:id="211" w:name="pg4391_50986"/>
    </w:p>
    <w:p>
      <w:pPr>
        <w:pStyle w:val="Heading4"/>
        <w:numPr>
          <w:ilvl w:val="3"/>
          <w:numId w:val="1"/>
        </w:numPr>
        <w:rPr/>
      </w:pPr>
      <w:bookmarkStart w:id="212" w:name="__RefHeading___Toc1438749_1479056682"/>
      <w:bookmarkStart w:id="213" w:name="_Toc83"/>
      <w:bookmarkEnd w:id="211"/>
      <w:bookmarkEnd w:id="212"/>
      <w:r>
        <w:rPr>
          <w:rtl w:val="true"/>
        </w:rPr>
        <w:t xml:space="preserve">فصل هفتم </w:t>
      </w:r>
      <w:r>
        <w:rPr>
          <w:rtl w:val="true"/>
        </w:rPr>
        <w:t xml:space="preserve">- </w:t>
      </w:r>
      <w:r>
        <w:rPr>
          <w:rtl w:val="true"/>
        </w:rPr>
        <w:t>بررسی حقّانیت قرآن از نگاه نهاوندی</w:t>
      </w:r>
      <w:bookmarkEnd w:id="213"/>
    </w:p>
    <w:p>
      <w:pPr>
        <w:pStyle w:val="Heading5"/>
        <w:numPr>
          <w:ilvl w:val="4"/>
          <w:numId w:val="1"/>
        </w:numPr>
        <w:rPr/>
      </w:pPr>
      <w:bookmarkStart w:id="214" w:name="__RefHeading___Toc1438751_1479056682"/>
      <w:bookmarkStart w:id="215" w:name="_Toc8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یکی از تلاشهای قابل توجه نهاوندی کشف و تنظیم دلایل معقول و منقول بر اثبات حقّانیت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برخلاف کتب ادیان پیشین توانسته است حقّانیت خود را با گذر چهارده قرن از ظهور و تجلّی وجود لفظی و کتبی خود حفظ کند؛ حفظ این حقّانیت، نَه فقط مرهون عوامل برونی قرآن است بلکه به مراتب به عوامل و ویژگی‌های</w:t>
      </w:r>
    </w:p>
    <w:p>
      <w:pPr>
        <w:pStyle w:val="BookText"/>
        <w:rPr/>
      </w:pPr>
      <w:r>
        <w:rPr>
          <w:rFonts w:ascii="IRNazanin" w:hAnsi="IRNazanin" w:eastAsia="IRNazanin"/>
          <w:color w:val="111111"/>
          <w:sz w:val="28"/>
          <w:sz w:val="28"/>
          <w:szCs w:val="28"/>
          <w:rtl w:val="true"/>
          <w:lang w:bidi="fa-IR"/>
        </w:rPr>
        <w:t>درون کلام قرآن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و مفسّران در قرون متوالی به روشهای مختلف</w:t>
      </w:r>
    </w:p>
    <w:p>
      <w:pPr>
        <w:pStyle w:val="BookText"/>
        <w:rPr/>
      </w:pPr>
      <w:r>
        <w:rPr>
          <w:rFonts w:ascii="IRNazanin" w:hAnsi="IRNazanin" w:eastAsia="IRNazanin"/>
          <w:color w:val="111111"/>
          <w:sz w:val="28"/>
          <w:sz w:val="28"/>
          <w:szCs w:val="28"/>
          <w:rtl w:val="true"/>
          <w:lang w:bidi="fa-IR"/>
        </w:rPr>
        <w:t>به اثبات حقّانیت آیات و سور و احکام و تعالیم آن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مفسّران امامیّه در این بین بسیار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پاره‌ای از متفکّران اهل تسنّن، بی وقفه امّا بی‌نتیجه</w:t>
      </w:r>
    </w:p>
    <w:p>
      <w:pPr>
        <w:pStyle w:val="BookText"/>
        <w:rPr/>
      </w:pPr>
      <w:r>
        <w:rPr>
          <w:rFonts w:ascii="IRNazanin" w:hAnsi="IRNazanin" w:eastAsia="IRNazanin"/>
          <w:color w:val="111111"/>
          <w:sz w:val="28"/>
          <w:sz w:val="28"/>
          <w:szCs w:val="28"/>
          <w:rtl w:val="true"/>
          <w:lang w:bidi="fa-IR"/>
        </w:rPr>
        <w:t>کوشیدند تا قرآن را از دیدگاه شیعه به عنوان کتابی ناقص، متزلزل و تحریف شده</w:t>
      </w:r>
    </w:p>
    <w:p>
      <w:pPr>
        <w:pStyle w:val="BookText"/>
        <w:rPr/>
      </w:pPr>
      <w:r>
        <w:rPr>
          <w:rFonts w:ascii="IRNazanin" w:hAnsi="IRNazanin" w:eastAsia="IRNazanin"/>
          <w:color w:val="111111"/>
          <w:sz w:val="28"/>
          <w:sz w:val="28"/>
          <w:szCs w:val="28"/>
          <w:rtl w:val="true"/>
          <w:lang w:bidi="fa-IR"/>
        </w:rPr>
        <w:t>بشناسانند، هربار انگیزه و تلاش صاحب نظران شیعی بر دفاع از کیان قرآن و حیثیّت</w:t>
      </w:r>
    </w:p>
    <w:p>
      <w:pPr>
        <w:pStyle w:val="BookText"/>
        <w:rPr/>
      </w:pPr>
      <w:r>
        <w:rPr>
          <w:rFonts w:ascii="IRNazanin" w:hAnsi="IRNazanin" w:eastAsia="IRNazanin"/>
          <w:color w:val="111111"/>
          <w:sz w:val="28"/>
          <w:sz w:val="28"/>
          <w:szCs w:val="28"/>
          <w:rtl w:val="true"/>
          <w:lang w:bidi="fa-IR"/>
        </w:rPr>
        <w:t>آیات و سور آن دو چندان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نیز در اثبات حقّانیت قرآن، مباحثی را تنظیم کرد و تحت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تحریف قرآن، اعجاز قرآن، ظاهر و باطن قرآن و محکم بودن آیات قرآن به بحث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عقاید و دیدگاههای نهاوندی در پیرامون حقّانیت قرآن تحت چهار عنوان</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 یاد می‌شود</w:t>
      </w:r>
      <w:r>
        <w:rPr>
          <w:rFonts w:eastAsia="IRNazanin" w:cs="IRNazanin"/>
          <w:color w:val="111111"/>
          <w:sz w:val="28"/>
          <w:szCs w:val="28"/>
          <w:rtl w:val="true"/>
          <w:lang w:bidi="fa-IR"/>
        </w:rPr>
        <w:t>.</w:t>
      </w:r>
      <w:bookmarkStart w:id="216" w:name="pg4391_50987"/>
    </w:p>
    <w:p>
      <w:pPr>
        <w:pStyle w:val="Heading5"/>
        <w:numPr>
          <w:ilvl w:val="4"/>
          <w:numId w:val="1"/>
        </w:numPr>
        <w:rPr/>
      </w:pPr>
      <w:bookmarkStart w:id="217" w:name="__RefHeading___Toc1438753_1479056682"/>
      <w:bookmarkStart w:id="218" w:name="_Toc85"/>
      <w:bookmarkEnd w:id="216"/>
      <w:bookmarkEnd w:id="217"/>
      <w:r>
        <w:rPr>
          <w:rtl w:val="true"/>
        </w:rPr>
        <w:t>عدم تحریف قرآن</w:t>
      </w:r>
      <w:bookmarkEnd w:id="218"/>
    </w:p>
    <w:p>
      <w:pPr>
        <w:pStyle w:val="BookText"/>
        <w:rPr/>
      </w:pPr>
      <w:r>
        <w:rPr>
          <w:rFonts w:ascii="IRNazanin" w:hAnsi="IRNazanin" w:eastAsia="IRNazanin"/>
          <w:color w:val="111111"/>
          <w:sz w:val="28"/>
          <w:sz w:val="28"/>
          <w:szCs w:val="28"/>
          <w:rtl w:val="true"/>
          <w:lang w:bidi="fa-IR"/>
        </w:rPr>
        <w:t>تحریف ناپذیری قرآن از نگاه نهاوندی به عنوان دلیلی ثابت و پابرجا در طول چندین قرن در اثبات حقّانیت آن به شمار می‌رود، زیرا این طبیعت هر کتاب و اثر علمی است که</w:t>
      </w:r>
    </w:p>
    <w:p>
      <w:pPr>
        <w:pStyle w:val="BookText"/>
        <w:rPr/>
      </w:pPr>
      <w:r>
        <w:rPr>
          <w:rFonts w:ascii="IRNazanin" w:hAnsi="IRNazanin" w:eastAsia="IRNazanin"/>
          <w:color w:val="111111"/>
          <w:sz w:val="28"/>
          <w:sz w:val="28"/>
          <w:szCs w:val="28"/>
          <w:rtl w:val="true"/>
          <w:lang w:bidi="fa-IR"/>
        </w:rPr>
        <w:t>با ظهور اندیشه‌های نو و جدید، پاره‌ای از مطالب و محتوای آن در معرض کهنگی، تعارض و ابطال قرار گیرد، امّا قرآن به چنین سرنوشتی دچار نشده و جایگاهی که در دل و اندیشه اعراب صدر اسلام برای خود باز کرده بوده است، امروز نیز با گذشت چهارده قرن باقی مانده و پیوسته بر محبوبیت و اتقان و اعتبار آن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نهاوندی در اثبات حقّانیت قرآن، راه نو و جدیدی را طی نکرده است و گفته‌ها و تلاشهای وی در همان چهارچوبی است که دانشمندان قبل از او حرکت کرده‌اند، مع الوصف به منظور روشن شدن دیدگاه او در خصوص حقّانیت قرآن و تحریف ناپذیری آن، عقاید و گفته‌های وی را نقد و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اعتقاد دارد، قرآن موجود، همان کتابی است که در زمان حیات پیامبر صلی‌الله‌علیه‌و‌آلهتنظیم شد و پیامبر صلی‌الله‌علیه‌و‌آله صحّت آن را امضا فرمود و از آن تاریخ تاکنون نَه چیزی از آن کاسته شد و نه چیزی بر آن افزوده گشت و نیز کلمه‌ای از آن تغییر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بود که مخالفان در دوره‌های مختلف تاریخ حیات قرآن به روشهای مختلف سعی در تضعیف و تحقیر قرآن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دوره تاریخی، کوشیدند نسبتها و تهمتهای ناروا به آن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سحر، اسطوره، کهانت، جنون، هزل،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دوره‌ای را نیز به شبیه‌سازی قرآن و هماوردی در برابر آن اختصاص دادند و در دوره دیگر در</w:t>
      </w:r>
    </w:p>
    <w:p>
      <w:pPr>
        <w:pStyle w:val="BookText"/>
        <w:rPr/>
      </w:pPr>
      <w:r>
        <w:rPr>
          <w:rFonts w:ascii="IRNazanin" w:hAnsi="IRNazanin" w:eastAsia="IRNazanin"/>
          <w:color w:val="111111"/>
          <w:sz w:val="28"/>
          <w:sz w:val="28"/>
          <w:szCs w:val="28"/>
          <w:rtl w:val="true"/>
          <w:lang w:bidi="fa-IR"/>
        </w:rPr>
        <w:t>حقّانیت نصوص آن تشکیک کردند، زمانی نیز با چاپ قرآنهای مغلوط در کاستن اعتبار</w:t>
      </w:r>
    </w:p>
    <w:p>
      <w:pPr>
        <w:pStyle w:val="BookText"/>
        <w:rPr/>
      </w:pPr>
      <w:r>
        <w:rPr>
          <w:rFonts w:ascii="IRNazanin" w:hAnsi="IRNazanin" w:eastAsia="IRNazanin"/>
          <w:color w:val="111111"/>
          <w:sz w:val="28"/>
          <w:sz w:val="28"/>
          <w:szCs w:val="28"/>
          <w:rtl w:val="true"/>
          <w:lang w:bidi="fa-IR"/>
        </w:rPr>
        <w:t>قرآن کوشیدند؛ در دوره‌ای دیگر با ارائه تفسیرهای مادّی از قرآن سعی کردند افکار عمومی جهان اسلام را به انحراف کشند و سقوط در گرفتاری‌ها و انحرافات را نتیجه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به قرآن معرّفی کنند؛ در دوره‌ای قرآن را به مجلس عوام کشور خود بردند و مبارزه با آن را به عنوان تنها راه نتیجه‌بخش در حفظ سیاستهای استعماری خویش و سقوط تمدنهای اسلامی شناساندند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گاه به صورت کامل موفّق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اشتیاق و علاقه مسلمانان را در فراگیری و حفظ قرآن بیش از توجه آنان به دین اسلام می‌داند و راز آن را در توجه عرب به متون فصیح ادبی و فصاحت و بلاغت بیش از حدّ قرآن می‌یابد، او اعتقاد دارد همان طور که اعراب با یک بار خواندن</w:t>
      </w:r>
    </w:p>
    <w:p>
      <w:pPr>
        <w:pStyle w:val="BookText"/>
        <w:rPr/>
      </w:pPr>
      <w:r>
        <w:rPr>
          <w:rFonts w:ascii="IRNazanin" w:hAnsi="IRNazanin" w:eastAsia="IRNazanin"/>
          <w:color w:val="111111"/>
          <w:sz w:val="28"/>
          <w:sz w:val="28"/>
          <w:szCs w:val="28"/>
          <w:rtl w:val="true"/>
          <w:lang w:bidi="fa-IR"/>
        </w:rPr>
        <w:t>طولانی‌ترین خطبه‌ها و متون ادبی جاهلی، آن را به خاطر می‌سپردند، قرآن را نیز حفظ می‌کردند و قرآن گذشته از این که یک سند محکم و منحصر به فرد عربی بود، ویژگی‌های خاصّ بلاغی داشت به گونه‌ای که اعجاب اعراب را برمی‌انگیخت و معانی بلند و ارزشمند آن دلها را به خود جذب می‌کرد و با توجه به این ویژگی‌ها، اهتمام مسلمانان و اعراب تازه مسلمان در حفظ و صیانت قرآن به عنوان بهترین عبادت برایشان</w:t>
      </w:r>
    </w:p>
    <w:p>
      <w:pPr>
        <w:pStyle w:val="BookText"/>
        <w:rPr/>
      </w:pPr>
      <w:r>
        <w:rPr>
          <w:rFonts w:ascii="IRNazanin" w:hAnsi="IRNazanin" w:eastAsia="IRNazanin"/>
          <w:color w:val="111111"/>
          <w:sz w:val="28"/>
          <w:sz w:val="28"/>
          <w:szCs w:val="28"/>
          <w:rtl w:val="true"/>
          <w:lang w:bidi="fa-IR"/>
        </w:rPr>
        <w:t>به حساب می‌آمد و این گونه بود که قرآن توانست شکل حقیقی خود را از ابتدای نزول تا کنون حفظ کند، نهاوندی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انّ القرآن کان مجموعا فی زمان النبیّ صلی‌الله‌علیه‌و‌آله وکان شدّة اهتمام المسلمین فی حفظ ذلک المجموع بعد النبیّ صلی‌الله‌علیه‌و‌آله وفی زمان احتمل بعض وقوع التحریف فیه کاهتمامهم فی حفظ أنفسهم وأعراضهم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کان نشر الکتاب وشیوعه بین الناس أکثر من نشر الاسلام إذ الکفّار</w:t>
      </w:r>
    </w:p>
    <w:p>
      <w:pPr>
        <w:pStyle w:val="BookText"/>
        <w:rPr/>
      </w:pPr>
      <w:r>
        <w:rPr>
          <w:rFonts w:ascii="IRNazanin" w:hAnsi="IRNazanin" w:eastAsia="IRNazanin"/>
          <w:color w:val="111111"/>
          <w:sz w:val="28"/>
          <w:sz w:val="28"/>
          <w:szCs w:val="28"/>
          <w:rtl w:val="true"/>
          <w:lang w:bidi="fa-IR"/>
        </w:rPr>
        <w:t xml:space="preserve">المعاندین للدین بشدّة اعجابهم بآیات اللّه وسور القرآن کانوا یحفظونها ویتلونها أکثر من حفظهم وقراءتهم مِن قصائد شعراء العرب کامرئ القیس وأضرابه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کانت</w:t>
      </w:r>
    </w:p>
    <w:p>
      <w:pPr>
        <w:pStyle w:val="BookText"/>
        <w:rPr/>
      </w:pPr>
      <w:r>
        <w:rPr>
          <w:rFonts w:ascii="IRNazanin" w:hAnsi="IRNazanin" w:eastAsia="IRNazanin"/>
          <w:color w:val="111111"/>
          <w:sz w:val="28"/>
          <w:sz w:val="28"/>
          <w:szCs w:val="28"/>
          <w:rtl w:val="true"/>
          <w:lang w:bidi="fa-IR"/>
        </w:rPr>
        <w:t>العادة مقتضیةٌ لأن یکون کل آیة وسورة فی حفظ جمع کثیر کان عددهم فوق حدّ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کان حفظ القرآن وتلاوته من أعظم عبادات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انّه کان اهتمامهم بحفظ</w:t>
      </w:r>
    </w:p>
    <w:p>
      <w:pPr>
        <w:pStyle w:val="BookText"/>
        <w:rPr/>
      </w:pPr>
      <w:r>
        <w:rPr>
          <w:rFonts w:ascii="IRNazanin" w:hAnsi="IRNazanin" w:eastAsia="IRNazanin"/>
          <w:color w:val="111111"/>
          <w:sz w:val="28"/>
          <w:sz w:val="28"/>
          <w:szCs w:val="28"/>
          <w:rtl w:val="true"/>
          <w:lang w:bidi="fa-IR"/>
        </w:rPr>
        <w:t>القرآن من التغییر وصیانتهم له من التحریف کاهتمامهم بحفظ الاسلام وحفظ النبی صلی‌الله‌علیه‌و‌آلهمِن ان یصیبه آفةٌ وجراحة حیث انّهم کانوا یفدون أنفسهم وأولادهم وأعراضهم وأموالهم دون نفسه</w:t>
      </w:r>
    </w:p>
    <w:p>
      <w:pPr>
        <w:pStyle w:val="BookText"/>
        <w:rPr/>
      </w:pPr>
      <w:r>
        <w:rPr>
          <w:rFonts w:ascii="IRNazanin" w:hAnsi="IRNazanin" w:eastAsia="IRNazanin"/>
          <w:color w:val="111111"/>
          <w:sz w:val="28"/>
          <w:sz w:val="28"/>
          <w:szCs w:val="28"/>
          <w:rtl w:val="true"/>
          <w:lang w:bidi="fa-IR"/>
        </w:rPr>
        <w:t>الشریفة</w:t>
      </w:r>
      <w:r>
        <w:rPr>
          <w:rFonts w:eastAsia="IRNazanin" w:cs="IRNazanin"/>
          <w:color w:val="111111"/>
          <w:sz w:val="28"/>
          <w:szCs w:val="28"/>
          <w:rtl w:val="true"/>
          <w:lang w:bidi="fa-IR"/>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نگاه نهاوندی راز صیانت قرآن از هرگونه تحریف را باید در عوامل درون قرآنی جست؛ زیرا اوّلاً، متن محکم و منحصر به فرد قرآن به گونه‌ای است که نقص و خلل و تعارض و اختلاف، راهی به آن ندارد؛ ثانیا وعده الهی در قرآن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نَزَّلْنَا الذِّکْرَ وَإِنَّا لَهُ لَحَافِظُونَ </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این کتاب را از هر خطر و آفتی ایمن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اخبار و روایات فراوان مبنی بر لزوم عرضه روایات بر قرآن به منظور بازشناسی صحّت و سقم روایات اسلامی و یا هر سخن دیگر، دلیل دیگر نهاوندی را در عدم تحریف و نیز حقّانیت قرآن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مجموع اخباری که</w:t>
      </w:r>
    </w:p>
    <w:p>
      <w:pPr>
        <w:pStyle w:val="BookText"/>
        <w:rPr/>
      </w:pPr>
      <w:r>
        <w:rPr>
          <w:rFonts w:ascii="IRNazanin" w:hAnsi="IRNazanin" w:eastAsia="IRNazanin"/>
          <w:color w:val="111111"/>
          <w:sz w:val="28"/>
          <w:sz w:val="28"/>
          <w:szCs w:val="28"/>
          <w:rtl w:val="true"/>
          <w:lang w:bidi="fa-IR"/>
        </w:rPr>
        <w:t xml:space="preserve">عرضه روایات بر قرآن را مورد سفارش قرار می‌دهد، به حدّ تظافر و حتّی 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w:t>
      </w:r>
    </w:p>
    <w:p>
      <w:pPr>
        <w:pStyle w:val="BookText"/>
        <w:rPr/>
      </w:pPr>
      <w:r>
        <w:rPr>
          <w:rFonts w:ascii="IRNazanin" w:hAnsi="IRNazanin" w:eastAsia="IRNazanin"/>
          <w:color w:val="111111"/>
          <w:sz w:val="28"/>
          <w:sz w:val="28"/>
          <w:szCs w:val="28"/>
          <w:rtl w:val="true"/>
          <w:lang w:bidi="fa-IR"/>
        </w:rPr>
        <w:t>یا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 امّا از طرف دیگر، اخباری که به وقوع تحریف در قرآن اشاره می‌کند، بسیار کم است و اگر زیاد هم باشد، مفهوم و مضمون آنها با دلالتهای قرآنی مخالفت دارد و مشمول آن دسته روایات نبوی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کتاب اللّه فهو زخرف أو باطل أو فاضربه علی الجدار أو لم تقله</w:t>
      </w:r>
      <w:r>
        <w:rPr>
          <w:rFonts w:eastAsia="IRNazanin" w:cs="IRNazanin"/>
          <w:color w:val="111111"/>
          <w:sz w:val="28"/>
          <w:szCs w:val="28"/>
          <w:rtl w:val="true"/>
          <w:lang w:bidi="fa-IR"/>
        </w:rPr>
        <w:t xml:space="preserve">... » </w:t>
      </w:r>
      <w:r>
        <w:rPr>
          <w:rStyle w:val="FootnoteAnchor"/>
          <w:rtl w:val="true"/>
        </w:rPr>
        <w:footnoteReference w:id="169"/>
      </w:r>
      <w:r>
        <w:rPr>
          <w:rFonts w:ascii="IRNazanin" w:hAnsi="IRNazanin" w:eastAsia="IRNazanin"/>
          <w:color w:val="111111"/>
          <w:sz w:val="28"/>
          <w:sz w:val="28"/>
          <w:szCs w:val="28"/>
          <w:rtl w:val="true"/>
          <w:lang w:bidi="fa-IR"/>
        </w:rPr>
        <w:t>یکی از ویژگی‌های قرآن، محک قرار گرفتن آن در شناسایی روایات صحیح از ضعیف و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توصیه‌های پیامبر صلی‌الله‌علیه‌و‌آله و ائمّه علیهم‌السلام مسلمانان موظّف شدند هنگام تردید در حقّانیت و صحّت یا کذب روایات اسلامی، آن را به قرآن عرضه کنند؛ اگر وفاقی بین مفهوم و مفاد روایات با نصوص قرآن 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یک از دلالتهای سه‌گانه مطابقی، تضمّنی،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بپذیرند، چنانچه تنافی حاصل شد، آن را از خود دور گردانند و قطعا در صورت مشاهده تغایر و تنافر بین روایات و نصوص قرآنی، آن را فاقد اعتبار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در تحلیل نهایی از این گونه اخبار که لزوم عرضه روایات را به قرآن مورد توجه قرار داده‌اند، چنین نتیجه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تحقّق چنین علمی، مصونیت قرآن از</w:t>
      </w:r>
    </w:p>
    <w:p>
      <w:pPr>
        <w:pStyle w:val="BookText"/>
        <w:rPr/>
      </w:pPr>
      <w:r>
        <w:rPr>
          <w:rFonts w:ascii="IRNazanin" w:hAnsi="IRNazanin" w:eastAsia="IRNazanin"/>
          <w:color w:val="111111"/>
          <w:sz w:val="28"/>
          <w:sz w:val="28"/>
          <w:szCs w:val="28"/>
          <w:rtl w:val="true"/>
          <w:lang w:bidi="fa-IR"/>
        </w:rPr>
        <w:t>آفات تحریفی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ایمن از آفات خارجی نبود، هرگز به مسلمانان توصیه</w:t>
      </w:r>
    </w:p>
    <w:p>
      <w:pPr>
        <w:pStyle w:val="BookText"/>
        <w:rPr/>
      </w:pPr>
      <w:r>
        <w:rPr>
          <w:rFonts w:ascii="IRNazanin" w:hAnsi="IRNazanin" w:eastAsia="IRNazanin"/>
          <w:color w:val="111111"/>
          <w:sz w:val="28"/>
          <w:sz w:val="28"/>
          <w:szCs w:val="28"/>
          <w:rtl w:val="true"/>
          <w:lang w:bidi="fa-IR"/>
        </w:rPr>
        <w:t>نمی‌شد روایات را با آن تطبیق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می‌گوید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أخبار العرض علی الکتاب متظافرةٌ بل متواترةٌ معنیً أو اجمالاً وأخبار وقوع التحریف والتغییر مخالفةٌ للکتاب العزیز، فیشملها قولهم علیهم‌السلام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خالف کتاب اللّه فهو زخرف أو باطل أو فاضربه علی الجدار، أو لم 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دالّ علی تشریف القرآن وتفضیله علی سائر الکتب السماویّة بضمانه تعالی بحفظه من</w:t>
      </w:r>
    </w:p>
    <w:p>
      <w:pPr>
        <w:pStyle w:val="BookText"/>
        <w:rPr/>
      </w:pPr>
      <w:r>
        <w:rPr>
          <w:rFonts w:ascii="IRNazanin" w:hAnsi="IRNazanin" w:eastAsia="IRNazanin"/>
          <w:color w:val="111111"/>
          <w:sz w:val="28"/>
          <w:sz w:val="28"/>
          <w:szCs w:val="28"/>
          <w:rtl w:val="true"/>
          <w:lang w:bidi="fa-IR"/>
        </w:rPr>
        <w:t>الاندراس والانطماس</w:t>
      </w:r>
      <w:r>
        <w:rPr>
          <w:rFonts w:eastAsia="IRNazanin" w:cs="IRNazanin"/>
          <w:color w:val="111111"/>
          <w:sz w:val="28"/>
          <w:szCs w:val="28"/>
          <w:rtl w:val="true"/>
          <w:lang w:bidi="fa-IR"/>
        </w:rPr>
        <w:t xml:space="preserve">... »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علمای شیعه مبنی بر نبودِ تحریف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در اثبات عدم تحریف قرآن صرفا در دلایل نقلی و عقلی توقف نکرده، بلکه اجماع و اتفاق‌نظر علما و فقها و دانشمندان بزرگ امامیّه را به عنوان دلیل محکم در اثبات حقّانیت قرآن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راستا علاوه بر طرح مسأله اجماع بر نفی تحریف از سیمای قرآن، آرای</w:t>
      </w:r>
    </w:p>
    <w:p>
      <w:pPr>
        <w:pStyle w:val="BookText"/>
        <w:rPr/>
      </w:pPr>
      <w:r>
        <w:rPr>
          <w:rFonts w:ascii="IRNazanin" w:hAnsi="IRNazanin" w:eastAsia="IRNazanin"/>
          <w:color w:val="111111"/>
          <w:sz w:val="28"/>
          <w:sz w:val="28"/>
          <w:szCs w:val="28"/>
          <w:rtl w:val="true"/>
          <w:lang w:bidi="fa-IR"/>
        </w:rPr>
        <w:t>متفکّران زیر را مورد استناد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شریف مرتضی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فیض کاشانی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بهائی </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قاضی نوراللّه تستری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مقدس بغدادی </w:t>
      </w:r>
      <w:r>
        <w:rPr>
          <w:rFonts w:eastAsia="IRNazanin" w:cs="IRNazanin"/>
          <w:color w:val="111111"/>
          <w:sz w:val="28"/>
          <w:szCs w:val="28"/>
          <w:rtl w:val="true"/>
          <w:lang w:bidi="fa-IR"/>
        </w:rPr>
        <w:t>(</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هاشم بحرانی </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آرای آنان در اثبات حقّانیت قرآن کمک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از سخن 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نتیجه می‌گیرد قرآنی که اکنون در دست مردم است، همان کتابی است که بر رسول اللّه نازل شد بدون هیچ‌گونه تغییر و زیادتی و هرکس</w:t>
      </w:r>
    </w:p>
    <w:p>
      <w:pPr>
        <w:pStyle w:val="BookText"/>
        <w:rPr/>
      </w:pPr>
      <w:r>
        <w:rPr>
          <w:rFonts w:ascii="IRNazanin" w:hAnsi="IRNazanin" w:eastAsia="IRNazanin"/>
          <w:color w:val="111111"/>
          <w:sz w:val="28"/>
          <w:sz w:val="28"/>
          <w:szCs w:val="28"/>
          <w:rtl w:val="true"/>
          <w:lang w:bidi="fa-IR"/>
        </w:rPr>
        <w:t xml:space="preserve">تهمت تحریف قرآن را به شیخ و دیگر علمای شیعه بزند، از آنان نیست </w:t>
      </w:r>
      <w:r>
        <w:rPr>
          <w:rStyle w:val="FootnoteAnchor"/>
          <w:rtl w:val="true"/>
        </w:rPr>
        <w:footnoteReference w:id="172"/>
      </w:r>
      <w:r>
        <w:rPr>
          <w:rFonts w:ascii="IRNazanin" w:hAnsi="IRNazanin" w:eastAsia="IRNazanin"/>
          <w:color w:val="111111"/>
          <w:sz w:val="28"/>
          <w:sz w:val="28"/>
          <w:szCs w:val="28"/>
          <w:rtl w:val="true"/>
          <w:lang w:bidi="fa-IR"/>
        </w:rPr>
        <w:t>بلکه باید گفت سر کینه و عداوت با آنان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سخن شیخ طوسی که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الکلام فی زیادته ونقصانه فمهما لا یلیق به لأنّ الزیادة فیه مجمع علی بطلانه</w:t>
      </w:r>
    </w:p>
    <w:p>
      <w:pPr>
        <w:pStyle w:val="BookText"/>
        <w:rPr/>
      </w:pPr>
      <w:r>
        <w:rPr>
          <w:rFonts w:ascii="IRNazanin" w:hAnsi="IRNazanin" w:eastAsia="IRNazanin"/>
          <w:color w:val="111111"/>
          <w:sz w:val="28"/>
          <w:sz w:val="28"/>
          <w:szCs w:val="28"/>
          <w:rtl w:val="true"/>
          <w:lang w:bidi="fa-IR"/>
        </w:rPr>
        <w:t>والنقصان منه فالظاهر أیضا من مذهب المسلمین خلافه، وهو الألیق بالصحیح من مذهبنا وهو الّذی نصره المرتضی</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نتیجه می‌گیرد که هیچ‌گونه کاستی یا زیادتی در قرآن رخ نداده است و آن دسته اخباری که کاهش آیاتی از قرآن را گزارش می‌دهند، به منزله خبر واحد است، که اصلاً</w:t>
      </w:r>
    </w:p>
    <w:p>
      <w:pPr>
        <w:pStyle w:val="BookText"/>
        <w:rPr/>
      </w:pPr>
      <w:r>
        <w:rPr>
          <w:rFonts w:ascii="IRNazanin" w:hAnsi="IRNazanin" w:eastAsia="IRNazanin"/>
          <w:color w:val="111111"/>
          <w:sz w:val="28"/>
          <w:sz w:val="28"/>
          <w:szCs w:val="28"/>
          <w:rtl w:val="true"/>
          <w:lang w:bidi="fa-IR"/>
        </w:rPr>
        <w:t>موجب علم و یقین نمی‌شود و اعراض از آن سزاوارتر از پرداختن بدان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ظاهربینان شیعی و نیز حشویه از اهل تسنّن کوشیده‌اند با استناد به برخی روایات موجود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به کلینی تهمت تحریف بزنند؛ از جمله مستندات آنها دو روایت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الحسین، عن محمّد بن الحسن، عن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عن أبی جعفر علیه‌السلامانّه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أحدٌ ان یدّعی أنّ عنده القرآن کلّه ظاهره وباطنه غیر الأوصیاء</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 سمعت أبا جعفر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ادّعی أحدٌ من الناس انّه جمع القرآن کلّه کما اُنزل إلاّ کذّاب وما جمعه وحفظه کما أنزل اللّه تعالی إلاّ علیّ بن أبی طالب علیه‌السلاموالأئمّة من بعده علیهم‌السلام </w:t>
      </w:r>
      <w:r>
        <w:rPr>
          <w:rFonts w:eastAsia="IRNazanin" w:cs="IRNazanin"/>
          <w:color w:val="111111"/>
          <w:sz w:val="28"/>
          <w:szCs w:val="28"/>
          <w:rtl w:val="true"/>
          <w:lang w:bidi="fa-IR"/>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در تحلیل این گونه استنباطهای غلط، اعتقاد دارد که نسبت دادن قول تحریف قرآن به کلینی که مجدّد و احیاگر مذهب شیعه در قرن سوم هجری به حساب می‌آید، نسبت نابه‌جایی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خود، در آغاز کتاب کافی، وعده جمع آوری و طبقه‌بندی روایات صحیح را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روایاتی در کافی وارد شده است، باید آن را از باب تقیه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که شیخ صدوق، استاد خود، کلینی را به چشم یکی از طراحان و موافقان تحریف قرآن نگریسته باشد و سپس در استدلال خود در پیرامون نفی تحریف از قرآن، ادّعای اجماع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 شیخ صدوق از هرکس</w:t>
      </w:r>
    </w:p>
    <w:p>
      <w:pPr>
        <w:pStyle w:val="BookText"/>
        <w:rPr/>
      </w:pPr>
      <w:r>
        <w:rPr>
          <w:rFonts w:ascii="IRNazanin" w:hAnsi="IRNazanin" w:eastAsia="IRNazanin"/>
          <w:color w:val="111111"/>
          <w:sz w:val="28"/>
          <w:sz w:val="28"/>
          <w:szCs w:val="28"/>
          <w:rtl w:val="true"/>
          <w:lang w:bidi="fa-IR"/>
        </w:rPr>
        <w:t>دیگری به احوال و عقاید استاد خود، کلینی آگاهتر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باید پذیرفت که نسبت تحریف قرآن به کلینی، اتهامی بیش نیست و آنان که این نسبت را داده‌اند، خود،</w:t>
      </w:r>
    </w:p>
    <w:p>
      <w:pPr>
        <w:pStyle w:val="BookText"/>
        <w:rPr/>
      </w:pPr>
      <w:r>
        <w:rPr>
          <w:rFonts w:ascii="IRNazanin" w:hAnsi="IRNazanin" w:eastAsia="IRNazanin"/>
          <w:color w:val="111111"/>
          <w:sz w:val="28"/>
          <w:sz w:val="28"/>
          <w:szCs w:val="28"/>
          <w:rtl w:val="true"/>
          <w:lang w:bidi="fa-IR"/>
        </w:rPr>
        <w:t>نمی‌دانند چه گفته‌اند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آنچه نهاوندی بیان می‌کند، در تحلیل دو روایتی که از کافی نقل شد، لازم است توضیح علاّمه طباطبائی را هم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اگرچه قسمت نخست 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عنده القرآن کلّه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ظهور در قرآن و مشعر به تحریف قرآن است، امّا باید توجه کرد که قید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 وباطنه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حکایت از آن دارد که مقصود امام، تحریف در الفاظ آیات و سور قرآن نیست، بلکه ناظر بر علم به قرآن، معانی و مفاهیم و استنباط از الفاظ قرآن است، زیرا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درباره الفاظ قرآن به کار نمی‌رود؛ بلکه در خصوص مفاهیم و علم به الفاظ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سخن امام محمّد باقر علیه‌السلامدر روایت فوق،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یستطیع أحدٌ ان یدّعی انّ عنده العلم بجمیع القرآن من حیث معانیه الظاهرة علی الفهم العادی ومعانیه المستنبطة علی الفهم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ذهن و</w:t>
      </w:r>
    </w:p>
    <w:p>
      <w:pPr>
        <w:pStyle w:val="BookText"/>
        <w:rPr/>
      </w:pPr>
      <w:r>
        <w:rPr>
          <w:rFonts w:ascii="IRNazanin" w:hAnsi="IRNazanin" w:eastAsia="IRNazanin"/>
          <w:color w:val="111111"/>
          <w:sz w:val="28"/>
          <w:sz w:val="28"/>
          <w:szCs w:val="28"/>
          <w:rtl w:val="true"/>
          <w:lang w:bidi="fa-IR"/>
        </w:rPr>
        <w:t xml:space="preserve">عقول عادی نمی‌توان به تمام معانی ظاهری و باطنی آیات قرآن دسترسی پیدا کرد، برای دستیابی به علم کامل نسبت به ظاهر و باطن قرآن باید به علوم اهل بیت علیهم‌السلاممراجعه کرد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در تحلیل نهایی خود از روایاتِ موافق تحریف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التحریف مع مخالفتها للکتاب الکریم ووهن سند کثیر منها واعراض أعیان الأصحاب عنها ومخالفتها لحکم العقل والعادة والاعتبار غیر قابل لأنْ یعتدّ بها عاقلٌ فضلاً عن فاضل بل نقل کثیر من الأصحاب الاجماع علی خلافها کماظهر من کاشف الغطاء والشیخ البهائی وغیرهما</w:t>
      </w:r>
      <w:r>
        <w:rPr>
          <w:rFonts w:eastAsia="IRNazanin" w:cs="IRNazanin"/>
          <w:color w:val="111111"/>
          <w:sz w:val="28"/>
          <w:szCs w:val="28"/>
          <w:rtl w:val="true"/>
          <w:lang w:bidi="fa-IR"/>
        </w:rPr>
        <w:t xml:space="preserve">... »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اخبار با نصوص قرآنی مغایرت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 بسیاری از این اخبار سست و ضعیف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دانشمندان مشهور و جمهور امامیّه از مفاد این گونه اخبار اعراض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مفاد این گونه اخبار و روایات نه با عقل سازگاری دارد و نه با کاوشها و تجربیات</w:t>
      </w:r>
    </w:p>
    <w:p>
      <w:pPr>
        <w:pStyle w:val="BookText"/>
        <w:rPr/>
      </w:pPr>
      <w:r>
        <w:rPr>
          <w:rFonts w:ascii="IRNazanin" w:hAnsi="IRNazanin" w:eastAsia="IRNazanin"/>
          <w:color w:val="111111"/>
          <w:sz w:val="28"/>
          <w:sz w:val="28"/>
          <w:szCs w:val="28"/>
          <w:rtl w:val="true"/>
          <w:lang w:bidi="fa-IR"/>
        </w:rPr>
        <w:t>حدیث‌نگاری امامیّه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 فراوانی از اصحاب اجماع در مخالفت با مفاد روایات دالّ بر تحریف به دست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عاقل و فاضلی از صحّت اخبار وقوع تحریف، برائت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با نقل سخنی از شیخ مفید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جماعةٌ من أهل الإمامة انّه لم ینقص من کلمة ولا من آیة ولا من سورة ولکن حذف ما کان مثبتا فی مصحف أمیر المؤمنین علیه‌السلام من تأویله وتفسیر معانیه علی حقیقة تنزیله</w:t>
      </w:r>
      <w:r>
        <w:rPr>
          <w:rFonts w:eastAsia="IRNazanin" w:cs="IRNazanin"/>
          <w:color w:val="111111"/>
          <w:sz w:val="28"/>
          <w:szCs w:val="28"/>
          <w:rtl w:val="true"/>
          <w:lang w:bidi="fa-IR"/>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تکمله‌ای بر تحلیل نهایی خود زده است و در واقع، اعتقاد دارد داوری‌ها و قضاوتهایی که مخالفان مطرح کرده‌اند، ناظر بر مصحفی است که علیّ بن ابی طالب علیه‌السلام تدوین و تنظیم کرد؛ زیرا در مصحف آن حضرت، تأویل و تفسیر آیات در حواشی مصحف نگاشته شد و آن مصحف اکنون در اختیار حجّة بن الحسن المهدی علیه‌السلام است</w:t>
      </w:r>
      <w:r>
        <w:rPr>
          <w:rFonts w:eastAsia="IRNazanin" w:cs="IRNazanin"/>
          <w:color w:val="111111"/>
          <w:sz w:val="28"/>
          <w:szCs w:val="28"/>
          <w:rtl w:val="true"/>
          <w:lang w:bidi="fa-IR"/>
        </w:rPr>
        <w:t>.</w:t>
      </w:r>
      <w:bookmarkStart w:id="219" w:name="pg4391_50993"/>
    </w:p>
    <w:p>
      <w:pPr>
        <w:pStyle w:val="BookText"/>
        <w:rPr/>
      </w:pPr>
      <w:bookmarkEnd w:id="219"/>
      <w:r>
        <w:rPr>
          <w:rFonts w:ascii="IRNazanin" w:hAnsi="IRNazanin" w:eastAsia="IRNazanin"/>
          <w:color w:val="111111"/>
          <w:sz w:val="28"/>
          <w:sz w:val="28"/>
          <w:szCs w:val="28"/>
          <w:rtl w:val="true"/>
          <w:lang w:bidi="fa-IR"/>
        </w:rPr>
        <w:t>مخالفان، وجود مطالب تفسیری و تأویلی در مصحف علی علیه‌السلام را به منزله ظهور تحریف و زیادت در قرآن تلقی کرده‌اند، حال آن که دانشمندان امامیّه از تاریخ نگارش مصحف آن حضرت تا کنون، بارها اظهار داشته‌اند، مردم مکلّف به مصحف آن حضرت نبوده‌اند بلکه همان قرآنی که در اختیار عموم امّت اسلام است، قرآن اصل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وجود چنین اظهارات و ادلّه روشن و قاطع در اثبات حقّانیت قرآن، تکرار ادّعاهای</w:t>
      </w:r>
    </w:p>
    <w:p>
      <w:pPr>
        <w:pStyle w:val="BookText"/>
        <w:rPr/>
      </w:pPr>
      <w:r>
        <w:rPr>
          <w:rFonts w:ascii="IRNazanin" w:hAnsi="IRNazanin" w:eastAsia="IRNazanin"/>
          <w:color w:val="111111"/>
          <w:sz w:val="28"/>
          <w:sz w:val="28"/>
          <w:szCs w:val="28"/>
          <w:rtl w:val="true"/>
          <w:lang w:bidi="fa-IR"/>
        </w:rPr>
        <w:t>دروغین گذشته به منزله آب در هاون کوبیدن است</w:t>
      </w:r>
      <w:r>
        <w:rPr>
          <w:rFonts w:eastAsia="IRNazanin" w:cs="IRNazanin"/>
          <w:color w:val="111111"/>
          <w:sz w:val="28"/>
          <w:szCs w:val="28"/>
          <w:rtl w:val="true"/>
          <w:lang w:bidi="fa-IR"/>
        </w:rPr>
        <w:t>.</w:t>
      </w:r>
    </w:p>
    <w:p>
      <w:pPr>
        <w:pStyle w:val="Heading5"/>
        <w:numPr>
          <w:ilvl w:val="4"/>
          <w:numId w:val="1"/>
        </w:numPr>
        <w:rPr/>
      </w:pPr>
      <w:bookmarkStart w:id="220" w:name="__RefHeading___Toc1438755_1479056682"/>
      <w:bookmarkStart w:id="221" w:name="_Toc86"/>
      <w:bookmarkEnd w:id="220"/>
      <w:r>
        <w:rPr>
          <w:rtl w:val="true"/>
        </w:rPr>
        <w:t>اعجاز قرآن</w:t>
      </w:r>
      <w:bookmarkEnd w:id="221"/>
    </w:p>
    <w:p>
      <w:pPr>
        <w:pStyle w:val="Heading6"/>
        <w:numPr>
          <w:ilvl w:val="5"/>
          <w:numId w:val="1"/>
        </w:numPr>
        <w:rPr/>
      </w:pPr>
      <w:bookmarkStart w:id="222" w:name="__RefHeading___Toc1438757_1479056682"/>
      <w:bookmarkStart w:id="223" w:name="_Toc87"/>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از مجموع گفتارها و تحلیل‌های نهاوندی پیرامون اعجاز قرآن چنین بر می‌آید که از</w:t>
      </w:r>
    </w:p>
    <w:p>
      <w:pPr>
        <w:pStyle w:val="BookText"/>
        <w:rPr/>
      </w:pPr>
      <w:r>
        <w:rPr>
          <w:rFonts w:ascii="IRNazanin" w:hAnsi="IRNazanin" w:eastAsia="IRNazanin"/>
          <w:color w:val="111111"/>
          <w:sz w:val="28"/>
          <w:sz w:val="28"/>
          <w:szCs w:val="28"/>
          <w:rtl w:val="true"/>
          <w:lang w:bidi="fa-IR"/>
        </w:rPr>
        <w:t>نگاه وی، معجزه بودن قرآن و ناتوانی مخالفان در هماوردی با آن، دلیل قاطعی بر</w:t>
      </w:r>
    </w:p>
    <w:p>
      <w:pPr>
        <w:pStyle w:val="BookText"/>
        <w:rPr/>
      </w:pPr>
      <w:r>
        <w:rPr>
          <w:rFonts w:ascii="IRNazanin" w:hAnsi="IRNazanin" w:eastAsia="IRNazanin"/>
          <w:color w:val="111111"/>
          <w:sz w:val="28"/>
          <w:sz w:val="28"/>
          <w:szCs w:val="28"/>
          <w:rtl w:val="true"/>
          <w:lang w:bidi="fa-IR"/>
        </w:rPr>
        <w:t>حقّانیت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علاوه بر مجموعه مباحثی که مطرح می‌کند در طول تفسیر و نیز ذیل آیاتی که به گونه‌ای به اعجاز قرآن اشاره دارد؛ در مقدّمه کتاب، چهار عنوان مستقل به این موضوع اختصاص داده است</w:t>
      </w:r>
      <w:r>
        <w:rPr>
          <w:rFonts w:eastAsia="IRNazanin" w:cs="IRNazanin"/>
          <w:color w:val="111111"/>
          <w:sz w:val="28"/>
          <w:szCs w:val="28"/>
          <w:rtl w:val="true"/>
          <w:lang w:bidi="fa-IR"/>
        </w:rPr>
        <w:t>.</w:t>
      </w:r>
    </w:p>
    <w:p>
      <w:pPr>
        <w:pStyle w:val="Heading6"/>
        <w:numPr>
          <w:ilvl w:val="5"/>
          <w:numId w:val="1"/>
        </w:numPr>
        <w:rPr/>
      </w:pPr>
      <w:bookmarkStart w:id="224" w:name="__RefHeading___Toc1438759_1479056682"/>
      <w:bookmarkStart w:id="225" w:name="_Toc88"/>
      <w:bookmarkEnd w:id="224"/>
      <w:r>
        <w:rPr/>
        <w:t>1</w:t>
      </w:r>
      <w:r>
        <w:rPr>
          <w:rtl w:val="true"/>
        </w:rPr>
        <w:t xml:space="preserve"> - </w:t>
      </w:r>
      <w:r>
        <w:rPr>
          <w:rtl w:val="true"/>
        </w:rPr>
        <w:t>تعریف معجزه و انواع آن</w:t>
      </w:r>
      <w:bookmarkEnd w:id="225"/>
    </w:p>
    <w:p>
      <w:pPr>
        <w:pStyle w:val="BookText"/>
        <w:rPr/>
      </w:pPr>
      <w:r>
        <w:rPr>
          <w:rFonts w:ascii="IRNazanin" w:hAnsi="IRNazanin" w:eastAsia="IRNazanin"/>
          <w:color w:val="111111"/>
          <w:sz w:val="28"/>
          <w:sz w:val="28"/>
          <w:szCs w:val="28"/>
          <w:rtl w:val="true"/>
          <w:lang w:bidi="fa-IR"/>
        </w:rPr>
        <w:t>نهاوندی در تعریف معجزه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 هی الأمر الخارق للعادة المقرون بالتحدّی السالم عن المعارضة من مدّعی النبوّة عند احتمال صدقه فی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را به دو نوع حسّی و عقلی تقسیم کرده است</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او از معجزه با آنچه که سیوطی در اتقان بیان کرده، تفاوتی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المعجزة أمرٌ خارق للعادة مقرون بالتحدّی سالم عن المعارضة وهی امّا حسیّةٌ وامّا عقلیّةٌ</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متعاقب تعریفی که از معجزه کرده است، در تحلیل این که چرا معجزات انبیای بنی‌اسرائیل عموما حسّی است؟ و نیز در پاسخ به این که علّت عقلی بودن معجزه اصلی و جاودانه پیامبر صلی‌الله‌علیه‌و‌آله چیست ؟ پاسخی جز آنچه سیوطی داده است،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معجزات أنبیاء بنی إسرائیل أکثرها حسیّة لبلادة اُممهم و قلّة ذکائهم بخلاف معجزات نبیّنا صلی‌الله‌علیه‌و‌آله فانّ عمدتها عقلیّة لفرط ذکاء اُمّته وکمال فهمه</w:t>
      </w:r>
      <w:r>
        <w:rPr>
          <w:rFonts w:eastAsia="IRNazanin" w:cs="IRNazanin"/>
          <w:color w:val="111111"/>
          <w:sz w:val="28"/>
          <w:szCs w:val="28"/>
          <w:rtl w:val="true"/>
          <w:lang w:bidi="fa-IR"/>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سیوطی نیز به دنبال تعریفی که از معجزه و انواع آن دارد،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وأکثر معجزات بنی إسرائیل کانت حسیّةً لبلادتهم وقلّة بصیرتهم وأکثر معجزات هذه</w:t>
      </w:r>
    </w:p>
    <w:p>
      <w:pPr>
        <w:pStyle w:val="BookText"/>
        <w:rPr/>
      </w:pPr>
      <w:r>
        <w:rPr>
          <w:rFonts w:ascii="Amiri" w:hAnsi="Amiri" w:eastAsia="Amiri" w:cs="Amiri"/>
          <w:color w:val="111111"/>
          <w:sz w:val="28"/>
          <w:sz w:val="28"/>
          <w:szCs w:val="28"/>
          <w:rtl w:val="true"/>
          <w:lang w:bidi="ar-SA"/>
        </w:rPr>
        <w:t>الاُمّة عقلیّةً لفرط ذکائهم وکمال أفهامهم</w:t>
      </w:r>
      <w:r>
        <w:rPr>
          <w:rFonts w:eastAsia="Amiri" w:cs="Amiri" w:ascii="Amiri" w:hAnsi="Amiri"/>
          <w:color w:val="111111"/>
          <w:sz w:val="28"/>
          <w:szCs w:val="28"/>
          <w:rtl w:val="true"/>
          <w:lang w:bidi="ar-SA"/>
        </w:rPr>
        <w:t xml:space="preserve">... »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حالی که بهتر آن بود آثار کلامی متکلّمان و قرآنپژوهان شیعی در تعریف نهاوندی</w:t>
      </w:r>
    </w:p>
    <w:p>
      <w:pPr>
        <w:pStyle w:val="BookText"/>
        <w:rPr/>
      </w:pPr>
      <w:r>
        <w:rPr>
          <w:rFonts w:ascii="IRNazanin" w:hAnsi="IRNazanin" w:eastAsia="IRNazanin"/>
          <w:color w:val="111111"/>
          <w:sz w:val="28"/>
          <w:sz w:val="28"/>
          <w:szCs w:val="28"/>
          <w:rtl w:val="true"/>
          <w:lang w:bidi="fa-IR"/>
        </w:rPr>
        <w:t xml:space="preserve">از معجزه ردّ پایی می‌داشت و ما می‌دانیم که قبل از سیوطی متکلّمان شیعه، کاوشهای علمی قابل توجهی در مسائل کلامی داشته‌اند و به عنوان مثال، خواجه نصیر الدین طوسی </w:t>
      </w:r>
      <w:r>
        <w:rPr>
          <w:rFonts w:eastAsia="IRNazanin" w:cs="IRNazanin"/>
          <w:color w:val="111111"/>
          <w:sz w:val="28"/>
          <w:szCs w:val="28"/>
          <w:rtl w:val="true"/>
          <w:lang w:bidi="fa-IR"/>
        </w:rPr>
        <w:t>(</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تعریف معجزه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وطریق معرفة صدقه ظهور المعجزة علی یده وهو ثبوت ما لیس معتادا أو نفی ما هو معتاد مع خرق العادة ومطابقة الدعوی</w:t>
      </w:r>
      <w:r>
        <w:rPr>
          <w:rFonts w:eastAsia="IRNazanin" w:cs="IRNazanin"/>
          <w:color w:val="111111"/>
          <w:sz w:val="28"/>
          <w:szCs w:val="28"/>
          <w:rtl w:val="true"/>
          <w:lang w:bidi="fa-IR"/>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همو در تحلیل علّت اعجاز قرآن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اعجاز القرآن قیل لفصاحته وقیل لاُسلوبه وفصاحته معا وقیل للصرفة والکلُّ محتملٌ</w:t>
      </w:r>
      <w:r>
        <w:rPr>
          <w:rFonts w:eastAsia="IRNazanin" w:cs="IRNazanin"/>
          <w:color w:val="111111"/>
          <w:sz w:val="28"/>
          <w:szCs w:val="28"/>
          <w:rtl w:val="true"/>
          <w:lang w:bidi="fa-IR"/>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تعریفی که سیوطی از معجزه ارائه داده است، خود، واضع آن نبوده، مع الوصف شایسته آن بود که نهاوندی به عنوان مفسّر شیعی در ارائه تعریف کامل و شامل و جامع به مآخذ کلامی شیعه مراجعه می‌کرد، و حالت سوم آن که با تلفیق دیدگاههای فریقین به ارائه تعریفی مناسبتر می‌پرداخت</w:t>
      </w:r>
      <w:r>
        <w:rPr>
          <w:rFonts w:eastAsia="IRNazanin" w:cs="IRNazanin"/>
          <w:color w:val="111111"/>
          <w:sz w:val="28"/>
          <w:szCs w:val="28"/>
          <w:rtl w:val="true"/>
          <w:lang w:bidi="fa-IR"/>
        </w:rPr>
        <w:t>.</w:t>
      </w:r>
      <w:bookmarkStart w:id="226" w:name="pg4391_50995"/>
    </w:p>
    <w:p>
      <w:pPr>
        <w:pStyle w:val="Heading6"/>
        <w:numPr>
          <w:ilvl w:val="5"/>
          <w:numId w:val="1"/>
        </w:numPr>
        <w:rPr/>
      </w:pPr>
      <w:bookmarkStart w:id="227" w:name="__RefHeading___Toc1438761_1479056682"/>
      <w:bookmarkStart w:id="228" w:name="_Toc89"/>
      <w:bookmarkEnd w:id="226"/>
      <w:bookmarkEnd w:id="227"/>
      <w:r>
        <w:rPr/>
        <w:t>2</w:t>
      </w:r>
      <w:r>
        <w:rPr>
          <w:rtl w:val="true"/>
        </w:rPr>
        <w:t xml:space="preserve"> - </w:t>
      </w:r>
      <w:r>
        <w:rPr>
          <w:rtl w:val="true"/>
        </w:rPr>
        <w:t>نقل روایات در اثبات اعجاز قرآن</w:t>
      </w:r>
      <w:bookmarkEnd w:id="228"/>
    </w:p>
    <w:p>
      <w:pPr>
        <w:pStyle w:val="BookText"/>
        <w:rPr/>
      </w:pPr>
      <w:r>
        <w:rPr>
          <w:rFonts w:ascii="IRNazanin" w:hAnsi="IRNazanin" w:eastAsia="IRNazanin"/>
          <w:color w:val="111111"/>
          <w:sz w:val="28"/>
          <w:sz w:val="28"/>
          <w:szCs w:val="28"/>
          <w:rtl w:val="true"/>
          <w:lang w:bidi="fa-IR"/>
        </w:rPr>
        <w:t>نهاوندی پس از ارائه دیدگاه خویش پیرامون اعجاز قرآن، با استناد به روایات اسلامی در صدد تأیید و تقویت آن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مراجعه به مآخذ روایی عامّه و خاصّه و نقل</w:t>
      </w:r>
    </w:p>
    <w:p>
      <w:pPr>
        <w:pStyle w:val="BookText"/>
        <w:rPr/>
      </w:pPr>
      <w:r>
        <w:rPr>
          <w:rFonts w:ascii="IRNazanin" w:hAnsi="IRNazanin" w:eastAsia="IRNazanin"/>
          <w:color w:val="111111"/>
          <w:sz w:val="28"/>
          <w:sz w:val="28"/>
          <w:szCs w:val="28"/>
          <w:rtl w:val="true"/>
          <w:lang w:bidi="fa-IR"/>
        </w:rPr>
        <w:t>روایاتی، پرده از چگونگی اعجاز قرآن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 مورد استشهاد وی، سخنی است از امام صادق علیه‌السلام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رجلاً سأل أبا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القرآن لا یزداد علی الشرّ والدرس إلاّ غضاضة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تبارک وتعالی لم یجعله لزمان دون زمان ولا ناس دون ناس فهو فی کل زمان جدید وعند کل قومٍ غضٌّ إلی یوم القیامة</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ادامه گفتار خود به روایات دیگری استناد می‌جوید</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نهاوندی از روایات، آن است که معجزه هر پیامبری مخصوص مخاطبان عصر و دوران خویش است جز معجزه محمّد صلی‌الله‌علیه‌و‌آله که با مرور زمان مندرس نمی‌شود و حجّیت خود را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استمرار اعجاز قرآن را هم در ذات و ماهیت کلام الهی در قرآن جست‌وجو می‌کند و هم در جاودانه بودن دین پیامبر صلی‌الله‌علیه‌و‌آله که لازمه آن، جاودانگی اعجاز قرآن است</w:t>
      </w:r>
      <w:r>
        <w:rPr>
          <w:rFonts w:eastAsia="IRNazanin" w:cs="IRNazanin"/>
          <w:color w:val="111111"/>
          <w:sz w:val="28"/>
          <w:szCs w:val="28"/>
          <w:rtl w:val="true"/>
          <w:lang w:bidi="fa-IR"/>
        </w:rPr>
        <w:t>.</w:t>
      </w:r>
    </w:p>
    <w:p>
      <w:pPr>
        <w:pStyle w:val="Heading6"/>
        <w:numPr>
          <w:ilvl w:val="5"/>
          <w:numId w:val="1"/>
        </w:numPr>
        <w:rPr/>
      </w:pPr>
      <w:bookmarkStart w:id="229" w:name="__RefHeading___Toc1438763_1479056682"/>
      <w:bookmarkStart w:id="230" w:name="_Toc90"/>
      <w:bookmarkEnd w:id="229"/>
      <w:r>
        <w:rPr/>
        <w:t>3</w:t>
      </w:r>
      <w:r>
        <w:rPr>
          <w:rtl w:val="true"/>
        </w:rPr>
        <w:t xml:space="preserve"> - </w:t>
      </w:r>
      <w:r>
        <w:rPr>
          <w:rtl w:val="true"/>
        </w:rPr>
        <w:t>دلالت محتوای قرآن بر حقّانیت آن</w:t>
      </w:r>
      <w:bookmarkEnd w:id="23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اعتقاد دارد گذشته از دلایلی که متکلّمان و قرآنپژوهان در وجوه اعجاز و حقّانیت قرآن برشمرده‌اند و تمام آن دلایل دریچه‌ای فراسوی محقّقان می‌گشاید تا حقّانیت قرآن را درک و بلکه لمس کنند، هر فرد عاقل و منصفی که بهره‌ای از فهم زبان و ادبیات عرب دارد و مفهوم حقیقت، علم، بصیرت و مراتب ابتدایی کمال را درک می‌کند، به روشنی می‌تواند با توجه و تعمّق در گفتار پیامبر صلی‌الله‌علیه‌و‌آلهو استماع آیات حق، به حقّانیت آن پی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خواهد دانست چنین مضامین و مفاهیم عالی و لطیفی جز از زبان فردی لطیف</w:t>
      </w:r>
      <w:bookmarkStart w:id="231" w:name="pg4391_50996"/>
    </w:p>
    <w:p>
      <w:pPr>
        <w:pStyle w:val="BookText"/>
        <w:rPr/>
      </w:pPr>
      <w:bookmarkEnd w:id="231"/>
      <w:r>
        <w:rPr>
          <w:rFonts w:ascii="IRNazanin" w:hAnsi="IRNazanin" w:eastAsia="IRNazanin"/>
          <w:color w:val="111111"/>
          <w:sz w:val="28"/>
          <w:sz w:val="28"/>
          <w:szCs w:val="28"/>
          <w:rtl w:val="true"/>
          <w:lang w:bidi="fa-IR"/>
        </w:rPr>
        <w:t>و حکیم و سرچشمه انوار درخش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ربوبی بر زبان کس دیگر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 آیات قرآن در مجموع، بهترین حکایت از توحید ذاتی و صفاتی و افعالی است</w:t>
      </w:r>
      <w:r>
        <w:rPr>
          <w:rFonts w:eastAsia="IRNazanin" w:cs="IRNazanin"/>
          <w:color w:val="111111"/>
          <w:sz w:val="28"/>
          <w:szCs w:val="28"/>
          <w:rtl w:val="true"/>
          <w:lang w:bidi="fa-IR"/>
        </w:rPr>
        <w:t>.</w:t>
      </w:r>
    </w:p>
    <w:p>
      <w:pPr>
        <w:pStyle w:val="Heading6"/>
        <w:numPr>
          <w:ilvl w:val="5"/>
          <w:numId w:val="1"/>
        </w:numPr>
        <w:rPr/>
      </w:pPr>
      <w:bookmarkStart w:id="232" w:name="__RefHeading___Toc1438765_1479056682"/>
      <w:bookmarkStart w:id="233" w:name="_Toc91"/>
      <w:bookmarkEnd w:id="232"/>
      <w:r>
        <w:rPr/>
        <w:t>4</w:t>
      </w:r>
      <w:r>
        <w:rPr>
          <w:rtl w:val="true"/>
        </w:rPr>
        <w:t xml:space="preserve"> - </w:t>
      </w:r>
      <w:r>
        <w:rPr>
          <w:rtl w:val="true"/>
        </w:rPr>
        <w:t>قرآن و علوم</w:t>
      </w:r>
      <w:bookmarkEnd w:id="233"/>
    </w:p>
    <w:p>
      <w:pPr>
        <w:pStyle w:val="BookText"/>
        <w:rPr/>
      </w:pPr>
      <w:r>
        <w:rPr>
          <w:rFonts w:ascii="IRNazanin" w:hAnsi="IRNazanin" w:eastAsia="IRNazanin"/>
          <w:color w:val="111111"/>
          <w:sz w:val="28"/>
          <w:sz w:val="28"/>
          <w:szCs w:val="28"/>
          <w:rtl w:val="true"/>
          <w:lang w:bidi="fa-IR"/>
        </w:rPr>
        <w:t>نهاوندی اعتقاد دارد قرآن، مشتمل بر تمام علوم است، هیچ علم و دانشی نیست که بنیاد منطقی داشته باشد، مگر این که اثر و نشانی از آن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علاوه بر آن که به شرح مسائل تاریخی، اخلاقی، روانشناختی، سیاسی، قصص، عبادی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به علوم و دانش‌های مختلف نیز اشاره کرده است، اگرچه اشارات آن تلویحی و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آفرینش انسان، چگونگی کرات و منظومه شمسی، چگونگی آفرینش کرات آس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 مسائل مرتبط با نور، سایه، حرکت، خسوف و کسوف، حیات جانداران، برزخ، معاد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چگونگی آفرینش شتر و زنبور عسل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 و تأثیرات روانی و معنوی آن بر افکار و روان انسان در قرآن مورد اشاره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توجه در یک کتاب به تمام اشیاء و مراتب هستی، باعث شگفتی است و براستی بهترین دلیل بر جامعیت علمی قرآن و حقّانیت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در این 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القرآن العظیم قد اشتمل علی کل شیءٍ، امّا أنواع العلوم، فلیس منها باب ولا مسألةٌ هی</w:t>
      </w:r>
    </w:p>
    <w:p>
      <w:pPr>
        <w:pStyle w:val="BookText"/>
        <w:rPr/>
      </w:pPr>
      <w:r>
        <w:rPr>
          <w:rFonts w:ascii="Amiri" w:hAnsi="Amiri" w:eastAsia="Amiri" w:cs="Amiri"/>
          <w:color w:val="111111"/>
          <w:sz w:val="28"/>
          <w:sz w:val="28"/>
          <w:szCs w:val="28"/>
          <w:rtl w:val="true"/>
          <w:lang w:bidi="ar-SA"/>
        </w:rPr>
        <w:t>أصلٌ إلاّ وفی القرآن ما یدلّ علیها ولا یعلمها إلاّ الرّاسخون</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جای دیگر، راسخون را این گونه معرفی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المراد من الرّاسخون، من لا یکون علمه عن رأی واجتهاد حتّی یتغیّر فتواه ویختلف حکمه وهم الّذین یکون علمهم بافاضة اللّه والهامه کالنبی صلی‌الله‌علیه‌و‌آله وأوصیائه وخلفائه</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جمع این دو سخن چنین استنباط می‌شود که، قرآن مشوّق انسان به فراگیری انواع علوم است و هیچ دانشی نیست مگر آن که قرآن، به فراگیری آن توجه نشان داده و هر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دانشی که اصل و اساسی در جهان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با ماوراء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نشانی از آن در قرآن وجود دارد، انسانها می‌توانند وجه ارتباط این علوم را با قرآن دریابند و هرگز تنافر و تضادّی بین قرآن و علم وجود ندارد، امّا باید به این نکته متذکّر شد که</w:t>
      </w:r>
    </w:p>
    <w:p>
      <w:pPr>
        <w:pStyle w:val="BookText"/>
        <w:rPr/>
      </w:pPr>
      <w:r>
        <w:rPr>
          <w:rFonts w:ascii="IRNazanin" w:hAnsi="IRNazanin" w:eastAsia="IRNazanin"/>
          <w:color w:val="111111"/>
          <w:sz w:val="28"/>
          <w:sz w:val="28"/>
          <w:szCs w:val="28"/>
          <w:rtl w:val="true"/>
          <w:lang w:bidi="fa-IR"/>
        </w:rPr>
        <w:t>انسانهای عادی توان فهم تمام ارتباطات موجود بین علوم و قرآن را ندارند، بلکه این از</w:t>
      </w:r>
    </w:p>
    <w:p>
      <w:pPr>
        <w:pStyle w:val="BookText"/>
        <w:rPr/>
      </w:pPr>
      <w:r>
        <w:rPr>
          <w:rFonts w:ascii="IRNazanin" w:hAnsi="IRNazanin" w:eastAsia="IRNazanin"/>
          <w:color w:val="111111"/>
          <w:sz w:val="28"/>
          <w:sz w:val="28"/>
          <w:szCs w:val="28"/>
          <w:rtl w:val="true"/>
          <w:lang w:bidi="fa-IR"/>
        </w:rPr>
        <w:t>توانایی‌های پیامبران و امامان علیهم‌السلاماست؛ زیرا نهاوندی در انتهای کلام خود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یعلمها إلاّ الرّاسخون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منظور از این قید نفی انسان غیر معصوم از فهم این گونه علوم نیست، بلکه اشاره به آن دارد که قلمرو نهایی ارتباط علوم و قرآن را باید در دانش پیامبر صلی‌الله‌علیه‌و‌آله و ائمّه علیهم‌السلامجست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قرآنپژوهان معاصر نیز به این حقیقت اشاره کرده‌اند که قرآن دربردارنده</w:t>
      </w:r>
    </w:p>
    <w:p>
      <w:pPr>
        <w:pStyle w:val="BookText"/>
        <w:rPr/>
      </w:pPr>
      <w:r>
        <w:rPr>
          <w:rFonts w:ascii="IRNazanin" w:hAnsi="IRNazanin" w:eastAsia="IRNazanin"/>
          <w:color w:val="111111"/>
          <w:sz w:val="28"/>
          <w:sz w:val="28"/>
          <w:szCs w:val="28"/>
          <w:rtl w:val="true"/>
          <w:lang w:bidi="fa-IR"/>
        </w:rPr>
        <w:t>کلّیات علوم و دانشهای موجود است ولی انتظار کشف جزئیّات علوم در لا به لای آیات قرآن، انتظار نا به جایی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و مبادی تمام علوم در قرآن مندرج است، امین الخولی، قرآنپژوه مصری و مترجم و محقّق دایره‌المعارف اسلامی با اقتباس از سخنان</w:t>
      </w:r>
    </w:p>
    <w:p>
      <w:pPr>
        <w:pStyle w:val="BookText"/>
        <w:rPr/>
      </w:pPr>
      <w:r>
        <w:rPr>
          <w:rFonts w:ascii="IRNazanin" w:hAnsi="IRNazanin" w:eastAsia="IRNazanin"/>
          <w:color w:val="111111"/>
          <w:sz w:val="28"/>
          <w:sz w:val="28"/>
          <w:szCs w:val="28"/>
          <w:rtl w:val="true"/>
          <w:lang w:bidi="fa-IR"/>
        </w:rPr>
        <w:t>غزالی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کلّ ما أشکَلَ فهمُه علی النظّار و اختلف فیه الخلائق فی النظریّات والمعقولات، ففی</w:t>
      </w:r>
    </w:p>
    <w:p>
      <w:pPr>
        <w:pStyle w:val="BookText"/>
        <w:rPr/>
      </w:pPr>
      <w:r>
        <w:rPr>
          <w:rFonts w:ascii="IRNazanin" w:hAnsi="IRNazanin" w:eastAsia="IRNazanin"/>
          <w:color w:val="111111"/>
          <w:sz w:val="28"/>
          <w:sz w:val="28"/>
          <w:szCs w:val="28"/>
          <w:rtl w:val="true"/>
          <w:lang w:bidi="fa-IR"/>
        </w:rPr>
        <w:t>القرآن إلیه رموزٌ ودلالات علیه وانّ القرآن یشیر إلی مجامع العلوم کلّها</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اعتقاد وی، هیچ مسأله علمی اعم از معقولات و منقولات یافت نمی‌شود که نقّادان و پژوهشگران هنگام بحث پیرامون آن دچار اختلاف‌نظر شده باشند، مگر آن که راز آن علوم در قرآن وجود دارد، و می‌توان با مراجعه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تفسیر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را برطرف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بدون آن که وارد جزئیّات علوم گردد، صرفا کلّیاتی پیرامون آن بیان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الخولی به دنبال غزالی پس از برشمردن علوم مختلفی که ریشه و اساس در قرآن دارند،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یعقّب بأنّ هذه العلوم، ما عددناها وما لم نعدّ، لیست اوائلها خارجةً عن القرآن؛ فانّ</w:t>
      </w:r>
    </w:p>
    <w:p>
      <w:pPr>
        <w:pStyle w:val="BookText"/>
        <w:rPr/>
      </w:pPr>
      <w:r>
        <w:rPr>
          <w:rFonts w:ascii="IRNazanin" w:hAnsi="IRNazanin" w:eastAsia="IRNazanin"/>
          <w:color w:val="111111"/>
          <w:sz w:val="28"/>
          <w:sz w:val="28"/>
          <w:szCs w:val="28"/>
          <w:rtl w:val="true"/>
          <w:lang w:bidi="fa-IR"/>
        </w:rPr>
        <w:t>جمیعها مغترفةٌ مِن بحرٍ واحد من بحار معرفة اللّه تعالی</w:t>
      </w:r>
      <w:r>
        <w:rPr>
          <w:rFonts w:eastAsia="IRNazanin" w:cs="IRNazanin"/>
          <w:color w:val="111111"/>
          <w:sz w:val="28"/>
          <w:szCs w:val="28"/>
          <w:rtl w:val="true"/>
          <w:lang w:bidi="fa-IR"/>
        </w:rPr>
        <w:t xml:space="preserve">... »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او، خلاصه و پله‌های آغازین علوم تماما در قرآن مورد اشاره قرار گرفته است</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متذکّر این نکته می‌شود که انتظار استخراج علوم و جزئیّات مربوط به آن از قرآن، انتظار</w:t>
      </w:r>
    </w:p>
    <w:p>
      <w:pPr>
        <w:pStyle w:val="BookText"/>
        <w:rPr/>
      </w:pPr>
      <w:r>
        <w:rPr>
          <w:rFonts w:ascii="IRNazanin" w:hAnsi="IRNazanin" w:eastAsia="IRNazanin"/>
          <w:color w:val="111111"/>
          <w:sz w:val="28"/>
          <w:sz w:val="28"/>
          <w:szCs w:val="28"/>
          <w:rtl w:val="true"/>
          <w:lang w:bidi="fa-IR"/>
        </w:rPr>
        <w:t>عبثی است بلکه نقش قرآن در ارتباط با علوم صرفا، در حدّ تشویق و ترغیب به علوم</w:t>
      </w:r>
    </w:p>
    <w:p>
      <w:pPr>
        <w:pStyle w:val="BookText"/>
        <w:rPr/>
      </w:pPr>
      <w:r>
        <w:rPr>
          <w:rFonts w:ascii="IRNazanin" w:hAnsi="IRNazanin" w:eastAsia="IRNazanin"/>
          <w:color w:val="111111"/>
          <w:sz w:val="28"/>
          <w:sz w:val="28"/>
          <w:szCs w:val="28"/>
          <w:rtl w:val="true"/>
          <w:lang w:bidi="fa-IR"/>
        </w:rPr>
        <w:t>است، اگرچه کلّیات و سرنخ‌های علوم را معرّفی کرده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نهاوندی، سخن گفتن قرآن از علوم و تشویق انسان به تفکّر و ژرف‌نگری در اسرار نظام خلقت و مؤاخذه جهل و ظلمت ورکود و سستی و عدم تساوی بین دانایان و نادانان و تلاش به منظور کشف آیات انفسی و آفاقی تا مرحله‌ای که موجب حصول به یقین باشد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دلیل بر حقّانیت قرآن است</w:t>
      </w:r>
      <w:r>
        <w:rPr>
          <w:rFonts w:eastAsia="IRNazanin" w:cs="IRNazanin"/>
          <w:color w:val="111111"/>
          <w:sz w:val="28"/>
          <w:szCs w:val="28"/>
          <w:rtl w:val="true"/>
          <w:lang w:bidi="fa-IR"/>
        </w:rPr>
        <w:t>.</w:t>
      </w:r>
      <w:bookmarkStart w:id="234" w:name="pg4391_50999"/>
    </w:p>
    <w:p>
      <w:pPr>
        <w:pStyle w:val="Heading4"/>
        <w:numPr>
          <w:ilvl w:val="3"/>
          <w:numId w:val="1"/>
        </w:numPr>
        <w:rPr/>
      </w:pPr>
      <w:bookmarkStart w:id="235" w:name="__RefHeading___Toc1438767_1479056682"/>
      <w:bookmarkStart w:id="236" w:name="_Toc92"/>
      <w:bookmarkEnd w:id="234"/>
      <w:bookmarkEnd w:id="235"/>
      <w:r>
        <w:rPr>
          <w:rtl w:val="true"/>
        </w:rPr>
        <w:t xml:space="preserve">فصل هشتم </w:t>
      </w:r>
      <w:r>
        <w:rPr>
          <w:rtl w:val="true"/>
        </w:rPr>
        <w:t xml:space="preserve">- </w:t>
      </w:r>
      <w:r>
        <w:rPr>
          <w:rtl w:val="true"/>
        </w:rPr>
        <w:t>بررسی صفات و ویژگی‌های قرآن از نگاه نهاوندی</w:t>
      </w:r>
      <w:bookmarkEnd w:id="236"/>
    </w:p>
    <w:p>
      <w:pPr>
        <w:pStyle w:val="Heading5"/>
        <w:numPr>
          <w:ilvl w:val="4"/>
          <w:numId w:val="1"/>
        </w:numPr>
        <w:rPr/>
      </w:pPr>
      <w:bookmarkStart w:id="237" w:name="__RefHeading___Toc1438769_1479056682"/>
      <w:bookmarkStart w:id="238" w:name="_Toc93"/>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قرآن در نگاه نهاوندی، قداست ذاتی دارد؛ زیرا کلام اللّه چون صاحب کلام که قدّوس است، مقدّس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قداست، موجب ظهور صفات و ویژگی‌هایی در کلام اللّه می‌شود که به موجب آن هم از دیگر کتابهای آسمانی ممتاز می‌گردد و هم قراءت آن اصالت می‌یابد و ثواب دارد و هم باعث اعجاز آیات و سور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و ویژگی‌های قرآن را می‌توان از بررسی اسامی و اوصاف مذکور در قرآن و نیز از طریق روایات که فضایل خاصّی برای آیات و سور و آموزش و فراگیری آن قایل شده‌اند، به دست آورد</w:t>
      </w:r>
      <w:r>
        <w:rPr>
          <w:rFonts w:eastAsia="IRNazanin" w:cs="IRNazanin"/>
          <w:color w:val="111111"/>
          <w:sz w:val="28"/>
          <w:szCs w:val="28"/>
          <w:rtl w:val="true"/>
          <w:lang w:bidi="fa-IR"/>
        </w:rPr>
        <w:t>.</w:t>
      </w:r>
    </w:p>
    <w:p>
      <w:pPr>
        <w:pStyle w:val="Heading5"/>
        <w:numPr>
          <w:ilvl w:val="4"/>
          <w:numId w:val="1"/>
        </w:numPr>
        <w:rPr/>
      </w:pPr>
      <w:bookmarkStart w:id="239" w:name="__RefHeading___Toc1438771_1479056682"/>
      <w:bookmarkStart w:id="240" w:name="_Toc94"/>
      <w:bookmarkEnd w:id="239"/>
      <w:r>
        <w:rPr>
          <w:rtl w:val="true"/>
        </w:rPr>
        <w:t>اسامی و صفات قرآن</w:t>
      </w:r>
      <w:bookmarkEnd w:id="240"/>
    </w:p>
    <w:p>
      <w:pPr>
        <w:pStyle w:val="BookText"/>
        <w:rPr/>
      </w:pPr>
      <w:r>
        <w:rPr>
          <w:rFonts w:ascii="IRNazanin" w:hAnsi="IRNazanin" w:eastAsia="IRNazanin"/>
          <w:color w:val="111111"/>
          <w:sz w:val="28"/>
          <w:sz w:val="28"/>
          <w:szCs w:val="28"/>
          <w:rtl w:val="true"/>
          <w:lang w:bidi="fa-IR"/>
        </w:rPr>
        <w:t>برخی قرآنپژوهان به غلط برای قرآن، اسامی متعدّدی را مطرح ساخته و در استدلال مدّعای خویش به تصریحات قرآنی استناد کرده‌اند، حتّی برخی قرآنپژوهان اهل تسنّن</w:t>
      </w:r>
    </w:p>
    <w:p>
      <w:pPr>
        <w:pStyle w:val="BookText"/>
        <w:rPr/>
      </w:pPr>
      <w:r>
        <w:rPr>
          <w:rFonts w:ascii="IRNazanin" w:hAnsi="IRNazanin" w:eastAsia="IRNazanin"/>
          <w:color w:val="111111"/>
          <w:sz w:val="28"/>
          <w:sz w:val="28"/>
          <w:szCs w:val="28"/>
          <w:rtl w:val="true"/>
          <w:lang w:bidi="fa-IR"/>
        </w:rPr>
        <w:t>بیش از پنجاه اسم برای قرآن برشمرده‌اند، و بعضی دیگر نیز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در تحلیل سخن این گونه نویسندگان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کلماتی که این گونه قرآنپژوهان به</w:t>
      </w:r>
    </w:p>
    <w:p>
      <w:pPr>
        <w:pStyle w:val="BookText"/>
        <w:rPr/>
      </w:pPr>
      <w:r>
        <w:rPr>
          <w:rFonts w:ascii="IRNazanin" w:hAnsi="IRNazanin" w:eastAsia="IRNazanin"/>
          <w:color w:val="111111"/>
          <w:sz w:val="28"/>
          <w:sz w:val="28"/>
          <w:szCs w:val="28"/>
          <w:rtl w:val="true"/>
          <w:lang w:bidi="fa-IR"/>
        </w:rPr>
        <w:t>عنوان اسامی قرآن یاد کرده‌اند، القاب و اوصاف قرآن به شمار می‌رود، و قرآن در واقع</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یک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نهاوندی در مقایسه با آرا و نظریّات مفسّران و قرآنپژوهان شیعی و سنّی، از ویژگی و درخشش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برخلاف متقدّمان از مفسّران شیعه که اسامی قرآن را به چهار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فرقان، کتاب،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تقلیل داده‌اند، فقط یک لفظ و آن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نام کتاب آسمانی پیامبر اکرم صلی‌الله‌علیه‌و‌آله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آثار محقّقان و مفسّران نشان می‌دهد برخی از خوش‌سیمایان علم تفسیر برای قرآن چهار اسم مطرح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فرقان، کتاب، ذکر</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و در اثبات گفته خویش به تصریح قرآن به این گونه اسامی اشاره کرده‌اند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نیز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را برای قرآن برگزیده و نامهای قرآن را به پنج مورد رسانده‌اند و عجیب از فخر رازی که به فطانت و تعقّل شهرت دارد، ولی به خطا بیش از سی‌و دو نام برای قرآن تنظیم کرده </w:t>
      </w:r>
      <w:r>
        <w:rPr>
          <w:rStyle w:val="FootnoteAnchor"/>
          <w:rtl w:val="true"/>
        </w:rPr>
        <w:footnoteReference w:id="194"/>
      </w:r>
      <w:r>
        <w:rPr>
          <w:rFonts w:ascii="IRNazanin" w:hAnsi="IRNazanin" w:eastAsia="IRNazanin"/>
          <w:color w:val="111111"/>
          <w:sz w:val="28"/>
          <w:sz w:val="28"/>
          <w:szCs w:val="28"/>
          <w:rtl w:val="true"/>
          <w:lang w:bidi="fa-IR"/>
        </w:rPr>
        <w:t xml:space="preserve">و گروهی دیگر از دانشمندان چون سیوطی </w:t>
      </w:r>
      <w:r>
        <w:rPr>
          <w:rStyle w:val="FootnoteAnchor"/>
          <w:rtl w:val="true"/>
        </w:rPr>
        <w:footnoteReference w:id="195"/>
      </w:r>
      <w:r>
        <w:rPr>
          <w:rFonts w:ascii="IRNazanin" w:hAnsi="IRNazanin" w:eastAsia="IRNazanin"/>
          <w:color w:val="111111"/>
          <w:sz w:val="28"/>
          <w:sz w:val="28"/>
          <w:szCs w:val="28"/>
          <w:rtl w:val="true"/>
          <w:lang w:bidi="fa-IR"/>
        </w:rPr>
        <w:t xml:space="preserve">و زرکشی </w:t>
      </w:r>
      <w:r>
        <w:rPr>
          <w:rStyle w:val="FootnoteAnchor"/>
          <w:rtl w:val="true"/>
        </w:rPr>
        <w:footnoteReference w:id="196"/>
      </w:r>
      <w:r>
        <w:rPr>
          <w:rFonts w:ascii="IRNazanin" w:hAnsi="IRNazanin" w:eastAsia="IRNazanin"/>
          <w:color w:val="111111"/>
          <w:sz w:val="28"/>
          <w:sz w:val="28"/>
          <w:szCs w:val="28"/>
          <w:rtl w:val="true"/>
          <w:lang w:bidi="fa-IR"/>
        </w:rPr>
        <w:t>بیش از پنجاه اسم برای قرآن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نیز بدون ملاحظه جوانب موضوع، بیش از نود اسم فهرست کرده‌اند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در آغاز سخن خود پیرامون نام و اوصاف قرآن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انّ اللّه تعالی سمّی کتابه العزیز بخمسة وخمسین اسما کالقرآن، والذکر وأحسن الحدیث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انّ جمیعها ألقاب وأوصاف له إلاّ القرآن، فانّ الأقوی والأظهر أن یکون عَلَما له یوضع اللّه تعالی</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لذا او تمام الفاظی را که مفسّران و قرآنپژوهان قبل از خود به عنوان اسامی قرآن یاد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کرده‌اند، تحت عنوان اوصاف و القاب قرآن یاد می‌کند و تنها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اسم</w:t>
      </w:r>
    </w:p>
    <w:p>
      <w:pPr>
        <w:pStyle w:val="BookText"/>
        <w:rPr/>
      </w:pPr>
      <w:r>
        <w:rPr>
          <w:rFonts w:ascii="IRNazanin" w:hAnsi="IRNazanin" w:eastAsia="IRNazanin"/>
          <w:color w:val="111111"/>
          <w:sz w:val="28"/>
          <w:sz w:val="28"/>
          <w:szCs w:val="28"/>
          <w:rtl w:val="true"/>
          <w:lang w:bidi="fa-IR"/>
        </w:rPr>
        <w:t xml:space="preserve">علم بر قرآن برشمرده و وضع و نامگذاری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توقیفی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نگاه نهاوندی کتابی است با صفات و ویژگی‌های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بیش از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ذکر شده و بر دوازده موضوع اطلاق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فرقان، الفرقان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لفظ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است، در دو مورد در توصیف قرآن و دو مورد اشاره به تورات و در موارد دیگر به عنوان عامل تشخیص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این جهت که بین حق و باطل، حلال و حرام، مجمل و مبیّن، محکم و متشابه</w:t>
      </w:r>
    </w:p>
    <w:p>
      <w:pPr>
        <w:pStyle w:val="BookText"/>
        <w:rPr/>
      </w:pPr>
      <w:r>
        <w:rPr>
          <w:rFonts w:ascii="IRNazanin" w:hAnsi="IRNazanin" w:eastAsia="IRNazanin"/>
          <w:color w:val="111111"/>
          <w:sz w:val="28"/>
          <w:sz w:val="28"/>
          <w:szCs w:val="28"/>
          <w:rtl w:val="true"/>
          <w:lang w:bidi="fa-IR"/>
        </w:rPr>
        <w:t>جدایی ایجاد کرده و به قاری خود، قدرت تمییز می‌دهد، به فرقان وصف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ذکر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و دارای معانی و وجوه متعدّدی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تنزیل، الشعراء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به کار رفته، دلالت بر نزول تدریجی قرآن دارد، براساس برخی روایات، ظاهر آیات و الفاظ قرآن را تنزیل می‌گویند و باطن آن را تأویل، و از آن جهت که آیات از جانب خدا نازل شده به تنزیل توصیف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 است زیرا انسان در پرتو درخشش احکام و تعالیم آن از</w:t>
      </w:r>
    </w:p>
    <w:p>
      <w:pPr>
        <w:pStyle w:val="BookText"/>
        <w:rPr/>
      </w:pPr>
      <w:r>
        <w:rPr>
          <w:rFonts w:ascii="IRNazanin" w:hAnsi="IRNazanin" w:eastAsia="IRNazanin"/>
          <w:color w:val="111111"/>
          <w:sz w:val="28"/>
          <w:sz w:val="28"/>
          <w:szCs w:val="28"/>
          <w:rtl w:val="true"/>
          <w:lang w:bidi="fa-IR"/>
        </w:rPr>
        <w:t>تاریکی نجات یافته و سعادت را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رحمت،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رحمت است، زیرا کلام خداست و خداوند نیز رحمان و رحیم، فبذلک فلیفرحوا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شفاء، 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شفای دردهای روحی، روانی و ذهنی انسان و بلکه شفای دردهای جسمی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موعظه،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پند و موعظه‌ای از سوی پروردگار است و دلهای خفته و</w:t>
      </w:r>
    </w:p>
    <w:p>
      <w:pPr>
        <w:pStyle w:val="BookText"/>
        <w:rPr/>
      </w:pPr>
      <w:r>
        <w:rPr>
          <w:rFonts w:ascii="IRNazanin" w:hAnsi="IRNazanin" w:eastAsia="IRNazanin"/>
          <w:color w:val="111111"/>
          <w:sz w:val="28"/>
          <w:sz w:val="28"/>
          <w:szCs w:val="28"/>
          <w:rtl w:val="true"/>
          <w:lang w:bidi="fa-IR"/>
        </w:rPr>
        <w:t>بیدار را متعظ کرده، صفای دل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کریم، الواقعة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و کلام کریم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کرامت می‌بخشد و توجه نظری و عملی به پیامهایش کرامت و بزرگی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حکیم است؛ هم کلام پروردگار حکیم است و هم</w:t>
      </w:r>
    </w:p>
    <w:p>
      <w:pPr>
        <w:pStyle w:val="BookText"/>
        <w:rPr/>
      </w:pPr>
      <w:r>
        <w:rPr>
          <w:rFonts w:ascii="IRNazanin" w:hAnsi="IRNazanin" w:eastAsia="IRNazanin"/>
          <w:color w:val="111111"/>
          <w:sz w:val="28"/>
          <w:sz w:val="28"/>
          <w:szCs w:val="28"/>
          <w:rtl w:val="true"/>
          <w:lang w:bidi="fa-IR"/>
        </w:rPr>
        <w:t>خود، حکیم است، آدمیان را از انحراف نجات می‌دهد و به صراط مستقیم رهنمون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مُهَیْمِن، المائدة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مهیمن است؛ کلام او نیز مهیمن و نگه‌دارنده و اطمینان‌بخش دلها و اندیشه‌هاست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مبارک، ص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کتاب را مبارک توصیف می‌کند و می‌فرماید که موجب گستردگی، توسعه و فراوانی رزق‌های مادّی و معنوی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حَبْل،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منزله ریسمانی است که هدایت بنده به سوی پروردگار را به دنبال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 الکهف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پابرجا و استوار و بدون سستی و فطور است و موجب قوام و ثبات اندیشه و ایمان در فرد و جامعه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 الطارق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فصل تمام سخنان است و بین حق و باطل جدایی ایجاد کرده، مرز نور و ظلمت را مشخّص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أحسن الحدیث، 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سخنی که دل و جان و روان آدمی از شنیدن آن متعظ و مسرور می‌شود، قرآن است و هیچ کلامی در حقّانیت به آن نمی‌رسد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روح است و حیات طیّبه را برای بشریت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جوامعی که گرایشهای علمی به قرآن ندارند، به نوعی مرده‌اند و فاقد روح و حیات طیّبه می‌باشند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مَثانی، الحجر </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مثانی است و آیات آن دو به دو به تأیید و تنظیر و تأکید برهم پرداخته و هر بخش آن مفسّر و مؤیّد بخشی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الجاثیة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موجب بصیرت و روشنی چشم و اندیشه مؤمنان است،</w:t>
      </w:r>
    </w:p>
    <w:p>
      <w:pPr>
        <w:pStyle w:val="BookText"/>
        <w:rPr/>
      </w:pPr>
      <w:r>
        <w:rPr>
          <w:rFonts w:ascii="IRNazanin" w:hAnsi="IRNazanin" w:eastAsia="IRNazanin"/>
          <w:color w:val="111111"/>
          <w:sz w:val="28"/>
          <w:sz w:val="28"/>
          <w:szCs w:val="28"/>
          <w:rtl w:val="true"/>
          <w:lang w:bidi="fa-IR"/>
        </w:rPr>
        <w:t>افق‌های زندگی را فراسوی انسان قابل رؤیت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هادی، الاسراء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هدایت‌کننده انسان به شناخت حق و عبودیت و سعادت است و هیچ کس در پناه آن گمراه نمی‌شود مگر آن که از ستمگران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عَجَب، الجن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سخن عجیبی است و موجب حیرت و شگفتی انسان و جن می‌شود و هیچ سخن و کلامی، اعجاز بیانی قرآن را ندارد</w:t>
      </w:r>
      <w:r>
        <w:rPr>
          <w:rFonts w:eastAsia="IRNazanin" w:cs="IRNazanin"/>
          <w:color w:val="111111"/>
          <w:sz w:val="28"/>
          <w:szCs w:val="28"/>
          <w:rtl w:val="true"/>
          <w:lang w:bidi="fa-IR"/>
        </w:rPr>
        <w:t>.</w:t>
      </w:r>
      <w:bookmarkStart w:id="241" w:name="pg4391_51003"/>
    </w:p>
    <w:p>
      <w:pPr>
        <w:pStyle w:val="BookText"/>
        <w:rPr/>
      </w:pPr>
      <w:bookmarkEnd w:id="24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متشابه، الزمر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متشابه است و تمام آیات و سور آن در دلالت بر حقیقت، شبیه یکدیگر است و هر ویژگی و اعجاز و ظرافتی که در آیه‌ای از آن دیده شود، دیگر آیات نیز وجود دارد؛ و سرانجام باید گفت قرآن، کتاب عدل و ایمان و بشارت است که مجد و عظمت را همراه دارد و برای انسانها عزّت و علم به ارمغان می‌آورد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قبل از ورود به تفسیر، قرآن را با چنین اوصافی توصیف کرده و در طول تفسیر با دلایل و شواهد متعدّدی مواجه می‌شود که هریک به نوعی صفات فوق را برای قرآن اثبات می‌کنند و قطعا برخورداری مفسّر از چنین نگرشی نسبت به کتاب آسمانی،</w:t>
      </w:r>
    </w:p>
    <w:p>
      <w:pPr>
        <w:pStyle w:val="BookText"/>
        <w:rPr/>
      </w:pPr>
      <w:r>
        <w:rPr>
          <w:rFonts w:ascii="IRNazanin" w:hAnsi="IRNazanin" w:eastAsia="IRNazanin"/>
          <w:color w:val="111111"/>
          <w:sz w:val="28"/>
          <w:sz w:val="28"/>
          <w:szCs w:val="28"/>
          <w:rtl w:val="true"/>
          <w:lang w:bidi="fa-IR"/>
        </w:rPr>
        <w:t>او را در شیوه‌های تفسیر و انگیزه‌های درونی مفسّر یاری می‌کند و هر لحظه که پیش می‌رود، در انتظار فروغ و تابش جلوه‌های نور و بصیرت و خرد و روح و شفاء و هدایت قرآنی است</w:t>
      </w:r>
      <w:r>
        <w:rPr>
          <w:rFonts w:eastAsia="IRNazanin" w:cs="IRNazanin"/>
          <w:color w:val="111111"/>
          <w:sz w:val="28"/>
          <w:szCs w:val="28"/>
          <w:rtl w:val="true"/>
          <w:lang w:bidi="fa-IR"/>
        </w:rPr>
        <w:t>.</w:t>
      </w:r>
    </w:p>
    <w:p>
      <w:pPr>
        <w:pStyle w:val="Heading5"/>
        <w:numPr>
          <w:ilvl w:val="4"/>
          <w:numId w:val="1"/>
        </w:numPr>
        <w:rPr/>
      </w:pPr>
      <w:bookmarkStart w:id="242" w:name="__RefHeading___Toc1438773_1479056682"/>
      <w:bookmarkStart w:id="243" w:name="_Toc95"/>
      <w:bookmarkEnd w:id="242"/>
      <w:r>
        <w:rPr>
          <w:rtl w:val="true"/>
        </w:rPr>
        <w:t>افضلیّت قرآن بر تمام کتابهای آسمانی</w:t>
      </w:r>
      <w:bookmarkEnd w:id="243"/>
    </w:p>
    <w:p>
      <w:pPr>
        <w:pStyle w:val="BookText"/>
        <w:rPr/>
      </w:pPr>
      <w:r>
        <w:rPr>
          <w:rFonts w:ascii="IRNazanin" w:hAnsi="IRNazanin" w:eastAsia="IRNazanin"/>
          <w:color w:val="111111"/>
          <w:sz w:val="28"/>
          <w:sz w:val="28"/>
          <w:szCs w:val="28"/>
          <w:rtl w:val="true"/>
          <w:lang w:bidi="fa-IR"/>
        </w:rPr>
        <w:t>نهاوندی اعتقاد دارد هیچ کلام و سخن و کتابی حتّی کتابهای آسمانی که پیامبران پیشین مبلّغ و پیام‌آور آن بودند، از نظر فضیلت و شرف و قداست با قرآن برابری</w:t>
      </w:r>
    </w:p>
    <w:p>
      <w:pPr>
        <w:pStyle w:val="BookText"/>
        <w:rPr/>
      </w:pPr>
      <w:r>
        <w:rPr>
          <w:rFonts w:ascii="IRNazanin" w:hAnsi="IRNazanin" w:eastAsia="IRNazanin"/>
          <w:color w:val="111111"/>
          <w:sz w:val="28"/>
          <w:sz w:val="28"/>
          <w:szCs w:val="28"/>
          <w:rtl w:val="true"/>
          <w:lang w:bidi="fa-IR"/>
        </w:rPr>
        <w:t>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کلامی با قرآن سنجیده نشده مگر آن که برتری قرآن مشخص و مشهود بوده است، فضیلت قرآن در مقایسه با فضایل دیگر کتابها مانند برتری خداوند نسبت به مخلوقات اوست، کلام و نور الهی همواره ناطق و ساطع است و علاوه بر نشانه‌های آن در قرآن ما شاهد برترین علوم در این کتاب می‌باشیم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مفسّر، قرآن را به خاطر دربرداش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بهترین علوم و پرداختن به بهترین</w:t>
      </w:r>
    </w:p>
    <w:p>
      <w:pPr>
        <w:pStyle w:val="BookText"/>
        <w:rPr/>
      </w:pPr>
      <w:r>
        <w:rPr>
          <w:rFonts w:ascii="IRNazanin" w:hAnsi="IRNazanin" w:eastAsia="IRNazanin"/>
          <w:color w:val="111111"/>
          <w:sz w:val="28"/>
          <w:sz w:val="28"/>
          <w:szCs w:val="28"/>
          <w:rtl w:val="true"/>
          <w:lang w:bidi="fa-IR"/>
        </w:rPr>
        <w:t>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وعات، مقدس‌ترین و بافضیلت‌ترین کتابها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در توصیف قرآن و بیان عظمت آن در مقایسه با هر کلام دیگر، به نقل روایت زیر از پیامبر صلی‌الله‌علیه‌و‌آله می‌پردازد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القرآن هو النُّور المبین والحبل المتین والعروة الوثقی والدرجة العلیا والشفاء الأشفی والفضیلة الکبری والسعادة العظمی، من استضاء به نوّره اللّه ومن عقد به اُموره عصمه اللّه ومن تمسّک به انقذه اللّه ومن لم یفارق أحکامه رفعه اللّه ومن استشفی به شفاه 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جعله إمامه الّذی یقتدی به ومعوّله الّذی ینتهی إلیه أدّاه اللّه إلی جنّات النعیم والعیش السلیم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از قرآن به عنوان مهمترین تکیه‌گاه و هدایت‌کننده به رضوان و رضایت و قرب الهی یاد می‌کند که آدمی در سایه احکام و تعالیم آن از تمام ناهنجاری‌های اخلاقی و سیاسی نجات می‌یابد و در فضای امن حاکمیت دینی و الهی، به پویش‌های روزمره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نهاوندی پیرامون افضلیت قرآن بر تمام کتابها و پیامها و گفته‌ها و قوانین </w:t>
      </w:r>
      <w:r>
        <w:rPr>
          <w:rStyle w:val="FootnoteAnchor"/>
          <w:rtl w:val="true"/>
        </w:rPr>
        <w:footnoteReference w:id="199"/>
      </w:r>
      <w:r>
        <w:rPr>
          <w:rFonts w:ascii="IRNazanin" w:hAnsi="IRNazanin" w:eastAsia="IRNazanin"/>
          <w:color w:val="111111"/>
          <w:sz w:val="28"/>
          <w:sz w:val="28"/>
          <w:szCs w:val="28"/>
          <w:rtl w:val="true"/>
          <w:lang w:bidi="fa-IR"/>
        </w:rPr>
        <w:t>برگرفته از روایتی نبوی است که نقل آن را فراموش کرده ولی ما آن را ذکر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پیامبر گرامی صلی‌الله‌علیه‌و‌آلهنقل است که وی در وصف قرآن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القرآن علی سائر الکلام کفضل اللّه علی خلقه</w:t>
      </w:r>
      <w:r>
        <w:rPr>
          <w:rFonts w:eastAsia="IRNazanin" w:cs="IRNazanin"/>
          <w:color w:val="111111"/>
          <w:sz w:val="28"/>
          <w:szCs w:val="28"/>
          <w:rtl w:val="true"/>
          <w:lang w:bidi="fa-IR"/>
        </w:rPr>
        <w:t xml:space="preserve">»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که در جوامع روایی فریقین ذکر شده، بهترین تشبیه و تمثیل از برتری قرآن است، همان گونه که تمام پدیده‌ها و عرصه‌های هستی و عوالم وجود، در ارزش و مکانت و شرافت دون شأن آفریدگار خویش است، تمام کلامها و کتابها و گفته‌ها و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ارزش و منزلت و فضیلت، پایین‌تر از قرآن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است</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تنقضی عجائبه ولا تشبع منه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اعتصم به فقد هدی به إلی صراط مستقیم، هو الکتاب العزیز الّذی </w:t>
      </w:r>
      <w:r>
        <w:rPr>
          <w:rStyle w:val="FootnoteAnchor"/>
          <w:rtl w:val="true"/>
        </w:rPr>
        <w:footnoteReference w:id="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یَأْتِیهِ ا لْبَاطِلُ مِن بَیْنِ یَدَیْهِ وَلاَ مِنْ خَلْفِهِ تَنزِیلٌ مِنْ حَکِیمٍ</w:t>
      </w:r>
    </w:p>
    <w:p>
      <w:pPr>
        <w:pStyle w:val="BookText"/>
        <w:rPr/>
      </w:pPr>
      <w:r>
        <w:rPr>
          <w:rFonts w:ascii="Amiri" w:hAnsi="Amiri" w:eastAsia="Amiri" w:cs="Amiri"/>
          <w:color w:val="111111"/>
          <w:sz w:val="28"/>
          <w:sz w:val="28"/>
          <w:szCs w:val="28"/>
          <w:rtl w:val="true"/>
          <w:lang w:bidi="ar-SA"/>
        </w:rPr>
        <w:t xml:space="preserve">حَمِیدٍ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از شگفتیهای قرآن نمی‌کاهد و هرچه در آن تدبّر شود بر حیرت آدمی و فهم و کمال و نورانیت او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 عزیز و شکست‌ناپذیری است و هیچ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نه قبل از آن و نه بعد از آن در تعارض و ابطال آن بر زبان یا نوشته نیامده است</w:t>
      </w:r>
      <w:r>
        <w:rPr>
          <w:rFonts w:eastAsia="IRNazanin" w:cs="IRNazanin"/>
          <w:color w:val="111111"/>
          <w:sz w:val="28"/>
          <w:szCs w:val="28"/>
          <w:rtl w:val="true"/>
          <w:lang w:bidi="fa-IR"/>
        </w:rPr>
        <w:t>.</w:t>
      </w:r>
      <w:bookmarkStart w:id="244" w:name="pg4391_51005"/>
    </w:p>
    <w:p>
      <w:pPr>
        <w:pStyle w:val="Heading5"/>
        <w:numPr>
          <w:ilvl w:val="4"/>
          <w:numId w:val="1"/>
        </w:numPr>
        <w:rPr/>
      </w:pPr>
      <w:bookmarkStart w:id="245" w:name="__RefHeading___Toc1438775_1479056682"/>
      <w:bookmarkStart w:id="246" w:name="_Toc96"/>
      <w:bookmarkEnd w:id="244"/>
      <w:bookmarkEnd w:id="245"/>
      <w:r>
        <w:rPr>
          <w:rtl w:val="true"/>
        </w:rPr>
        <w:t>فضیلت تلاوت قرآن</w:t>
      </w:r>
      <w:bookmarkEnd w:id="246"/>
    </w:p>
    <w:p>
      <w:pPr>
        <w:pStyle w:val="BookText"/>
        <w:rPr/>
      </w:pPr>
      <w:r>
        <w:rPr>
          <w:rFonts w:ascii="IRNazanin" w:hAnsi="IRNazanin" w:eastAsia="IRNazanin"/>
          <w:color w:val="111111"/>
          <w:sz w:val="28"/>
          <w:sz w:val="28"/>
          <w:szCs w:val="28"/>
          <w:rtl w:val="true"/>
          <w:lang w:bidi="fa-IR"/>
        </w:rPr>
        <w:t>نهاوندی براساس روایات موجود اعتقاد دارد که نه تنها فهم و تفسیر و عمل به آیات قرآن موجب ارج و فضیلت است بلکه صرف قراءت و تلاوت آن، فضیلت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تأثیر مراتب شناخت و تعهّد علمی انسان نسبت به قرآن و تعظیم و بزرگداش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آن اعتقاد</w:t>
      </w:r>
    </w:p>
    <w:p>
      <w:pPr>
        <w:pStyle w:val="BookText"/>
        <w:rPr/>
      </w:pPr>
      <w:r>
        <w:rPr>
          <w:rFonts w:ascii="IRNazanin" w:hAnsi="IRNazanin" w:eastAsia="IRNazanin"/>
          <w:color w:val="111111"/>
          <w:sz w:val="28"/>
          <w:sz w:val="28"/>
          <w:szCs w:val="28"/>
          <w:rtl w:val="true"/>
          <w:lang w:bidi="fa-IR"/>
        </w:rPr>
        <w:t>دارد که ثواب و فضیلتی که برای تلاوت‌کنندگان قرآن درنظر گرفته شده، متناسب با</w:t>
      </w:r>
    </w:p>
    <w:p>
      <w:pPr>
        <w:pStyle w:val="BookText"/>
        <w:rPr/>
      </w:pPr>
      <w:r>
        <w:rPr>
          <w:rFonts w:ascii="IRNazanin" w:hAnsi="IRNazanin" w:eastAsia="IRNazanin"/>
          <w:color w:val="111111"/>
          <w:sz w:val="28"/>
          <w:sz w:val="28"/>
          <w:szCs w:val="28"/>
          <w:rtl w:val="true"/>
          <w:lang w:bidi="fa-IR"/>
        </w:rPr>
        <w:t>درجات فهم و کمال و ایمان و ژرف‌نگری آنان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مدلول روایتی درج ده پاداش در قراءت یک حرف از حروف قرآن است و در روایت دیگر، برای همان مقدار</w:t>
      </w:r>
    </w:p>
    <w:p>
      <w:pPr>
        <w:pStyle w:val="BookText"/>
        <w:rPr/>
      </w:pPr>
      <w:r>
        <w:rPr>
          <w:rFonts w:ascii="IRNazanin" w:hAnsi="IRNazanin" w:eastAsia="IRNazanin"/>
          <w:color w:val="111111"/>
          <w:sz w:val="28"/>
          <w:sz w:val="28"/>
          <w:szCs w:val="28"/>
          <w:rtl w:val="true"/>
          <w:lang w:bidi="fa-IR"/>
        </w:rPr>
        <w:t xml:space="preserve">تلاوت، یک پاداش و حسنه در نظر گرفته شده است، نباید حمل بر تعارض روایات کرد بلکه اختلاف در تعابیر، سهوی نیست بلکه متناسب با حال و درون تلاوت کنندگان است، تلاوت‌کنندگانی که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خوطب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بهره بیشتری در فهم قرآن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التزام انسان به تلاوت قرآن را در تمام حالات و موقعیتهای زندگی مورد</w:t>
      </w:r>
    </w:p>
    <w:p>
      <w:pPr>
        <w:pStyle w:val="BookText"/>
        <w:rPr/>
      </w:pPr>
      <w:r>
        <w:rPr>
          <w:rFonts w:ascii="IRNazanin" w:hAnsi="IRNazanin" w:eastAsia="IRNazanin"/>
          <w:color w:val="111111"/>
          <w:sz w:val="28"/>
          <w:sz w:val="28"/>
          <w:szCs w:val="28"/>
          <w:rtl w:val="true"/>
          <w:lang w:bidi="fa-IR"/>
        </w:rPr>
        <w:t>تأکید قرار می‌دهد و اعتقاد دارد در هر آیه‌ای از آن، جوهره‌ای نورانی وجود دارد که با تابش آن در دل انسان موجب فهم و درایت و علم او می‌گردد و در هر مرحله از فهم و تعالی روحی و فکری، به قرب الهی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تدبّر و تفکّر در قرآن و حتّی قراءت ساده و بدور از ژرف‌نگری را موجب تعالی روح انسان می‌داند و درجات و مراتب مختلف قرب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بلکه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متناسب با مراتب فهم قرآن دانسته است، و در بخشی از گفته‌هایش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لتلاوة الکتاب الکریم ثواب عظیم وفضل جسیم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اختلاف مراتب الثواب باختلاف مراتب الإیمان والمعرفة والتدبّر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مرتبة یکون ثواب کل حرف حسنة وفی</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مرتبة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أنّ لذّة تلاوة کتاب اللّه للمؤمن العارف المتدبّر أعلی وأتمّ مِن کل لذّةٍ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یری نفسه حاضرا فی مجلس القرب، فیخاطبُه ربُّه وملیکهُ ویشافهه بأحسن</w:t>
      </w:r>
      <w:bookmarkStart w:id="247" w:name="pg4391_51006"/>
    </w:p>
    <w:p>
      <w:pPr>
        <w:pStyle w:val="BookText"/>
        <w:rPr/>
      </w:pPr>
      <w:bookmarkEnd w:id="247"/>
      <w:r>
        <w:rPr>
          <w:rFonts w:ascii="IRNazanin" w:hAnsi="IRNazanin" w:eastAsia="IRNazanin"/>
          <w:color w:val="111111"/>
          <w:sz w:val="28"/>
          <w:sz w:val="28"/>
          <w:szCs w:val="28"/>
          <w:rtl w:val="true"/>
          <w:lang w:bidi="fa-IR"/>
        </w:rPr>
        <w:t>کلام وألطف بیانٍ</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با نقل روایتی از امام صادق علیه‌السلام پیرامون اثرات فهم و تلاوت قرآن و نیز پی‌آمدهای اخروی آن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بتلاوة القرآن فانّ درجات الجنّة علی عدد آیات القرآن، فإذا کان یوم القیامة یقال لقارئ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وارق فکلّما قرأ آیةً رقی درجةً</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راز ترفیع مقام انسان و اختلاف مراتب پاداش را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السرّ فی ذلک أنّ فی کلِّ آیة علمٌ ونورٌ ومعرفة وهدایة ودعوة إلی اللّه فبالتمّسک بکلٍّ منها والمعرفة بها والتخلّق بموجبها والعمل بها، یحصل للعبد درجة فی کمال النفس والقرب إلی اللّه وبالتمسّک بجمیعها نهایة الکمال ومنتهی القرب إلیه سبحانه ولما کانت درجات الجنّة علی</w:t>
      </w:r>
    </w:p>
    <w:p>
      <w:pPr>
        <w:pStyle w:val="BookText"/>
        <w:rPr/>
      </w:pPr>
      <w:r>
        <w:rPr>
          <w:rFonts w:ascii="IRNazanin" w:hAnsi="IRNazanin" w:eastAsia="IRNazanin"/>
          <w:color w:val="111111"/>
          <w:sz w:val="28"/>
          <w:sz w:val="28"/>
          <w:szCs w:val="28"/>
          <w:rtl w:val="true"/>
          <w:lang w:bidi="fa-IR"/>
        </w:rPr>
        <w:t>حسب مراتب کمال العبد وقربه ومطابقا لها، بل هی معانیها وأرواحها والآثار المترتّبة علیها</w:t>
      </w:r>
    </w:p>
    <w:p>
      <w:pPr>
        <w:pStyle w:val="BookText"/>
        <w:rPr/>
      </w:pPr>
      <w:r>
        <w:rPr>
          <w:rFonts w:ascii="IRNazanin" w:hAnsi="IRNazanin" w:eastAsia="IRNazanin"/>
          <w:color w:val="111111"/>
          <w:sz w:val="28"/>
          <w:sz w:val="28"/>
          <w:szCs w:val="28"/>
          <w:rtl w:val="true"/>
          <w:lang w:bidi="fa-IR"/>
        </w:rPr>
        <w:t>کانت درجات الجنّة بعدد الآیات</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دیدگاه نهاوندی، پاداش عمل، رابطه مستقیم با معرفة و ماهیت عمل آدمی دارد، هرچه بر میزان شناخت و عمل خالص انسان افزوده شود، به کمال نفسانی، خود نزدیکتر و با هر ترقّی در کمال نفسانی یک درجه بر قرب الهی او افزوده می‌گردد، پس درجات تقرب در انسان با مراتب کمال نفسانی آنها ارتباط مستقیم دارد و از آن جا که پاداش و</w:t>
      </w:r>
    </w:p>
    <w:p>
      <w:pPr>
        <w:pStyle w:val="BookText"/>
        <w:rPr/>
      </w:pPr>
      <w:r>
        <w:rPr>
          <w:rFonts w:ascii="IRNazanin" w:hAnsi="IRNazanin" w:eastAsia="IRNazanin"/>
          <w:color w:val="111111"/>
          <w:sz w:val="28"/>
          <w:sz w:val="28"/>
          <w:szCs w:val="28"/>
          <w:rtl w:val="true"/>
          <w:lang w:bidi="fa-IR"/>
        </w:rPr>
        <w:t xml:space="preserve">ثواب و رضوان الهی بر انسان با میزان تقرّب او نسبت مستقیم دارد، فلسفه تعدّد در مراتب پاداش عملی انسان‌ها را اگرچه نوع عمل آنان یکی باشد باید در مراتب 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ماهیت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جُست</w:t>
      </w:r>
      <w:r>
        <w:rPr>
          <w:rFonts w:eastAsia="IRNazanin" w:cs="IRNazanin"/>
          <w:color w:val="111111"/>
          <w:sz w:val="28"/>
          <w:szCs w:val="28"/>
          <w:rtl w:val="true"/>
          <w:lang w:bidi="fa-IR"/>
        </w:rPr>
        <w:t>.</w:t>
      </w:r>
    </w:p>
    <w:p>
      <w:pPr>
        <w:pStyle w:val="Heading5"/>
        <w:numPr>
          <w:ilvl w:val="4"/>
          <w:numId w:val="1"/>
        </w:numPr>
        <w:rPr/>
      </w:pPr>
      <w:bookmarkStart w:id="248" w:name="__RefHeading___Toc1438777_1479056682"/>
      <w:bookmarkStart w:id="249" w:name="_Toc97"/>
      <w:bookmarkEnd w:id="248"/>
      <w:r>
        <w:rPr>
          <w:rtl w:val="true"/>
        </w:rPr>
        <w:t>فضایل سور و آیات</w:t>
      </w:r>
      <w:bookmarkEnd w:id="24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نیز مانند برخی مفسّران به روایات حامل فضایل سور و آیات توجه نشان داده است و با اختصاص سه عنوان مستقل در مقدمه تفسیر، به تفصیل پیرامون فضایل سور گفت و 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خوبی می‌دانیم که بحث فضایل سور و آیات، موضوع بسیاری از احادیث و روایات مجعول وبی‌اصل و نسب، قرار گرفته است و لذا مفسّران و محدّثان در بررسی و استناد به این گونه روایات، دقّت و توجّه خاصّی از خود نشان می‌دهند، و از تسلیم شدن</w:t>
      </w:r>
    </w:p>
    <w:p>
      <w:pPr>
        <w:pStyle w:val="BookText"/>
        <w:rPr/>
      </w:pPr>
      <w:r>
        <w:rPr>
          <w:rFonts w:ascii="IRNazanin" w:hAnsi="IRNazanin" w:eastAsia="IRNazanin"/>
          <w:color w:val="111111"/>
          <w:sz w:val="28"/>
          <w:sz w:val="28"/>
          <w:szCs w:val="28"/>
          <w:rtl w:val="true"/>
          <w:lang w:bidi="fa-IR"/>
        </w:rPr>
        <w:t>در برابر هر سخنی که منسوب به امام یا صحابی است و پیرامون ثواب و فضیلت سور و آیات گفت و گو می‌کند، امتناع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نهاوندی پیرامون فضایل سور و تکیه‌گاه</w:t>
      </w:r>
    </w:p>
    <w:p>
      <w:pPr>
        <w:pStyle w:val="BookText"/>
        <w:rPr/>
      </w:pPr>
      <w:r>
        <w:rPr>
          <w:rFonts w:ascii="IRNazanin" w:hAnsi="IRNazanin" w:eastAsia="IRNazanin"/>
          <w:color w:val="111111"/>
          <w:sz w:val="28"/>
          <w:sz w:val="28"/>
          <w:szCs w:val="28"/>
          <w:rtl w:val="true"/>
          <w:lang w:bidi="fa-IR"/>
        </w:rPr>
        <w:t>او در نقل این گونه روایات از دو جنبه قابل نقد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فراوان و انبوه روایات حاوی فضایل سور و آیات، به گونه‌ای که بدور از احتیاط می‌نماید و در معرض برخی روایات ضعیف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افراطی وی به منابع روایی اهل تسنّن در نقل روایات فضایل سور، در حالی که در کتب معتبر شیعی چون مجمع البیان، اصول کافی، وافی و بحار والدرّ المنثور و نیز</w:t>
      </w:r>
    </w:p>
    <w:p>
      <w:pPr>
        <w:pStyle w:val="BookText"/>
        <w:rPr/>
      </w:pPr>
      <w:r>
        <w:rPr>
          <w:rFonts w:ascii="IRNazanin" w:hAnsi="IRNazanin" w:eastAsia="IRNazanin"/>
          <w:color w:val="111111"/>
          <w:sz w:val="28"/>
          <w:sz w:val="28"/>
          <w:szCs w:val="28"/>
          <w:rtl w:val="true"/>
          <w:lang w:bidi="fa-IR"/>
        </w:rPr>
        <w:t>تفسیر عیاشی و علی بن ابراهیم، به سادگی می‌توان این گونه روایات را شناسایی کرد و مورد استناد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در طُرفه سی‌و ششم از مقدمه تفسیر خود، روایاتی را که در آنها فضیلت برخی سور نسبت به سور دیگر بیان شده، گردآوری کرده و در طُرفه سی‌و هفتم از برتری گروهی از آیات بر آیات دیگر سخن گفته و در طُرفه سی‌و هشتم روایات حاوی خواصّ درمانی و شفابخشی آیات را فهرست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هریک از این سه گفتار، بدون تحلیل دقیق روایات، آنها را فهرست کرده ولی عدم ذکر مآخذ و منابع روایی بر عدم اعتماد خوانندگان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آغاز طُرفه سی‌و ششم، انکار فضایل سور را به گروهی از اهل تسنّن نسبت داده است </w:t>
      </w:r>
      <w:r>
        <w:rPr>
          <w:rStyle w:val="FootnoteAnchor"/>
          <w:rtl w:val="true"/>
        </w:rPr>
        <w:footnoteReference w:id="206"/>
      </w:r>
      <w:r>
        <w:rPr>
          <w:rFonts w:ascii="IRNazanin" w:hAnsi="IRNazanin" w:eastAsia="IRNazanin"/>
          <w:color w:val="111111"/>
          <w:sz w:val="28"/>
          <w:sz w:val="28"/>
          <w:szCs w:val="28"/>
          <w:rtl w:val="true"/>
          <w:lang w:bidi="fa-IR"/>
        </w:rPr>
        <w:t>، و راز اختلاف فضایل برخی آیات در برخی دیگر را در اهمّیت موضوعات مندرج در این گونه آیات دانسته است و 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انّ فضیلة الآیات بفضیلة ما تضمّنته من العلوم والمعارف الإلهیّة</w:t>
      </w:r>
      <w:r>
        <w:rPr>
          <w:rFonts w:eastAsia="IRNazanin" w:cs="IRNazanin"/>
          <w:color w:val="111111"/>
          <w:sz w:val="28"/>
          <w:szCs w:val="28"/>
          <w:rtl w:val="true"/>
          <w:lang w:bidi="fa-IR"/>
        </w:rPr>
        <w:t xml:space="preserve">... »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چه نهاوندی مآخذ و منابع روایی خود را معرّفی نکرده، تحقیق در ردیابی روایات چنین می‌نمایاند که وی در نقل روایات حاوی فضایل سور و آیات تحت تأثیر الاتقان سیوطی و در مواردی اندک متأثر از منابع روایی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نقل سخنی از اَنس بن مالک گفته است که با فضیلت‌ترین سوره‌های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Style w:val="FootnoteAnchor"/>
          <w:rtl w:val="true"/>
        </w:rPr>
        <w:footnoteReference w:id="208"/>
      </w:r>
      <w:r>
        <w:rPr>
          <w:rFonts w:ascii="IRNazanin" w:hAnsi="IRNazanin" w:eastAsia="IRNazanin"/>
          <w:color w:val="111111"/>
          <w:sz w:val="28"/>
          <w:sz w:val="28"/>
          <w:szCs w:val="28"/>
          <w:rtl w:val="true"/>
          <w:lang w:bidi="fa-IR"/>
        </w:rPr>
        <w:t>و از قول اُبی بن کعب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سوره‌ای به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و انجیل نازل نکرده‌است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روایتی بدون اسم و نشان اظهار می‌دارد که قراءت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معادل قراءت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در هر روز دارد </w:t>
      </w:r>
      <w:r>
        <w:rPr>
          <w:rStyle w:val="FootnoteAnchor"/>
          <w:rtl w:val="true"/>
        </w:rPr>
        <w:footnoteReference w:id="210"/>
      </w:r>
      <w:r>
        <w:rPr>
          <w:rFonts w:ascii="IRNazanin" w:hAnsi="IRNazanin" w:eastAsia="IRNazanin"/>
          <w:color w:val="111111"/>
          <w:sz w:val="28"/>
          <w:sz w:val="28"/>
          <w:szCs w:val="28"/>
          <w:rtl w:val="true"/>
          <w:lang w:bidi="fa-IR"/>
        </w:rPr>
        <w:t>و با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 به سخنی از اَنس بن مالک فضیلت</w:t>
      </w:r>
    </w:p>
    <w:p>
      <w:pPr>
        <w:pStyle w:val="BookText"/>
        <w:rPr/>
      </w:pPr>
      <w:r>
        <w:rPr>
          <w:rFonts w:ascii="IRNazanin" w:hAnsi="IRNazanin" w:eastAsia="IRNazanin"/>
          <w:color w:val="111111"/>
          <w:sz w:val="28"/>
          <w:sz w:val="28"/>
          <w:szCs w:val="28"/>
          <w:rtl w:val="true"/>
          <w:lang w:bidi="fa-IR"/>
        </w:rPr>
        <w:t xml:space="preserve">قراءت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معادل فضیلت</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دانسته است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سخن از منابع شیعی از قول ابن عباس و صفوان بن یحیی نقل شده است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از طریق عیاشی روایتی از امام صادق علیه‌السلام نقل می‌کند که بزرگترین و بهترین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متأسّفانه برخی فقهای اهل تسنّن به این آیه مبارک به دید</w:t>
      </w:r>
    </w:p>
    <w:p>
      <w:pPr>
        <w:pStyle w:val="BookText"/>
        <w:rPr/>
      </w:pPr>
      <w:r>
        <w:rPr>
          <w:rFonts w:ascii="IRNazanin" w:hAnsi="IRNazanin" w:eastAsia="IRNazanin"/>
          <w:color w:val="111111"/>
          <w:sz w:val="28"/>
          <w:sz w:val="28"/>
          <w:szCs w:val="28"/>
          <w:rtl w:val="true"/>
          <w:lang w:bidi="fa-IR"/>
        </w:rPr>
        <w:t>غیر قرآنی نگریسته‌اند و آن را در قراءت‌های خود به ویژه در نماز حذف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امام براساس روایت فوق، بیان توبیخی و نفرین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مالهم قاتلهم اللّه، عمدوا إلی أعظم آیة فی کتاب اللّه فزعموا انّها بدعة إذا أظهروها</w:t>
      </w:r>
      <w:r>
        <w:rPr>
          <w:rFonts w:eastAsia="IRNazanin" w:cs="IRNazanin"/>
          <w:color w:val="111111"/>
          <w:sz w:val="28"/>
          <w:szCs w:val="28"/>
          <w:rtl w:val="true"/>
          <w:lang w:bidi="fa-IR"/>
        </w:rPr>
        <w:t xml:space="preserve">»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فضیلت قراءت آیات پایانی سوره حشر سخن معلّقی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هرکس آن را چه در شب و چه در روز قراءت کند، خداوند، بهشت را بر او واجب گرداند </w:t>
      </w:r>
      <w:r>
        <w:rPr>
          <w:rStyle w:val="FootnoteAnchor"/>
          <w:rtl w:val="true"/>
        </w:rPr>
        <w:footnoteReference w:id="214"/>
      </w:r>
      <w:r>
        <w:rPr>
          <w:rFonts w:ascii="IRNazanin" w:hAnsi="IRNazanin" w:eastAsia="IRNazanin"/>
          <w:color w:val="111111"/>
          <w:sz w:val="28"/>
          <w:sz w:val="28"/>
          <w:szCs w:val="28"/>
          <w:rtl w:val="true"/>
          <w:lang w:bidi="fa-IR"/>
        </w:rPr>
        <w:t>، سخن دیگری با همین مضمون در الاتقان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یوطی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نقل از سخن ترمذی با سند معقل بن یسار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حین یصبح ثلاث آیات من آخر سورة الحشر وکَّلَ اللّه به سبعین ألف ملک یُصَلُّون</w:t>
      </w:r>
    </w:p>
    <w:p>
      <w:pPr>
        <w:pStyle w:val="BookText"/>
        <w:rPr/>
      </w:pPr>
      <w:r>
        <w:rPr>
          <w:rFonts w:ascii="IRNazanin" w:hAnsi="IRNazanin" w:eastAsia="IRNazanin"/>
          <w:color w:val="111111"/>
          <w:sz w:val="28"/>
          <w:sz w:val="28"/>
          <w:szCs w:val="28"/>
          <w:rtl w:val="true"/>
          <w:lang w:bidi="fa-IR"/>
        </w:rPr>
        <w:t>علیه حتّی یمسی، وان مات فی ذلک الیوم مات شهیدا ومن قاله حین یمسی کان بتلک المنزلة</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سخن در منابع تفسیری شیعی به پیامبر صلی‌الله‌علیه‌و‌آله نسبت داده شده است </w:t>
      </w:r>
      <w:r>
        <w:rPr>
          <w:rStyle w:val="FootnoteAnchor"/>
          <w:rtl w:val="true"/>
        </w:rPr>
        <w:footnoteReference w:id="2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w:t>
      </w:r>
    </w:p>
    <w:p>
      <w:pPr>
        <w:pStyle w:val="BookText"/>
        <w:rPr/>
      </w:pPr>
      <w:r>
        <w:rPr>
          <w:rFonts w:ascii="IRNazanin" w:hAnsi="IRNazanin" w:eastAsia="IRNazanin"/>
          <w:color w:val="111111"/>
          <w:sz w:val="28"/>
          <w:sz w:val="28"/>
          <w:szCs w:val="28"/>
          <w:rtl w:val="true"/>
          <w:lang w:bidi="fa-IR"/>
        </w:rPr>
        <w:t>آن بود نهاوندی در نقل مشترکات روایی به جوامع حدیثی و منابع تفسیری اصحاب</w:t>
      </w:r>
    </w:p>
    <w:p>
      <w:pPr>
        <w:pStyle w:val="BookText"/>
        <w:rPr/>
      </w:pPr>
      <w:r>
        <w:rPr>
          <w:rFonts w:ascii="IRNazanin" w:hAnsi="IRNazanin" w:eastAsia="IRNazanin"/>
          <w:color w:val="111111"/>
          <w:sz w:val="28"/>
          <w:sz w:val="28"/>
          <w:szCs w:val="28"/>
          <w:rtl w:val="true"/>
          <w:lang w:bidi="fa-IR"/>
        </w:rPr>
        <w:t>خود، اعتماد بیشتری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اعتقادات نهاوندی در خواص درمانی آیات قرآنی، شفابخشی معجزه‌آسای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اعتقاد دارد، همان گونه که قرآن بهترین راه و روش و برنامه را در درمان بیماری‌های روحی و روانی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الأمراض 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داده است، می‌توان انتظار داشت که بهترین راه درمان بیماری‌های جسمی و فیزیکی نیز باشد، و اعتقاد دارد، قرآن، درمان تمام بیماری‌های ظاهری و باطنی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فی بعض الروایات فی فضایل القرآن انّه الشفاء الأشفی، مقتضی اطلاقه انّه شفاء لجمیع</w:t>
      </w:r>
    </w:p>
    <w:p>
      <w:pPr>
        <w:pStyle w:val="BookText"/>
        <w:rPr/>
      </w:pPr>
      <w:r>
        <w:rPr>
          <w:rFonts w:ascii="IRNazanin" w:hAnsi="IRNazanin" w:eastAsia="IRNazanin"/>
          <w:color w:val="111111"/>
          <w:sz w:val="28"/>
          <w:sz w:val="28"/>
          <w:szCs w:val="28"/>
          <w:rtl w:val="true"/>
          <w:lang w:bidi="fa-IR"/>
        </w:rPr>
        <w:t>الأمراض الظاهریّة والباطنیّة، بل کما انّه لا یکون أشفی منه فی الأمراض القلبیّة، لا یکون شیءٌ أشفی منه فی الأمراض الجسمانیّة</w:t>
      </w:r>
      <w:r>
        <w:rPr>
          <w:rFonts w:eastAsia="IRNazanin" w:cs="IRNazanin"/>
          <w:color w:val="111111"/>
          <w:sz w:val="28"/>
          <w:szCs w:val="28"/>
          <w:rtl w:val="true"/>
          <w:lang w:bidi="fa-IR"/>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ممکن است ادّعای نهاوندی در خصوص قرآن درمانی امراض جسمی خالی از افراط نباشد، ذکر چند نکته را لازم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کثرت روایات وارده پیرامون فضایل قرآن و خواصّ درمانی برخی سور و آیات به حدّی است که بخشی از اعتقاد نهاوندی و دیگران پیرامون موضوع این گونه روایات، ناشی از تلقین‌پذیری از همین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نمی‌توان تمام روایاتی را که در این</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به دست ما رسیده است، معتبر دانست بلکه بسیاری از آنها از درجه اعتبار</w:t>
      </w:r>
    </w:p>
    <w:p>
      <w:pPr>
        <w:pStyle w:val="BookText"/>
        <w:rPr/>
      </w:pPr>
      <w:r>
        <w:rPr>
          <w:rFonts w:ascii="IRNazanin" w:hAnsi="IRNazanin" w:eastAsia="IRNazanin"/>
          <w:color w:val="111111"/>
          <w:sz w:val="28"/>
          <w:sz w:val="28"/>
          <w:szCs w:val="28"/>
          <w:rtl w:val="true"/>
          <w:lang w:bidi="fa-IR"/>
        </w:rPr>
        <w:t>ساقط است، یا از حیث سند یا از حیث متن روایت و یا از هر دو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تأثیر درمانی که در اخبار و روایات قابل اعتماد ذکر شده، مشروط به شروطی است و تحقّق و تأثیر عملی آن به دنبال تحصیل شروط مقدماتی است؛ از جمله آن شروط، اخلاص در عمل، اعتقاد قلبی و عملی به شفابخشی آیات و نیز اجتناب از اعمال و گفتار خنثی‌کننده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سیره معصومین علیهم‌السلام در مراجعه به پزشکان وقت به منظور مداوا و درمان بیماری‌های جسمی، اندکی ما را در پذیرش ادّعای نهاوندی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شفاء لجمیع</w:t>
      </w:r>
    </w:p>
    <w:p>
      <w:pPr>
        <w:pStyle w:val="BookText"/>
        <w:rPr/>
      </w:pPr>
      <w:r>
        <w:rPr>
          <w:rFonts w:ascii="IRNazanin" w:hAnsi="IRNazanin" w:eastAsia="IRNazanin"/>
          <w:color w:val="111111"/>
          <w:sz w:val="28"/>
          <w:sz w:val="28"/>
          <w:szCs w:val="28"/>
          <w:rtl w:val="true"/>
          <w:lang w:bidi="fa-IR"/>
        </w:rPr>
        <w:t>الأمراض الظاهریّة</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با تردید مواجه می‌سازد؛ زیرا معصومین، پیامبر صلی‌الله‌علیه‌و‌آله و ائمّه علیهم‌السلامانس کاملی با قرآن داشتند و به حقّانیت و اعتبار نصوص قرآنی اعتقاد کامل می‌ورزیدند و شناخت خواصّ درمانی آیات و سور در نزد آنان، مستقیم و حضوری بود و نه اکتسابی، با این حال، گاه به بیماری‌های جسمی مبتلا می‌شدند و ناگزیر به توصیه‌های اطبّا عمل</w:t>
      </w:r>
    </w:p>
    <w:p>
      <w:pPr>
        <w:pStyle w:val="BookText"/>
        <w:rPr/>
      </w:pPr>
      <w:r>
        <w:rPr>
          <w:rFonts w:ascii="IRNazanin" w:hAnsi="IRNazanin" w:eastAsia="IRNazanin"/>
          <w:color w:val="111111"/>
          <w:sz w:val="28"/>
          <w:sz w:val="28"/>
          <w:szCs w:val="28"/>
          <w:rtl w:val="true"/>
          <w:lang w:bidi="fa-IR"/>
        </w:rPr>
        <w:t>می‌کردند؛ امّا در درمان بیماری‌های باطنی تردید نداریم که انس با قرآن و عمل به احکام و توص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یه‌های آن راه ورود بیماری‌های باطنی مثل اضطراب، سوءظن، غیبت، ترس، نفاق، ریا، وحشت، شرک، خودباختگی، تکبّر، عجب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و درون انسان می‌بندد و انسان کامل که دارای تربیت قرآنی است از این گونه امراض و نظایر آن ایمن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امیدوار ساختن توده‌های مردم به درمان بیماری‌های لا علاج جسمی مثل سرطان، ایدز و فلج، موجب افزایش توقّع و انتظار آنان از اعجازهای درمانی قرآن می‌کرد</w:t>
      </w:r>
    </w:p>
    <w:p>
      <w:pPr>
        <w:pStyle w:val="BookText"/>
        <w:rPr/>
      </w:pPr>
      <w:r>
        <w:rPr>
          <w:rFonts w:ascii="IRNazanin" w:hAnsi="IRNazanin" w:eastAsia="IRNazanin"/>
          <w:color w:val="111111"/>
          <w:sz w:val="28"/>
          <w:sz w:val="28"/>
          <w:szCs w:val="28"/>
          <w:rtl w:val="true"/>
          <w:lang w:bidi="fa-IR"/>
        </w:rPr>
        <w:t>و هنگامی که با بن‌بست مواجه می‌شوند، از اعتماد آنان نسبت به قرآن می‌کاهد و در آن صورت، نقض غرض صورت خواهد گرفت؛ و افزون بر آن، عقل و علم معاصر ضرورت مراجعه اُنس یافتگان با قرآن به پزشکان و طبیبان را مورد تأکید و توجه قرار داده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در بخش فضایل مربوط به خواصّ سور بحث درازدامنی را ترتیب داده و بدون استثنا برای تمام سوره‌های قرآن و یا دست کم بیشتر سوره‌ها، قایل به خواصّ</w:t>
      </w:r>
      <w:bookmarkStart w:id="250" w:name="pg4391_51011"/>
    </w:p>
    <w:p>
      <w:pPr>
        <w:pStyle w:val="BookText"/>
        <w:rPr/>
      </w:pPr>
      <w:bookmarkEnd w:id="250"/>
      <w:r>
        <w:rPr>
          <w:rFonts w:ascii="IRNazanin" w:hAnsi="IRNazanin" w:eastAsia="IRNazanin"/>
          <w:color w:val="111111"/>
          <w:sz w:val="28"/>
          <w:sz w:val="28"/>
          <w:szCs w:val="28"/>
          <w:rtl w:val="true"/>
          <w:lang w:bidi="fa-IR"/>
        </w:rPr>
        <w:t xml:space="preserve">درمانی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 و یا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سی‌و نهم از مقدمه نفحات الرّحمن، شامل فهرستی از روایات فراوان پیرامون خواصّ درمانی سوره‌های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در این بخش از کتاب به بررسی سند روایات نپرداخته و صرفا به اعتبار درج این گونه روایات در جوامع حدیثی و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اعتماد ورزیده، و در تحلیل روایات، سخنی علمی و تحقیقی نگفته، بلکه با مراجعه به مآخذ روایی، مجموعه‌ای از روایات را استخراج و به صورت</w:t>
      </w:r>
    </w:p>
    <w:p>
      <w:pPr>
        <w:pStyle w:val="BookText"/>
        <w:rPr/>
      </w:pPr>
      <w:r>
        <w:rPr>
          <w:rFonts w:ascii="IRNazanin" w:hAnsi="IRNazanin" w:eastAsia="IRNazanin"/>
          <w:color w:val="111111"/>
          <w:sz w:val="28"/>
          <w:sz w:val="28"/>
          <w:szCs w:val="28"/>
          <w:rtl w:val="true"/>
          <w:lang w:bidi="fa-IR"/>
        </w:rPr>
        <w:t>مرفوع یا معنون یا مرسل یا موقوف یا مقطوع یا معلّق ذکر کرده است؛ این در حالی است که وی از چهره‌های مشهور اصولی و فقهی عصر خود به شمار می‌رفته است و از مفسّران و حدیث‌شناسان قرن چهاردهم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به نظر می‌رسد که فردی مثل ایشان این بخش از کتاب را بدون بررسی روایات رها کند</w:t>
      </w:r>
      <w:r>
        <w:rPr>
          <w:rFonts w:eastAsia="IRNazanin" w:cs="IRNazanin"/>
          <w:color w:val="111111"/>
          <w:sz w:val="28"/>
          <w:szCs w:val="28"/>
          <w:rtl w:val="true"/>
          <w:lang w:bidi="fa-IR"/>
        </w:rPr>
        <w:t>.</w:t>
      </w:r>
    </w:p>
    <w:p>
      <w:pPr>
        <w:pStyle w:val="Heading5"/>
        <w:numPr>
          <w:ilvl w:val="4"/>
          <w:numId w:val="1"/>
        </w:numPr>
        <w:rPr/>
      </w:pPr>
      <w:bookmarkStart w:id="251" w:name="__RefHeading___Toc1438779_1479056682"/>
      <w:bookmarkStart w:id="252" w:name="_Toc98"/>
      <w:bookmarkEnd w:id="251"/>
      <w:r>
        <w:rPr>
          <w:rtl w:val="true"/>
        </w:rPr>
        <w:t>فضیلت آموزش قرآن</w:t>
      </w:r>
      <w:bookmarkEnd w:id="252"/>
    </w:p>
    <w:p>
      <w:pPr>
        <w:pStyle w:val="BookText"/>
        <w:rPr/>
      </w:pPr>
      <w:r>
        <w:rPr>
          <w:rFonts w:ascii="IRNazanin" w:hAnsi="IRNazanin" w:eastAsia="IRNazanin"/>
          <w:color w:val="111111"/>
          <w:sz w:val="28"/>
          <w:sz w:val="28"/>
          <w:szCs w:val="28"/>
          <w:rtl w:val="true"/>
          <w:lang w:bidi="fa-IR"/>
        </w:rPr>
        <w:t>نهاوندی با اختصاص گفتار مستقلّی در مقدمه کتاب خود پیرامون ضرورت یادگیری قرآن، سخنانی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براساس دلالت روایات که ارزش عملی آموزش و فراگیری قرآن را مورد اشاره قرار داده‌اند، نتیجه می‌گیرد که فراگیری قرآن، یکی از بهترین اعمال عبادی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ذکر برخی از این گونه روایات به دو نتیجه علمی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 مدلول بسیاری از روایات، فراگیری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از دیدگاه فقهای امامیّه، تعلیم و تعلّم قرآن بر مسلمانان واجب کفایی می‌باشد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 به این پرسش که یادگیری چه بخشی از قرآن واجب است،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صرفا روایات را ناظر به قراءت الفاظ و عبارات قرآن دانسته‌اند، لذا وظیفه‌ای برای مسلمانان و مؤمنان جز قراءت صوری آن قایل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نیز تعلیم و تعلّم قرآن را صرفا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نمی‌دانند بلکه فراگیری تفسیر آیات، دست‌یابی به باطن آیات و نیز آگاهی از تمام علومی که به نوعی بازگشت به قرآن دارد، از مصادیق تعلیم و تعلّم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دیدگاه این مفسّران وظیفه مؤمنان تنها در قراءت صوری قرآن خلاصه نمی‌شود و صرف قراءت، موجب اسقاط تکلیف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روایاتی که توصیه به تعلیم و تعلّم قرآن می‌کند، چنین برمی‌آید که صرفا توانایی برخواندن و قراءت آیات قرآنی واجب است، امّا در دنباله</w:t>
      </w:r>
    </w:p>
    <w:p>
      <w:pPr>
        <w:pStyle w:val="BookText"/>
        <w:rPr/>
      </w:pPr>
      <w:r>
        <w:rPr>
          <w:rFonts w:ascii="IRNazanin" w:hAnsi="IRNazanin" w:eastAsia="IRNazanin"/>
          <w:color w:val="111111"/>
          <w:sz w:val="28"/>
          <w:sz w:val="28"/>
          <w:szCs w:val="28"/>
          <w:rtl w:val="true"/>
          <w:lang w:bidi="fa-IR"/>
        </w:rPr>
        <w:t xml:space="preserve">سخن اضافه می‌کند که این گونه روایات بسیاری، از علوم و فنون مرتبط با قرآن را از قبیل تفسیر و فهم بطون و علم به علوم قرآنی نیز در بر می‌گیرد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روایات مورد استناد وی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الشیخ باسناده، عن أمیر المؤمنین علیه‌السلام انّ النبیّ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من تعلّم القرآن و علّمه</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عقبة بن عمّار قال،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یعذِّب اللّه قلبا وعی القرآن</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الُمجَمِّعْ، عن معاذ،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النبیّ صلی‌الله‌علیه‌و‌آله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رجل علّم ولده القرآن إلاّ تَوَّجَ اللّه أبویه یوم القیامة بتاج الملک وکُسیا حلّتین لم یر الناس مثلَهما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حفظ قرآن را از مهمترین عبادات و از مستحبّات مؤکّد معرّفی کرده و با اختصاص گفتار مستقلّی در خصوص ارزش حفظ قرآن، مطالبی را در تحلیل روایات وارده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سخنی از پیامبر صلی‌الله‌علیه‌و‌آله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القرآن فی اهابٍ ما أکلته النّار</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 xml:space="preserve">، تفسیر ابو عبیده ثقفی را در باره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می‌پذیرد و</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حدیث این نیست که اگر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آتش افتد، آتش آن را</w:t>
      </w:r>
    </w:p>
    <w:p>
      <w:pPr>
        <w:pStyle w:val="BookText"/>
        <w:rPr/>
      </w:pPr>
      <w:r>
        <w:rPr>
          <w:rFonts w:ascii="IRNazanin" w:hAnsi="IRNazanin" w:eastAsia="IRNazanin"/>
          <w:color w:val="111111"/>
          <w:sz w:val="28"/>
          <w:sz w:val="28"/>
          <w:szCs w:val="28"/>
          <w:rtl w:val="true"/>
          <w:lang w:bidi="fa-IR"/>
        </w:rPr>
        <w:t>نمی‌سوزاند، چرا که طبیعت آتش سوزاندن است و کاغذ را خواهد سوزانید، مگر آن که چون ابراهیم علیه‌السلامدر برابر آتش نمرود، معجزه آسا، سالم بماند؛ بلکه از نظر نهاوندی، مقصود حدیث، آن است که آتش به قلبی که حافظ و فهیم قرآن است، اثر نمی‌کند و حافظان عامل قرآن در مواجهه با شعله‌های دوزخ در 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در اهمیت حفظ و به یاد داشتن آیات قرآن با استناد به روایت علیّ بن ابی طالب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القرآن واستظهره فأحلّ حلاله وحرّم حرامه أدخله اللّه</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الخبر </w:t>
      </w:r>
      <w:r>
        <w:rPr>
          <w:rStyle w:val="FootnoteAnchor"/>
          <w:rtl w:val="true"/>
        </w:rPr>
        <w:footnoteReference w:id="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استظهار قرآن، حفظ آیات در قلب و حافظه است و مترادف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حمل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در اثبات گفته خویش به حدیث نبوی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أشراف اُمّتی حملة القرآن وأصحاب اللّیل</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در تحلیلی که از روایات ناظر بر حفظ قرآن ارائه می‌دهد، ضمن اظهار تأسّف از فاصله‌ای که جوانان و مردم زمان او از حفظ قرآن گرفته‌اند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حفظ القرآن عن معرفةٍ وایمانٍ مورثا لنورانیّة القلب وانشراح الصدر وانبساط الرُّوح وتهذیب النفس کان أجره مسانخا له فی القیامة من کون الحافظ مغمورا فی نور اللّه</w:t>
      </w:r>
    </w:p>
    <w:p>
      <w:pPr>
        <w:pStyle w:val="BookText"/>
        <w:rPr/>
      </w:pPr>
      <w:r>
        <w:rPr>
          <w:rFonts w:ascii="IRNazanin" w:hAnsi="IRNazanin" w:eastAsia="IRNazanin"/>
          <w:color w:val="111111"/>
          <w:sz w:val="28"/>
          <w:sz w:val="28"/>
          <w:szCs w:val="28"/>
          <w:rtl w:val="true"/>
          <w:lang w:bidi="fa-IR"/>
        </w:rPr>
        <w:t>مخصوصا برحمة اللّه موسوما بکلام اللّه، مقرّبا عند اللّه، ثمّ لا شبهة انّ حفظه بمشقّةٍ وکلفةٍ أعظم أجرا من حفظه بسهولة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الأسف انّ هذه العبادة الفاضلة صارت متروکة فی زماننا هذا بعد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یوعها فی الأزمنة السابقة بحیث کان غیر الحافظ له موهونا بین المسلمین علی ما قیل</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نگاه نهاوندی اگرچه صِرف قراءت قرآن و حفظ آیات آن در ذهن، مأجور است و فضیلتی بر آن قایل است، اعتقاد دارد که تأثیر فراوان قرآن و حفظ آن در سینه و خاطر، زمانی است که همراه با معرفت و شناخت و 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قرآن در چنین شرایطی</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 نورانیّت دل و شرح صدر و انبساط و نشاط روح آدمی و تهذیب نفس وی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اظهار نگرانی که در بیان نهاوندی دیده می‌شود، چنین استنباط می‌گردد که وضعیت سیاسی و اجتماعی و فرهنگی زمان مفسّر به گونه‌ای بود که مردم نسبت به حفظ و فراگیری قرآن اهتمام از خود نشان نمی‌دادند و به جز دانشمندان و دانشجویان و فضلایی که به طور تخصّصی به قرآن توجه داشتند، دیگران جز به عنوان کتاب مقدّس و مبارک شناختی از قرآن نداشتند، و این از آثار حکومت شاهان و ملوک است که با گستره</w:t>
      </w:r>
    </w:p>
    <w:p>
      <w:pPr>
        <w:pStyle w:val="BookText"/>
        <w:rPr/>
      </w:pPr>
      <w:r>
        <w:rPr>
          <w:rFonts w:ascii="IRNazanin" w:hAnsi="IRNazanin" w:eastAsia="IRNazanin"/>
          <w:color w:val="111111"/>
          <w:sz w:val="28"/>
          <w:sz w:val="28"/>
          <w:szCs w:val="28"/>
          <w:rtl w:val="true"/>
          <w:lang w:bidi="fa-IR"/>
        </w:rPr>
        <w:t>سیطره قدرت سیاسی خود، به هر سخنی بها می‌دهند جز آموزش فعّال و پویای دینی در</w:t>
      </w:r>
    </w:p>
    <w:p>
      <w:pPr>
        <w:pStyle w:val="BookText"/>
        <w:rPr/>
      </w:pPr>
      <w:r>
        <w:rPr>
          <w:rFonts w:ascii="IRNazanin" w:hAnsi="IRNazanin" w:eastAsia="IRNazanin"/>
          <w:color w:val="111111"/>
          <w:sz w:val="28"/>
          <w:sz w:val="28"/>
          <w:szCs w:val="28"/>
          <w:rtl w:val="true"/>
          <w:lang w:bidi="fa-IR"/>
        </w:rPr>
        <w:t xml:space="preserve">بین جوانان و توده‌های مردم، و اکنون جای بسی خوشبختی است که در عصر انقلاب اسلامی زندگی می‌کنیم و از برکت رهبری پیامبرگونه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رغبت عمومی در حفظ و فهم قرآن بیش از پیش شده است، و در مراکز دانشگاهی و حوزوی جمهوری اسلامی ایران به طور تخصّصی و کارآزموده به پژوهشهای قرآنی پرداخته می‌شود و حافظان و عالمان قرآن با حضور در مجامع بین‌المللی و نیز دعوت از قاریان مشهور دیگر کشورهای اسلامی به ایران موقعیّت مناسبی را برای تعظیم و بزرگداشت قرآن فراهم آورده‌اند و جوانان ما علاوه بر حفظ قرآن به فهم و تدبّر در آیات نیز علاقمند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تؤاخذنا إنْ نَسینا أوْ أخطأنا</w:t>
      </w:r>
      <w:r>
        <w:rPr>
          <w:rFonts w:eastAsia="IRNazanin" w:cs="IRNazanin"/>
          <w:color w:val="111111"/>
          <w:sz w:val="28"/>
          <w:szCs w:val="28"/>
          <w:rtl w:val="true"/>
          <w:lang w:bidi="fa-IR"/>
        </w:rPr>
        <w:t>».</w:t>
      </w:r>
      <w:bookmarkStart w:id="253" w:name="pg4391_51015"/>
    </w:p>
    <w:p>
      <w:pPr>
        <w:pStyle w:val="Heading4"/>
        <w:numPr>
          <w:ilvl w:val="3"/>
          <w:numId w:val="1"/>
        </w:numPr>
        <w:rPr/>
      </w:pPr>
      <w:bookmarkStart w:id="254" w:name="__RefHeading___Toc1438781_1479056682"/>
      <w:bookmarkStart w:id="255" w:name="_Toc99"/>
      <w:bookmarkEnd w:id="253"/>
      <w:bookmarkEnd w:id="254"/>
      <w:r>
        <w:rPr>
          <w:rtl w:val="true"/>
        </w:rPr>
        <w:t xml:space="preserve">فصل نهم </w:t>
      </w:r>
      <w:r>
        <w:rPr>
          <w:rtl w:val="true"/>
        </w:rPr>
        <w:t xml:space="preserve">- </w:t>
      </w:r>
      <w:r>
        <w:rPr>
          <w:rtl w:val="true"/>
        </w:rPr>
        <w:t>بررسی آیه بودن بسمله از نگاه نهاوندی</w:t>
      </w:r>
      <w:bookmarkEnd w:id="255"/>
    </w:p>
    <w:p>
      <w:pPr>
        <w:pStyle w:val="Heading5"/>
        <w:numPr>
          <w:ilvl w:val="4"/>
          <w:numId w:val="1"/>
        </w:numPr>
        <w:rPr/>
      </w:pPr>
      <w:bookmarkStart w:id="256" w:name="__RefHeading___Toc1438783_1479056682"/>
      <w:bookmarkStart w:id="257" w:name="_Toc100"/>
      <w:bookmarkEnd w:id="256"/>
      <w:r>
        <w:rPr>
          <w:rtl w:val="true"/>
        </w:rPr>
        <w:t>«</w:t>
      </w:r>
      <w:r>
        <w:rPr>
          <w:rtl w:val="true"/>
        </w:rPr>
        <w:t>بسمله</w:t>
      </w:r>
      <w:r>
        <w:rPr>
          <w:rtl w:val="true"/>
        </w:rPr>
        <w:t xml:space="preserve">» </w:t>
      </w:r>
      <w:r>
        <w:rPr>
          <w:rtl w:val="true"/>
        </w:rPr>
        <w:t>در نفحات الرّحمن</w:t>
      </w:r>
      <w:bookmarkEnd w:id="257"/>
    </w:p>
    <w:p>
      <w:pPr>
        <w:pStyle w:val="BookText"/>
        <w:rPr/>
      </w:pPr>
      <w:r>
        <w:rPr>
          <w:rFonts w:ascii="IRNazanin" w:hAnsi="IRNazanin" w:eastAsia="IRNazanin"/>
          <w:color w:val="111111"/>
          <w:sz w:val="28"/>
          <w:sz w:val="28"/>
          <w:szCs w:val="28"/>
          <w:rtl w:val="true"/>
          <w:lang w:bidi="fa-IR"/>
        </w:rPr>
        <w:t xml:space="preserve">از دیرباز نزاع فکری میان مفسّران و فقهای مذاهب اسلامی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بوده و عمده این نزاع پیرامون دو مطلب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آیه مستقلّی از قرآن به شمار می‌رود یا خیر ؟ و اگر خود، آیه مستقلّی است، آیا این استقلال، تنها در سوره فاتحة الکتاب است</w:t>
      </w:r>
    </w:p>
    <w:p>
      <w:pPr>
        <w:pStyle w:val="BookText"/>
        <w:rPr/>
      </w:pPr>
      <w:r>
        <w:rPr>
          <w:rFonts w:ascii="IRNazanin" w:hAnsi="IRNazanin" w:eastAsia="IRNazanin"/>
          <w:color w:val="111111"/>
          <w:sz w:val="28"/>
          <w:sz w:val="28"/>
          <w:szCs w:val="28"/>
          <w:rtl w:val="true"/>
          <w:lang w:bidi="fa-IR"/>
        </w:rPr>
        <w:t>یا بسمله در آغاز هر سوره‌ای، آیه‌ای مستقل و بسمله هر سوره متعلّق به همان سوره می‌باشد ؟ دلایل موافقان و مخالفان چیست ؟</w:t>
      </w:r>
    </w:p>
    <w:p>
      <w:pPr>
        <w:pStyle w:val="BookText"/>
        <w:rPr/>
      </w:pPr>
      <w:r>
        <w:rPr>
          <w:rFonts w:ascii="IRNazanin" w:hAnsi="IRNazanin" w:eastAsia="IRNazanin"/>
          <w:color w:val="111111"/>
          <w:sz w:val="28"/>
          <w:sz w:val="28"/>
          <w:szCs w:val="28"/>
          <w:rtl w:val="true"/>
          <w:lang w:bidi="fa-IR"/>
        </w:rPr>
        <w:t xml:space="preserve">ثانیا،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جار و مجرور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w:t>
      </w:r>
    </w:p>
    <w:p>
      <w:pPr>
        <w:pStyle w:val="BookText"/>
        <w:rPr/>
      </w:pPr>
      <w:r>
        <w:rPr>
          <w:rFonts w:ascii="IRNazanin" w:hAnsi="IRNazanin" w:eastAsia="IRNazanin"/>
          <w:color w:val="111111"/>
          <w:sz w:val="28"/>
          <w:sz w:val="28"/>
          <w:szCs w:val="28"/>
          <w:rtl w:val="true"/>
          <w:lang w:bidi="fa-IR"/>
        </w:rPr>
        <w:t>در کنار این دو مطلب، مطالب فرعی و حل شده‌ای پیرامون مباحث زیر مطرح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و حکمت آغاز سوره‌ها با بسمله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تقدّم صفت رحمانیت خداوند بر رحیمیت او</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قبل از طرح کلیّات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جایگاه آن در قرآن از دیدگاه مفسّران،</w:t>
      </w:r>
      <w:bookmarkStart w:id="258" w:name="pg4391_51016"/>
    </w:p>
    <w:p>
      <w:pPr>
        <w:pStyle w:val="BookText"/>
        <w:rPr/>
      </w:pPr>
      <w:bookmarkEnd w:id="258"/>
      <w:r>
        <w:rPr>
          <w:rFonts w:ascii="IRNazanin" w:hAnsi="IRNazanin" w:eastAsia="IRNazanin"/>
          <w:color w:val="111111"/>
          <w:sz w:val="28"/>
          <w:sz w:val="28"/>
          <w:szCs w:val="28"/>
          <w:rtl w:val="true"/>
          <w:lang w:bidi="fa-IR"/>
        </w:rPr>
        <w:t>محدّثان، صحابه، تابعین و فقها، ابتدا با عقیده و رأی صاحب تفسیر آشنا می‌شویم، سپس ضمن تحلیل عقیده و رأی ایشان به طرح نظرهای متقدّمان و بعضی از متأخّران خواهیم پرداخت</w:t>
      </w:r>
      <w:r>
        <w:rPr>
          <w:rFonts w:eastAsia="IRNazanin" w:cs="IRNazanin"/>
          <w:color w:val="111111"/>
          <w:sz w:val="28"/>
          <w:szCs w:val="28"/>
          <w:rtl w:val="true"/>
          <w:lang w:bidi="fa-IR"/>
        </w:rPr>
        <w:t>.</w:t>
      </w:r>
    </w:p>
    <w:p>
      <w:pPr>
        <w:pStyle w:val="Heading5"/>
        <w:numPr>
          <w:ilvl w:val="4"/>
          <w:numId w:val="1"/>
        </w:numPr>
        <w:rPr/>
      </w:pPr>
      <w:bookmarkStart w:id="259" w:name="__RefHeading___Toc1438785_1479056682"/>
      <w:bookmarkStart w:id="260" w:name="_Toc101"/>
      <w:bookmarkEnd w:id="259"/>
      <w:r>
        <w:rPr>
          <w:rtl w:val="true"/>
        </w:rPr>
        <w:t>حکمت شروع سوره‌ها با بسمله</w:t>
      </w:r>
      <w:bookmarkEnd w:id="260"/>
    </w:p>
    <w:p>
      <w:pPr>
        <w:pStyle w:val="BookText"/>
        <w:rPr/>
      </w:pPr>
      <w:r>
        <w:rPr>
          <w:rFonts w:ascii="IRNazanin" w:hAnsi="IRNazanin" w:eastAsia="IRNazanin"/>
          <w:color w:val="111111"/>
          <w:sz w:val="28"/>
          <w:sz w:val="28"/>
          <w:szCs w:val="28"/>
          <w:rtl w:val="true"/>
          <w:lang w:bidi="fa-IR"/>
        </w:rPr>
        <w:t>نهاوندی در خصوص این که چرا سوره‌های قرآن با بسم اللّه الرّحمن الرّحیم آغاز می‌شود ابتدا به ذکر سه روایت می‌پردازد سپس عقیده خود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با واژه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اللّه تعالی افتتح کتابه الکریم بأوّل ما جری به القلم فی اللّوح المحفوظ وأوّل ما نزل علی آدم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کل کتاب نزل من السّماء بسم اللّه الرّحمن الرّحیم</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تفسیر بسم اللّه، قال،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نفسی بسمة من سمات اللّه وهی العبادة،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السمة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عبادت، عبارت است از فنا و اظهار عجز و نیاز و تبعیّت بنده در محضر خداوندی، که این نشان و علامت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که خود، کمال وجود و وجوب و غنی وجود و سلطنت و مولویت است، به گونه‌ای که اگر نور عبودیّت در بنده حاصل شود، نشان ربوبیّت در او ظاهر می‌گردد، کسی که جان خویش را به سمت عبودیّت حق نشانه گیرد و آن حالتی جز عجز و نیاز و امید و فقر به خداوند و اظهار فنا و هیچی در</w:t>
      </w:r>
    </w:p>
    <w:p>
      <w:pPr>
        <w:pStyle w:val="BookText"/>
        <w:rPr/>
      </w:pPr>
      <w:r>
        <w:rPr>
          <w:rFonts w:ascii="IRNazanin" w:hAnsi="IRNazanin" w:eastAsia="IRNazanin"/>
          <w:color w:val="111111"/>
          <w:sz w:val="28"/>
          <w:sz w:val="28"/>
          <w:szCs w:val="28"/>
          <w:rtl w:val="true"/>
          <w:lang w:bidi="fa-IR"/>
        </w:rPr>
        <w:t>درگه ربوبی چیز دیگری نیست، در واقع، جان را به سوی او کرده، اعتقاد او در این حال آن چنان است ما سوی اللّه همه عدم بودند و فیض الهی بر آنان قابلیت وجود و فعل و</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را در درون آنها مهیّا ساخته، تا به هستی پای گذارند، تحصیل فیض در وجود نیز از انعام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اینها نشان و علامت الهی و آثار تجلّی وجود خدا در هستی است،</w:t>
      </w:r>
    </w:p>
    <w:p>
      <w:pPr>
        <w:pStyle w:val="BookText"/>
        <w:rPr/>
      </w:pPr>
      <w:r>
        <w:rPr>
          <w:rFonts w:ascii="IRNazanin" w:hAnsi="IRNazanin" w:eastAsia="IRNazanin"/>
          <w:color w:val="111111"/>
          <w:sz w:val="28"/>
          <w:sz w:val="28"/>
          <w:szCs w:val="28"/>
          <w:rtl w:val="true"/>
          <w:lang w:bidi="fa-IR"/>
        </w:rPr>
        <w:t xml:space="preserve">هرگاه چنین حالتی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نشان از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بنده ظاهر گردد، خیر در او آشکار گردد و مبدأ و منشأ هر خیری در انسان، ظهور حالت عبودیّت در اوست، هرچه این حال و نشان در ذات آدمی کامل گردد، وجود او منشأ خیرات فراوان می‌شود، زیرا هر شی‌ء موجود نشان از وجود مبارک است که با افاضه الهی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 است هنگامی که اراده می‌کند بر قیام الهی برخیزد، توفیق انجام وظایف مربوط به عبودیّت را</w:t>
      </w:r>
    </w:p>
    <w:p>
      <w:pPr>
        <w:pStyle w:val="BookText"/>
        <w:rPr/>
      </w:pPr>
      <w:r>
        <w:rPr>
          <w:rFonts w:ascii="IRNazanin" w:hAnsi="IRNazanin" w:eastAsia="IRNazanin"/>
          <w:color w:val="111111"/>
          <w:sz w:val="28"/>
          <w:sz w:val="28"/>
          <w:szCs w:val="28"/>
          <w:rtl w:val="true"/>
          <w:lang w:bidi="fa-IR"/>
        </w:rPr>
        <w:t>از ذات احدیّتش مسئلت نماید، از تلاوت آیات قرآن گرفته تا بقیه طاعات و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او واجب است، همواره از ذات کبریایی او، کمال وجود و قوّت نفس را برای خود بخواهد و همواره به قصد انشا و دعا چنین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نفسی بسمة اللّه، أیّ اللّهمّ أعلم نفسی بعلامتک وأکمل فیض الوجود فیّ بجودک وفیّاضیتک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خداوندا، گوی وجودم را به سوی خودت نشانه گیر و به حقّ وجود و بخشش و فیّاضیّت خودت، فیض وجود را در درونم کامل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این سؤال و درخواست، همواره با استعانت همراه باشد، یعنی در رسیدن به این توفیق، بنده متّکی به</w:t>
      </w:r>
    </w:p>
    <w:p>
      <w:pPr>
        <w:pStyle w:val="BookText"/>
        <w:rPr/>
      </w:pPr>
      <w:r>
        <w:rPr>
          <w:rFonts w:ascii="IRNazanin" w:hAnsi="IRNazanin" w:eastAsia="IRNazanin"/>
          <w:color w:val="111111"/>
          <w:sz w:val="28"/>
          <w:sz w:val="28"/>
          <w:szCs w:val="28"/>
          <w:rtl w:val="true"/>
          <w:lang w:bidi="fa-IR"/>
        </w:rPr>
        <w:t>مدد و یاری مجدّد الهی است، و لذا همواره همدوش طلب هدایت و فیض وجودی، استعانت از ذات کبریایی‌اش را مدّ نظر دارد، زیرا هر افاضه‌ای که از ناحیه حق بر بنده</w:t>
      </w:r>
    </w:p>
    <w:p>
      <w:pPr>
        <w:pStyle w:val="BookText"/>
        <w:rPr/>
      </w:pPr>
      <w:r>
        <w:rPr>
          <w:rFonts w:ascii="IRNazanin" w:hAnsi="IRNazanin" w:eastAsia="IRNazanin"/>
          <w:color w:val="111111"/>
          <w:sz w:val="28"/>
          <w:sz w:val="28"/>
          <w:szCs w:val="28"/>
          <w:rtl w:val="true"/>
          <w:lang w:bidi="fa-IR"/>
        </w:rPr>
        <w:t>رسد، نشان از اجابت دعای بنده و یاری خدا بر 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نفسی بسمة</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التزامی آن، استعانت از خداوند است و نظر به این که این معنا که از استعانت بیان شد، به فهم عوام نزدیکتر است، در برخی از روایات مشاهده می‌کنیم،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نهاوندی آن گاه در دنباله توضیح خود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نشانه‌گیری بنده به سوی فیض ربوبی چنین نتیجه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یمکن علی هذا التفسیر أن یکون وجه تعلیق الاستعانة بالاسم مع انّها فی الواقع بالمسمّی هو ذاته سبحانه وتعالی انّ فیه نوع تأدّب فی التعبیر أو الاشارة إلی انّ أسماء اللّه تعالی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جهة حکایتها عن الذات المقدّسة واتّحادها معها اتّحاد الکاشف مع المکشوف، لها قوّةٌ نورانیّةٌ وکمال وجودی به تکون مؤثرات فی الوجود ویکنی العبد أن یستعین بها ویطلب القوّة</w:t>
      </w:r>
    </w:p>
    <w:p>
      <w:pPr>
        <w:pStyle w:val="BookText"/>
        <w:rPr/>
      </w:pPr>
      <w:r>
        <w:rPr>
          <w:rFonts w:ascii="IRNazanin" w:hAnsi="IRNazanin" w:eastAsia="IRNazanin"/>
          <w:color w:val="111111"/>
          <w:sz w:val="28"/>
          <w:sz w:val="28"/>
          <w:szCs w:val="28"/>
          <w:rtl w:val="true"/>
          <w:lang w:bidi="fa-IR"/>
        </w:rPr>
        <w:t>علی العمل بذکرها</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اگرچه در واقع امر، متعلّق بسم اللّه خداوند سبحان و بزرگ است، امّا مطابق تفسیری که از این عبارت گذشت می‌توان متعلّق آن را، استعانت دانست که به نوعی تأدب بنده در</w:t>
      </w:r>
    </w:p>
    <w:p>
      <w:pPr>
        <w:pStyle w:val="BookText"/>
        <w:rPr/>
      </w:pPr>
      <w:r>
        <w:rPr>
          <w:rFonts w:ascii="IRNazanin" w:hAnsi="IRNazanin" w:eastAsia="IRNazanin"/>
          <w:color w:val="111111"/>
          <w:sz w:val="28"/>
          <w:sz w:val="28"/>
          <w:szCs w:val="28"/>
          <w:rtl w:val="true"/>
          <w:lang w:bidi="fa-IR"/>
        </w:rPr>
        <w:t>برابر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اشاره به این است که اسماء الهی، از آن جهت که حکایت از ذات</w:t>
      </w:r>
    </w:p>
    <w:p>
      <w:pPr>
        <w:pStyle w:val="BookText"/>
        <w:rPr/>
      </w:pPr>
      <w:r>
        <w:rPr>
          <w:rFonts w:ascii="IRNazanin" w:hAnsi="IRNazanin" w:eastAsia="IRNazanin"/>
          <w:color w:val="111111"/>
          <w:sz w:val="28"/>
          <w:sz w:val="28"/>
          <w:szCs w:val="28"/>
          <w:rtl w:val="true"/>
          <w:lang w:bidi="fa-IR"/>
        </w:rPr>
        <w:t xml:space="preserve">مقدّس دارد و گواهی از اتّحاد اسم و مسمّی و کاشف و مکشوف می‌دهد، برخوردار از قدرتی نورانی و وجودی کامل است که تمام علل و اسباب و مؤثّرات موجود در طبیعت و هستی، قدرت فاعلیّت و سببیّت و تأثیر خود را از آن می‌ستانند، پس بنده نیز به مدد آن قدرت نورانی و کمال وجود که بر هستی سلطنت دارد، نیازمند است و نیروی هر عملی را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ذات مقدّسش مسئلت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مصنف در تفسیر بسمله به ذکر چند نکته می‌پردازد،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موجب شده سوره مبارک فاتحة الکتاب در آغاز قرآن قرار گیرد، ممکن است آن باشد که این سوره شامل نکات اساسی و امور مهم تعالیم قرآن است و براعت</w:t>
      </w:r>
    </w:p>
    <w:p>
      <w:pPr>
        <w:pStyle w:val="BookText"/>
        <w:rPr/>
      </w:pPr>
      <w:r>
        <w:rPr>
          <w:rFonts w:ascii="IRNazanin" w:hAnsi="IRNazanin" w:eastAsia="IRNazanin"/>
          <w:color w:val="111111"/>
          <w:sz w:val="28"/>
          <w:sz w:val="28"/>
          <w:szCs w:val="28"/>
          <w:rtl w:val="true"/>
          <w:lang w:bidi="fa-IR"/>
        </w:rPr>
        <w:t>استهلالی خاص در او دیده می‌شود و نیز این سوره، به منزله فهرستی بر کتاب قرآن است، همان گونه که در فهرست هر کتاب، سرفصلهای محتویات کتاب درج می‌شود، رؤوس تعالیم قرآن نیز در سوره فاتحة الکتاب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رسم مشرکان بر</w:t>
      </w:r>
    </w:p>
    <w:p>
      <w:pPr>
        <w:pStyle w:val="BookText"/>
        <w:rPr/>
      </w:pPr>
      <w:r>
        <w:rPr>
          <w:rFonts w:ascii="IRNazanin" w:hAnsi="IRNazanin" w:eastAsia="IRNazanin"/>
          <w:color w:val="111111"/>
          <w:sz w:val="28"/>
          <w:sz w:val="28"/>
          <w:szCs w:val="28"/>
          <w:rtl w:val="true"/>
          <w:lang w:bidi="fa-IR"/>
        </w:rPr>
        <w:t>این بود که در شروع هر امری، معبود خود را یاد کنند و با نام بُتهای خود تیمّن و تبرّک</w:t>
      </w:r>
    </w:p>
    <w:p>
      <w:pPr>
        <w:pStyle w:val="BookText"/>
        <w:rPr/>
      </w:pPr>
      <w:r>
        <w:rPr>
          <w:rFonts w:ascii="IRNazanin" w:hAnsi="IRNazanin" w:eastAsia="IRNazanin"/>
          <w:color w:val="111111"/>
          <w:sz w:val="28"/>
          <w:sz w:val="28"/>
          <w:szCs w:val="28"/>
          <w:rtl w:val="true"/>
          <w:lang w:bidi="fa-IR"/>
        </w:rPr>
        <w:t>جویند، خداوند متعال به ذکر بسم اللّه الرّحمن الرّحیم بندگان خود را تعلیم فرمود که</w:t>
      </w:r>
    </w:p>
    <w:p>
      <w:pPr>
        <w:pStyle w:val="BookText"/>
        <w:rPr/>
      </w:pPr>
      <w:r>
        <w:rPr>
          <w:rFonts w:ascii="IRNazanin" w:hAnsi="IRNazanin" w:eastAsia="IRNazanin"/>
          <w:color w:val="111111"/>
          <w:sz w:val="28"/>
          <w:sz w:val="28"/>
          <w:szCs w:val="28"/>
          <w:rtl w:val="true"/>
          <w:lang w:bidi="fa-IR"/>
        </w:rPr>
        <w:t>وقت شروع هر کاری و یا هر امری، یاد اسم خدا کنند با این مضمون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می‌جویم به نام خدایی که بخشنده وجود و ترقّی و تکامل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تمام هستی، وجود و کمال می‌دهد و بر مؤمنان و مؤمنات،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چیزی که قلم بر لوح محفوظ نگاشت و خداوند به آدم تعلیم داد و تمام کتابهای آسمانی با آن آغاز شد،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bookmarkStart w:id="261" w:name="pg4391_51019"/>
    </w:p>
    <w:p>
      <w:pPr>
        <w:pStyle w:val="Heading5"/>
        <w:numPr>
          <w:ilvl w:val="4"/>
          <w:numId w:val="1"/>
        </w:numPr>
        <w:rPr/>
      </w:pPr>
      <w:bookmarkStart w:id="262" w:name="__RefHeading___Toc1438787_1479056682"/>
      <w:bookmarkStart w:id="263" w:name="_Toc102"/>
      <w:bookmarkEnd w:id="261"/>
      <w:bookmarkEnd w:id="262"/>
      <w:r>
        <w:rPr>
          <w:rtl w:val="true"/>
        </w:rPr>
        <w:t>توضیح بسمله</w:t>
      </w:r>
      <w:bookmarkEnd w:id="263"/>
    </w:p>
    <w:p>
      <w:pPr>
        <w:pStyle w:val="BookText"/>
        <w:rPr/>
      </w:pPr>
      <w:r>
        <w:rPr>
          <w:rFonts w:ascii="IRNazanin" w:hAnsi="IRNazanin" w:eastAsia="IRNazanin"/>
          <w:color w:val="111111"/>
          <w:sz w:val="28"/>
          <w:sz w:val="28"/>
          <w:szCs w:val="28"/>
          <w:rtl w:val="true"/>
          <w:lang w:bidi="fa-IR"/>
        </w:rPr>
        <w:t>در تفسیر نهاوندی گفته شده که الرّحمن والرّحیم، بر حسب لغت دو صفت مشبهه است از ماده رحم، که مفهوم آن، عطوفت و مهربانی در حقّ دیگری است از طریق احسان به او و دور ساختن ضررها و آسیبها از وی، که این حالت، برگرفته از رقّت، لطف و حکمت الهی است، البتّه درست آن است که ذات حق را به رقّت قلبی وصف نکنیم؛ زیرا مفهوم حقیقی این وصف و صفت تنها به عباد و بندگان او باز می‌گردد، بلکه اطلاق رقّت قلب بر ذات باری، صرفا از باب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رحمن، بنابر هیأت لغوی، دلالت بر مبالغه و شدّت دارد و نوعی رحمت عمومی از آن مستفاد است که شامل تمام موجودات از قبیل اعطای وجود و رزق و دیگر انعام و بخششها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در تمام عوالم هستی از ملک و ملکوت گرفته تا عالم برزخ و آخرت، هستی‌یابی آنان و بقای حیاتشان، مرهون رحمت و رحمانیت شامل و عامّ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کلمه رحیم بنابر عدم دلالت بر شدّت و مبالغه، نوعی رحمت خاص و ویژه‌ای در حقّ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رحمت که از آن تعبیر به رحمت خاصّ الهی می‌شود،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مؤمنان به راه حق و توفیق ایمان و انجام عمل صالح و نیز حُسن عاقبت و تحصیل بهشت و نعمتهای دایمی و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در وجه تقدیم رحمن و رحیم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رحمت عمومی خداوند مقدّم بر رحمت خاصّ اوست،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گرفته است، هرچند که مقتضی آن بود که شدّت، متأخّر از ضعف باشد که وی همچنین اظهار می‌دارد که در بسم‌اللّه الرّحمن الرّحیم، سه اسم مبارک مطرح شده که هر سه، منشأ خیرات و برکات</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جلاله مبدأ فیض‌رسانی به موجودات است، و هر ایجاد و آفرینشی از او منجر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فیض تربیت مخلوقات و نیز ارسال نعمتهای دنیوی به آنان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فیض هدایت و توفیق و دیگر کرامات اخروی بر بندگان خاصّ خود</w:t>
      </w:r>
      <w:bookmarkStart w:id="264" w:name="pg4391_51020"/>
    </w:p>
    <w:p>
      <w:pPr>
        <w:pStyle w:val="BookText"/>
        <w:rPr/>
      </w:pPr>
      <w:bookmarkEnd w:id="264"/>
      <w:r>
        <w:rPr>
          <w:rFonts w:ascii="IRNazanin" w:hAnsi="IRNazanin" w:eastAsia="IRNazanin"/>
          <w:color w:val="111111"/>
          <w:sz w:val="28"/>
          <w:sz w:val="28"/>
          <w:szCs w:val="28"/>
          <w:rtl w:val="true"/>
          <w:lang w:bidi="fa-IR"/>
        </w:rPr>
        <w:t>یعنی ایمان‌آورندگان به او و پیامبر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 برخی مفسّران </w:t>
      </w:r>
      <w:r>
        <w:rPr>
          <w:rStyle w:val="FootnoteAnchor"/>
          <w:rtl w:val="true"/>
        </w:rPr>
        <w:footnoteReference w:id="233"/>
      </w:r>
      <w:r>
        <w:rPr>
          <w:rFonts w:ascii="IRNazanin" w:hAnsi="IRNazanin" w:eastAsia="IRNazanin"/>
          <w:color w:val="111111"/>
          <w:sz w:val="28"/>
          <w:sz w:val="28"/>
          <w:szCs w:val="28"/>
          <w:rtl w:val="true"/>
          <w:lang w:bidi="fa-IR"/>
        </w:rPr>
        <w:t>، خداوند در آغاز نزول کلام وحی، خود را با صفت رحمان و رحیم وصف کرد؛ زیرا قرآن و نزول آن به منزله رحمتی الهی برای مردم است و مناسب</w:t>
      </w:r>
    </w:p>
    <w:p>
      <w:pPr>
        <w:pStyle w:val="BookText"/>
        <w:rPr/>
      </w:pPr>
      <w:r>
        <w:rPr>
          <w:rFonts w:ascii="IRNazanin" w:hAnsi="IRNazanin" w:eastAsia="IRNazanin"/>
          <w:color w:val="111111"/>
          <w:sz w:val="28"/>
          <w:sz w:val="28"/>
          <w:szCs w:val="28"/>
          <w:rtl w:val="true"/>
          <w:lang w:bidi="fa-IR"/>
        </w:rPr>
        <w:t>آن بود که پیامبر و کتاب قرآن را به این صفت بفرستد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 وصف رحمت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بَصَائِرُ مِن رَبِّکُمْ وَ هُدًی وَ رَحْمَةٌ لِقَوْمٍ یُؤْمِنُونَ </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نیز در وصف رسولش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أَرْسَلْنَاکَ إِلاَّ رَحْمَةً لِلْعَالَمِینَ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لَهُدًی وَ رَحْمَةٌ لِلْمؤمِنِین </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 w:name="__RefHeading___Toc1438789_1479056682"/>
      <w:bookmarkStart w:id="266" w:name="_Toc103"/>
      <w:bookmarkEnd w:id="265"/>
      <w:r>
        <w:rPr>
          <w:rtl w:val="true"/>
        </w:rPr>
        <w:t>تحلیل سخن نهاوندی</w:t>
      </w:r>
      <w:bookmarkEnd w:id="266"/>
    </w:p>
    <w:p>
      <w:pPr>
        <w:pStyle w:val="BookText"/>
        <w:rPr/>
      </w:pPr>
      <w:r>
        <w:rPr>
          <w:rFonts w:ascii="IRNazanin" w:hAnsi="IRNazanin" w:eastAsia="IRNazanin"/>
          <w:color w:val="111111"/>
          <w:sz w:val="28"/>
          <w:sz w:val="28"/>
          <w:szCs w:val="28"/>
          <w:rtl w:val="true"/>
          <w:lang w:bidi="fa-IR"/>
        </w:rPr>
        <w:t>از مجموع گفتار نهاوندی در پیرامون بسمله، نکته‌های زیر استنباط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متعلّق جار و مجرور بسم اللّه، استعانت از ذات خداوندی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کلام الهی که از ذات او صادر گردید، بسمله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بسمله به رحمت عمومی و خاصّ خداوند اشاره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بسمله به سه مبدأ فیض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وجود، فیض تربیت، فیض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قلم نهاوندی دور مانده پاسخ پرسشهای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بسمله جزو قرآن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بسمله در هر سوره، آیه مستقلّی است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قراءت بسمله در نماز چیست ؟</w:t>
      </w:r>
    </w:p>
    <w:p>
      <w:pPr>
        <w:pStyle w:val="Heading5"/>
        <w:numPr>
          <w:ilvl w:val="4"/>
          <w:numId w:val="1"/>
        </w:numPr>
        <w:rPr/>
      </w:pPr>
      <w:bookmarkStart w:id="267" w:name="__RefHeading___Toc1438791_1479056682"/>
      <w:bookmarkStart w:id="268" w:name="_Toc104"/>
      <w:bookmarkEnd w:id="267"/>
      <w:r>
        <w:rPr>
          <w:rtl w:val="true"/>
        </w:rPr>
        <w:t>تکمله</w:t>
      </w:r>
      <w:bookmarkEnd w:id="26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دیگر هریک به این مطلب اشاره کرده‌اند، امّا نهاوندی بیانی در این خصوص ارائه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اتّفاق آرای علمای شیعه، بسم اللّه الرّحمن الرّحیم در آغاز هر سوره‌ای، آیه مستقلّی بوده و جزو همان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سوره برائت که بدون بسمله آغاز گشته است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شیعه، اغلب پیروان و علمای مذهب شافعیه و نیز قاریان مکّه و مدینه چنین اعتقادی داشته و دارند و روایات تاریخی حاکی از اعتقاد ابن عباس، ابن المبارک،</w:t>
      </w:r>
    </w:p>
    <w:p>
      <w:pPr>
        <w:pStyle w:val="BookText"/>
        <w:rPr/>
      </w:pPr>
      <w:r>
        <w:rPr>
          <w:rFonts w:ascii="IRNazanin" w:hAnsi="IRNazanin" w:eastAsia="IRNazanin"/>
          <w:color w:val="111111"/>
          <w:sz w:val="28"/>
          <w:sz w:val="28"/>
          <w:szCs w:val="28"/>
          <w:rtl w:val="true"/>
          <w:lang w:bidi="fa-IR"/>
        </w:rPr>
        <w:t xml:space="preserve">مفسّران مکّی مثل ابن کثیر، قاریان کوفه چون عاصم و کسائی و دیگران، به غیر از حمزة بن حبیب زیات کوفی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بسمله را آیه‌ای مستقل در آغاز هر سوره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اعتقاد فوق فقط در نامبردگان خلاصه نمی‌شود، بلکه چهره‌های دیگری</w:t>
      </w:r>
    </w:p>
    <w:p>
      <w:pPr>
        <w:pStyle w:val="BookText"/>
        <w:rPr/>
      </w:pPr>
      <w:r>
        <w:rPr>
          <w:rFonts w:ascii="IRNazanin" w:hAnsi="IRNazanin" w:eastAsia="IRNazanin"/>
          <w:color w:val="111111"/>
          <w:sz w:val="28"/>
          <w:sz w:val="28"/>
          <w:szCs w:val="28"/>
          <w:rtl w:val="true"/>
          <w:lang w:bidi="fa-IR"/>
        </w:rPr>
        <w:t>از صحابه و تابعین و تابع تابعین نیز چنین اعتقادی داشته‌اند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الزبیر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عطاء بن یسار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طاووس بن کیسان </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سعید بن جبیر، مکحول، زهری، احمد بن حنبل در یکی از روایتهای منسوب به او، اسحاق بن راهویه استاد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فخر رازی در تفسیر کبیر خود، این رأی را برمی‌گزیند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قرّای مکّه و کوفه و فقهای حجاز و نیز دیگران، بسمله را آیه‌ای مستقل</w:t>
      </w:r>
    </w:p>
    <w:p>
      <w:pPr>
        <w:pStyle w:val="BookText"/>
        <w:rPr/>
      </w:pP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پیروان مذهب شافعیه و نیز حمزة بن حبیب </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حنبل اعتقاد</w:t>
      </w:r>
    </w:p>
    <w:p>
      <w:pPr>
        <w:pStyle w:val="BookText"/>
        <w:rPr/>
      </w:pPr>
      <w:r>
        <w:rPr>
          <w:rFonts w:ascii="IRNazanin" w:hAnsi="IRNazanin" w:eastAsia="IRNazanin"/>
          <w:color w:val="111111"/>
          <w:sz w:val="28"/>
          <w:sz w:val="28"/>
          <w:szCs w:val="28"/>
          <w:rtl w:val="true"/>
          <w:lang w:bidi="fa-IR"/>
        </w:rPr>
        <w:t>داشتند که بسمله، فقط در سوره فاتحة الکتاب، آیه به شمار می‌رود، در دیگر سوره‌ها آیه مستقل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از فقهای متقدم عامّه از جمله مالک در مدینه و نیز اوزاعی در شام و ابو عمرو در بصره و یعقوب اعتقاد داشتند که بسمله، آیه مستقل و منفردی است ولی جزو هیچ کدام از سوره‌ها نیست، بلکه ذکر آن بین دو سوره برای فصل و جدایی مطالب دو سوره می‌باشد، و نیز به عنوان آغاز مبارکی برای سوره‌هاست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رأی در بین پیروان و فقهای حنفی مذهب، مشهور است و آنان قراءت بسمله را در آغاز سوره حمد در نماز واجب می‌دانند، امّا مالکی‌ها قراءت آن را هنگام نماز، مکروه</w:t>
      </w:r>
    </w:p>
    <w:p>
      <w:pPr>
        <w:pStyle w:val="BookText"/>
        <w:rPr/>
      </w:pPr>
      <w:r>
        <w:rPr>
          <w:rFonts w:ascii="IRNazanin" w:hAnsi="IRNazanin" w:eastAsia="IRNazanin"/>
          <w:color w:val="111111"/>
          <w:sz w:val="28"/>
          <w:sz w:val="28"/>
          <w:szCs w:val="28"/>
          <w:rtl w:val="true"/>
          <w:lang w:bidi="fa-IR"/>
        </w:rPr>
        <w:t xml:space="preserve">دانسته‌اند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مغنیه، جواز ترک بسمله در نماز را به حنفی‌ها نسبت می‌دهد، زیرا آنها</w:t>
      </w:r>
    </w:p>
    <w:p>
      <w:pPr>
        <w:pStyle w:val="BookText"/>
        <w:rPr/>
      </w:pPr>
      <w:r>
        <w:rPr>
          <w:rFonts w:ascii="IRNazanin" w:hAnsi="IRNazanin" w:eastAsia="IRNazanin"/>
          <w:color w:val="111111"/>
          <w:sz w:val="28"/>
          <w:sz w:val="28"/>
          <w:szCs w:val="28"/>
          <w:rtl w:val="true"/>
          <w:lang w:bidi="fa-IR"/>
        </w:rPr>
        <w:t>بسمله را جزو فاتحة الکتاب نمی‌دانند، نیز نه بلند خواندنش را مستحب می‌دانند و نَه</w:t>
      </w:r>
    </w:p>
    <w:p>
      <w:pPr>
        <w:pStyle w:val="BookText"/>
        <w:rPr/>
      </w:pPr>
      <w:r>
        <w:rPr>
          <w:rFonts w:ascii="IRNazanin" w:hAnsi="IRNazanin" w:eastAsia="IRNazanin"/>
          <w:color w:val="111111"/>
          <w:sz w:val="28"/>
          <w:sz w:val="28"/>
          <w:szCs w:val="28"/>
          <w:rtl w:val="true"/>
          <w:lang w:bidi="fa-IR"/>
        </w:rPr>
        <w:t>اخفات آن را، بلکه به عهده نمازگزار نهاده‌اند تا هرگونه می‌خواهد،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فقط خود بشنود یا دیگران هم بشنوند و یا این که هیچ‌کدام نشنوند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فقهای شافعی بسمله جزیی از سوره است و قراءت آن هرگز در نماز ترک نمی‌شود و در نمازهای جهریه در هر دو رکعت با صدای بلند قراءت می‌شود و در دیگر نمازها اخفات آن رعایت گردد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فقهای مذهب مالکی، بسمله جزو سوره‌ها نیست، امّا قراءت آن در نماز صبح و مغرب و عشا، با صدای بلند مستحب می‌باشد و نیز از قول حنابله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بسمله را جزو سوره می‌دانند، امّا حکم آن در نماز چه اخفاییه و چه جهریه، قراءت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ادامه گفتارش، از دیدگاه فقهای امامیّه 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فقهای امامیّه،</w:t>
      </w:r>
    </w:p>
    <w:p>
      <w:pPr>
        <w:pStyle w:val="BookText"/>
        <w:rPr/>
      </w:pPr>
      <w:r>
        <w:rPr>
          <w:rFonts w:ascii="IRNazanin" w:hAnsi="IRNazanin" w:eastAsia="IRNazanin"/>
          <w:color w:val="111111"/>
          <w:sz w:val="28"/>
          <w:sz w:val="28"/>
          <w:szCs w:val="28"/>
          <w:rtl w:val="true"/>
          <w:lang w:bidi="fa-IR"/>
        </w:rPr>
        <w:t>بسمله در آغاز هر سوره، جزو همان سوره و آیه به شمار می‌رود و ترک قراءت آن در نماز هرگز جایز نیست و قراءت دو سوره در دو رکعت با قراءت بسمله واجب می‌باشد و قراءت آن در تمام نمازها در حالت جهر است</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در تفسیر خویش، ضمن برشمردن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در اثبات آیه بودن </w:t>
      </w:r>
      <w:r>
        <w:rPr>
          <w:rStyle w:val="FootnoteAnchor"/>
          <w:rtl w:val="true"/>
        </w:rPr>
        <w:footnoteReference w:id="242"/>
      </w:r>
      <w:r>
        <w:rPr>
          <w:rFonts w:ascii="IRNazanin" w:hAnsi="IRNazanin" w:eastAsia="IRNazanin"/>
          <w:color w:val="111111"/>
          <w:sz w:val="28"/>
          <w:sz w:val="28"/>
          <w:szCs w:val="28"/>
          <w:rtl w:val="true"/>
          <w:lang w:bidi="fa-IR"/>
        </w:rPr>
        <w:t xml:space="preserve">بسمله در آغاز سوره فاتحة الکتاب، جهر به قراءت آن را در هر حال، به ویژه هنگام نماز، چه اخفاییه چه جهریه، سنّت می‌داند </w:t>
      </w:r>
      <w:r>
        <w:rPr>
          <w:rStyle w:val="FootnoteAnchor"/>
          <w:rtl w:val="true"/>
        </w:rPr>
        <w:footnoteReference w:id="243"/>
      </w:r>
      <w:r>
        <w:rPr>
          <w:rFonts w:ascii="IRNazanin" w:hAnsi="IRNazanin" w:eastAsia="IRNazanin"/>
          <w:color w:val="111111"/>
          <w:sz w:val="28"/>
          <w:sz w:val="28"/>
          <w:szCs w:val="28"/>
          <w:rtl w:val="true"/>
          <w:lang w:bidi="fa-IR"/>
        </w:rPr>
        <w:t xml:space="preserve">، و برای اثبات آن شش دلیل اقامه می‌کند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خلاصه دلایل فخر رازی در اثبات آیه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 سلمه همسر پیامبر صلی‌الله‌علیه‌و‌آله نقل می‌کند که آن حضرت، فاتحة الکتاب را قراءت فرمود و آیات آن را به تفکیک مشخص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الرّحمن‌الرّحیم، آیه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ابو هریره نقل شده که پیامبر اکرم صلی‌الله‌علیه‌و‌آله فاتحة الکتاب را هفت آیه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آیات آن، بسمله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ثعلبی در تفسیر خویش سخنی نقل می‌کند که پیامبر صلی‌الله‌علیه‌و‌آله به فردی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w:t>
      </w:r>
    </w:p>
    <w:p>
      <w:pPr>
        <w:pStyle w:val="BookText"/>
        <w:rPr/>
      </w:pPr>
      <w:r>
        <w:rPr>
          <w:rFonts w:ascii="IRNazanin" w:hAnsi="IRNazanin" w:eastAsia="IRNazanin"/>
          <w:color w:val="111111"/>
          <w:sz w:val="28"/>
          <w:sz w:val="28"/>
          <w:szCs w:val="28"/>
          <w:rtl w:val="true"/>
          <w:lang w:bidi="fa-IR"/>
        </w:rPr>
        <w:t>می‌خواهی تو را از آیه‌ای خبر دهم که پس از سلیمان بن داود بر کسی جز من نازل نشد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نمازت را با چه کلامی آغاز می‌کنی ؟ آن فرد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بسم اللّه، پیامبر</w:t>
      </w:r>
    </w:p>
    <w:p>
      <w:pPr>
        <w:pStyle w:val="BookText"/>
        <w:rPr/>
      </w:pPr>
      <w:r>
        <w:rPr>
          <w:rFonts w:ascii="IRNazanin" w:hAnsi="IRNazanin" w:eastAsia="IRNazanin"/>
          <w:color w:val="111111"/>
          <w:sz w:val="28"/>
          <w:sz w:val="28"/>
          <w:szCs w:val="28"/>
          <w:rtl w:val="true"/>
          <w:lang w:bidi="fa-IR"/>
        </w:rPr>
        <w:t>در تأیید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است، همین است، آن گاه نتیجه می‌گیرد، بسمله جزو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تفسیر ثعلبی نقل می‌کند که پیامبر صلی‌الله‌علیه‌و‌آله از جابر بن عبداللّه انصاری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 را چگونه آغاز می‌کنی ؟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 پیامبر صلی‌الله‌علیه‌و‌آله سخن او را اصلاح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بسم اللّه الرّحمن الرّحیم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قراءت بسمله در آغاز سوره فاتحة الکتاب، دلیل بر آیه بودن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ابتدای نشر قرآن تا کنون، بسم اللّه الرّحمن الرّحیم به خطّ قرآن نگاشته می‌شد، اگر جزو قرآن نبود یا نوشته نمی‌شد یا به خطّی دیگر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w:t>
      </w:r>
    </w:p>
    <w:p>
      <w:pPr>
        <w:pStyle w:val="BookText"/>
        <w:rPr/>
      </w:pPr>
      <w:r>
        <w:rPr>
          <w:rFonts w:ascii="IRNazanin" w:hAnsi="IRNazanin" w:eastAsia="IRNazanin"/>
          <w:color w:val="111111"/>
          <w:sz w:val="28"/>
          <w:sz w:val="28"/>
          <w:szCs w:val="28"/>
          <w:rtl w:val="true"/>
          <w:lang w:bidi="fa-IR"/>
        </w:rPr>
        <w:t>همواره از نگارش مطالب غیر قرآنی در مصحف جلوگیری می‌شده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اتفاق‌نظر دارند که ما بین الدفتین، قرآن است، بسمله نیز در بین الدفتین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مفسّران گفته‌اند فاتحة الکتاب، هفت آیه دارد، اگر بسمله درنظر گرفته نشود، هفت آیه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پیامبر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أمر ذی بال لا یبدأ فیه باسم اللّه فهو أبتر أو أجذم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برترین اَعمال بعد از ایمان، اقامه نماز است، پس خواندن نماز بدون بسمله،</w:t>
      </w:r>
    </w:p>
    <w:p>
      <w:pPr>
        <w:pStyle w:val="BookText"/>
        <w:rPr/>
      </w:pPr>
      <w:r>
        <w:rPr>
          <w:rFonts w:ascii="IRNazanin" w:hAnsi="IRNazanin" w:eastAsia="IRNazanin"/>
          <w:color w:val="111111"/>
          <w:sz w:val="28"/>
          <w:sz w:val="28"/>
          <w:szCs w:val="28"/>
          <w:rtl w:val="true"/>
          <w:lang w:bidi="fa-IR"/>
        </w:rPr>
        <w:t>ابتر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از اُبی بن کعب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بزرگترین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برترین آیه قرآن کدام است ؟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صلی‌الله‌علیه‌و‌آله سخن او را تأیید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معاویه در نماز جماعت، فاتحة الکتاب را بدون بسم اللّه آغاز کرد، سپس نماز را به پایان رسانید، مردم به او یورش بردند که آیا بسمله را فراموش کردی؟ چرا در آغاز</w:t>
      </w:r>
    </w:p>
    <w:p>
      <w:pPr>
        <w:pStyle w:val="BookText"/>
        <w:rPr/>
      </w:pPr>
      <w:r>
        <w:rPr>
          <w:rFonts w:ascii="IRNazanin" w:hAnsi="IRNazanin" w:eastAsia="IRNazanin"/>
          <w:color w:val="111111"/>
          <w:sz w:val="28"/>
          <w:sz w:val="28"/>
          <w:szCs w:val="28"/>
          <w:rtl w:val="true"/>
          <w:lang w:bidi="fa-IR"/>
        </w:rPr>
        <w:t>قراءت قرآن بسم اللّه نگفتی ؟ معاویه نماز را دوباره خواند و بسم اللّه را بیان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پیامبران در آغاز هر کار خیری، بسم اللّه الرّحمن الرّحیم را بر زبان جاری</w:t>
      </w:r>
      <w:bookmarkStart w:id="269" w:name="pg4391_51024"/>
    </w:p>
    <w:p>
      <w:pPr>
        <w:pStyle w:val="BookText"/>
        <w:rPr/>
      </w:pPr>
      <w:bookmarkEnd w:id="269"/>
      <w:r>
        <w:rPr>
          <w:rFonts w:ascii="IRNazanin" w:hAnsi="IRNazanin" w:eastAsia="IRNazanin"/>
          <w:color w:val="111111"/>
          <w:sz w:val="28"/>
          <w:sz w:val="28"/>
          <w:szCs w:val="28"/>
          <w:rtl w:val="true"/>
          <w:lang w:bidi="fa-IR"/>
        </w:rPr>
        <w:t>می‌کردند، پس قراءت آن بر پیامبر اسلام صلی‌الله‌علیه‌و‌آله نیز واجب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رسول اللّه صلی‌الله‌علیه‌و‌آله ، قراءت بسمله بر پیروان او واجب می‌گردد، پس آیه‌ای از قرآن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وجودش سابق بر وجود تمام موجودات است، حُسن عقلی ایجاب می‌کند که در آغاز قرآن، قراءت سُوَر را با یاد و اسم او که سابق بر تمام اذکار است، آغاز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آیات و سُوَر قرآن، هرجا تکرار دیده می‌شود با خطّ یکسان نوشته شده است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 یومئذٍ للمکذِّبین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فبأیّ آلاءِ ربّکما تکذِّبان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عبارات تکراری این دو آیه از آیات قرآن محسوب می‌شود، بسمله نیز آیه‌ای از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در سوره نمل، بسم اللّه الرّحمن الرحیم تکرار شده و با خطّ اصلی قرآن نوشته</w:t>
      </w:r>
    </w:p>
    <w:p>
      <w:pPr>
        <w:pStyle w:val="BookText"/>
        <w:rPr/>
      </w:pPr>
      <w:r>
        <w:rPr>
          <w:rFonts w:ascii="IRNazanin" w:hAnsi="IRNazanin" w:eastAsia="IRNazanin"/>
          <w:color w:val="111111"/>
          <w:sz w:val="28"/>
          <w:sz w:val="28"/>
          <w:szCs w:val="28"/>
          <w:rtl w:val="true"/>
          <w:lang w:bidi="fa-IR"/>
        </w:rPr>
        <w:t>شده است و این بر آیه بودن بسمله دلالت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به رسم قریش، در آغاز هر کاری می‌نوشت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باسمک اللّهمّ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w:t>
      </w:r>
    </w:p>
    <w:p>
      <w:pPr>
        <w:pStyle w:val="BookText"/>
        <w:rPr/>
      </w:pPr>
      <w:r>
        <w:rPr>
          <w:rFonts w:ascii="IRNazanin" w:hAnsi="IRNazanin" w:eastAsia="IRNazanin"/>
          <w:color w:val="111111"/>
          <w:sz w:val="28"/>
          <w:sz w:val="28"/>
          <w:szCs w:val="28"/>
          <w:rtl w:val="true"/>
          <w:lang w:bidi="fa-IR"/>
        </w:rPr>
        <w:t xml:space="preserve">آن که آیه‌ای نازل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ارکبوا فیها بسم اللّه مجراها ومرساها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آیه‌ای نازل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 ادعوا اللّه أو ادعوا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در آغاز هر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تا این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من سلیمان وانّه 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از آن پس این چنین نوشت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این که اجزای این آیه از آیات قرآن است، پس شکل ترکیب یافته آن نیز از آیات قرآن به شمار می‌رود</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آلوسی در تفسیر خویش می‌کوشد در تمام ادلّه رازی مناقشه کند و دلایل وی را از اعتبار بیندازد، امّا دقت در استدلالهای او ضعف کلامش را روشن می‌سازد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438793_1479056682"/>
      <w:bookmarkStart w:id="271" w:name="_Toc105"/>
      <w:bookmarkEnd w:id="270"/>
      <w:r>
        <w:rPr>
          <w:rtl w:val="true"/>
        </w:rPr>
        <w:t>دلایل دیگر</w:t>
      </w:r>
      <w:bookmarkEnd w:id="271"/>
    </w:p>
    <w:p>
      <w:pPr>
        <w:pStyle w:val="BookText"/>
        <w:rPr/>
      </w:pPr>
      <w:r>
        <w:rPr>
          <w:rFonts w:ascii="IRNazanin" w:hAnsi="IRNazanin" w:eastAsia="IRNazanin"/>
          <w:color w:val="111111"/>
          <w:sz w:val="28"/>
          <w:sz w:val="28"/>
          <w:szCs w:val="28"/>
          <w:rtl w:val="true"/>
          <w:lang w:bidi="fa-IR"/>
        </w:rPr>
        <w:t xml:space="preserve">در اثبات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مستقلّی از سوره فاتحة الکتاب است و نیز در آغاز دیگر سوره‌ها، جزو آیه اوّل آن سوره به شمار می‌رود، دلایل دیگری قابل ذکر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بی‌شمار از روات شیعه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یحیی بن ابی عمران</w:t>
      </w:r>
    </w:p>
    <w:p>
      <w:pPr>
        <w:pStyle w:val="BookText"/>
        <w:rPr/>
      </w:pPr>
      <w:r>
        <w:rPr>
          <w:rFonts w:ascii="IRNazanin" w:hAnsi="IRNazanin" w:eastAsia="IRNazanin"/>
          <w:color w:val="111111"/>
          <w:sz w:val="28"/>
          <w:sz w:val="28"/>
          <w:szCs w:val="28"/>
          <w:rtl w:val="true"/>
          <w:lang w:bidi="fa-IR"/>
        </w:rPr>
        <w:t xml:space="preserve">همدانی، ابن ابی اُذینه و دیگران از پیامبر صلی‌الله‌علیه‌و‌آله و ائمّه اطهار به ویژه امام صادق و امام باقر علیهم‌السلامنقل شده که آن حضرات، بسم اللّه را جزو هر سوره از سوره‌های قرآن می‌دانستند و آن را هم قراءت می‌کردند و هم در آغاز سوره‌ها می‌نگاشتند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تواتر ثابت شده که پیامبر صلی‌الله‌علیه‌و‌آله و به تبع او صحابه و تابعین و تمام مسلمانان هر سوره‌ای جز برائت را با بسم اللّه الرّحمن الرّحیم قراءت می‌کردند، اگر بسمله جزو قرآن</w:t>
      </w:r>
    </w:p>
    <w:p>
      <w:pPr>
        <w:pStyle w:val="BookText"/>
        <w:rPr/>
      </w:pPr>
      <w:r>
        <w:rPr>
          <w:rFonts w:ascii="IRNazanin" w:hAnsi="IRNazanin" w:eastAsia="IRNazanin"/>
          <w:color w:val="111111"/>
          <w:sz w:val="28"/>
          <w:sz w:val="28"/>
          <w:szCs w:val="28"/>
          <w:rtl w:val="true"/>
          <w:lang w:bidi="fa-IR"/>
        </w:rPr>
        <w:t>نبود، لازم می‌آمد پیامبر به نوعی مردم را از قراءت آن همزمان با قراءت قرآن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تصریحی از پیامبر صلی‌الله‌علیه‌و‌آله در این باره بود، قطعا به تواتر به ما می‌رسید، حال آن که چنین چیزی دیده و شنیده نشده است ولی اخبار واحد درباره موضوعات دیگر بسیار از او به ما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صحابه و تابعین و سیره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عثمان در تمام مصحف‌های نگاشته شده، آغاز همه سوره‌ها با بسمله، نوشته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صحابه نیز تلاش می‌کردند هر مطلب غیرقرآنی را از قرآن دور سازند، حتی کار به جایی رسید که برخی از آنان یکدیگر را از نقطه‌گذاری در زیر و زبر آیات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بمنظور اعراب و صحیح‌خوانی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می‌کردند؛ با وجود این سخت‌گیری، بسم اللّه در تمام نسخه‌ها و مصحف‌ها نوشته شد و کسی از آن ناخشنود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بر آیه بودن بسم اللّه است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چنین ادّعا کرده‌اند که بسم اللّه آیه‌ای از قرآن به شمار نمی‌رود، بلکه به عنوان تبرّک و تیمّن و فاصله‌گذاری بین سوره‌ها نوشته می‌شود، مدّعیان این سخن، دلیل قانع‌کننده‌ای ارائه نکرده‌اند، جز آن که با این ادّعا، از همان نخست سخن خویش را نقض</w:t>
      </w:r>
    </w:p>
    <w:p>
      <w:pPr>
        <w:pStyle w:val="BookText"/>
        <w:rPr/>
      </w:pPr>
      <w:r>
        <w:rPr>
          <w:rFonts w:ascii="IRNazanin" w:hAnsi="IRNazanin" w:eastAsia="IRNazanin"/>
          <w:color w:val="111111"/>
          <w:sz w:val="28"/>
          <w:sz w:val="28"/>
          <w:szCs w:val="28"/>
          <w:rtl w:val="true"/>
          <w:lang w:bidi="fa-IR"/>
        </w:rPr>
        <w:t>کرده‌اند، زیرا اگر فلسفه ذکر بسمله، تفصیل بین سوره‌ها بود، لازم می‌آمد آغاز سوره</w:t>
      </w:r>
    </w:p>
    <w:p>
      <w:pPr>
        <w:pStyle w:val="BookText"/>
        <w:rPr/>
      </w:pPr>
      <w:r>
        <w:rPr>
          <w:rFonts w:ascii="IRNazanin" w:hAnsi="IRNazanin" w:eastAsia="IRNazanin"/>
          <w:color w:val="111111"/>
          <w:sz w:val="28"/>
          <w:sz w:val="28"/>
          <w:szCs w:val="28"/>
          <w:rtl w:val="true"/>
          <w:lang w:bidi="fa-IR"/>
        </w:rPr>
        <w:t>فاتحة الکتاب بدون بسم اللّه باشد و سوره توبه با بسم اللّه شروع می‌گشت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بود مفسّر در نفحات الرّحمن جای خاصّی را در تفسیر خویش می‌گشود و نظر</w:t>
      </w:r>
    </w:p>
    <w:p>
      <w:pPr>
        <w:pStyle w:val="BookText"/>
        <w:rPr/>
      </w:pPr>
      <w:r>
        <w:rPr>
          <w:rFonts w:ascii="IRNazanin" w:hAnsi="IRNazanin" w:eastAsia="IRNazanin"/>
          <w:color w:val="111111"/>
          <w:sz w:val="28"/>
          <w:sz w:val="28"/>
          <w:szCs w:val="28"/>
          <w:rtl w:val="true"/>
          <w:lang w:bidi="fa-IR"/>
        </w:rPr>
        <w:t>فقهی خود را پیرامون حکم بسم اللّه الرّحمن الرّحیم مطرح می‌کرد، زیرا همان گونه که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 گرایش فکری او در علوم اسلامی به سمت فقه و اصول است، و هیچ فقیهی نیست که متعرّض این مطلب نشده باشد</w:t>
      </w:r>
      <w:r>
        <w:rPr>
          <w:rFonts w:eastAsia="IRNazanin" w:cs="IRNazanin"/>
          <w:color w:val="111111"/>
          <w:sz w:val="28"/>
          <w:szCs w:val="28"/>
          <w:rtl w:val="true"/>
          <w:lang w:bidi="fa-IR"/>
        </w:rPr>
        <w:t>.</w:t>
      </w:r>
      <w:bookmarkStart w:id="272" w:name="pg4391_51027"/>
    </w:p>
    <w:p>
      <w:pPr>
        <w:pStyle w:val="Heading3"/>
        <w:numPr>
          <w:ilvl w:val="2"/>
          <w:numId w:val="1"/>
        </w:numPr>
        <w:rPr/>
      </w:pPr>
      <w:bookmarkStart w:id="273" w:name="__RefHeading___Toc1438795_1479056682"/>
      <w:bookmarkStart w:id="274" w:name="_Toc106"/>
      <w:bookmarkEnd w:id="272"/>
      <w:bookmarkEnd w:id="273"/>
      <w:r>
        <w:rPr>
          <w:rtl w:val="true"/>
        </w:rPr>
        <w:t>باب سوم</w:t>
      </w:r>
      <w:r>
        <w:rPr>
          <w:rtl w:val="true"/>
        </w:rPr>
        <w:t xml:space="preserve">: </w:t>
      </w:r>
      <w:r>
        <w:rPr>
          <w:rtl w:val="true"/>
        </w:rPr>
        <w:t>تحقیق در برخی آرای تفسیری نفحات الرّحمن فی تفسیر القرآن</w:t>
      </w:r>
      <w:bookmarkEnd w:id="274"/>
    </w:p>
    <w:p>
      <w:pPr>
        <w:pStyle w:val="Heading4"/>
        <w:numPr>
          <w:ilvl w:val="3"/>
          <w:numId w:val="1"/>
        </w:numPr>
        <w:rPr/>
      </w:pPr>
      <w:bookmarkStart w:id="275" w:name="__RefHeading___Toc1438797_1479056682"/>
      <w:bookmarkStart w:id="276" w:name="_Toc107"/>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باب سوم</w:t>
      </w:r>
    </w:p>
    <w:p>
      <w:pPr>
        <w:pStyle w:val="BookText"/>
        <w:rPr/>
      </w:pPr>
      <w:r>
        <w:rPr>
          <w:rFonts w:ascii="IRNazanin" w:hAnsi="IRNazanin" w:eastAsia="IRNazanin"/>
          <w:color w:val="111111"/>
          <w:sz w:val="28"/>
          <w:sz w:val="28"/>
          <w:szCs w:val="28"/>
          <w:rtl w:val="true"/>
          <w:lang w:bidi="fa-IR"/>
        </w:rPr>
        <w:t>تحقیق در برخی آرای تفسیری</w:t>
      </w:r>
    </w:p>
    <w:p>
      <w:pPr>
        <w:pStyle w:val="BookText"/>
        <w:rPr/>
      </w:pPr>
      <w:r>
        <w:rPr>
          <w:rFonts w:ascii="IRNazanin" w:hAnsi="IRNazanin" w:eastAsia="IRNazanin"/>
          <w:color w:val="111111"/>
          <w:sz w:val="28"/>
          <w:sz w:val="28"/>
          <w:szCs w:val="28"/>
          <w:rtl w:val="true"/>
          <w:lang w:bidi="fa-IR"/>
        </w:rPr>
        <w:t>نفحات الرّحمن فی تفسیر القرآن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 پاره‌ای از آرای تفسیری نهاوندی</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تحقیق و گزارش امامت و ولایت در تفسیر نفحات الرّحمن</w:t>
      </w:r>
      <w:bookmarkStart w:id="277" w:name="pg4391_51029"/>
    </w:p>
    <w:p>
      <w:pPr>
        <w:pStyle w:val="Heading4"/>
        <w:numPr>
          <w:ilvl w:val="3"/>
          <w:numId w:val="1"/>
        </w:numPr>
        <w:rPr/>
      </w:pPr>
      <w:bookmarkStart w:id="278" w:name="__RefHeading___Toc1438799_1479056682"/>
      <w:bookmarkStart w:id="279" w:name="_Toc108"/>
      <w:bookmarkEnd w:id="277"/>
      <w:bookmarkEnd w:id="278"/>
      <w:r>
        <w:rPr>
          <w:rtl w:val="true"/>
        </w:rPr>
        <w:t xml:space="preserve">فصل دهم </w:t>
      </w:r>
      <w:r>
        <w:rPr>
          <w:rtl w:val="true"/>
        </w:rPr>
        <w:t xml:space="preserve">- </w:t>
      </w:r>
      <w:r>
        <w:rPr>
          <w:rtl w:val="true"/>
        </w:rPr>
        <w:t>گزارش پاره‌ای از آرای تفسیری نهاوندی</w:t>
      </w:r>
      <w:bookmarkEnd w:id="279"/>
    </w:p>
    <w:p>
      <w:pPr>
        <w:pStyle w:val="Heading5"/>
        <w:numPr>
          <w:ilvl w:val="4"/>
          <w:numId w:val="1"/>
        </w:numPr>
        <w:rPr/>
      </w:pPr>
      <w:bookmarkStart w:id="280" w:name="__RefHeading___Toc1438801_1479056682"/>
      <w:bookmarkStart w:id="281" w:name="_Toc109"/>
      <w:bookmarkEnd w:id="280"/>
      <w:r>
        <w:rPr>
          <w:rtl w:val="true"/>
        </w:rPr>
        <w:t>اراده خدا و اختیار انسان</w:t>
      </w:r>
      <w:bookmarkEnd w:id="281"/>
    </w:p>
    <w:p>
      <w:pPr>
        <w:pStyle w:val="BookText"/>
        <w:rPr/>
      </w:pPr>
      <w:r>
        <w:rPr>
          <w:rFonts w:ascii="IRNazanin" w:hAnsi="IRNazanin" w:eastAsia="IRNazanin"/>
          <w:color w:val="111111"/>
          <w:sz w:val="28"/>
          <w:sz w:val="28"/>
          <w:szCs w:val="28"/>
          <w:rtl w:val="true"/>
          <w:lang w:bidi="fa-IR"/>
        </w:rPr>
        <w:t>برخی متکلّمان عدلیه می‌گویند که افعال آدمی معلول اراده اوست و اراده او معلول دواعی انگیزه‌هاست، دواعی و انگیزه‌های آدمی نیز معلول اراده تکوینی الهی است، پس انسان در افعال خود مجبور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امامیّه نیز چنین اعتقادی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نظر مفسّر را پیرامون این مطلب بیان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مفسّر با استناد به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کَانَ لِنَفْسٍ أَن تُؤْمِنَ إِلاَّ بِإِذْنِ اللّه‌ِ وَیَجْعَلُ الرِّجْسَ عَلَی ا لَّذِینَ لاَ یَعْقِلُونَ </w:t>
      </w:r>
      <w:r>
        <w:rPr>
          <w:rFonts w:eastAsia="Amiri" w:cs="Amiri" w:ascii="Amiri" w:hAnsi="Amiri"/>
          <w:color w:val="111111"/>
          <w:sz w:val="28"/>
          <w:szCs w:val="28"/>
          <w:rtl w:val="true"/>
          <w:lang w:bidi="ar-SA"/>
        </w:rPr>
        <w:t>»</w:t>
      </w:r>
      <w:r>
        <w:rPr>
          <w:rStyle w:val="FootnoteAnchor"/>
          <w:rtl w:val="true"/>
        </w:rPr>
        <w:footnoteReference w:id="249"/>
      </w:r>
      <w:r>
        <w:rPr>
          <w:rFonts w:ascii="IRNazanin" w:hAnsi="IRNazanin" w:eastAsia="IRNazanin"/>
          <w:color w:val="111111"/>
          <w:sz w:val="28"/>
          <w:sz w:val="28"/>
          <w:szCs w:val="28"/>
          <w:rtl w:val="true"/>
          <w:lang w:bidi="fa-IR"/>
        </w:rPr>
        <w:t>چنین پاسخ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رفته‌اند کسانی که گمان کرده‌اند، اگر فعل، معلول اراده فاعل باشد و اراده او نیز متأثّر از دواعی و دواعی نیز معلول فعل و ایجاد الهی است، پس لازم می‌آید افعال آدمی،</w:t>
      </w:r>
    </w:p>
    <w:p>
      <w:pPr>
        <w:pStyle w:val="BookText"/>
        <w:rPr/>
      </w:pPr>
      <w:r>
        <w:rPr>
          <w:rFonts w:ascii="IRNazanin" w:hAnsi="IRNazanin" w:eastAsia="IRNazanin"/>
          <w:color w:val="111111"/>
          <w:sz w:val="28"/>
          <w:sz w:val="28"/>
          <w:szCs w:val="28"/>
          <w:rtl w:val="true"/>
          <w:lang w:bidi="fa-IR"/>
        </w:rPr>
        <w:t>تابع جبر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توضیح این مطلب می‌گوید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جبر، عبارت است از وادار ساختن فرد دیگر بر انجام کاری که اراده‌اش به آن تعلّق نگرفته است، نه ایجاد عللی که اراده او را برانگیزد، زیرا اراده و جبر دو امر متضاد است که در فعل واحد جمع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فاعل کاری را انجام دهد که اراده‌اش را</w:t>
      </w:r>
    </w:p>
    <w:p>
      <w:pPr>
        <w:pStyle w:val="BookText"/>
        <w:rPr/>
      </w:pPr>
      <w:r>
        <w:rPr>
          <w:rFonts w:ascii="IRNazanin" w:hAnsi="IRNazanin" w:eastAsia="IRNazanin"/>
          <w:color w:val="111111"/>
          <w:sz w:val="28"/>
          <w:sz w:val="28"/>
          <w:szCs w:val="28"/>
          <w:rtl w:val="true"/>
          <w:lang w:bidi="fa-IR"/>
        </w:rPr>
        <w:t xml:space="preserve">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تحریک و ترغیب اراده، امری خارجی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جبر بر او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نفس اراده، از آن جا که هر عملی که برخاسته از تعقّل و معرفت آدمی نباشد، اراده آدمی به انجام یا ترک آن تعلّق نمی‌گیرد پس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نوع عمل، صحیح نیست و نمی‌توان گفت، فاعل در اراده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اراده کرد تا اراده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توضیح این مطلب می‌پردازد و اضافه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فردی، یکی از گناهان و خطاهای خودش را درنظر فرد دیگری زیبا جلوه دهد به گونه‌ای که آن خطا، در نظر آن فرد، خوش جلوه نماید و این جلوه‌گری، انگیزه‌ای در</w:t>
      </w:r>
    </w:p>
    <w:p>
      <w:pPr>
        <w:pStyle w:val="BookText"/>
        <w:rPr/>
      </w:pPr>
      <w:r>
        <w:rPr>
          <w:rFonts w:ascii="IRNazanin" w:hAnsi="IRNazanin" w:eastAsia="IRNazanin"/>
          <w:color w:val="111111"/>
          <w:sz w:val="28"/>
          <w:sz w:val="28"/>
          <w:szCs w:val="28"/>
          <w:rtl w:val="true"/>
          <w:lang w:bidi="fa-IR"/>
        </w:rPr>
        <w:t xml:space="preserve">تحریک اراده او در انجام همان خطا گردد، صحیح نیست مزیّن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 کننده عمل نازیبا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فاعل خطای جدید و یا مُجبر و وادار کننده شخص دوم در انجام نازیبای جدید دانست، بلکه نقش وی را تنها باید در سببیت او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دوم را که فاعل مرید و مستقیم در انجام خطای جدید و تکرار حدوث همان نازیباست، باید مستحق عقاب و سرزنش دانست زیرا او با اختیار و اراده خود، عمل قبیح و نازیبای ثانی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با طرح اشکال جدید به تحلیل آن می‌پردازد و آن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نقش سببیّت را در فاعل اوّل بپذیریم، چگونه می‌توان عامل اصلی در گرایش کافران به کفر و عاصیان به معصیت را خود آنان و اراده آنان دانست، امّا سبب آن را به خداوند حکیم نسبت داد با آن که می‌دانیم صدور امر قبیح از خداوند،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آن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هو کذلک، إذا لم یکن فی صدور الفعل القبیح من الغیر أو فی ایجاد مقتضیات صدوره جهة حُسن وصلاح بالنسبة إلی السبب، غالبة علی جهة القبح والمفسدة فی الفعل، وأمّا إذا کان فی الفعل أو فی وجود الداعی إلیه فی نفس الغیر، جهة حُسن وصلاح غالبة بالنسبة إلی السبب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والمحرّک فلیس قبیحا، بل هو فی غایة الحسن بالنسبة إلیه وان کان فی نهایة القبح بالنسبة إلی المباشر، إذ من الواضح انّه یختلف الفعل الواحد صلاحا وفسادا باختلاف الأشخاص وحسنا</w:t>
      </w:r>
    </w:p>
    <w:p>
      <w:pPr>
        <w:pStyle w:val="BookText"/>
        <w:rPr/>
      </w:pPr>
      <w:r>
        <w:rPr>
          <w:rFonts w:ascii="IRNazanin" w:hAnsi="IRNazanin" w:eastAsia="IRNazanin"/>
          <w:color w:val="111111"/>
          <w:sz w:val="28"/>
          <w:sz w:val="28"/>
          <w:szCs w:val="28"/>
          <w:rtl w:val="true"/>
          <w:lang w:bidi="fa-IR"/>
        </w:rPr>
        <w:t>وقبحا باختلاف الجهات</w:t>
      </w:r>
      <w:r>
        <w:rPr>
          <w:rFonts w:eastAsia="IRNazanin" w:cs="IRNazanin"/>
          <w:color w:val="111111"/>
          <w:sz w:val="28"/>
          <w:szCs w:val="28"/>
          <w:rtl w:val="true"/>
          <w:lang w:bidi="fa-IR"/>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اِشکال کننده موقعی صحیح است که در نزد فاعل اوّل که با تزیین عمل خویش، فرد دوم را وادار به انجام عمل قبیح کرده یا شرایط مقتضی در صدور فعل قبیح را فراهم ساخته است، جنبه حُسن و صلاح نسبت به انجام آن عمل، بر جنبه قبح و فساد آن غالب نباشد، امّا اگر در انجام عمل یا ایجاد انگیزه و مقتضیات صدور فعل، جنبه مثبت و خیر عمل غالب بر جنبه قبح و فساد فعل باشد، این نوع سببیّت، قبیح نیست بلکه در نهایت، خیرخواهی در حقّ فاعل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اگرچه انجام آن عمل در نظر فاعل، قبیح و زشت جلوه کند؛ زیرا بسیار روشن است که عمل واحد به اعتبار اشخاص و جهات، از نظر خوب و بد بودن عمل متفاوت است، یعنی یک عمل از منظر فردی خوب و همان عمل از نظر فرد دوم قبیح جلوه کند و همان عمل از جهات و جنبه‌های مختلف می‌تواند گاه خوب تفسیر گردد و گاه زشت و نازیبا و در این جا باید افزود که افاضه وجود از ناحیه خداوند بر ممکنات از منظر عقل و عقلا، خیر محض است که خداوند بر ممکنات و اشیا که آمادگی دریافت جود و احسان و تعالی از حضیض نقص به سوی کمال را دارند، اعطا می‌فرماید، همان گونه که منع فیض بر خداوند قبیح و محال است؛ زیرا هر موجودی اعم از جواهر و اعراض، بهره‌ای از وجود دارند، مانند خطرات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دل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تصویرهای خیالی و موجودات ذهنی و حرکات جوارح و غیر آن حتی حرکت چشم و راه رفتن مورچه و معلّق زدن برگ درختان و جابه جایی شن و ماسه و سنگ ریزه‌ها و غیر آن که در نظام هستی وجود دارد؛ زیرا تمام عالَم هستی با متعلقات و اجزای آن در حکم شخص واحد بوده و اعضا و متعلّقات جهات در حکم اعضا و جوارح آن شخص است و خیر و صلاح تمام اجزا و کلیّت آن به سلامتی و صلاح تک تک اعضا و اجزا بستگی دارد و سلامتی و حُسن هریک از اجزا نیز به سلامتی و حُسن جزء دیگر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اجزا و عوالم هستی، با یکدیگر در ارتباط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سویی و سازگاری‌اند و بدین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رتیب تمام اجزای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به 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یکدی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صود از اراده تکوینی، علم او به حُسن ایجاد و خیرخواهی تمام</w:t>
      </w:r>
    </w:p>
    <w:p>
      <w:pPr>
        <w:pStyle w:val="BookText"/>
        <w:rPr/>
      </w:pPr>
      <w:r>
        <w:rPr>
          <w:rFonts w:ascii="IRNazanin" w:hAnsi="IRNazanin" w:eastAsia="IRNazanin"/>
          <w:color w:val="111111"/>
          <w:sz w:val="28"/>
          <w:sz w:val="28"/>
          <w:szCs w:val="28"/>
          <w:rtl w:val="true"/>
          <w:lang w:bidi="fa-IR"/>
        </w:rPr>
        <w:t>موجودات است و به واسطه چنین اراده‌ای است که تمام هستی و اجزای آن پا به عرصه وجود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دواعی و انگیزه‌ها و تأثیرات و فعل و انفعالات، قدرت تأثیر وجودی خود را از اراده تکوینی الهی می‌ستانند، حتی شروط و مقتضیات تنظیم امور موجودات و اتمام نظم نظام موجود همه و همه، ناشی از اراده تکوینی الهی، که همان علم خداس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ناشی می‌شود پس وقتی افعال ارادی الهی، از ماهیاتی که قابلیت درک فیض وجودی را دارند و نیز آنچه از امور که نظم و وحدت هستی به آن بستگی دارد، متعلق اراده تکوینی الهی قرار می‌گیرد، اراده تکوینی الهی توسط علل طولی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و مبادی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تحقّق پیدا می‌کند، به عنوان مثال اگر خداوند اراده کند مال یا خیری از زید به عمرو رسد، در دل</w:t>
      </w:r>
    </w:p>
    <w:p>
      <w:pPr>
        <w:pStyle w:val="BookText"/>
        <w:rPr/>
      </w:pPr>
      <w:r>
        <w:rPr>
          <w:rFonts w:ascii="IRNazanin" w:hAnsi="IRNazanin" w:eastAsia="IRNazanin"/>
          <w:color w:val="111111"/>
          <w:sz w:val="28"/>
          <w:sz w:val="28"/>
          <w:szCs w:val="28"/>
          <w:rtl w:val="true"/>
          <w:lang w:bidi="fa-IR"/>
        </w:rPr>
        <w:t>زید بارقه‌ای ایجاد می‌کند تا با دیدن حال عمرو مقداری از مال خودش را به او بدهد لذا</w:t>
      </w:r>
    </w:p>
    <w:p>
      <w:pPr>
        <w:pStyle w:val="BookText"/>
        <w:rPr/>
      </w:pPr>
      <w:r>
        <w:rPr>
          <w:rFonts w:ascii="IRNazanin" w:hAnsi="IRNazanin" w:eastAsia="IRNazanin"/>
          <w:color w:val="111111"/>
          <w:sz w:val="28"/>
          <w:sz w:val="28"/>
          <w:szCs w:val="28"/>
          <w:rtl w:val="true"/>
          <w:lang w:bidi="fa-IR"/>
        </w:rPr>
        <w:t>زید با اراده و خواست و فعل خویش، مال را به عمرو می‌دهد و اگر خداوند بخواهد انسان از میوه‌ها و اطعمه و اشربه موجود در طبیعت تناول کند، میل و عطش در دل انسان</w:t>
      </w:r>
    </w:p>
    <w:p>
      <w:pPr>
        <w:pStyle w:val="BookText"/>
        <w:rPr/>
      </w:pPr>
      <w:r>
        <w:rPr>
          <w:rFonts w:ascii="IRNazanin" w:hAnsi="IRNazanin" w:eastAsia="IRNazanin"/>
          <w:color w:val="111111"/>
          <w:sz w:val="28"/>
          <w:sz w:val="28"/>
          <w:szCs w:val="28"/>
          <w:rtl w:val="true"/>
          <w:lang w:bidi="fa-IR"/>
        </w:rPr>
        <w:t>ایجاد می‌کند تا او با اراده و خواست و میل خویش به سوی غذا و آب و هرچه میلی به آن</w:t>
      </w:r>
    </w:p>
    <w:p>
      <w:pPr>
        <w:pStyle w:val="BookText"/>
        <w:rPr/>
      </w:pPr>
      <w:r>
        <w:rPr>
          <w:rFonts w:ascii="IRNazanin" w:hAnsi="IRNazanin" w:eastAsia="IRNazanin"/>
          <w:color w:val="111111"/>
          <w:sz w:val="28"/>
          <w:sz w:val="28"/>
          <w:szCs w:val="28"/>
          <w:rtl w:val="true"/>
          <w:lang w:bidi="fa-IR"/>
        </w:rPr>
        <w:t>در اوست، حرکت کند و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افعال آدمی، هرگز جبر و الزام و قهر و قسری نیست، اگرچه در پاره‌ای موارد، او را از خوردن و نوشیدن بازداشته و آن موقعی است که غصبی یا ناپاک باشد و لذا خداوند با ایجاد مقدمات خاصّی در سلسله علل طولیه، نظم کاملی در هستی ایجاد کرده است و بدین طریق هر عضوی از اندام هستی، با اعضای دیگر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با توضیح مطلب فوق با اثبات اختیار انسان، تقریر روشنی از توحید افعالی بیان می‌کند، سپس اظهار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اعلم من العناوین القابلة للوجود المرتبطة بالنظام، عنوان الطاعة والعبودیة وعنوان الطغیان والمعصیة، حیث کان من ایجاد الموجودات، معرفته تعالی بأسمائه الحسنی وصفاته</w:t>
      </w:r>
    </w:p>
    <w:p>
      <w:pPr>
        <w:pStyle w:val="BookText"/>
        <w:rPr/>
      </w:pPr>
      <w:r>
        <w:rPr>
          <w:rFonts w:ascii="IRNazanin" w:hAnsi="IRNazanin" w:eastAsia="IRNazanin"/>
          <w:color w:val="111111"/>
          <w:sz w:val="28"/>
          <w:sz w:val="28"/>
          <w:szCs w:val="28"/>
          <w:rtl w:val="true"/>
          <w:lang w:bidi="fa-IR"/>
        </w:rPr>
        <w:t>الجمالیة والجلالیة، فلو لم یوجد الطاعة والعبودیة لم یظهر صفة لطفه ورحمته ورأفته ولو لم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عنوان الطغیان والکفر لم یظهر صفة قهّاریّته ولو لم یوجد عنوان المعصیة لم یظهر صفة</w:t>
      </w:r>
    </w:p>
    <w:p>
      <w:pPr>
        <w:pStyle w:val="BookText"/>
        <w:rPr/>
      </w:pPr>
      <w:r>
        <w:rPr>
          <w:rFonts w:ascii="IRNazanin" w:hAnsi="IRNazanin" w:eastAsia="IRNazanin"/>
          <w:color w:val="111111"/>
          <w:sz w:val="28"/>
          <w:sz w:val="28"/>
          <w:szCs w:val="28"/>
          <w:rtl w:val="true"/>
          <w:lang w:bidi="fa-IR"/>
        </w:rPr>
        <w:t>عفوه وغفوریته فعلی هذا یتعلّق الإرادة التکوینیّة بایجادها بتوسط ایجاد أسبابها ومقدّماتها</w:t>
      </w:r>
      <w:r>
        <w:rPr>
          <w:rFonts w:eastAsia="IRNazanin" w:cs="IRNazanin"/>
          <w:color w:val="111111"/>
          <w:sz w:val="28"/>
          <w:szCs w:val="28"/>
          <w:rtl w:val="true"/>
          <w:lang w:bidi="fa-IR"/>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پدیده‌های هستی که قابلیت هستی‌یابی پیدا کرد و پس از وجود، در ارتباط با نظم جهانی پدیده‌ها قرار گرفت، حقیقت اطاعت و عبودیت و نیز طغیان و نافرمانی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آفرینش موجودات، شناخت حقیقت ذات احدیّت و شناخت اسمای حسنی و صفات جمالیه و جلالیه اوست؛ به گونه‌ای که اگر نبود حقیقت طاعت و عبودیت و عنوانی به نام اطاعت و فرمانبری حق، صفات لطف و رحمت و رأفت الهی نسبت به هستی و ممکنات ظاهر نمی‌شد و تجلّی آن در منظر انسان به چشم نمی‌خورد و اگر حقیقتی به نام طغیان و کفر نمی‌بود، صفت قهّاریّت خداوند ظاهر نمی‌گشت و اگر حقیقت معصیت ایجاد نمی‌شد، صفت عفو و غفران الهی، به ظهور نمی‌رسید، براین اساس، برای تکمیل نظام هستی و نیز تجلّی تمام صفات الهی در هستی، اراده خداوند به آفرینش حقایقی چون اطاعت و فرمانبری و عبودیت و گناه و 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و معلوم است که اراده تکوینی باری‌تعالی از طریق اسباب و مقدّماتی به فعلیت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نهاوندی، جهان و مجموعه اجزای آن در ارتباطی وثیق با یکدیگر آفریده شده‌اند و هریک از پدیده‌های طبیعی عامل و سبب و یا مقدمه تجلی صفتی از صفات الهی است و فاعلیت انسان در طول مجموع علل هستی و در نهایت، منتهی به اراده تکوینی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بیان، علاوه بر اصلاح بینش انسان نسبت به آفرینش شرور و بلاها و مصیبتها، و بر خوش بین ساختن انسان به هستی و دعوت از او برای نگرش عمیق و همه جانبه نسبت به پدیده‌های موجود پافشاری می‌کند و نیز این که ظهور هر حقیقتی در عالم طبیعت، مقدمه تجلی صفاتی از صفات جمالیه و جلالیه اوست؛ همچنین انسان را در انجام افعال خویش، موجودی مختار معرفی می‌کند که می‌تواند بر اساس تعقّل و تفکّر با مرتبط ساختن علل و تدارک مقدّمات هر فعل، به نتایجی زیبا یا</w:t>
      </w:r>
    </w:p>
    <w:p>
      <w:pPr>
        <w:pStyle w:val="BookText"/>
        <w:rPr/>
      </w:pPr>
      <w:r>
        <w:rPr>
          <w:rFonts w:ascii="IRNazanin" w:hAnsi="IRNazanin" w:eastAsia="IRNazanin"/>
          <w:color w:val="111111"/>
          <w:sz w:val="28"/>
          <w:sz w:val="28"/>
          <w:szCs w:val="28"/>
          <w:rtl w:val="true"/>
          <w:lang w:bidi="fa-IR"/>
        </w:rPr>
        <w:t>زشت برسد که تحقق هریک براساس تعلّق قدرت و اراده الهی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انسان را از زندان جبر بیرون می‌آورد و او را یکی از علل طولی و حقیقی در</w:t>
      </w:r>
      <w:bookmarkStart w:id="282" w:name="pg4391_51034"/>
    </w:p>
    <w:p>
      <w:pPr>
        <w:pStyle w:val="BookText"/>
        <w:rPr/>
      </w:pPr>
      <w:bookmarkEnd w:id="282"/>
      <w:r>
        <w:rPr>
          <w:rFonts w:ascii="IRNazanin" w:hAnsi="IRNazanin" w:eastAsia="IRNazanin"/>
          <w:color w:val="111111"/>
          <w:sz w:val="28"/>
          <w:sz w:val="28"/>
          <w:szCs w:val="28"/>
          <w:rtl w:val="true"/>
          <w:lang w:bidi="fa-IR"/>
        </w:rPr>
        <w:t>تحقق اراده تکوینی خدا می‌شناساند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احکام تکلیفی و وضعی و نیز فرستادن پیامبران و کتاب‌های آسمانی و وعد و وعید به ثواب و عقاب را از جمله مقدمات تحقق اراده تکوینی خداوند می‌داند؛ همچنین احکام تکلیفی را از جمله ارادات تشریعی خداوند می‌شمرد که حقیقت آن نیز چیزی جز علم خداوند به حُسن و صلاح مکلّفان به انجام پاره‌ای امور و نیز علم به زشتی پاره‌ای</w:t>
      </w:r>
    </w:p>
    <w:p>
      <w:pPr>
        <w:pStyle w:val="BookText"/>
        <w:rPr/>
      </w:pPr>
      <w:r>
        <w:rPr>
          <w:rFonts w:ascii="IRNazanin" w:hAnsi="IRNazanin" w:eastAsia="IRNazanin"/>
          <w:color w:val="111111"/>
          <w:sz w:val="28"/>
          <w:sz w:val="28"/>
          <w:szCs w:val="28"/>
          <w:rtl w:val="true"/>
          <w:lang w:bidi="fa-IR"/>
        </w:rPr>
        <w:t>دیگر نیست؛ این هم دارای مراتبی از حُسن و قبح است</w:t>
      </w:r>
      <w:r>
        <w:rPr>
          <w:rFonts w:eastAsia="IRNazanin" w:cs="IRNazanin"/>
          <w:color w:val="111111"/>
          <w:sz w:val="28"/>
          <w:szCs w:val="28"/>
          <w:rtl w:val="true"/>
          <w:lang w:bidi="fa-IR"/>
        </w:rPr>
        <w:t>.</w:t>
      </w:r>
    </w:p>
    <w:p>
      <w:pPr>
        <w:pStyle w:val="Heading5"/>
        <w:numPr>
          <w:ilvl w:val="4"/>
          <w:numId w:val="1"/>
        </w:numPr>
        <w:rPr/>
      </w:pPr>
      <w:bookmarkStart w:id="283" w:name="__RefHeading___Toc1438803_1479056682"/>
      <w:bookmarkStart w:id="284" w:name="_Toc110"/>
      <w:bookmarkEnd w:id="283"/>
      <w:r>
        <w:rPr>
          <w:rtl w:val="true"/>
        </w:rPr>
        <w:t>ختم بر قلوب با ارادی و اختیاری بودن افعال کافران، ناسازگار نیست</w:t>
      </w:r>
      <w:bookmarkEnd w:id="284"/>
    </w:p>
    <w:p>
      <w:pPr>
        <w:pStyle w:val="BookText"/>
        <w:rPr/>
      </w:pPr>
      <w:r>
        <w:rPr>
          <w:rFonts w:ascii="IRNazanin" w:hAnsi="IRNazanin" w:eastAsia="IRNazanin"/>
          <w:color w:val="111111"/>
          <w:sz w:val="28"/>
          <w:sz w:val="28"/>
          <w:szCs w:val="28"/>
          <w:rtl w:val="true"/>
          <w:lang w:bidi="fa-IR"/>
        </w:rPr>
        <w:t xml:space="preserve">او در ادامه گفتار خویش در پیرامون اختیار انسان در تحقق افعال خارجی و تعلّق اراده تکوینی الهی به یکی از جهات امور، به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 وَعَلَی سَمْعِهِمْ وَعَلَی أَبْصَارِهِمْ غِشَاوَةٌ</w:t>
      </w:r>
      <w:r>
        <w:rPr>
          <w:rFonts w:eastAsia="IRNazanin" w:cs="IRNazanin"/>
          <w:color w:val="111111"/>
          <w:sz w:val="28"/>
          <w:szCs w:val="28"/>
          <w:rtl w:val="true"/>
          <w:lang w:bidi="fa-IR"/>
        </w:rPr>
        <w:t>... »</w:t>
      </w:r>
      <w:r>
        <w:rPr>
          <w:rStyle w:val="FootnoteAnchor"/>
          <w:rtl w:val="true"/>
        </w:rPr>
        <w:footnoteReference w:id="252"/>
      </w:r>
      <w:r>
        <w:rPr>
          <w:rFonts w:ascii="IRNazanin" w:hAnsi="IRNazanin" w:eastAsia="IRNazanin"/>
          <w:color w:val="111111"/>
          <w:sz w:val="28"/>
          <w:sz w:val="28"/>
          <w:szCs w:val="28"/>
          <w:rtl w:val="true"/>
          <w:lang w:bidi="fa-IR"/>
        </w:rPr>
        <w:t>می‌پردازد، نظر به این که در این آیه به قفل‌زدگی دل‌های کافران و نیز پرده‌پوشی بر دیدگان و گوشهای آنان تصریح شده است، از ظاهر آیه چنین استفاده می‌کند که کافران به دلیل کثرت خطا و معصیت به مرحله‌ای از قساوت قلبی و جمود روانی رسیده‌اند که قدرت تعقّل و تفکّر و نیز حقیقت‌بینی و واقع‌نگری را از دست داده‌اند و با مسدود بودن راههای ادراک حقایق و واقعیات، امکان معرفت واقعی و خردمندانه از آنان سلب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این اشکال که با این وصف، کافران و منافقان و نافرمانان، با فقدان قدرت و عامل تشخیص و تمییز به ناچار راهی جز شر و زشتی پیش روی ندارند و در واقع امکان صدور فعل صحیح و مطلوب از آنان سلب شده است و این معنی، چیزی جز خروج انسان از اختیار و گرفتار شدن در جبر نَفس و شیطان نیست ، می‌گوید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دلهای آنان قفل زده به گونه‌ای که وعظی بر آن اثر نمی‌گذارد و نور هدایت بر دل آنان نافذ نیست و گوش آنها به هیچ تهدید و انذاری بدهکار نمی‌باشد و وعد و وعید الهی را نمی‌شنوند و وصف حال آنان، به زبان خودشان چنین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 xml:space="preserve">فِی آذَانِنَا وَقْرٌ </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و بر دیدگان آنان پرده‌ای است که نوری از آن بیرون نمی‌زند تا در دیدن آیات حق، توانا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برخورداری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ویژگی‌های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تکلیف به</w:t>
      </w:r>
    </w:p>
    <w:p>
      <w:pPr>
        <w:pStyle w:val="BookText"/>
        <w:rPr/>
      </w:pPr>
      <w:r>
        <w:rPr>
          <w:rFonts w:ascii="IRNazanin" w:hAnsi="IRNazanin" w:eastAsia="IRNazanin"/>
          <w:color w:val="111111"/>
          <w:sz w:val="28"/>
          <w:sz w:val="28"/>
          <w:szCs w:val="28"/>
          <w:rtl w:val="true"/>
          <w:lang w:bidi="fa-IR"/>
        </w:rPr>
        <w:t>ایمان و قدرت و اختیار، از واضح‌ترین و بدیهی‌ترین مسائل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توضیح حقیقت قدرت و اختیار پرداخته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عبارت از وجود نیرو در اعضاء و جوارح است، به گونه‌ای که اگر شخص قادر بخواهد عملی را انجام دهد، از عهده آن برآید، لذا بنابر توضیحی که از قابلیت و</w:t>
      </w:r>
    </w:p>
    <w:p>
      <w:pPr>
        <w:pStyle w:val="BookText"/>
        <w:rPr/>
      </w:pPr>
      <w:r>
        <w:rPr>
          <w:rFonts w:ascii="IRNazanin" w:hAnsi="IRNazanin" w:eastAsia="IRNazanin"/>
          <w:color w:val="111111"/>
          <w:sz w:val="28"/>
          <w:sz w:val="28"/>
          <w:szCs w:val="28"/>
          <w:rtl w:val="true"/>
          <w:lang w:bidi="fa-IR"/>
        </w:rPr>
        <w:t>توانایی فرد قادر داده 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که برخاسته از اراده آدمی باشد، نشان از</w:t>
      </w:r>
    </w:p>
    <w:p>
      <w:pPr>
        <w:pStyle w:val="BookText"/>
        <w:rPr/>
      </w:pPr>
      <w:r>
        <w:rPr>
          <w:rFonts w:ascii="IRNazanin" w:hAnsi="IRNazanin" w:eastAsia="IRNazanin"/>
          <w:color w:val="111111"/>
          <w:sz w:val="28"/>
          <w:sz w:val="28"/>
          <w:szCs w:val="28"/>
          <w:rtl w:val="true"/>
          <w:lang w:bidi="fa-IR"/>
        </w:rPr>
        <w:t>قدرت او در انجام آن فعل است، عکس آن نیز صادق است، یعنی هر عملی که در اراده فاعل، خاستگاهی ندارد و متعلّق اراده قرار نگرفته، مقدور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اثبات وجود قدرت در فاعل، اثبات تحقّق اراده و صدور فعل اختیاری از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اراده عبارت است از علم و شناخت فاعل نسبت به مصالح یا مفاسد عمل و نظر به این که تعقّل و تفکّر و نگرش انسان و قوای نفسانی او در انجام افعال مختلف، با یکدیگر</w:t>
      </w:r>
    </w:p>
    <w:p>
      <w:pPr>
        <w:pStyle w:val="BookText"/>
        <w:rPr/>
      </w:pPr>
      <w:r>
        <w:rPr>
          <w:rFonts w:ascii="IRNazanin" w:hAnsi="IRNazanin" w:eastAsia="IRNazanin"/>
          <w:color w:val="111111"/>
          <w:sz w:val="28"/>
          <w:sz w:val="28"/>
          <w:szCs w:val="28"/>
          <w:rtl w:val="true"/>
          <w:lang w:bidi="fa-IR"/>
        </w:rPr>
        <w:t>متفاوت است، اراده آنان نیز از حیث کیفیت، متفاوت خواهد بود و در تکلیف، اصلاً شرط نشده که مکلّف، حتما در اعلی مرتبه کمال وجودی و کمال تعقّل باشد، به گونه‌ای که هرگز مغلوب شهوات نفسانی خود نگردد، چرا که این حالت کمالیه عقل، همان حالت عصمت است و برای همگان مقدور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 که، عامل مؤثر در اراده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انجام مطلق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تابع قوّت و ضعف عقلانی و علم فاعل به صلاح خود و مصلحت فعلی است که قصد انجام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انگیزه‌های خیرخواهی، معلولِ نیروی تدبیر و طیب خاطر و وجدان پاک فاعل و نیز</w:t>
      </w:r>
    </w:p>
    <w:p>
      <w:pPr>
        <w:pStyle w:val="BookText"/>
        <w:rPr/>
      </w:pPr>
      <w:r>
        <w:rPr>
          <w:rFonts w:ascii="IRNazanin" w:hAnsi="IRNazanin" w:eastAsia="IRNazanin"/>
          <w:color w:val="111111"/>
          <w:sz w:val="28"/>
          <w:sz w:val="28"/>
          <w:szCs w:val="28"/>
          <w:rtl w:val="true"/>
          <w:lang w:bidi="fa-IR"/>
        </w:rPr>
        <w:t>حقیقت‌نگری و بصیرت وی می‌باشد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انگیزه‌های شرّ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الدّواعی السیِّئة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آدمی را به سمت افعال قبیح سوق می‌دهد، برخاسته از ضعف عقلانی و خبث طینت فاعل و غلبه قوای شهوانی بر قوای عقلانی و نیز کوتاه‌بینی و بلکه فقدان عامل بصیرت و تشخیص است که او را به صدور</w:t>
      </w:r>
    </w:p>
    <w:p>
      <w:pPr>
        <w:pStyle w:val="BookText"/>
        <w:rPr/>
      </w:pPr>
      <w:r>
        <w:rPr>
          <w:rFonts w:ascii="IRNazanin" w:hAnsi="IRNazanin" w:eastAsia="IRNazanin"/>
          <w:color w:val="111111"/>
          <w:sz w:val="28"/>
          <w:sz w:val="28"/>
          <w:szCs w:val="28"/>
          <w:rtl w:val="true"/>
          <w:lang w:bidi="fa-IR"/>
        </w:rPr>
        <w:t>افعال قبیح مثل کفر و نفاق و عصیان وادار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هرگاه سرشت و جبلّت آدمی بر رذایل اخلاقی منطبق باشد، نفس آدمی و صفات فعل او، معیوب و به غبارهای ظلمت آغشته می‌شود، در چنین آدمی عقل و قدرت ادراک ضعیف و سکّان زندگی در دست شهوات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موقعیت خطرناکی وی پیوسته مغلوب و شکست خورده قوای شهوانی خویش است و در چنین شخصی، هرگز جوهر احکام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نمی‌شود، چشم او همواره بسته است، به گونه‌ای که نور را از تاریکی تمیز نمی‌دهد؛ در صورت بروز چنین حالتی در فاعل، امیدی به رشد و هدایت او نیست و هرگز اراده او به صدور فعل حسن، تعلّق نمی‌گیرد و میل به رستگاری در او سرکوب گشته و انگیزه‌هایش در صدور فعل قبیح بیشتر و نیرومندتر می‌شود، قرآن در وصف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أُوْلئِکَ کَالْأَنْعَامِ بَلْ هُمْ أَضَلُّ </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را بیان کرده است و علّت گمراهی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حقیقت‌بینی، واقع‌نگری، تعقّل و تفکر</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دانسته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أُوْلئِکَ هُمُ ا لْغَافِلُونَ </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به چنین حال و مقالی رسد، از انقیاد در برابر حکم خدا سر باز می‌زند و به سرسپردگی در برابر بُتها و معبودهای نفسانی، دل خوش می‌دارد و به آن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فقط از انجام دادن کارهای بد و فساد لذّت می‌برد و شوق و اشتیاق او در آزار دیگران</w:t>
      </w:r>
    </w:p>
    <w:p>
      <w:pPr>
        <w:pStyle w:val="BookText"/>
        <w:rPr/>
      </w:pP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اعمال قبیح او برخاسته از قدرت و اختیار و اراده وی است؛ چرا که قدرت چیزی جز امکان انجام عمل و یا ترک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برآنچه گفته شد، قدرت، چیزی جز ایجاد تناسب بین اعضا و جوارح آدمی با فعلی که قصد انجام یا ترک</w:t>
      </w:r>
    </w:p>
    <w:p>
      <w:pPr>
        <w:pStyle w:val="BookText"/>
        <w:rPr/>
      </w:pPr>
      <w:r>
        <w:rPr>
          <w:rFonts w:ascii="IRNazanin" w:hAnsi="IRNazanin" w:eastAsia="IRNazanin"/>
          <w:color w:val="111111"/>
          <w:sz w:val="28"/>
          <w:sz w:val="28"/>
          <w:szCs w:val="28"/>
          <w:rtl w:val="true"/>
          <w:lang w:bidi="fa-IR"/>
        </w:rPr>
        <w:t>آن را دارد، نیست و آن فعل بدون ضعف و قصور از او صادر می‌شود؛ اراده نیز چیزی جز برانگیختن نفس فاعل در انجام فعل نیست، هرچند که خاستگاه و عامل این تحریک و انگیزش، شهوات او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شبهه شود که پیدایش چنین حالتی در کافر و فردی که بر دل و چشم او نقاب و حجاب و بلکه قفل زده شده مستلزم جبر است نه اختیار می‌گوید که اختیار در لغت</w:t>
      </w:r>
    </w:p>
    <w:p>
      <w:pPr>
        <w:pStyle w:val="BookText"/>
        <w:rPr/>
      </w:pPr>
      <w:r>
        <w:rPr>
          <w:rFonts w:ascii="IRNazanin" w:hAnsi="IRNazanin" w:eastAsia="IRNazanin"/>
          <w:color w:val="111111"/>
          <w:sz w:val="28"/>
          <w:sz w:val="28"/>
          <w:szCs w:val="28"/>
          <w:rtl w:val="true"/>
          <w:lang w:bidi="fa-IR"/>
        </w:rPr>
        <w:t>چیزی جز طلب خیر، نیست مانند اکتساب و اختبار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دادن اختیار به اراده فاعل به اعتبار این است که اختیار معلول علم و شناخت فاعلِ مختار به خیرات و حسناتی است که قصد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کرده است؛ به گونه‌ای که این شناخت و علم عامل اصلی در</w:t>
      </w:r>
    </w:p>
    <w:p>
      <w:pPr>
        <w:pStyle w:val="BookText"/>
        <w:rPr/>
      </w:pPr>
      <w:r>
        <w:rPr>
          <w:rFonts w:ascii="IRNazanin" w:hAnsi="IRNazanin" w:eastAsia="IRNazanin"/>
          <w:color w:val="111111"/>
          <w:sz w:val="28"/>
          <w:sz w:val="28"/>
          <w:szCs w:val="28"/>
          <w:rtl w:val="true"/>
          <w:lang w:bidi="fa-IR"/>
        </w:rPr>
        <w:t xml:space="preserve">تحقق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یا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مؤثّر حقیقی در تحریک اراده و اختیار آدمی، عاملی خارج از نفس فاعل نیست؛ بلکه صرفا توجه و اقبال نَفْس فاعل به خوبی‌ها یا انزجار عقلانی و وجدانی او از شرور است که او را به انجام فعل حسن و یا ترک فعل قبیح وادار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چنین مستفاد است که افعال آدمی محصول اراده و اختیار اوست و غیر از این تحلیل دیگری نمی‌توان ارائه کرد و هرگز نمی‌توان، افعال یک فرد را به اراده فرد دیگر نسبت داد؛ زیرا مستلزم تسلسل خواهد بود</w:t>
      </w:r>
    </w:p>
    <w:p>
      <w:pPr>
        <w:pStyle w:val="BookText"/>
        <w:rPr/>
      </w:pPr>
      <w:r>
        <w:rPr>
          <w:rFonts w:ascii="IRNazanin" w:hAnsi="IRNazanin" w:eastAsia="IRNazanin"/>
          <w:color w:val="111111"/>
          <w:sz w:val="28"/>
          <w:sz w:val="28"/>
          <w:szCs w:val="28"/>
          <w:rtl w:val="true"/>
          <w:lang w:bidi="fa-IR"/>
        </w:rPr>
        <w:t>و در آن صورت، اراده فرد دوم نیز بنابر همین نظر، وابسته به اراده فرد دیگر و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به امر محال خواهد گردید؛ مثل این که فردی به گوید که اراده من موقعی به انجام</w:t>
      </w:r>
    </w:p>
    <w:p>
      <w:pPr>
        <w:pStyle w:val="BookText"/>
        <w:rPr/>
      </w:pPr>
      <w:r>
        <w:rPr>
          <w:rFonts w:ascii="IRNazanin" w:hAnsi="IRNazanin" w:eastAsia="IRNazanin"/>
          <w:color w:val="111111"/>
          <w:sz w:val="28"/>
          <w:sz w:val="28"/>
          <w:szCs w:val="28"/>
          <w:rtl w:val="true"/>
          <w:lang w:bidi="fa-IR"/>
        </w:rPr>
        <w:t>دادن فلان فعل تعلّق می‌گیرد که فلانی اراده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هرچند احتمال ضعیفی داده شود که می‌تواند فعلی از فاعل اوّل صادر شود که اراده آن متّکی به اراده شخص دوم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به طور اتّفاقی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صرفا در برخی شؤون فعلی برخاسته از اراده شخص دوم باشد، امّا در پایان عمل، ناگزیر باید خود به ترک عمل و توقّف آن اقدام کند و لازم است اراده عینی خود را به کار برد تا فعل موردنظر، تمام شده</w:t>
      </w:r>
    </w:p>
    <w:p>
      <w:pPr>
        <w:pStyle w:val="BookText"/>
        <w:rPr/>
      </w:pPr>
      <w:r>
        <w:rPr>
          <w:rFonts w:ascii="IRNazanin" w:hAnsi="IRNazanin" w:eastAsia="IRNazanin"/>
          <w:color w:val="111111"/>
          <w:sz w:val="28"/>
          <w:sz w:val="28"/>
          <w:szCs w:val="28"/>
          <w:rtl w:val="true"/>
          <w:lang w:bidi="fa-IR"/>
        </w:rPr>
        <w:t>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در اختیاری بودن هر عملی، جز اراده شخص فاعل و علم او به مصالح و مفاسد عمل، اراده دیگری لحاظ نمی‌شود و اگر این علم از غیر مبادی اختیاری خود حاصل شده یا برخاسته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باشد، تمام اسباب و انگیزه‌های</w:t>
      </w:r>
    </w:p>
    <w:p>
      <w:pPr>
        <w:pStyle w:val="BookText"/>
        <w:rPr/>
      </w:pPr>
      <w:r>
        <w:rPr>
          <w:rFonts w:ascii="IRNazanin" w:hAnsi="IRNazanin" w:eastAsia="IRNazanin"/>
          <w:color w:val="111111"/>
          <w:sz w:val="28"/>
          <w:sz w:val="28"/>
          <w:szCs w:val="28"/>
          <w:rtl w:val="true"/>
          <w:lang w:bidi="fa-IR"/>
        </w:rPr>
        <w:t xml:space="preserve">عملی و تصمیم نهایی در انجام دادن یا ترک عمل، به طور مستقیم در ذهن و اندیشه فاعل اصلی فراهم شده است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نظر آن که از دیدگاه نهاوندی، ختم الهی بر دل کافران و نیز پرده‌افکنی بر دیدگان و گوشهای آنان، منافی اختیار کافران و آزادی آنان در عمل نیست، بلکه هر فعلی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از آنان صادر شود، متعلّق اراده خود و معلول علم و شناخت آنان به حُسن یا قبح افعال</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تفسیر نهاوندی به این مطلب اشاره نشده که ختم بر دل و پرده بر گوشها و دیدگان داشتن آیا مانع تکامل معرفتی در کافران است یا نه ؟ آیا عدم تعالی آنان در تعقّل</w:t>
      </w:r>
    </w:p>
    <w:p>
      <w:pPr>
        <w:pStyle w:val="BookText"/>
        <w:rPr/>
      </w:pPr>
      <w:r>
        <w:rPr>
          <w:rFonts w:ascii="IRNazanin" w:hAnsi="IRNazanin" w:eastAsia="IRNazanin"/>
          <w:color w:val="111111"/>
          <w:sz w:val="28"/>
          <w:sz w:val="28"/>
          <w:szCs w:val="28"/>
          <w:rtl w:val="true"/>
          <w:lang w:bidi="fa-IR"/>
        </w:rPr>
        <w:t>برتر نتیجه ختم بر قلوب است یا خیر ؟ اگر پاسخ آری است، آیا این به معنای توقف جبری آنان در تعقّل و تکامل اندیشه‌های عالی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باید به این اشکال نیز پاسخ می‌داد، امّا آنچه از بیان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این اشکال به دست می‌آید،</w:t>
      </w:r>
    </w:p>
    <w:p>
      <w:pPr>
        <w:pStyle w:val="BookText"/>
        <w:rPr/>
      </w:pPr>
      <w:r>
        <w:rPr>
          <w:rFonts w:ascii="IRNazanin" w:hAnsi="IRNazanin" w:eastAsia="IRNazanin"/>
          <w:color w:val="111111"/>
          <w:sz w:val="28"/>
          <w:sz w:val="28"/>
          <w:szCs w:val="28"/>
          <w:rtl w:val="true"/>
          <w:lang w:bidi="fa-IR"/>
        </w:rPr>
        <w:t>این است که وی شکلهای مختلف تأویل عبارت یا تفسیر آن را چنین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ختم، نشانه‌گذاری است و آن موقعی است که کافر در نهایت کفر خویش فرو رود، به گونه‌ای که دیگر امکان بازگشت به ایمان برایش عملی نباشد و در آن حالت خداوند نشان و علامتی بر دل آنها می‌زند و نیز برخی در توجیه این علامت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علامت سیاهی است بر دل کافر که فرشتگان با مشاهده خال سیاه او بدانند که وی دیگر ایمان نخواهد آورد، پس پیوسته او را مذمّت می‌کنند، همان گونه که خداوند در</w:t>
      </w:r>
    </w:p>
    <w:p>
      <w:pPr>
        <w:pStyle w:val="BookText"/>
        <w:rPr/>
      </w:pPr>
      <w:r>
        <w:rPr>
          <w:rFonts w:ascii="IRNazanin" w:hAnsi="IRNazanin" w:eastAsia="IRNazanin"/>
          <w:color w:val="111111"/>
          <w:sz w:val="28"/>
          <w:sz w:val="28"/>
          <w:szCs w:val="28"/>
          <w:rtl w:val="true"/>
          <w:lang w:bidi="fa-IR"/>
        </w:rPr>
        <w:t>دل مؤمنان نشان ایمان نهاده است و فرشتگان با مشاهده آن به ایمان او پی می‌بَرند و پیوسته وی را مدح می‌کنند و برایش آرزوی بخشش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تأویل و مجازگویی در کلام خداوند دیده می‌شود مثل گرفتن نامه عمل از چپ یا راست یا تعبیر از صالحان به اصحاب یمین و از صالحان به اصحاب الشمال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ختم بر قلوب آن است که خداوند بر کفر و عصیان کافر شهادت می‌دهد و</w:t>
      </w:r>
    </w:p>
    <w:p>
      <w:pPr>
        <w:pStyle w:val="BookText"/>
        <w:rPr/>
      </w:pPr>
      <w:r>
        <w:rPr>
          <w:rFonts w:ascii="IRNazanin" w:hAnsi="IRNazanin" w:eastAsia="IRNazanin"/>
          <w:color w:val="111111"/>
          <w:sz w:val="28"/>
          <w:sz w:val="28"/>
          <w:szCs w:val="28"/>
          <w:rtl w:val="true"/>
          <w:lang w:bidi="fa-IR"/>
        </w:rPr>
        <w:t xml:space="preserve">حکم می‌کند که وی هرگز حق را نخواهد پذیرفت در واقع منظور از ختم، شهادت و تصدیق الهی است بر وجود چنین حالتی در کافران </w:t>
      </w:r>
      <w:r>
        <w:rPr>
          <w:rStyle w:val="FootnoteAnchor"/>
          <w:rtl w:val="true"/>
        </w:rPr>
        <w:footnoteReference w:id="257"/>
      </w:r>
      <w:r>
        <w:rPr>
          <w:rFonts w:ascii="IRNazanin" w:hAnsi="IRNazanin" w:eastAsia="IRNazanin"/>
          <w:color w:val="111111"/>
          <w:sz w:val="28"/>
          <w:sz w:val="28"/>
          <w:szCs w:val="28"/>
          <w:rtl w:val="true"/>
          <w:lang w:bidi="fa-IR"/>
        </w:rPr>
        <w:t xml:space="preserve">بنابراین نوعی استعاره در کاربرد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مذمّت الهی بر کافران است و حکایت از حالتی می‌کند که نَه ایمان در درون کافران وارد می‌شود و نَه کفر از قلب آنان دور می‌گردد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صُمٌّ بُکْمٌ عُمْیٌ </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در وصف</w:t>
      </w:r>
    </w:p>
    <w:p>
      <w:pPr>
        <w:pStyle w:val="BookText"/>
        <w:rPr/>
      </w:pPr>
      <w:r>
        <w:rPr>
          <w:rFonts w:ascii="IRNazanin" w:hAnsi="IRNazanin" w:eastAsia="IRNazanin"/>
          <w:color w:val="111111"/>
          <w:sz w:val="28"/>
          <w:sz w:val="28"/>
          <w:szCs w:val="28"/>
          <w:rtl w:val="true"/>
          <w:lang w:bidi="fa-IR"/>
        </w:rPr>
        <w:t>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قلب کافران از هرگونه توجه و پذیرش برهان و استدلال محروم می‌شود و حق بر او آشکار نمی‌گردد، عکس چنین حالتی، شرح صدر است که خداوند به مؤمنان عطا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ختم بر قلوب، حالتی است که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هرگونه توجه و پذیرش برهان و استدلال، محروم می‌گردد و حق بر او آشکار نمی‌شود، عکس چنین حالتی، شرح صدر است که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شَرَحَ اللّه‌ُ صَدْرَهُ لِلاْءِسْلاَمِ فَهُوَ عَلَی نُورٍ مِن رَبِّهِ </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آن را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عَلَی قُلُوبٍ أَقْفَالُهَا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قُلُوبُنَا غُلْفٌ </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 قُلُوبُنَا فِی أَکِنَّةٍ </w:t>
      </w:r>
      <w:r>
        <w:rPr>
          <w:rFonts w:eastAsia="Amiri" w:cs="Amiri" w:ascii="Amiri" w:hAnsi="Amiri"/>
          <w:color w:val="111111"/>
          <w:sz w:val="28"/>
          <w:szCs w:val="28"/>
          <w:rtl w:val="true"/>
          <w:lang w:bidi="ar-SA"/>
        </w:rPr>
        <w:t>»</w:t>
      </w:r>
      <w:r>
        <w:rPr>
          <w:rStyle w:val="FootnoteAnchor"/>
          <w:rtl w:val="true"/>
        </w:rPr>
        <w:footnoteReference w:id="263"/>
      </w:r>
      <w:r>
        <w:rPr>
          <w:rFonts w:ascii="IRNazanin" w:hAnsi="IRNazanin" w:eastAsia="IRNazanin"/>
          <w:color w:val="111111"/>
          <w:sz w:val="28"/>
          <w:sz w:val="28"/>
          <w:szCs w:val="28"/>
          <w:rtl w:val="true"/>
          <w:lang w:bidi="fa-IR"/>
        </w:rPr>
        <w:t xml:space="preserve">، مراد ما را ثابت می‌کند که منظور از ختم بر دلها، کاهش قدرت فهم است به گونه‌ای که حقیقت آنچه را که می‌بیند یا می‌شنود نمی‌فهمد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فهم بسیار کم‌سویی از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آیه‌ای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أَرَأَیْتُمْ إِنْ أَخَذَ اللّه‌ُ سَمْعَکُمْ وَأَبْصَارَکُمْ وَخَتَمَ عَلَی قُلُوبِکُم </w:t>
      </w:r>
      <w:r>
        <w:rPr>
          <w:rFonts w:eastAsia="IRNazanin" w:cs="IRNazanin"/>
          <w:color w:val="111111"/>
          <w:sz w:val="28"/>
          <w:szCs w:val="28"/>
          <w:rtl w:val="true"/>
          <w:lang w:bidi="fa-IR"/>
        </w:rPr>
        <w:t>»</w:t>
      </w:r>
      <w:r>
        <w:rPr>
          <w:rStyle w:val="FootnoteAnchor"/>
          <w:rtl w:val="true"/>
        </w:rPr>
        <w:footnoteReference w:id="2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بر 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معادل فقدان چشم و گوش می‌باشد و مقصود از این فقدان، کری و کوری فیزیکی نیست بلکه مراد بهره‌وری ناقص یا غلط از ابزار شناختی است که در اختیار آدمی نهاده شده یعنی کافران آن گونه که لازم است از چشم و گوش و قلب خود بهره نمی‌برند و از فایده‌های آن برخوردار نمی‌شوند و دل آنان آن قدر گشاده نیست که</w:t>
      </w:r>
    </w:p>
    <w:p>
      <w:pPr>
        <w:pStyle w:val="BookText"/>
        <w:rPr/>
      </w:pPr>
      <w:r>
        <w:rPr>
          <w:rFonts w:ascii="IRNazanin" w:hAnsi="IRNazanin" w:eastAsia="IRNazanin"/>
          <w:color w:val="111111"/>
          <w:sz w:val="28"/>
          <w:sz w:val="28"/>
          <w:szCs w:val="28"/>
          <w:rtl w:val="true"/>
          <w:lang w:bidi="fa-IR"/>
        </w:rPr>
        <w:t>در مواقع لازم استدلال کنند و حق و باطل را تشخیص دهند، قلبی که قدرت ادراک و استدلال را از دست بدهد، با قلب معدوم تفاوتی ندارد، گویی که اصلاً قلب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w:t>
      </w:r>
    </w:p>
    <w:p>
      <w:pPr>
        <w:pStyle w:val="BookText"/>
        <w:rPr/>
      </w:pPr>
      <w:r>
        <w:rPr>
          <w:rFonts w:ascii="IRNazanin" w:hAnsi="IRNazanin" w:eastAsia="IRNazanin"/>
          <w:color w:val="111111"/>
          <w:sz w:val="28"/>
          <w:sz w:val="28"/>
          <w:szCs w:val="28"/>
          <w:rtl w:val="true"/>
          <w:lang w:bidi="fa-IR"/>
        </w:rPr>
        <w:t xml:space="preserve">عرف مردم نیز به فرد ترسو،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دل انجام</w:t>
      </w:r>
    </w:p>
    <w:p>
      <w:pPr>
        <w:pStyle w:val="BookText"/>
        <w:rPr/>
      </w:pPr>
      <w:r>
        <w:rPr>
          <w:rFonts w:ascii="IRNazanin" w:hAnsi="IRNazanin" w:eastAsia="IRNazanin"/>
          <w:color w:val="111111"/>
          <w:sz w:val="28"/>
          <w:sz w:val="28"/>
          <w:szCs w:val="28"/>
          <w:rtl w:val="true"/>
          <w:lang w:bidi="fa-IR"/>
        </w:rPr>
        <w:t>فلان کار را ندارید یا دل را به دریا بزن، یعنی دل دارید، امّا قدرتی که شما را به شجاعت</w:t>
      </w:r>
    </w:p>
    <w:p>
      <w:pPr>
        <w:pStyle w:val="BookText"/>
        <w:rPr/>
      </w:pPr>
      <w:r>
        <w:rPr>
          <w:rFonts w:ascii="IRNazanin" w:hAnsi="IRNazanin" w:eastAsia="IRNazanin"/>
          <w:color w:val="111111"/>
          <w:sz w:val="28"/>
          <w:sz w:val="28"/>
          <w:szCs w:val="28"/>
          <w:rtl w:val="true"/>
          <w:lang w:bidi="fa-IR"/>
        </w:rPr>
        <w:t>اندازد تا از عهده فلان کار برآئید، درون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مرکز ایجاد شجاعت، قلب آدمی</w:t>
      </w:r>
    </w:p>
    <w:p>
      <w:pPr>
        <w:pStyle w:val="BookText"/>
        <w:rPr/>
      </w:pPr>
      <w:r>
        <w:rPr>
          <w:rFonts w:ascii="IRNazanin" w:hAnsi="IRNazanin" w:eastAsia="IRNazanin"/>
          <w:color w:val="111111"/>
          <w:sz w:val="28"/>
          <w:sz w:val="28"/>
          <w:szCs w:val="28"/>
          <w:rtl w:val="true"/>
          <w:lang w:bidi="fa-IR"/>
        </w:rPr>
        <w:t xml:space="preserve">است و لذا از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توخالی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طبرسی از بین چهار تحلیلی که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ختم اللّه علی قلوبهم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کرده، تحلیل</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را می‌پذیرد و اعلام می‌دارد که</w:t>
      </w:r>
      <w:r>
        <w:rPr>
          <w:rStyle w:val="FootnoteAnchor"/>
          <w:rtl w:val="true"/>
        </w:rPr>
        <w:footnoteReference w:id="2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 است که از اندیشه‌های استادش</w:t>
      </w:r>
      <w:bookmarkStart w:id="285" w:name="pg4391_51040"/>
    </w:p>
    <w:p>
      <w:pPr>
        <w:pStyle w:val="BookText"/>
        <w:rPr/>
      </w:pPr>
      <w:bookmarkEnd w:id="285"/>
      <w:r>
        <w:rPr>
          <w:rFonts w:ascii="IRNazanin" w:hAnsi="IRNazanin" w:eastAsia="IRNazanin"/>
          <w:color w:val="111111"/>
          <w:sz w:val="28"/>
          <w:sz w:val="28"/>
          <w:szCs w:val="28"/>
          <w:rtl w:val="true"/>
          <w:lang w:bidi="fa-IR"/>
        </w:rPr>
        <w:t>ابو علی فارسی الهام گرفته است و آن را در مقایسه با دیگر توجیهات، منطقی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طبرسی را در این مورد می‌توان فصل الخطاب دانست؛ زیرا پذیرش این نظر، با تحلیلی که نهاوندی پیرامون مفهوم اختیار و اراده و قدرت در انسان و نقش اراده تکوینی</w:t>
      </w:r>
    </w:p>
    <w:p>
      <w:pPr>
        <w:pStyle w:val="BookText"/>
        <w:rPr/>
      </w:pPr>
      <w:r>
        <w:rPr>
          <w:rFonts w:ascii="IRNazanin" w:hAnsi="IRNazanin" w:eastAsia="IRNazanin"/>
          <w:color w:val="111111"/>
          <w:sz w:val="28"/>
          <w:sz w:val="28"/>
          <w:szCs w:val="28"/>
          <w:rtl w:val="true"/>
          <w:lang w:bidi="fa-IR"/>
        </w:rPr>
        <w:t>الهی ارائه داده است، انطباق و همخوانی کاملی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توضیح، اشکالی که نهاوندی</w:t>
      </w:r>
    </w:p>
    <w:p>
      <w:pPr>
        <w:pStyle w:val="BookText"/>
        <w:rPr/>
      </w:pPr>
      <w:r>
        <w:rPr>
          <w:rFonts w:ascii="IRNazanin" w:hAnsi="IRNazanin" w:eastAsia="IRNazanin"/>
          <w:color w:val="111111"/>
          <w:sz w:val="28"/>
          <w:sz w:val="28"/>
          <w:szCs w:val="28"/>
          <w:rtl w:val="true"/>
          <w:lang w:bidi="fa-IR"/>
        </w:rPr>
        <w:t>آن را بی‌پاسخ نهاده بود، پاسخ یافته است و سازگاری ختم بر قلوب با اختیار در انسان به ثابت می‌رسد</w:t>
      </w:r>
      <w:r>
        <w:rPr>
          <w:rFonts w:eastAsia="IRNazanin" w:cs="IRNazanin"/>
          <w:color w:val="111111"/>
          <w:sz w:val="28"/>
          <w:szCs w:val="28"/>
          <w:rtl w:val="true"/>
          <w:lang w:bidi="fa-IR"/>
        </w:rPr>
        <w:t>.</w:t>
      </w:r>
    </w:p>
    <w:p>
      <w:pPr>
        <w:pStyle w:val="Heading5"/>
        <w:numPr>
          <w:ilvl w:val="4"/>
          <w:numId w:val="1"/>
        </w:numPr>
        <w:rPr/>
      </w:pPr>
      <w:bookmarkStart w:id="286" w:name="__RefHeading___Toc1438805_1479056682"/>
      <w:bookmarkStart w:id="287" w:name="_Toc111"/>
      <w:bookmarkEnd w:id="286"/>
      <w:r>
        <w:rPr>
          <w:rtl w:val="true"/>
        </w:rPr>
        <w:t>وجوب امر به معروف و نهی از منکر</w:t>
      </w:r>
      <w:bookmarkEnd w:id="287"/>
    </w:p>
    <w:p>
      <w:pPr>
        <w:pStyle w:val="BookText"/>
        <w:rPr/>
      </w:pPr>
      <w:r>
        <w:rPr>
          <w:rFonts w:ascii="IRNazanin" w:hAnsi="IRNazanin" w:eastAsia="IRNazanin"/>
          <w:color w:val="111111"/>
          <w:sz w:val="28"/>
          <w:sz w:val="28"/>
          <w:szCs w:val="28"/>
          <w:rtl w:val="true"/>
          <w:lang w:bidi="fa-IR"/>
        </w:rPr>
        <w:t>وجوب امر به معروف و نهی از منکر به عنوان وظیفه همگانی در سطوح مختلف جامعه و به منظور اصلاح جامعه، به ویژه جامعه نوپای دینی در حیات نبی صلی‌الله‌علیه‌و‌آله یکی از ویژگی‌های فلسفه سیاسی و فقه سیاسی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این وظیفه اجتماعی اگرچه در عصر نبی صلی‌الله‌علیه‌و‌آلهو خطاب به اصحاب و مؤمنان و بلکه عموم مردم آن عصر بوده، امّا به عنوان یک اصل اجتماعی به نسلها و تمدنهای دیگر نیز سرایت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w:t>
      </w:r>
    </w:p>
    <w:p>
      <w:pPr>
        <w:pStyle w:val="BookText"/>
        <w:rPr/>
      </w:pPr>
      <w:r>
        <w:rPr>
          <w:rFonts w:ascii="IRNazanin" w:hAnsi="IRNazanin" w:eastAsia="IRNazanin"/>
          <w:color w:val="111111"/>
          <w:sz w:val="28"/>
          <w:sz w:val="28"/>
          <w:szCs w:val="28"/>
          <w:rtl w:val="true"/>
          <w:lang w:bidi="fa-IR"/>
        </w:rPr>
        <w:t>برخی قرآن پژوهان</w:t>
      </w:r>
      <w:r>
        <w:rPr>
          <w:rStyle w:val="FootnoteAnchor"/>
          <w:rtl w:val="true"/>
        </w:rPr>
        <w:footnoteReference w:id="266"/>
      </w:r>
      <w:r>
        <w:rPr>
          <w:rFonts w:ascii="IRNazanin" w:hAnsi="IRNazanin" w:eastAsia="IRNazanin"/>
          <w:color w:val="111111"/>
          <w:sz w:val="28"/>
          <w:sz w:val="28"/>
          <w:szCs w:val="28"/>
          <w:rtl w:val="true"/>
          <w:lang w:bidi="fa-IR"/>
        </w:rPr>
        <w:t>، آنچه موجب فضیلت مؤمنان بر دیگران و حاکمیت آنان بر جامعه</w:t>
      </w:r>
    </w:p>
    <w:p>
      <w:pPr>
        <w:pStyle w:val="BookText"/>
        <w:rPr/>
      </w:pPr>
      <w:r>
        <w:rPr>
          <w:rFonts w:ascii="IRNazanin" w:hAnsi="IRNazanin" w:eastAsia="IRNazanin"/>
          <w:color w:val="111111"/>
          <w:sz w:val="28"/>
          <w:sz w:val="28"/>
          <w:szCs w:val="28"/>
          <w:rtl w:val="true"/>
          <w:lang w:bidi="fa-IR"/>
        </w:rPr>
        <w:t>گردید، اعتقاد نظری و پایبندی عملی آنان به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برتری مؤمنان حاکم بر دیگران، بدون لحاظ پایبندی آنان به این وظیفه اجتماعی، باطل و</w:t>
      </w:r>
    </w:p>
    <w:p>
      <w:pPr>
        <w:pStyle w:val="BookText"/>
        <w:rPr/>
      </w:pPr>
      <w:r>
        <w:rPr>
          <w:rFonts w:ascii="IRNazanin" w:hAnsi="IRNazanin" w:eastAsia="IRNazanin"/>
          <w:color w:val="111111"/>
          <w:sz w:val="28"/>
          <w:sz w:val="28"/>
          <w:szCs w:val="28"/>
          <w:rtl w:val="true"/>
          <w:lang w:bidi="fa-IR"/>
        </w:rPr>
        <w:t>تحقق این برتری، محال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در تفسیر خویش در مواضع متعدد به طرح این مسأله می‌پردازد؛ او در ذیل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 النَّاسَ بِالْبِرِّ وَتَنسَوْنَ أَنفُسَکُمْ</w:t>
      </w:r>
      <w:r>
        <w:rPr>
          <w:rFonts w:eastAsia="IRNazanin" w:cs="IRNazanin"/>
          <w:color w:val="111111"/>
          <w:sz w:val="28"/>
          <w:szCs w:val="28"/>
          <w:rtl w:val="true"/>
          <w:lang w:bidi="fa-IR"/>
        </w:rPr>
        <w:t>... »</w:t>
      </w:r>
      <w:r>
        <w:rPr>
          <w:rStyle w:val="FootnoteAnchor"/>
          <w:rtl w:val="true"/>
        </w:rPr>
        <w:footnoteReference w:id="267"/>
      </w:r>
      <w:r>
        <w:rPr>
          <w:rFonts w:ascii="IRNazanin" w:hAnsi="IRNazanin" w:eastAsia="IRNazanin"/>
          <w:color w:val="111111"/>
          <w:sz w:val="28"/>
          <w:sz w:val="28"/>
          <w:szCs w:val="28"/>
          <w:rtl w:val="true"/>
          <w:lang w:bidi="fa-IR"/>
        </w:rPr>
        <w:t>، پس از ذکر سه روایت از پیامبر صلی‌الله‌علیه‌و‌آله و از امام جعفر صادق علیه‌السلامچنین نتیجه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 ادیان آسمانی و نیز مؤمنان به خاطر اهلیّت و شناختی که از معروف و منکر</w:t>
      </w:r>
    </w:p>
    <w:p>
      <w:pPr>
        <w:pStyle w:val="BookText"/>
        <w:rPr/>
      </w:pPr>
      <w:r>
        <w:rPr>
          <w:rFonts w:ascii="IRNazanin" w:hAnsi="IRNazanin" w:eastAsia="IRNazanin"/>
          <w:color w:val="111111"/>
          <w:sz w:val="28"/>
          <w:sz w:val="28"/>
          <w:szCs w:val="28"/>
          <w:rtl w:val="true"/>
          <w:lang w:bidi="fa-IR"/>
        </w:rPr>
        <w:t>دارند، از دیگران در انجام این وظیفه شایسته‌ترند و چنانچه به این وظیفه پشت کنند، مسؤولیّت و یا به تعبیر مفسّر عقاب بیشتری نسبت به جاهلان به این وظیفه دینی دارند و</w:t>
      </w:r>
    </w:p>
    <w:p>
      <w:pPr>
        <w:pStyle w:val="BookText"/>
        <w:rPr/>
      </w:pPr>
      <w:r>
        <w:rPr>
          <w:rFonts w:ascii="IRNazanin" w:hAnsi="IRNazanin" w:eastAsia="IRNazanin"/>
          <w:color w:val="111111"/>
          <w:sz w:val="28"/>
          <w:sz w:val="28"/>
          <w:szCs w:val="28"/>
          <w:rtl w:val="true"/>
          <w:lang w:bidi="fa-IR"/>
        </w:rPr>
        <w:t>بیشتر از دیگران مورد مؤاخذه قرار می‌گیرند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بر همه مردم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در هرحال بر انسان واجب است، اگرچه خود عامل به معروف و ناهی از منکر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است شرایط و صفات لازم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امر به معروف به این بهانه که من خود به معروف عمل نکرده‌ام یا عمل نمی‌کنم، توجیه بی‌اساسی است و باید کوشید تا شرایط و مقدمات عمل به معروف در خود انسان ایجاد شود، در غیر این صورت به خاطر ترک عمل و نیز ترک امر به معروف، معاقب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بر کسی که معروف را می‌شناسد و علم به معروف بودن آن دارد، امّا ایمان به آن ندارد، واجب است اگرچه ایمان به معروف، شرط صحّت عمل از ناحیه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تارک واجبات دینی، معاقب است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در ذیل آیات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وَتَرَی کَثِیرا مِنْهُمْ یُسَارِعُونَ فِی ا لاْءِثْمِ وَالْعُدْوَانِ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لَبِئْسَ مَا کَانُوا</w:t>
      </w:r>
    </w:p>
    <w:p>
      <w:pPr>
        <w:pStyle w:val="BookText"/>
        <w:rPr/>
      </w:pPr>
      <w:r>
        <w:rPr>
          <w:rFonts w:ascii="Amiri" w:hAnsi="Amiri" w:eastAsia="Amiri" w:cs="Amiri"/>
          <w:color w:val="111111"/>
          <w:sz w:val="28"/>
          <w:sz w:val="28"/>
          <w:szCs w:val="28"/>
          <w:rtl w:val="true"/>
          <w:lang w:bidi="ar-SA"/>
        </w:rPr>
        <w:t xml:space="preserve">یَعْمَلُونَ </w:t>
      </w:r>
      <w:r>
        <w:rPr>
          <w:rFonts w:eastAsia="Amiri" w:cs="Amiri" w:ascii="Amiri" w:hAnsi="Amiri"/>
          <w:color w:val="111111"/>
          <w:sz w:val="28"/>
          <w:szCs w:val="28"/>
          <w:rtl w:val="true"/>
          <w:lang w:bidi="ar-SA"/>
        </w:rPr>
        <w:t>»</w:t>
      </w:r>
      <w:r>
        <w:rPr>
          <w:rStyle w:val="FootnoteAnchor"/>
          <w:rtl w:val="true"/>
        </w:rPr>
        <w:footnoteReference w:id="269"/>
      </w:r>
      <w:r>
        <w:rPr>
          <w:rFonts w:ascii="IRNazanin" w:hAnsi="IRNazanin" w:eastAsia="IRNazanin"/>
          <w:color w:val="111111"/>
          <w:sz w:val="28"/>
          <w:sz w:val="28"/>
          <w:szCs w:val="28"/>
          <w:rtl w:val="true"/>
          <w:lang w:bidi="fa-IR"/>
        </w:rPr>
        <w:t>، بیان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گفته شده در آیات فوق نوعی دلالت وجود دارد که ترک‌کننده نهی از منکر مانند فردی است که مرتکب همان منکر شده است، زیرا خداوند هر دو را با یک لفظ مورد مذمّت قرار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یَنْهَاهُمُ الرَّبَّانِیُّونَ وَا لْأَحْبَارُ عَن قَوْلِهِمُ ا لاْءِثْمَ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لَبِئْسَ مَا کَانُوا یَصْنَعُونَ </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علمای دین و دانشمندان، مردم را از خطاهایشان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ندارند، در واقع کار مثبت و سازنده‌ای انجام نداده‌اند، این بیان الهی، نشان از توبیخ و سرزنش ربّانیون،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مؤمنان و آگاهان به خاطر ترک نهی از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سیاق آیات، نهی و مؤاخذه اهل</w:t>
      </w:r>
      <w:bookmarkStart w:id="288" w:name="pg4391_51042"/>
    </w:p>
    <w:p>
      <w:pPr>
        <w:pStyle w:val="BookText"/>
        <w:rPr/>
      </w:pPr>
      <w:bookmarkEnd w:id="288"/>
      <w:r>
        <w:rPr>
          <w:rFonts w:ascii="IRNazanin" w:hAnsi="IRNazanin" w:eastAsia="IRNazanin"/>
          <w:color w:val="111111"/>
          <w:sz w:val="28"/>
          <w:sz w:val="28"/>
          <w:szCs w:val="28"/>
          <w:rtl w:val="true"/>
          <w:lang w:bidi="fa-IR"/>
        </w:rPr>
        <w:t>کتاب و علمای یهود است، امّا بنا به توضیحی که از عقیده مفسّر در بالا ذکر شد، وجوب</w:t>
      </w:r>
    </w:p>
    <w:p>
      <w:pPr>
        <w:pStyle w:val="BookText"/>
        <w:rPr/>
      </w:pPr>
      <w:r>
        <w:rPr>
          <w:rFonts w:ascii="IRNazanin" w:hAnsi="IRNazanin" w:eastAsia="IRNazanin"/>
          <w:color w:val="111111"/>
          <w:sz w:val="28"/>
          <w:sz w:val="28"/>
          <w:szCs w:val="28"/>
          <w:rtl w:val="true"/>
          <w:lang w:bidi="fa-IR"/>
        </w:rPr>
        <w:t>امر به معروف و نهی از منکر در ادیان بعدی به ویژه اسلام مطرح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تارک نهی از منکر بیش از فردی که مرتکب منکر می‌شود، مورد مذمّت قرار می‌گیرد، زیرا خداوند در وصف ترک‌کنن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دگان این وظیفه بزرگ اجتماعی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لَبِئْسَ مَا کَانُوا یَصْنَعُونَ </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 xml:space="preserve">و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ساختن، قوی‌تر از عمل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از عملی است که ریشه‌دار باشد، لذا ترک وظیفه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ریشه‌دار است، پس عذاب و مجازات آن نیز ریشه‌دار و راسخ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سخنی نقل شده که وی توبیخ موجود در این آیه را شدیدترین توبیخ دانسته و از قول ضحّاک نقل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فی القرآن آیة أخوف عندی منها</w:t>
      </w:r>
      <w:r>
        <w:rPr>
          <w:rFonts w:eastAsia="IRNazanin" w:cs="IRNazanin"/>
          <w:color w:val="111111"/>
          <w:sz w:val="28"/>
          <w:szCs w:val="28"/>
          <w:rtl w:val="true"/>
          <w:lang w:bidi="fa-IR"/>
        </w:rPr>
        <w:t xml:space="preserve">»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 w:name="__RefHeading___Toc1438807_1479056682"/>
      <w:bookmarkStart w:id="290" w:name="_Toc112"/>
      <w:bookmarkEnd w:id="289"/>
      <w:r>
        <w:rPr>
          <w:rtl w:val="true"/>
        </w:rPr>
        <w:t>واجبات از مصادیق الطاف الهی است</w:t>
      </w:r>
      <w:bookmarkEnd w:id="290"/>
    </w:p>
    <w:p>
      <w:pPr>
        <w:pStyle w:val="BookText"/>
        <w:rPr/>
      </w:pPr>
      <w:r>
        <w:rPr>
          <w:rFonts w:ascii="IRNazanin" w:hAnsi="IRNazanin" w:eastAsia="IRNazanin"/>
          <w:color w:val="111111"/>
          <w:sz w:val="28"/>
          <w:sz w:val="28"/>
          <w:szCs w:val="28"/>
          <w:rtl w:val="true"/>
          <w:lang w:bidi="fa-IR"/>
        </w:rPr>
        <w:t>مفسّر، احکام حقوقی اسلام را که مهمترین مبانی آن قرآن و سنّت است، نَه الزام بندگان بر انجام عبادات، بلکه آن را لطف خدا بر بندگان می‌داند و انسان از طریق عمل به فرایض و ترک محرمات، به حقیقت آفرینش که معرفت خداست دست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مواضع مختلف تفسیر به این حقیقت اشاره می‌کند و در واقع التزام به این عقیده می‌تواند</w:t>
      </w:r>
    </w:p>
    <w:p>
      <w:pPr>
        <w:pStyle w:val="BookText"/>
        <w:rPr/>
      </w:pPr>
      <w:r>
        <w:rPr>
          <w:rFonts w:ascii="IRNazanin" w:hAnsi="IRNazanin" w:eastAsia="IRNazanin"/>
          <w:color w:val="111111"/>
          <w:sz w:val="28"/>
          <w:sz w:val="28"/>
          <w:szCs w:val="28"/>
          <w:rtl w:val="true"/>
          <w:lang w:bidi="fa-IR"/>
        </w:rPr>
        <w:t>به بسیاری اشکالات و پرسشهای بی‌اساس که پیرامون فلسفه دین و عمل به تعالیم و بایدها و نبایدهای دینی مطرح شده است، پاسخ دهد؛ پس قبل از آن که به فلسفه تفصیلی احکام بیندیشیم باید در لطف خدا تفکّر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 یُّهَا ا لَّذِینَ آمَنُوا 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لَعَلَّکُمْ تَتَّقُونَ </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الآیة اشارة إلی انّ الواجبات السمعیّة ألطاف ومقرّبات إلی الطاعة واجتناب کثیر من المعاصی،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الصَلاة تَنهِی عَنِ الفَحْشَاء والمُنکَر </w:t>
      </w:r>
      <w:r>
        <w:rPr>
          <w:rFonts w:eastAsia="Amiri" w:cs="Amiri" w:ascii="Amiri" w:hAnsi="Amiri"/>
          <w:color w:val="111111"/>
          <w:sz w:val="28"/>
          <w:szCs w:val="28"/>
          <w:rtl w:val="true"/>
          <w:lang w:bidi="ar-SA"/>
        </w:rPr>
        <w:t xml:space="preserve">» »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فوق اشاره‌ای بدان است که واجبات الهی بر بندگان از مصادیق الطاف الهی و</w:t>
      </w:r>
      <w:bookmarkStart w:id="291" w:name="pg4391_51043"/>
    </w:p>
    <w:p>
      <w:pPr>
        <w:pStyle w:val="BookText"/>
        <w:rPr/>
      </w:pPr>
      <w:bookmarkEnd w:id="291"/>
      <w:r>
        <w:rPr>
          <w:rFonts w:ascii="IRNazanin" w:hAnsi="IRNazanin" w:eastAsia="IRNazanin"/>
          <w:color w:val="111111"/>
          <w:sz w:val="28"/>
          <w:sz w:val="28"/>
          <w:szCs w:val="28"/>
          <w:rtl w:val="true"/>
          <w:lang w:bidi="fa-IR"/>
        </w:rPr>
        <w:t>موجب نزدیکی بندگان به اطاعت و عبودیّت و بازدارنده آنان از بسیاری خطاها و گناهان می‌باشد، مانند تشریع نماز که اگرچه ظاهر آن برای برخی همراه با مشقّت است، تحمّل مشقت آن، موجب راهیابی آنان به حقیقت حیات و دین و نیز اجتناب آنان از فساد و شرور و زشتی‌هاست</w:t>
      </w:r>
      <w:r>
        <w:rPr>
          <w:rFonts w:eastAsia="IRNazanin" w:cs="IRNazanin"/>
          <w:color w:val="111111"/>
          <w:sz w:val="28"/>
          <w:szCs w:val="28"/>
          <w:rtl w:val="true"/>
          <w:lang w:bidi="fa-IR"/>
        </w:rPr>
        <w:t>.</w:t>
      </w:r>
    </w:p>
    <w:p>
      <w:pPr>
        <w:pStyle w:val="Heading5"/>
        <w:numPr>
          <w:ilvl w:val="4"/>
          <w:numId w:val="1"/>
        </w:numPr>
        <w:rPr/>
      </w:pPr>
      <w:bookmarkStart w:id="292" w:name="__RefHeading___Toc1438809_1479056682"/>
      <w:bookmarkStart w:id="293" w:name="_Toc113"/>
      <w:bookmarkEnd w:id="292"/>
      <w:r>
        <w:rPr>
          <w:rtl w:val="true"/>
        </w:rPr>
        <w:t>اثبات صفات خدا از طریق آیات کونیّه</w:t>
      </w:r>
      <w:bookmarkEnd w:id="293"/>
    </w:p>
    <w:p>
      <w:pPr>
        <w:pStyle w:val="BookText"/>
        <w:rPr/>
      </w:pPr>
      <w:r>
        <w:rPr>
          <w:rFonts w:ascii="IRNazanin" w:hAnsi="IRNazanin" w:eastAsia="IRNazanin"/>
          <w:color w:val="111111"/>
          <w:sz w:val="28"/>
          <w:sz w:val="28"/>
          <w:szCs w:val="28"/>
          <w:rtl w:val="true"/>
          <w:lang w:bidi="fa-IR"/>
        </w:rPr>
        <w:t>یکی از راههای منطقی و نتیجه‌بخش در اثبات صفات خدا، بازگشت اذهان به عظمت موجود در آفرینش هستی و اسرار موجود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اسمای الهی و شرح آن اگر همیشه بر براهین عقلی و فلسفی متّکی باشد، هر چند در اثبات، شیوه‌ای بسیار موفّق تلقی می‌شود، امّا باید دانست که همگان تحمّل استدلالهای صرف فلسفی را ندارند،</w:t>
      </w:r>
    </w:p>
    <w:p>
      <w:pPr>
        <w:pStyle w:val="BookText"/>
        <w:rPr/>
      </w:pPr>
      <w:r>
        <w:rPr>
          <w:rFonts w:ascii="IRNazanin" w:hAnsi="IRNazanin" w:eastAsia="IRNazanin"/>
          <w:color w:val="111111"/>
          <w:sz w:val="28"/>
          <w:sz w:val="28"/>
          <w:szCs w:val="28"/>
          <w:rtl w:val="true"/>
          <w:lang w:bidi="fa-IR"/>
        </w:rPr>
        <w:t>حتی فیلسوف‌ترین اذهان و اندیشه‌ها نیز گاه نیاز به استراحت فکری دارند، بازگشت به طبیعت و مطالعه ظرافتها و زیبایی‌ها و اسرار آن راهی نتیجه‌بخش، آسان یاب و جذّاب در بازشناسی صفات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اگرچه خود دارای مشرب کلامی و فقهی است و در اثبات نکات تفسیری به محکم‌ترین استدلالهای عقلی پرداخته است، امّا غافل از برهانهای تجربی و طبیعی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اثبات پاره‌ای از صفات حق به شرح آیات کونیه که پیرامون ایجاد و آفرینش</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هستی و اسرار موجود در آن اشاره دارد،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إِلهُکُمْ إِلهٌ وَاحِدٌ لاَ إِلهَ إِلاَّ هُوَ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خَلْقِ السَّمواتِ وَا لْأَرْضِ وَاخْتِلاَفِ اللَّیلِ وَالنَّهَارِ وَا لْفُلْکِ ا لَّتِی تَجْرِی فِی الْبَحْرِ بِمَا یَنفَعُ النَّاسَ وَمَا أَنزَلَ اللّه‌ُ مِنَ السَّمَاءِ مِن مَاءٍ فَأَحْیَا بِهِ ا لْأَرْضَ بَعْدَ مَوْتِهَا وَبَثَّ فِیهَا مِن کُلِّ دَابَّةٍ وَتَصْرِیفِ الرِّیَاحِ وَالسَّحَابِ ا لْمُسَخَّرِ بَیْنَ السَّمَاءِ وَا لْأَرْضِ لآیَاتٍ لِقَوْمٍ یَعْقِلُونَ </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 که از آیات عجیب و قابل توجه قرآن در اثبات وحدانیت و رحمانیت خداوند است به تفصیل راجع به صفات خدا چنین نتیجه‌گیری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و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پیدایش هر موجودی بدون علت تامه، ممتنع است و امتناع آن کاملاً بدیهی می‌باشد، آفرینش آسمانها و زمین و رویش گیاهان و دیگر</w:t>
      </w:r>
    </w:p>
    <w:p>
      <w:pPr>
        <w:pStyle w:val="BookText"/>
        <w:rPr/>
      </w:pPr>
      <w:r>
        <w:rPr>
          <w:rFonts w:ascii="IRNazanin" w:hAnsi="IRNazanin" w:eastAsia="IRNazanin"/>
          <w:color w:val="111111"/>
          <w:sz w:val="28"/>
          <w:sz w:val="28"/>
          <w:szCs w:val="28"/>
          <w:rtl w:val="true"/>
          <w:lang w:bidi="fa-IR"/>
        </w:rPr>
        <w:t>آفریده‌هایی که در آیه ذکر شده، دلیل بر وجود ایجادآورنده‌ای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اختیار و اراده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در آفرینش هستی، فاعل موجب و متأثّر از غیر بود، اوّلین آفرینش او هرچه که بود، همان ادامه می‌یافت، تفاوت و دگرگونی در تنوّع آفرینش و اجزاء مختلف آن دلیل بر اراده و اختیار خداوندی است که بنابر علم و مصلحت، مسیر آفرینش اشیاء را دگرگون می‌کند و مجبور به ادامه خط مشخص و واحد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در نظام آفرینش الهی و تغییر و چند گانگی در خط سیر ایجاد،</w:t>
      </w:r>
    </w:p>
    <w:p>
      <w:pPr>
        <w:pStyle w:val="BookText"/>
        <w:rPr/>
      </w:pPr>
      <w:r>
        <w:rPr>
          <w:rFonts w:ascii="IRNazanin" w:hAnsi="IRNazanin" w:eastAsia="IRNazanin"/>
          <w:color w:val="111111"/>
          <w:sz w:val="28"/>
          <w:sz w:val="28"/>
          <w:szCs w:val="28"/>
          <w:rtl w:val="true"/>
          <w:lang w:bidi="fa-IR"/>
        </w:rPr>
        <w:t>دلیل بر علم و حکمت خداوندی و رعایت مصلحت‌ها در آفرینش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وحدانیت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نظم و هماهنگی و ارتباط بین اجزای پراکنده هستی چون</w:t>
      </w:r>
    </w:p>
    <w:p>
      <w:pPr>
        <w:pStyle w:val="BookText"/>
        <w:rPr/>
      </w:pPr>
      <w:r>
        <w:rPr>
          <w:rFonts w:ascii="IRNazanin" w:hAnsi="IRNazanin" w:eastAsia="IRNazanin"/>
          <w:color w:val="111111"/>
          <w:sz w:val="28"/>
          <w:sz w:val="28"/>
          <w:szCs w:val="28"/>
          <w:rtl w:val="true"/>
          <w:lang w:bidi="fa-IR"/>
        </w:rPr>
        <w:t>آسمان، زمین، آب، چهارپایان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حاکمیت یک شعور و ناظم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آفرینش اشیای گوناگون که در آیه از آن یاد شده، معلول اراده‌های متناظر و چندگانه و نظم موجود، نتیجه تصرّف و دخالت چندین خدای بود، نظم استواری در طبیعت دیده نمی‌شد، بلکه ناسازگاری و ناهماهنگی عیان می‌گشت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شکر و 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هریک از مواهب نام برده شده در</w:t>
      </w:r>
    </w:p>
    <w:p>
      <w:pPr>
        <w:pStyle w:val="BookText"/>
        <w:rPr/>
      </w:pP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آفرینش آسمان و زمین، اختلاف شب و روز، سیّال و شناور بودن کشتی بر روی دریا، نزول باران از آسمان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حیات و نظم طبیعت مرهون هریک از این امور می‌باشد، خود نعمتی بزرگ به شمار می‌روند و شکر منعم نیز واجب و ضرورت عقلی شکر و سپاس الهی تردید ناپذیر است و از جمله مصادیق شکر، اطاعت و عبودیت منعم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خطاب آیه به عقلا و اندیشمندان و خردورزان است و این حکایت از بهره‌وری مطلوب عقلا از آیات کونیه و پدیده‌ها و نعمتهای الهی می‌کند و آنان بیش از</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جاهلان حقیقت شکر عملی و عبادی خدا را به جا می‌آورند و بهره‌وری آنان نیز از این نعمتها بیشتر است، همان طور که افراد سالم که دارای مزاجهای متفاوت و حواسّ سالم</w:t>
      </w:r>
    </w:p>
    <w:p>
      <w:pPr>
        <w:pStyle w:val="BookText"/>
        <w:rPr/>
      </w:pPr>
      <w:r>
        <w:rPr>
          <w:rFonts w:ascii="IRNazanin" w:hAnsi="IRNazanin" w:eastAsia="IRNazanin"/>
          <w:color w:val="111111"/>
          <w:sz w:val="28"/>
          <w:sz w:val="28"/>
          <w:szCs w:val="28"/>
          <w:rtl w:val="true"/>
          <w:lang w:bidi="fa-IR"/>
        </w:rPr>
        <w:t>می‌باشند، بیشتر از افراد مریض و علیل لذّتهای دنیوی از اطعمه و اشربه و غیره را می‌چشند و احساس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آن گاه بیان می‌کند که شناخت صفات خدا تنها از طریق آیه مورد بحث حاصل نمی‌شود، بلکه آیات دیگری از قرآن هریک به نوعی به معرّفی صفات و عظمت خداوند</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صفات مذکور، واجب و قدیم است زیرا تشکیک در صفات به گونه‌ای که برخی واجب و برخی غیر واجب یا برخی از صفات را قدیم و برخی را حادث بدانیم،</w:t>
      </w:r>
    </w:p>
    <w:p>
      <w:pPr>
        <w:pStyle w:val="BookText"/>
        <w:rPr/>
      </w:pPr>
      <w:r>
        <w:rPr>
          <w:rFonts w:ascii="IRNazanin" w:hAnsi="IRNazanin" w:eastAsia="IRNazanin"/>
          <w:color w:val="111111"/>
          <w:sz w:val="28"/>
          <w:sz w:val="28"/>
          <w:szCs w:val="28"/>
          <w:rtl w:val="true"/>
          <w:lang w:bidi="fa-IR"/>
        </w:rPr>
        <w:t>مستلزم مرکب بودن، و وجود ما به الاشتراک و ما به الامتیاز در صفات است و مرکب بودن، نشانه نیاز و نیاز، نشانه حدوث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صفات الهی که به نوعی از آیات قرآنی استنباط می‌شود، واجب و قدیم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امر مرکّبی، حادث است، زیرا شأن او در هستی‌یابی آن است که وجودش متأخّر از وجود اجزای خود باشد، و هر موجود مرکّبی، نیازمند به اجزای خویش است؛ چون با فقدان یک یا چند جزء از اجزای لازم، تحقّق موجود مرکب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خداوند نیز ذاتی است و ذات او نیز قدیم است، اگر قول به قدیم بودن صفات خدا خلاف حس و ادراک و وجدان است و راهی برای اثبات آن نیست، با این تصوّر که هر ممکنی نیازمند به علّت است و فرض ما آن است که زمانی که خدا بود، هیچ چیزی جز او نبود که علّتی برای خداوند باشد و فرض حادث بودن تمام موجودات، مستلزم آن است که معلول یک علّت نباشند و آن محال است، پس ناگزیر شکل سوم قابل تحقق و پذیرش است که برخی موجودات را واجب و برخی را ممکن و معلول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به این که فرض تعدّد واجب، ممتنع است پس وحدانیت خداوند، امری قطعی است و هر موجود دیگر، اثری از فعل و صنع آن واجب است، از آنچه بیان شد، این نتیجه گرفته می‌شود که تمام عالَم، آینه جمال و جلال الهی است و جایگاه و مقام انسان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عاقل و خردمند در آن نشان داده شده است</w:t>
      </w:r>
      <w:r>
        <w:rPr>
          <w:rFonts w:eastAsia="IRNazanin" w:cs="IRNazanin"/>
          <w:color w:val="111111"/>
          <w:sz w:val="28"/>
          <w:szCs w:val="28"/>
          <w:rtl w:val="true"/>
          <w:lang w:bidi="fa-IR"/>
        </w:rPr>
        <w:t>.</w:t>
      </w:r>
      <w:bookmarkStart w:id="294" w:name="pg4391_51046"/>
    </w:p>
    <w:p>
      <w:pPr>
        <w:pStyle w:val="Heading5"/>
        <w:numPr>
          <w:ilvl w:val="4"/>
          <w:numId w:val="1"/>
        </w:numPr>
        <w:rPr/>
      </w:pPr>
      <w:bookmarkStart w:id="295" w:name="__RefHeading___Toc1438811_1479056682"/>
      <w:bookmarkStart w:id="296" w:name="_Toc114"/>
      <w:bookmarkEnd w:id="294"/>
      <w:bookmarkEnd w:id="295"/>
      <w:r>
        <w:rPr>
          <w:rtl w:val="true"/>
        </w:rPr>
        <w:t>وجوب نصب امام</w:t>
      </w:r>
      <w:bookmarkEnd w:id="296"/>
    </w:p>
    <w:p>
      <w:pPr>
        <w:pStyle w:val="BookText"/>
        <w:rPr/>
      </w:pP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وَالسَّارِقُ وَالسَّارِقَةُ فَاقْطَعُوا أَیْدِیَهُمَا</w:t>
      </w:r>
      <w:r>
        <w:rPr>
          <w:rFonts w:eastAsia="Amiri" w:cs="Amiri" w:ascii="Amiri" w:hAnsi="Amiri"/>
          <w:color w:val="111111"/>
          <w:sz w:val="28"/>
          <w:szCs w:val="28"/>
          <w:rtl w:val="true"/>
          <w:lang w:bidi="ar-SA"/>
        </w:rPr>
        <w:t>... »</w:t>
      </w:r>
      <w:r>
        <w:rPr>
          <w:rStyle w:val="FootnoteAnchor"/>
          <w:rtl w:val="true"/>
        </w:rPr>
        <w:footnoteReference w:id="276"/>
      </w:r>
      <w:r>
        <w:rPr>
          <w:rFonts w:ascii="IRNazanin" w:hAnsi="IRNazanin" w:eastAsia="IRNazanin"/>
          <w:color w:val="111111"/>
          <w:sz w:val="28"/>
          <w:sz w:val="28"/>
          <w:szCs w:val="28"/>
          <w:rtl w:val="true"/>
          <w:lang w:bidi="fa-IR"/>
        </w:rPr>
        <w:t>، از قول متکلّمان چنین نتیجه می‌گیرد که این آیه بر وجوب نصب امام دلالت دارد؛ زیرا در اقامه حدّ سارق و وجوب آن</w:t>
      </w:r>
    </w:p>
    <w:p>
      <w:pPr>
        <w:pStyle w:val="BookText"/>
        <w:rPr/>
      </w:pPr>
      <w:r>
        <w:rPr>
          <w:rFonts w:ascii="IRNazanin" w:hAnsi="IRNazanin" w:eastAsia="IRNazanin"/>
          <w:color w:val="111111"/>
          <w:sz w:val="28"/>
          <w:sz w:val="28"/>
          <w:szCs w:val="28"/>
          <w:rtl w:val="true"/>
          <w:lang w:bidi="fa-IR"/>
        </w:rPr>
        <w:t>دلالت صریح و آشکار دارد و تمام علمای امامیّه اتفاق‌نظر دارند که اقامه حدود در جامعه اسلامی از وظایف امام است، نَه مردم، لذا وجود امام در جامعه لازم می‌باشد؛ در</w:t>
      </w:r>
    </w:p>
    <w:p>
      <w:pPr>
        <w:pStyle w:val="BookText"/>
        <w:rPr/>
      </w:pPr>
      <w:r>
        <w:rPr>
          <w:rFonts w:ascii="IRNazanin" w:hAnsi="IRNazanin" w:eastAsia="IRNazanin"/>
          <w:color w:val="111111"/>
          <w:sz w:val="28"/>
          <w:sz w:val="28"/>
          <w:szCs w:val="28"/>
          <w:rtl w:val="true"/>
          <w:lang w:bidi="fa-IR"/>
        </w:rPr>
        <w:t>غیر این صورت، تکلیف و خطاب، بدون مکلّف و مخاطب باقی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نهاوندی، احکام مربوط به حدود، قصاص و دیات فقط با حضور امام، اجرا می‌شود و به نظر می‌رسد جز امام، کسی مسؤولیت اجرای آن را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سخن، آن است که اجرای تمام احکام و حقوق کیفری و جزایی، اگرچه تشخیص آن به عهده دیگران باشد، آن فقط با نظر و حکم امام عملی است حتی احکام حقوق شخصی و خانوادگی مثل حدّ نشوز، حدّ تهمت، حدّ بُهتان و حدود سنگین مثل حدّ قصاص و اعدام و تبعید تماما از وظایف امام است و مردم بنا به تشخیص خود نمی‌توانند آن را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آن گاه به طرح اختلاف نظر عامّه و خاصّه در نصب امام به وسیله مردم می‌پردازد و چنین نتیجه می‌گیرد که بنابر مذهب خاصّه امامیّه، نصب امام بر خدا واجب</w:t>
      </w:r>
    </w:p>
    <w:p>
      <w:pPr>
        <w:pStyle w:val="BookText"/>
        <w:rPr/>
      </w:pPr>
      <w:r>
        <w:rPr>
          <w:rFonts w:ascii="IRNazanin" w:hAnsi="IRNazanin" w:eastAsia="IRNazanin"/>
          <w:color w:val="111111"/>
          <w:sz w:val="28"/>
          <w:sz w:val="28"/>
          <w:szCs w:val="28"/>
          <w:rtl w:val="true"/>
          <w:lang w:bidi="fa-IR"/>
        </w:rPr>
        <w:t>است، و از دیدگاه علمای عامّه، وجوب نصب امام به عهده مردم نهاده شده است و دلیل رأی امامیّه را لزوم تحقق شروط امامت که یکی از آن شروط عصمت است و کسی جز خداوند عارف به آن نیست ذکر می‌کند و به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به عنوان دلیلی در لزوم عصمت امام استناد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اعتقاد دارد حتی پیامبر صلی‌الله‌علیه‌و‌آله در نصب امام اختیار عمل نداشت و این امر صرفا به دست خداوند صورت گرفت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که مفسّر ارائه کرده صرفا نصب امامان معصوم را شامل می‌شود، امّا این پرسش باقی است که تکلیف اجرای حدود و سرپرستی حکومت در غیبت امام معصوم</w:t>
      </w:r>
    </w:p>
    <w:p>
      <w:pPr>
        <w:pStyle w:val="BookText"/>
        <w:rPr/>
      </w:pPr>
      <w:r>
        <w:rPr>
          <w:rFonts w:ascii="IRNazanin" w:hAnsi="IRNazanin" w:eastAsia="IRNazanin"/>
          <w:color w:val="111111"/>
          <w:sz w:val="28"/>
          <w:sz w:val="28"/>
          <w:szCs w:val="28"/>
          <w:rtl w:val="true"/>
          <w:lang w:bidi="fa-IR"/>
        </w:rPr>
        <w:t>به عهده کیست و چگونه نصب یا انتخاب می‌گردد ؟</w:t>
      </w:r>
    </w:p>
    <w:p>
      <w:pPr>
        <w:pStyle w:val="BookText"/>
        <w:rPr/>
      </w:pPr>
      <w:r>
        <w:rPr>
          <w:rFonts w:ascii="IRNazanin" w:hAnsi="IRNazanin" w:eastAsia="IRNazanin"/>
          <w:color w:val="111111"/>
          <w:sz w:val="28"/>
          <w:sz w:val="28"/>
          <w:szCs w:val="28"/>
          <w:rtl w:val="true"/>
          <w:lang w:bidi="fa-IR"/>
        </w:rPr>
        <w:t>نهاوندی آن گاه در بیان اهمّیت حکم امام در خصوص جرایم اجتماعی و تخلّفات</w:t>
      </w:r>
    </w:p>
    <w:p>
      <w:pPr>
        <w:pStyle w:val="BookText"/>
        <w:rPr/>
      </w:pPr>
      <w:r>
        <w:rPr>
          <w:rFonts w:ascii="IRNazanin" w:hAnsi="IRNazanin" w:eastAsia="IRNazanin"/>
          <w:color w:val="111111"/>
          <w:sz w:val="28"/>
          <w:sz w:val="28"/>
          <w:szCs w:val="28"/>
          <w:rtl w:val="true"/>
          <w:lang w:bidi="fa-IR"/>
        </w:rPr>
        <w:t>سیاسی و اعتقادی با نقل روایتی از امام صادق علیه‌السلام اعتقاد خود را چنین بیان می‌کند که اگر یکی از طرفین نزاع یا هر دو، از نزاع و اختلاف دست کشند و یکدیگر را ببخشند، تا زمانی که به حاکم رجوع نکرده‌اند، حکم ساقط می‌گردد، امّا اگر نزد امام روند، ولی شخص متضرّر از ضرر چشم بپوشد و حاکم، حکم سرقت را صادر و اجرا کنند، کسی حقّ نادیده گرفتن احکام صادر شده از جانب امام را نخواهد داشت، زیرا آنان حافظان حدود الهی‌اند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می‌گردیم به پرسشی که قبلاً مطرح شد، و آن تکلیف رهبری مردم در زمان غیبت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بخش دیگری از تفسیر خود، ذیل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وَکَذلِکَ نُوَلِّی بَعْضَ الظَّالِمِینَ بَعْضَا بِمَا کَانُوا یَکْسِبُونَ</w:t>
      </w:r>
      <w:r>
        <w:rPr>
          <w:rFonts w:eastAsia="IRNazanin" w:cs="IRNazanin"/>
          <w:color w:val="111111"/>
          <w:sz w:val="28"/>
          <w:szCs w:val="28"/>
          <w:rtl w:val="true"/>
          <w:lang w:bidi="fa-IR"/>
        </w:rPr>
        <w:t>... »</w:t>
      </w:r>
      <w:r>
        <w:rPr>
          <w:rStyle w:val="FootnoteAnchor"/>
          <w:rtl w:val="true"/>
        </w:rPr>
        <w:footnoteReference w:id="279"/>
      </w:r>
      <w:r>
        <w:rPr>
          <w:rFonts w:ascii="IRNazanin" w:hAnsi="IRNazanin" w:eastAsia="IRNazanin"/>
          <w:color w:val="111111"/>
          <w:sz w:val="28"/>
          <w:sz w:val="28"/>
          <w:szCs w:val="28"/>
          <w:rtl w:val="true"/>
          <w:lang w:bidi="fa-IR"/>
        </w:rPr>
        <w:t>، به بحث پیرامون رهبری و خلافت در جامعه اسلامی و لزوم برخورداری جوامع از رهبر و مدیر می‌پردازد و وجود حاکم و رهبر و مدیر را باعث اصلاح امور مردم و اقامه حدود الهی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ذیل این آیه چنین نتیجه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و رعیت ستمگر، سرنوشتشان به دست رهبران ستمگر خواهد افتاد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جامعه‌ای از داشتن فرمانروا ناگزیر است و وجود امیر حتی اگر ظالم باشد، در جامعه‌ای که مردم آن ستمگر و ناسپاس‌اند، لازم است، پس به طریق اولی جوامع و تمدنهای سالم و صالح نیز به رهبر و امیر نیازمند و حاکمیت وی بر آنان لازم است تا فضیلت و خیرخواهی و صلاح را در جامعه تقویت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علیّ بن ابی طالب علیه‌السلام روایتی نقل می‌کند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الناس إلاّ أمیرٌ عادلٌ أو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امور مردم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در سایه وجود امیر و فرمانروایی عادل یا ظالم اصلاح نمی‌شود، مردم که این سخن را از وی شنیدند، لب به اعتراض گشودند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جائر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حاکم و فرمانروا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ستمگر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باشد موجب امنیت راههای ارتباطی شهرها و نیز اقامه نماز و انجام حج می‌گردد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bookmarkStart w:id="297" w:name="pg4391_51048"/>
    </w:p>
    <w:p>
      <w:pPr>
        <w:pStyle w:val="Heading5"/>
        <w:numPr>
          <w:ilvl w:val="4"/>
          <w:numId w:val="1"/>
        </w:numPr>
        <w:rPr/>
      </w:pPr>
      <w:bookmarkStart w:id="298" w:name="__RefHeading___Toc1438813_1479056682"/>
      <w:bookmarkStart w:id="299" w:name="_Toc115"/>
      <w:bookmarkEnd w:id="297"/>
      <w:bookmarkEnd w:id="298"/>
      <w:r>
        <w:rPr>
          <w:rtl w:val="true"/>
        </w:rPr>
        <w:t>عدم برتری و حاکمیت کافران بر مؤمنان</w:t>
      </w:r>
      <w:bookmarkEnd w:id="299"/>
    </w:p>
    <w:p>
      <w:pPr>
        <w:pStyle w:val="BookText"/>
        <w:rPr/>
      </w:pPr>
      <w:r>
        <w:rPr>
          <w:rFonts w:ascii="Amiri" w:hAnsi="Amiri" w:eastAsia="Amiri" w:cs="Amiri"/>
          <w:color w:val="111111"/>
          <w:sz w:val="28"/>
          <w:sz w:val="28"/>
          <w:szCs w:val="28"/>
          <w:rtl w:val="true"/>
          <w:lang w:bidi="ar-SA"/>
        </w:rPr>
        <w:t>برخی در تفسیر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یَجْعَلَ اللّه‌ُ لِلْکافرین عَلَی ا لْمؤمنین سَبِیلاً </w:t>
      </w:r>
      <w:r>
        <w:rPr>
          <w:rFonts w:eastAsia="Amiri" w:cs="Amiri" w:ascii="Amiri" w:hAnsi="Amiri"/>
          <w:color w:val="111111"/>
          <w:sz w:val="28"/>
          <w:szCs w:val="28"/>
          <w:rtl w:val="true"/>
          <w:lang w:bidi="ar-SA"/>
        </w:rPr>
        <w:t>»</w:t>
      </w:r>
      <w:r>
        <w:rPr>
          <w:rStyle w:val="FootnoteAnchor"/>
          <w:rtl w:val="true"/>
        </w:rPr>
        <w:footnoteReference w:id="281"/>
      </w:r>
      <w:r>
        <w:rPr>
          <w:rFonts w:ascii="IRNazanin" w:hAnsi="IRNazanin" w:eastAsia="IRNazanin"/>
          <w:color w:val="111111"/>
          <w:sz w:val="28"/>
          <w:sz w:val="28"/>
          <w:szCs w:val="28"/>
          <w:rtl w:val="true"/>
          <w:lang w:bidi="fa-IR"/>
        </w:rPr>
        <w:t>، چنین گفته‌اند که خداوند، راه حجّت و برهان کافران بر مؤمنان را بسته است و آنان نمی‌توانند</w:t>
      </w:r>
    </w:p>
    <w:p>
      <w:pPr>
        <w:pStyle w:val="BookText"/>
        <w:rPr/>
      </w:pPr>
      <w:r>
        <w:rPr>
          <w:rFonts w:ascii="IRNazanin" w:hAnsi="IRNazanin" w:eastAsia="IRNazanin"/>
          <w:color w:val="111111"/>
          <w:sz w:val="28"/>
          <w:sz w:val="28"/>
          <w:szCs w:val="28"/>
          <w:rtl w:val="true"/>
          <w:lang w:bidi="fa-IR"/>
        </w:rPr>
        <w:t>در احتجاجات خود با انبیا و مؤمنان بر آنان تفوّق یابند و علی رغم آن که کافران یهود،</w:t>
      </w:r>
    </w:p>
    <w:p>
      <w:pPr>
        <w:pStyle w:val="BookText"/>
        <w:rPr/>
      </w:pPr>
      <w:r>
        <w:rPr>
          <w:rFonts w:ascii="IRNazanin" w:hAnsi="IRNazanin" w:eastAsia="IRNazanin"/>
          <w:color w:val="111111"/>
          <w:sz w:val="28"/>
          <w:sz w:val="28"/>
          <w:szCs w:val="28"/>
          <w:rtl w:val="true"/>
          <w:lang w:bidi="fa-IR"/>
        </w:rPr>
        <w:t>پیامبران خود را به قتل رساندند، با این حال غلبه و برتری با پیامبران بود، اگرچه کشته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چنین گفته‌اند که منظور، نفی غلبه کافر بر مؤمن، در قیامت است یعنی اگرچه در دنیا کافران توانستند بر مؤمنان چیره شوند و سخن خود را بر آنان تحمیل کند،</w:t>
      </w:r>
    </w:p>
    <w:p>
      <w:pPr>
        <w:pStyle w:val="BookText"/>
        <w:rPr/>
      </w:pPr>
      <w:r>
        <w:rPr>
          <w:rFonts w:ascii="IRNazanin" w:hAnsi="IRNazanin" w:eastAsia="IRNazanin"/>
          <w:color w:val="111111"/>
          <w:sz w:val="28"/>
          <w:sz w:val="28"/>
          <w:szCs w:val="28"/>
          <w:rtl w:val="true"/>
          <w:lang w:bidi="fa-IR"/>
        </w:rPr>
        <w:t>امّا در روز رستاخیز چنین غلبه‌ای نخواهد بود و برخی نیز اعتقاد دارند این آیه، مفهوم</w:t>
      </w:r>
    </w:p>
    <w:p>
      <w:pPr>
        <w:pStyle w:val="BookText"/>
        <w:rPr/>
      </w:pPr>
      <w:r>
        <w:rPr>
          <w:rFonts w:ascii="IRNazanin" w:hAnsi="IRNazanin" w:eastAsia="IRNazanin"/>
          <w:color w:val="111111"/>
          <w:sz w:val="28"/>
          <w:sz w:val="28"/>
          <w:szCs w:val="28"/>
          <w:rtl w:val="true"/>
          <w:lang w:bidi="fa-IR"/>
        </w:rPr>
        <w:t>عامّی را می‌رساند و مقصود نفی هرگونه برتری و غلبه کافران بر مؤمنان است، مگر آن که دلیل روشنی در تخصیص آیه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در خصوص مفهوم و مفاد این آیه، ابتدا نظر اختصاصی خود را طرح می‌کند و سپس به نقل نظرات مختلفی که فقها از آیه استنباط کرده‌اند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خدا هم تکوینی است و هم تشریعی، امّا در این آیه، مقصود، جعل تشریعی است و نَه تکوینی و نَه اعم از هر دو؛ یعنی مردم به خصوص مؤمنان نباید به حاکمیت کافران تن دردهند و هیچ‌گونه مجوّزی از ناحیه شریعت اسلام در برتری کافران بر مؤمنان نیست و لازم است جامعه دینی به گونه‌ای برنامه‌ریزی کند و اقتدار ملّی و دینی</w:t>
      </w:r>
    </w:p>
    <w:p>
      <w:pPr>
        <w:pStyle w:val="BookText"/>
        <w:rPr/>
      </w:pPr>
      <w:r>
        <w:rPr>
          <w:rFonts w:ascii="IRNazanin" w:hAnsi="IRNazanin" w:eastAsia="IRNazanin"/>
          <w:color w:val="111111"/>
          <w:sz w:val="28"/>
          <w:sz w:val="28"/>
          <w:szCs w:val="28"/>
          <w:rtl w:val="true"/>
          <w:lang w:bidi="fa-IR"/>
        </w:rPr>
        <w:t>و اجتماعی خود را استوار سازد که هرگونه راه نفوذ کافران را ببندد زیرا خداوند هرگز</w:t>
      </w:r>
    </w:p>
    <w:p>
      <w:pPr>
        <w:pStyle w:val="BookText"/>
        <w:rPr/>
      </w:pPr>
      <w:r>
        <w:rPr>
          <w:rFonts w:ascii="IRNazanin" w:hAnsi="IRNazanin" w:eastAsia="IRNazanin"/>
          <w:color w:val="111111"/>
          <w:sz w:val="28"/>
          <w:sz w:val="28"/>
          <w:szCs w:val="28"/>
          <w:rtl w:val="true"/>
          <w:lang w:bidi="fa-IR"/>
        </w:rPr>
        <w:t>راضی به غلبه کافران بر مؤمنان نیست؛ چرا که این امر، قبیح است و خداوند، فاعل فعل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استدلال فقها از آیه مورد بحث اشاره می‌کند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 ماندن بنده مسلمان در ملکیت کافر جایز نیست؛ لذا حاکم اسلامی، کافر را</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وادار به فروش برده مسلمان می‌کند و او باید تن دهد، در غیر این صورت، حاکم خود به</w:t>
      </w:r>
    </w:p>
    <w:p>
      <w:pPr>
        <w:pStyle w:val="BookText"/>
        <w:rPr/>
      </w:pPr>
      <w:r>
        <w:rPr>
          <w:rFonts w:ascii="IRNazanin" w:hAnsi="IRNazanin" w:eastAsia="IRNazanin"/>
          <w:color w:val="111111"/>
          <w:sz w:val="28"/>
          <w:sz w:val="28"/>
          <w:szCs w:val="28"/>
          <w:rtl w:val="true"/>
          <w:lang w:bidi="fa-IR"/>
        </w:rPr>
        <w:t>فروش بنده مسلمان اقدام می‌کند و ثمن آن را به صاحبش پس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فروش کنیز و بنده مسلمان به کافر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صحّت و جواز بندگی مسلمان برای کافر، حتی در حالت اجاره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فرد آزاد مسلمان نیز مجاز به خدمت برای کافران نیست و نمی‌تواند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قوای بدنی و توانایی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اجاره و خدمتگزاری فرد کافر درآورد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جواز رهن عبد مسلمان نزد فرد کافر، اگرچه از قبل، وی را قبض کرده و در اختیار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کافر نمی‌تواند وصیّ کودک مسلمان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صحّت و جواز باز گرداندن عبد مسلمان به کافر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تفاسیر امامیّه، غلبه کافران بر مؤمنان در هر دو مفهوم سیاسی نظامی و برهانی نفی گشته و هر دو تفسیر برای کلمه نفی سبیل، بیان شده است </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نظر سدّی </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مالک و ابن عباس </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و تأویلی که از علیّ بن ابی طالب علیه‌السلام رسیده، مقصود، نفی برتری استدلالی کافران بر مؤمنان است و بنابر انتسابی که به زجّاج، جبائی و بلخی</w:t>
      </w:r>
    </w:p>
    <w:p>
      <w:pPr>
        <w:pStyle w:val="BookText"/>
        <w:rPr/>
      </w:pPr>
      <w:r>
        <w:rPr>
          <w:rFonts w:ascii="IRNazanin" w:hAnsi="IRNazanin" w:eastAsia="IRNazanin"/>
          <w:color w:val="111111"/>
          <w:sz w:val="28"/>
          <w:sz w:val="28"/>
          <w:szCs w:val="28"/>
          <w:rtl w:val="true"/>
          <w:lang w:bidi="fa-IR"/>
        </w:rPr>
        <w:t>صورت گرفته، می‌توان مراد از آیه را نفی برتری سیاسی و نظامی دانست؛ زیرا همان گونه که اشاره شد، استبداد و استیلای کافران بر مؤمنان، هرگز متعلّق اراده تشریعی</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قرار نمی‌گیرد، چرا که امر قبیحی خواهد بود و صدور فعل قبیح از خداوند محال است، و مقصود از کافران، مطلق آنان است اهل کتاب از دیدگاه برخی فقها کافر محسوب نمی‌شوند</w:t>
      </w:r>
      <w:r>
        <w:rPr>
          <w:rFonts w:eastAsia="IRNazanin" w:cs="IRNazanin"/>
          <w:color w:val="111111"/>
          <w:sz w:val="28"/>
          <w:szCs w:val="28"/>
          <w:rtl w:val="true"/>
          <w:lang w:bidi="fa-IR"/>
        </w:rPr>
        <w:t>.</w:t>
      </w:r>
      <w:bookmarkStart w:id="300" w:name="pg4391_51050"/>
    </w:p>
    <w:p>
      <w:pPr>
        <w:pStyle w:val="Heading4"/>
        <w:numPr>
          <w:ilvl w:val="3"/>
          <w:numId w:val="1"/>
        </w:numPr>
        <w:rPr/>
      </w:pPr>
      <w:bookmarkStart w:id="301" w:name="__RefHeading___Toc1438815_1479056682"/>
      <w:bookmarkStart w:id="302" w:name="_Toc116"/>
      <w:bookmarkEnd w:id="300"/>
      <w:bookmarkEnd w:id="301"/>
      <w:r>
        <w:rPr>
          <w:rtl w:val="true"/>
        </w:rPr>
        <w:t xml:space="preserve">فصل یازدهم </w:t>
      </w:r>
      <w:r>
        <w:rPr>
          <w:rtl w:val="true"/>
        </w:rPr>
        <w:t xml:space="preserve">- </w:t>
      </w:r>
      <w:r>
        <w:rPr>
          <w:rtl w:val="true"/>
        </w:rPr>
        <w:t>تحقیق و گزارش امامت و ولایت در تفسیر نفحات الرّحمن</w:t>
      </w:r>
      <w:bookmarkEnd w:id="302"/>
    </w:p>
    <w:p>
      <w:pPr>
        <w:pStyle w:val="Heading5"/>
        <w:numPr>
          <w:ilvl w:val="4"/>
          <w:numId w:val="1"/>
        </w:numPr>
        <w:rPr/>
      </w:pPr>
      <w:bookmarkStart w:id="303" w:name="__RefHeading___Toc1438817_1479056682"/>
      <w:bookmarkStart w:id="304" w:name="_Toc117"/>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گرایش مفسّر به مکتب اهل بیت و اصل امامت و ولایت‌پذیری آنان از سه جنبه چشمگیر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استنادهای روایی او به سنّت امامان علیهم‌السلام در استدلال پیرامون موضوعات کلامی، عرفانی، اخلاقی، اجتماعی و فقهی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 اصل امامت در 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تجلیل از اهل بیت رسول اللّه صلی‌الله‌علیه‌و‌آله و معرّفی شأن و عظمت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توضیح این سه جنبه</w:t>
      </w:r>
      <w:r>
        <w:rPr>
          <w:rFonts w:eastAsia="IRNazanin" w:cs="IRNazanin"/>
          <w:color w:val="111111"/>
          <w:sz w:val="28"/>
          <w:szCs w:val="28"/>
          <w:rtl w:val="true"/>
          <w:lang w:bidi="fa-IR"/>
        </w:rPr>
        <w:t>:</w:t>
      </w:r>
    </w:p>
    <w:p>
      <w:pPr>
        <w:pStyle w:val="Heading5"/>
        <w:numPr>
          <w:ilvl w:val="4"/>
          <w:numId w:val="1"/>
        </w:numPr>
        <w:rPr/>
      </w:pPr>
      <w:bookmarkStart w:id="305" w:name="__RefHeading___Toc1438819_1479056682"/>
      <w:bookmarkStart w:id="306" w:name="_Toc118"/>
      <w:bookmarkEnd w:id="305"/>
      <w:r>
        <w:rPr/>
        <w:t>1</w:t>
      </w:r>
      <w:r>
        <w:rPr>
          <w:rtl w:val="true"/>
        </w:rPr>
        <w:t xml:space="preserve"> - </w:t>
      </w:r>
      <w:r>
        <w:rPr>
          <w:rtl w:val="true"/>
        </w:rPr>
        <w:t>استنادات روایی به سنّت امامان</w:t>
      </w:r>
      <w:bookmarkEnd w:id="306"/>
    </w:p>
    <w:p>
      <w:pPr>
        <w:pStyle w:val="BookText"/>
        <w:rPr/>
      </w:pPr>
      <w:r>
        <w:rPr>
          <w:rFonts w:ascii="IRNazanin" w:hAnsi="IRNazanin" w:eastAsia="IRNazanin"/>
          <w:color w:val="111111"/>
          <w:sz w:val="28"/>
          <w:sz w:val="28"/>
          <w:szCs w:val="28"/>
          <w:rtl w:val="true"/>
          <w:lang w:bidi="fa-IR"/>
        </w:rPr>
        <w:t>همان گونه که پیش از این گفته شد، صبغه غالب در تفسیر نفحات الرّحمن تأثیر پذیری از روایات تفسیری پیامبر صلی‌الله‌علیه‌و‌آله و امامان 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مواضع مختلف این متن</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تفسیری، سیر ثابتی را نمایان می‌سازد و آن اهتمام مفسّر در استناد به روایات تفسیر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تفسیر پس از ذکر عقاید خود پیرامون چهل مطلب از مطالب و</w:t>
      </w:r>
      <w:bookmarkStart w:id="307" w:name="pg4391_51051"/>
    </w:p>
    <w:p>
      <w:pPr>
        <w:pStyle w:val="BookText"/>
        <w:rPr/>
      </w:pPr>
      <w:bookmarkEnd w:id="307"/>
      <w:r>
        <w:rPr>
          <w:rFonts w:ascii="IRNazanin" w:hAnsi="IRNazanin" w:eastAsia="IRNazanin"/>
          <w:color w:val="111111"/>
          <w:sz w:val="28"/>
          <w:sz w:val="28"/>
          <w:szCs w:val="28"/>
          <w:rtl w:val="true"/>
          <w:lang w:bidi="fa-IR"/>
        </w:rPr>
        <w:t>مصطلحات علوم قرآنی و تاریخ تفسیر و آداب و تلاوت قرآن و تدبّر در آن، بلافاصله به</w:t>
      </w:r>
    </w:p>
    <w:p>
      <w:pPr>
        <w:pStyle w:val="BookText"/>
        <w:rPr/>
      </w:pPr>
      <w:r>
        <w:rPr>
          <w:rFonts w:ascii="IRNazanin" w:hAnsi="IRNazanin" w:eastAsia="IRNazanin"/>
          <w:color w:val="111111"/>
          <w:sz w:val="28"/>
          <w:sz w:val="28"/>
          <w:szCs w:val="28"/>
          <w:rtl w:val="true"/>
          <w:lang w:bidi="fa-IR"/>
        </w:rPr>
        <w:t>روایات پیامبر صلی‌الله‌علیه‌و‌آله و امامان استناد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کتاب نیز استنباطهای خویش را از روایات بیان می‌کند و در مواقع لزوم هم که موارد آن بسیار است، به ذکر مستندات روایی</w:t>
      </w:r>
    </w:p>
    <w:p>
      <w:pPr>
        <w:pStyle w:val="BookText"/>
        <w:rPr/>
      </w:pPr>
      <w:r>
        <w:rPr>
          <w:rFonts w:ascii="IRNazanin" w:hAnsi="IRNazanin" w:eastAsia="IRNazanin"/>
          <w:color w:val="111111"/>
          <w:sz w:val="28"/>
          <w:sz w:val="28"/>
          <w:szCs w:val="28"/>
          <w:rtl w:val="true"/>
          <w:lang w:bidi="fa-IR"/>
        </w:rPr>
        <w:t>خود بدون ذکر منابع و مآخذ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شناسایی منابع و مآخذ روایی مفسّر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مستندات روایی در سرتاسر تفسیر ما را از ذکر مثال بی‌نیاز می‌سازد </w:t>
      </w:r>
      <w:r>
        <w:rPr>
          <w:rFonts w:eastAsia="IRNazanin" w:cs="IRNazanin"/>
          <w:color w:val="111111"/>
          <w:sz w:val="28"/>
          <w:szCs w:val="28"/>
          <w:rtl w:val="true"/>
          <w:lang w:bidi="fa-IR"/>
        </w:rPr>
        <w:t>.</w:t>
      </w:r>
    </w:p>
    <w:p>
      <w:pPr>
        <w:pStyle w:val="Heading5"/>
        <w:numPr>
          <w:ilvl w:val="4"/>
          <w:numId w:val="1"/>
        </w:numPr>
        <w:rPr/>
      </w:pPr>
      <w:bookmarkStart w:id="308" w:name="__RefHeading___Toc1438821_1479056682"/>
      <w:bookmarkStart w:id="309" w:name="_Toc119"/>
      <w:bookmarkEnd w:id="308"/>
      <w:r>
        <w:rPr/>
        <w:t>2</w:t>
      </w:r>
      <w:r>
        <w:rPr>
          <w:rtl w:val="true"/>
        </w:rPr>
        <w:t xml:space="preserve"> - </w:t>
      </w:r>
      <w:r>
        <w:rPr>
          <w:rtl w:val="true"/>
        </w:rPr>
        <w:t>تحلیل اصل امامت در قرآن</w:t>
      </w:r>
      <w:bookmarkEnd w:id="309"/>
    </w:p>
    <w:p>
      <w:pPr>
        <w:pStyle w:val="BookText"/>
        <w:rPr/>
      </w:pPr>
      <w:r>
        <w:rPr>
          <w:rFonts w:ascii="IRNazanin" w:hAnsi="IRNazanin" w:eastAsia="IRNazanin"/>
          <w:color w:val="111111"/>
          <w:sz w:val="28"/>
          <w:sz w:val="28"/>
          <w:szCs w:val="28"/>
          <w:rtl w:val="true"/>
          <w:lang w:bidi="fa-IR"/>
        </w:rPr>
        <w:t xml:space="preserve">مفسّر در ذیل آیه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مطالب ارزنده‌ای پیرامون امامت در قرآن بیان می‌کند که نکات مهم آن را در زیر باز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ذکر آیه مورد نظر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قَالَ وَمِن ذُرِّیَّتِی قَالَ لاَ یَنَالُ عَهْدِی الظَّالِمِینَ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ابتلا و آزمایش ابراهیم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ذیل این آیه به شرح بلاها و امتحانات الهی بر ابراهیم علیه‌السلام پرداخته‌اند؛ از جمله مواردی که در این خصوص بیان شده،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سخت، مصایب بزرگ مانند انداختن او در آتش، هجرت و دوری از سرزمین مأنوس خود همراه با همسر و کودک خردسال، ساختن کعبه در هوای گرم و بیابان دور افتاده بدون هیچ‌گونه ابزاری و با کمک فرزندش اسماعیل، ذبح فرزند؛ بنابر</w:t>
      </w:r>
    </w:p>
    <w:p>
      <w:pPr>
        <w:pStyle w:val="BookText"/>
        <w:rPr/>
      </w:pPr>
      <w:r>
        <w:rPr>
          <w:rFonts w:ascii="IRNazanin" w:hAnsi="IRNazanin" w:eastAsia="IRNazanin"/>
          <w:color w:val="111111"/>
          <w:sz w:val="28"/>
          <w:sz w:val="28"/>
          <w:szCs w:val="28"/>
          <w:rtl w:val="true"/>
          <w:lang w:bidi="fa-IR"/>
        </w:rPr>
        <w:t xml:space="preserve">روایتی از ابن عباس، او به سی خصلت آزموده شد، ده خصلت از آن در آیه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عبادت، حمد خدا،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جهاد و سیر و سفر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رکوع، سجود برای خدا، امر به معروف، نهی از منکر، حفظ حدود الهی، بشارت به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حلم و پناه بردن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خصلت دیگر که ابراهیم بر آنها شکیبایی ورزید</w:t>
      </w:r>
    </w:p>
    <w:p>
      <w:pPr>
        <w:pStyle w:val="BookText"/>
        <w:rPr/>
      </w:pPr>
      <w:r>
        <w:rPr>
          <w:rFonts w:ascii="IRNazanin" w:hAnsi="IRNazanin" w:eastAsia="IRNazanin"/>
          <w:color w:val="111111"/>
          <w:sz w:val="28"/>
          <w:sz w:val="28"/>
          <w:szCs w:val="28"/>
          <w:rtl w:val="true"/>
          <w:lang w:bidi="fa-IR"/>
        </w:rPr>
        <w:t xml:space="preserve">و آنها را در خود ایجاد کرد، 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بیان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تسلیم در برابر خدا، ایمان به خدا و هرآنچه که از جانب او فرستاده شد، رجا و امید به خدا، صدق در کلام و عمل، صبر، خشوع در برابر حق، تصدّق و بخشش اموال، روزه، خویشتن‌داری، حفظ حدود الهی، ذکر و یاد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 خصلت دیگر در آیه اوّل تا نُهم سوره مؤمنون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خشوع در نماز، اعراض از لغو، پرداخت زکات، خویشتن‌داری جنسی، امانتداری، وفای به عهد و پیمان، محافظت از نمازها، حفظ حدود الهی، رعایت حقّ همسر یا همسران دایمی و غیر دایمی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شمارش توسط ابن عباس صورت گرفته است و انتساب آن به حضرت ابراهیم علیه‌السلاماز ایمان و اسلام کامل ابراهیم علیه‌السلام و تحمّل سختی‌ها در حفظ عقاید پاک و آسمانی حکایت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داوری مفسّر و نظر او در این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خصوص، برخلاف آنچه از ابن عباس یا دیگران نقل شد، رأی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 که ابتلا و آزمایشی که ابراهیم علیه‌السلام با آن مواجه شد، تکلیف او در شناخت ذوات مقدّسه ائمّه علیهم‌السلام و تصدیق فضل و شرافت اسمای مبارک آنان بر دیگر اسامی و مخلوقات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ذات و کیفیت و ماهیت اسما در نظر و قلب ابراهیم علیه‌السلام جلوه کرد و در او تمثّل یافت، با شناخت آخرین اسم که قائم آنان باشد، شناخت او از ذوات مقدّسه و ائمّه دوازده‌گانه علیهم‌السلام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قلب و درون او مخزنی از علوم الهی و شناخت حقیقت ربوبی الهی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دریای بیکران انوار رحمت الهی راه یافت و وقتی که به</w:t>
      </w:r>
    </w:p>
    <w:p>
      <w:pPr>
        <w:pStyle w:val="BookText"/>
        <w:rPr/>
      </w:pPr>
      <w:r>
        <w:rPr>
          <w:rFonts w:ascii="IRNazanin" w:hAnsi="IRNazanin" w:eastAsia="IRNazanin"/>
          <w:color w:val="111111"/>
          <w:sz w:val="28"/>
          <w:sz w:val="28"/>
          <w:szCs w:val="28"/>
          <w:rtl w:val="true"/>
          <w:lang w:bidi="fa-IR"/>
        </w:rPr>
        <w:t>این حال و مقام رسید، خداوند او را به بالاترین حدّ کرامت و بزرگواری نایل گردانید و با انتصاب او به مقام امامت، شرافت دیگری به او عنایت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دیدگاه صاحب نفحات الرّحمن، مراد از ابتلای ابراهیم علیه‌السلام ، شناخت حقیقت</w:t>
      </w:r>
    </w:p>
    <w:p>
      <w:pPr>
        <w:pStyle w:val="BookText"/>
        <w:rPr/>
      </w:pPr>
      <w:r>
        <w:rPr>
          <w:rFonts w:ascii="IRNazanin" w:hAnsi="IRNazanin" w:eastAsia="IRNazanin"/>
          <w:color w:val="111111"/>
          <w:sz w:val="28"/>
          <w:sz w:val="28"/>
          <w:szCs w:val="28"/>
          <w:rtl w:val="true"/>
          <w:lang w:bidi="fa-IR"/>
        </w:rPr>
        <w:t>و باطن امامت ائمّه دوازده‌گانه علیهم‌السلام و تصدیق مقام آسمانی آن انوار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اثبات این مدّعای خویش، هیج دلیل عقلی و نقلی ذکر نمی‌کند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نصب امامت امری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وصول ابراهیم به مقام امامت، تعالیم حنفیت به او ابلاغ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 نقل روایتی از علیّ بن ابراهیم اعتقاد دارد که مقام حنفیت با ابلاغ ده فرمان بهداشتی توسط ابراهیم در بین پیروان خود،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تعالیم که ابتدایی‌ترین گامهای دین آسمانی در جهت تهذیب و بهداشت جامعه بود، از آن روزگار تا کنون، قوّت و اصالت و ماهیت خود را حفظ کرد و عموم مسلمانان آن را پذیرفته و عمل</w:t>
      </w:r>
    </w:p>
    <w:p>
      <w:pPr>
        <w:pStyle w:val="BookText"/>
        <w:rPr/>
      </w:pP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آن گاه می‌افزاید که این آیه، محکم‌ترین دلیل در اثبات اصل امامت و ولایت عمومی و مطاع و مطلقه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مقام بزرگی که برای امام هست، جز نصب الهی راه دیگری برای تعیین امام قابل تصوّر نیست و مردم و پیروان امام در انتصاب امام نقشی</w:t>
      </w:r>
    </w:p>
    <w:p>
      <w:pPr>
        <w:pStyle w:val="BookText"/>
        <w:rPr/>
      </w:pPr>
      <w:r>
        <w:rPr>
          <w:rFonts w:ascii="IRNazanin" w:hAnsi="IRNazanin" w:eastAsia="IRNazanin"/>
          <w:color w:val="111111"/>
          <w:sz w:val="28"/>
          <w:sz w:val="28"/>
          <w:szCs w:val="28"/>
          <w:rtl w:val="true"/>
          <w:lang w:bidi="fa-IR"/>
        </w:rPr>
        <w:t>ندارند؛ دلیل این مدّعا، تصریح موجود در آیه است که در آن، خداوند، از مقام امامت با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گونه شد، دیگر جاعلی جز خدا نمی‌توان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 بر انتصابی بودن امام، پرسش و پاسخی است که بین ابراهیم علیه‌السلام و خداوند مطرح شد؛ ابراهیم علیه‌السلام از خداوند خویش می‌خواهد تا این امر را در نسل او نیز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که اگر مردم در تعیین امام نقشی داشتند، ابراهیم آن را از خداوند نمی‌خواست و مقام انتصاب امام را به او نسبت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ینال عهدی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امام را از حقوق خود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آیه بر لزوم عصمت امام از تمام گناهان و خطاها دلالت آشکار دارد و لزوم این مطلب از دو جنبه قابل 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لفظ امام بر هر کسی که اطلاق شود، بدان معناست که تمام مردم و شهروندان می‌بایست او را نقطه اتّکای خود قرار دهند و به سخنان و کردار او تکیه نمایند و به تمام</w:t>
      </w:r>
    </w:p>
    <w:p>
      <w:pPr>
        <w:pStyle w:val="BookText"/>
        <w:rPr/>
      </w:pPr>
      <w:r>
        <w:rPr>
          <w:rFonts w:ascii="IRNazanin" w:hAnsi="IRNazanin" w:eastAsia="IRNazanin"/>
          <w:color w:val="111111"/>
          <w:sz w:val="28"/>
          <w:sz w:val="28"/>
          <w:szCs w:val="28"/>
          <w:rtl w:val="true"/>
          <w:lang w:bidi="fa-IR"/>
        </w:rPr>
        <w:t>فرمانها و اشارات و تقریرات وی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فردی با این اعتماد و اتّکای عمومی که جامعه نسبت به او دارد، نمی‌تواند خطاکار و اهل لغزش باشد زیرا مردم با مشاهده اندک لغزش و جُرمی از امام،</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تبعیت از وی را برمی‌دارند و دیگر اطاعتش را به طور مطلق بر خود فرض نخواهند دانست، زیرا موجب اجتماع امر و نهی در شخص واحد می‌شود و بطلان این مسأله نیز کاملاً روشن است؛ چرا که خداوند حکیم، مردم را به فرمانبری از فردی که از خطا و لغزش مصونیت ندارد، امر نمی‌کند و چنین کاری از حکمت او به دور است؛ لذا فرض اطاعت از امام در اقوال و اعمال صالح او و نهی از اطاعت و تخلّف از فرمان او در مواردی که مرتکب خطا می‌شود، با اصل ولایت مطلقه تامّه عمومی سازگاری ندارد،</w:t>
      </w:r>
    </w:p>
    <w:p>
      <w:pPr>
        <w:pStyle w:val="BookText"/>
        <w:rPr/>
      </w:pPr>
      <w:r>
        <w:rPr>
          <w:rFonts w:ascii="IRNazanin" w:hAnsi="IRNazanin" w:eastAsia="IRNazanin"/>
          <w:color w:val="111111"/>
          <w:sz w:val="28"/>
          <w:sz w:val="28"/>
          <w:szCs w:val="28"/>
          <w:rtl w:val="true"/>
          <w:lang w:bidi="fa-IR"/>
        </w:rPr>
        <w:t>پس ناچار باید پذیرفت که امام با این اوصاف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که هرکس مرتکب معصیتی و لو اندک شده باشد، اطلاق عنوان ظالم و عاصی بر او جایز است و شرط اساسی نیل به امامت را از دست خواهد داد و شایستگی امامت و رهبری جامعه را هرگز نخواهد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این گفتار، مفسّر اعتقاد دارد، عصمت امام صرفا شامل مصونیت او از گناهان و خطاهای عمدی نیست، بلکه وی از هرگونه خطا و سهو و نسیان نیز ایمن و مبرّا می‌باشد، زیرا امام، لازم است پیوس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 بر احکام و دستورهای الهی آگاه باشد تا هرگز برخلاف احکام و رضایت شارع مقدّس حکمی صادر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لازم است امام از مصالح و منافع جامعه و حقوق انسانی کاملاً آگاهی داشته باشد و بداند چه امری به نفع و صلاح آنان است و چه امری موجب فساد و تضعیف حقوق عمومی جامعه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امام از مصالح و مفاسد عمومی جامعه، وی را از دعوت مردم به مفاسد یا نهی آنان از وظایف و نیکی‌ها ایمن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امام، داناتر و ژرف‌اندیش‌تر از هرکس دیگر باشد؛ زیرا در غیر این صورت، ادّعای امامت عمومی بی‌معنا خواهد بود؛ توضیح آن که اگر در جامعه، افرادی یافت شوند که علم آنان از امام برتر باشد، لازم خواهد آمد آنان بر امام، امامت کنند؛ زیرا یکی از شروط امام، علم اوست که باید از علم دیگران برتر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وجود افراد اعلم از امام در جامعه، امامت امام را از عمومیت و مطلق بودن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اعلمیت امام</w:t>
      </w:r>
    </w:p>
    <w:p>
      <w:pPr>
        <w:pStyle w:val="BookText"/>
        <w:rPr/>
      </w:pPr>
      <w:r>
        <w:rPr>
          <w:rFonts w:ascii="IRNazanin" w:hAnsi="IRNazanin" w:eastAsia="IRNazanin"/>
          <w:color w:val="111111"/>
          <w:sz w:val="28"/>
          <w:sz w:val="28"/>
          <w:szCs w:val="28"/>
          <w:rtl w:val="true"/>
          <w:lang w:bidi="fa-IR"/>
        </w:rPr>
        <w:t>در تمام حقوق فردی و اجتماعی و احکام و تعالیم دینی و شناخت مصالح و مفاسد</w:t>
      </w:r>
    </w:p>
    <w:p>
      <w:pPr>
        <w:pStyle w:val="BookText"/>
        <w:rPr/>
      </w:pPr>
      <w:r>
        <w:rPr>
          <w:rFonts w:ascii="IRNazanin" w:hAnsi="IRNazanin" w:eastAsia="IRNazanin"/>
          <w:color w:val="111111"/>
          <w:sz w:val="28"/>
          <w:sz w:val="28"/>
          <w:szCs w:val="28"/>
          <w:rtl w:val="true"/>
          <w:lang w:bidi="fa-IR"/>
        </w:rPr>
        <w:t>عمومی و فردی جامعه، امری ضرور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داشتن چنین اوصاف و ویژگی‌هایی از ولایت مطلق و عمومی برخوردار است و بر مردم واجب است که از او اطاعت کنند و حقوقش را پاس بدارند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حیات پیامبر بزرگ اسلام صلی‌الله‌علیه‌و‌آله اجتماع چنین اوصافی در فرد واحد، جز در علیّ بن ابی طالب علیه‌السلام و یازده فرزند معصوم او 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اهده نشد و هیچ متکلّم و مفسّری، وجود این اوصاف را جز برای خاندان اهل بیت علیهم‌السلام اثبات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بنابر ضرورت و قطعیت و نیز اجماع عموم علمای امامیّه، غیر ائمّه، فاقد این اوصاف بودند، لذا باید اعتراف کرد</w:t>
      </w:r>
    </w:p>
    <w:p>
      <w:pPr>
        <w:pStyle w:val="BookText"/>
        <w:rPr/>
      </w:pPr>
      <w:r>
        <w:rPr>
          <w:rFonts w:ascii="IRNazanin" w:hAnsi="IRNazanin" w:eastAsia="IRNazanin"/>
          <w:color w:val="111111"/>
          <w:sz w:val="28"/>
          <w:sz w:val="28"/>
          <w:szCs w:val="28"/>
          <w:rtl w:val="true"/>
          <w:lang w:bidi="fa-IR"/>
        </w:rPr>
        <w:t>که امامت، حقّ آنان است و دیگران صلاحیت کسب مقام امامت و ولایت را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فایده 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 در ذیل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ابْتَلَی إِبْرَاهِیمَ رَبُّهُ بِکَلِمَاتٍ</w:t>
      </w:r>
      <w:r>
        <w:rPr>
          <w:rFonts w:eastAsia="Amiri" w:cs="Amiri" w:ascii="Amiri" w:hAnsi="Amiri"/>
          <w:color w:val="111111"/>
          <w:sz w:val="28"/>
          <w:szCs w:val="28"/>
          <w:rtl w:val="true"/>
          <w:lang w:bidi="ar-SA"/>
        </w:rPr>
        <w:t>... »</w:t>
      </w:r>
      <w:r>
        <w:rPr>
          <w:rStyle w:val="FootnoteAnchor"/>
          <w:rtl w:val="true"/>
        </w:rPr>
        <w:footnoteReference w:id="285"/>
      </w:r>
      <w:r>
        <w:rPr>
          <w:rFonts w:ascii="IRNazanin" w:hAnsi="IRNazanin" w:eastAsia="IRNazanin"/>
          <w:color w:val="111111"/>
          <w:sz w:val="28"/>
          <w:sz w:val="28"/>
          <w:szCs w:val="28"/>
          <w:rtl w:val="true"/>
          <w:lang w:bidi="fa-IR"/>
        </w:rPr>
        <w:t xml:space="preserve">،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بنابر اتفاق و اجماع نظر علمای امامیّه، ظاهر آیه کریمه</w:t>
      </w:r>
    </w:p>
    <w:p>
      <w:pPr>
        <w:pStyle w:val="BookText"/>
        <w:rPr/>
      </w:pPr>
      <w:r>
        <w:rPr>
          <w:rFonts w:ascii="IRNazanin" w:hAnsi="IRNazanin" w:eastAsia="IRNazanin"/>
          <w:color w:val="111111"/>
          <w:sz w:val="28"/>
          <w:sz w:val="28"/>
          <w:szCs w:val="28"/>
          <w:rtl w:val="true"/>
          <w:lang w:bidi="fa-IR"/>
        </w:rPr>
        <w:t>فوق بر عدم صلاحیت خلیفه اوّل و دوم در تصدّی مقام امامت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قبل از اسلام آوردن در شرک به سر می‌بردند و شرک نیز بنابه فرموده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الشِّرک لَظلمٌ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مظاهر و مصادیق آشکار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اساس این آیه، آن دو هیچ‌گونه صلاحیتی برای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اشکال شود که شرک آنان قبل از رسیدن به مقام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زمان پذیرش خلافت جامعه، مؤمن بودند، پاسخ این است که فرد ظالم نیز در هر زمانی که ظلم کرده باشد، برای همیشه صلاحیت درک امامت و تلقّی مسؤولیت ولایت و اِعمال آن را بر جامعه از دست خواهد داد و عنوان ظالم و ظلم بر خلیفه در هر زمانی که بوده باشد، او را از صلاحیّت اعطای مقام امامت محروم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قوانین استخدام کشوری نیز هرکس که دارای سوءپیشینه باشد، نمی‌تواند به استخدام دوایر دولتی درآید، در واقع سوءپیشینه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فرد در پذیرش مسؤولیت دولتی است و به طریق اولی، مانع پذیرش مسؤولیتهای سنگین‌تر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مثال پیشین و تحلیل آن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سارق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مدار صدق عنوان سارق نیست، به گونه‌ای که با باقی‌ماندن بر سرقت، عنوان، باقی مانَد و با از بین رفتن آن، حکم نیز ساقط گردد؛ زیرا سرقت، علّت محدثه حکم سارق است، نَه علّت مُبقیه آن، و لذا اگر بر فرد سارق پس از سرقت شرعا حکم سارق اطلاق گردد، حکم بر او جاری می‌شود، اگرچه بین عمل سرقت و اجرای حکم فاصله افتاده باشد و در زمان اجرای حکم مرتکب سرقت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با این استدلال که او در حال حاضر، سارق نیست و سرقت عنوان گذشته او بوده است، اجرای</w:t>
      </w:r>
    </w:p>
    <w:p>
      <w:pPr>
        <w:pStyle w:val="BookText"/>
        <w:rPr/>
      </w:pPr>
      <w:r>
        <w:rPr>
          <w:rFonts w:ascii="IRNazanin" w:hAnsi="IRNazanin" w:eastAsia="IRNazanin"/>
          <w:color w:val="111111"/>
          <w:sz w:val="28"/>
          <w:sz w:val="28"/>
          <w:szCs w:val="28"/>
          <w:rtl w:val="true"/>
          <w:lang w:bidi="fa-IR"/>
        </w:rPr>
        <w:t>حکم را منتفی و او را تبرئه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امامت و خلافتِ آن دو نفر نیز همین حکم و</w:t>
      </w:r>
    </w:p>
    <w:p>
      <w:pPr>
        <w:pStyle w:val="BookText"/>
        <w:rPr/>
      </w:pPr>
      <w:r>
        <w:rPr>
          <w:rFonts w:ascii="IRNazanin" w:hAnsi="IRNazanin" w:eastAsia="IRNazanin"/>
          <w:color w:val="111111"/>
          <w:sz w:val="28"/>
          <w:sz w:val="28"/>
          <w:szCs w:val="28"/>
          <w:rtl w:val="true"/>
          <w:lang w:bidi="fa-IR"/>
        </w:rPr>
        <w:t>قیاس باقی است و حکم شرک آنان قبل از امامت یا خلافت، باقی می‌ماند؛ لذا عهد خداوند در هر زمانی به آن دو و افراد نظیر آن، به دلیل ظالم بودن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w:t>
      </w:r>
    </w:p>
    <w:p>
      <w:pPr>
        <w:pStyle w:val="BookText"/>
        <w:rPr/>
      </w:pPr>
      <w:r>
        <w:rPr>
          <w:rFonts w:ascii="IRNazanin" w:hAnsi="IRNazanin" w:eastAsia="IRNazanin"/>
          <w:color w:val="111111"/>
          <w:sz w:val="28"/>
          <w:sz w:val="28"/>
          <w:szCs w:val="28"/>
          <w:rtl w:val="true"/>
          <w:lang w:bidi="fa-IR"/>
        </w:rPr>
        <w:t>از این تحلیل اصولی، عقل آدمی نمی‌تواند بین نفوسی که حتّی متّهم به خباثت و دنائت است، با مقام شامخ و آسمانی امامت، حالت جمع برقرار کند و بین آن دو مقام، نسبتی قایل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دیگر آن که، فردی که در پنهان مرتکب عمل خلاف می‌گردد، در واقع و نفس‌الامر، ظالم است؛ اگرچه هیچ کس از گناه، خطا، شرک، و لغزش او خبر نداشته باشد و در چنین حالی، اگر طهارت باطنی فرد آشکار و قطعی نباشد، عنوان امام هرگز بر او جایز نیست؛ لذا لازم است که امام، فردی شناخته شده و دارای طهارت باطنی و دوری از هرگونه ظلم باشد و این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طرق عادی قابل شناسایی نیست و لازم است از روشی غیر عادی بدان دست یافت و آن تنصیص از جانب خداوند است که آگاه به احوال و امور باطنی جهان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 آن گاه اضافه می‌کند </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عدم صدور ظلم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خلیفه اوّل</w:t>
      </w:r>
    </w:p>
    <w:p>
      <w:pPr>
        <w:pStyle w:val="BookText"/>
        <w:rPr/>
      </w:pPr>
      <w:r>
        <w:rPr>
          <w:rFonts w:ascii="IRNazanin" w:hAnsi="IRNazanin" w:eastAsia="IRNazanin"/>
          <w:color w:val="111111"/>
          <w:sz w:val="28"/>
          <w:sz w:val="28"/>
          <w:szCs w:val="28"/>
          <w:rtl w:val="true"/>
          <w:lang w:bidi="fa-IR"/>
        </w:rPr>
        <w:t>و دوم چه نوع ظاهر و آشکار آن و چه نوع باطن و پنهان آن کاملاً قطعی و مطمئن نیست، بنابر اجماع عموم مسلمانان، اطلاق معصوم بر آنان صحیح نیست و انتصاب آن دو به مقام امامت، امری بی‌اساس است و هرگز در مورد آن دو تحقّق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نهاوندی، اثبات عدم ظلم در مورد نامزد امامت و خلافت، یک اصل است و اصل برائت و اصل الصحّه اگرچه در امور اجتماعی و اموال شخصی و در جوامع اسلامی صادق و جاری و معیار حکم است، در مورد صلاحیت افراد برای امامت و خلافت، کارساز نیست بلکه علاوه بر برائت و صحّت، عدم صدور ظلم از ناحیه نامزد امر خلافت و امامت نیز می‌بایست اثبات شود؛ و این همان رازی است که از درون افراد جز خداوند</w:t>
      </w:r>
      <w:bookmarkStart w:id="310" w:name="pg4391_51057"/>
    </w:p>
    <w:p>
      <w:pPr>
        <w:pStyle w:val="BookText"/>
        <w:rPr/>
      </w:pPr>
      <w:bookmarkEnd w:id="310"/>
      <w:r>
        <w:rPr>
          <w:rFonts w:ascii="IRNazanin" w:hAnsi="IRNazanin" w:eastAsia="IRNazanin"/>
          <w:color w:val="111111"/>
          <w:sz w:val="28"/>
          <w:sz w:val="28"/>
          <w:szCs w:val="28"/>
          <w:rtl w:val="true"/>
          <w:lang w:bidi="fa-IR"/>
        </w:rPr>
        <w:t>اطلاع ندارد و لذا نیاز به تنصیص الهی است</w:t>
      </w:r>
      <w:r>
        <w:rPr>
          <w:rFonts w:eastAsia="IRNazanin" w:cs="IRNazanin"/>
          <w:color w:val="111111"/>
          <w:sz w:val="28"/>
          <w:szCs w:val="28"/>
          <w:rtl w:val="true"/>
          <w:lang w:bidi="fa-IR"/>
        </w:rPr>
        <w:t>.</w:t>
      </w:r>
    </w:p>
    <w:p>
      <w:pPr>
        <w:pStyle w:val="Heading5"/>
        <w:numPr>
          <w:ilvl w:val="4"/>
          <w:numId w:val="1"/>
        </w:numPr>
        <w:rPr/>
      </w:pPr>
      <w:bookmarkStart w:id="311" w:name="__RefHeading___Toc1438823_1479056682"/>
      <w:bookmarkStart w:id="312" w:name="_Toc120"/>
      <w:bookmarkEnd w:id="311"/>
      <w:r>
        <w:rPr/>
        <w:t>3</w:t>
      </w:r>
      <w:r>
        <w:rPr>
          <w:rtl w:val="true"/>
        </w:rPr>
        <w:t xml:space="preserve"> - </w:t>
      </w:r>
      <w:r>
        <w:rPr>
          <w:rtl w:val="true"/>
        </w:rPr>
        <w:t>تجلیل از اهل بیت رسول اللّه و معرّفی شأن و عظمت آنان</w:t>
      </w:r>
      <w:bookmarkEnd w:id="3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 در ذیل آیه ولایت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وَلِیُّکُمُ اللّه‌ُ وَرَسُولُهُ وَا لَّذِینَ آمَنُوا ا لَّذِینَ یُقِیمُونَ الصَّلاَةَ</w:t>
      </w:r>
    </w:p>
    <w:p>
      <w:pPr>
        <w:pStyle w:val="BookText"/>
        <w:rPr/>
      </w:pPr>
      <w:r>
        <w:rPr>
          <w:rFonts w:ascii="Amiri" w:hAnsi="Amiri" w:eastAsia="Amiri" w:cs="Amiri"/>
          <w:color w:val="111111"/>
          <w:sz w:val="28"/>
          <w:sz w:val="28"/>
          <w:szCs w:val="28"/>
          <w:rtl w:val="true"/>
          <w:lang w:bidi="ar-SA"/>
        </w:rPr>
        <w:t xml:space="preserve">وَیُؤْتُونَ الزَّکَاةَ وَهُمْ رَاکِعُونَ </w:t>
      </w:r>
      <w:r>
        <w:rPr>
          <w:rFonts w:eastAsia="Amiri" w:cs="Amiri" w:ascii="Amiri" w:hAnsi="Amiri"/>
          <w:color w:val="111111"/>
          <w:sz w:val="28"/>
          <w:szCs w:val="28"/>
          <w:rtl w:val="true"/>
          <w:lang w:bidi="ar-SA"/>
        </w:rPr>
        <w:t>»</w:t>
      </w:r>
      <w:r>
        <w:rPr>
          <w:rStyle w:val="FootnoteAnchor"/>
          <w:rtl w:val="true"/>
        </w:rPr>
        <w:footnoteReference w:id="287"/>
      </w:r>
      <w:r>
        <w:rPr>
          <w:rFonts w:ascii="IRNazanin" w:hAnsi="IRNazanin" w:eastAsia="IRNazanin"/>
          <w:color w:val="111111"/>
          <w:sz w:val="28"/>
          <w:sz w:val="28"/>
          <w:szCs w:val="28"/>
          <w:rtl w:val="true"/>
          <w:lang w:bidi="fa-IR"/>
        </w:rPr>
        <w:t>نکاتی به شرح زیر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عبارت از حافظ مصالح، مدبّر امور، مربّی نفوس و هدایت‌کننده به خیرات می‌داند، البتّه اگرچه اشاره‌ای به مفهوم ولایت و زمامداری و رهبری سیاسی و اجتماعی نمی‌کند، امّا نتایج و اهداف ولی و ولایت صحیح را که همان حفظ مصالح اجتماعی و دینی مردم و تدبیر امور اجتماعی آنان و تربیت و هدایت جامعه به نیکی‌ها و فضایل، است، به عنوان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می‌شمارد، هرچند زیباتر آن بود که در این تعریف، شؤون اجتماعی و سیاسی ولی و زمامداری او را به صراحت بیان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بیان شأن نزول آیه فوق به نقل از امام صادق علیه‌السلام اشاره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الّذین یقیمون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 علیّ بن ابی طالب و فرزندان معصوم اوست و می‌گوید که خداوند در این آیه پاره‌ای از اوصاف اهل بیت و امامان او را که تا روز قیامت حقّ امامت و ولایت خواهند داشت،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حادثه‌ای که اتفاق افتاد و نزول این آیه را به دنبال داشت آن بود که امیر المؤمنان علی علیه‌السلام در نماز ظهر در حالی که در رکعت دوم و هنگام رکوع بود، فرد نیازمندی بر او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توجّه به حالت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ولیّ اللّه وأولی بالمؤمنین من أنفسهم، تصدّق علی 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حضرت</w:t>
      </w:r>
    </w:p>
    <w:p>
      <w:pPr>
        <w:pStyle w:val="BookText"/>
        <w:rPr/>
      </w:pPr>
      <w:r>
        <w:rPr>
          <w:rFonts w:ascii="IRNazanin" w:hAnsi="IRNazanin" w:eastAsia="IRNazanin"/>
          <w:color w:val="111111"/>
          <w:sz w:val="28"/>
          <w:sz w:val="28"/>
          <w:szCs w:val="28"/>
          <w:rtl w:val="true"/>
          <w:lang w:bidi="fa-IR"/>
        </w:rPr>
        <w:t>بالاپوشی را که برتن داشت و پیامبر اکرم صلی‌الله‌علیه‌و‌آله از محلّ هدایای نجاشی به او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و اینک هنگام نماز بر دوش خود انداخته بود، از تن برگرفت و به سائل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این آیه در وصف عمل خیر اندیشانه علیّ بن ابی طالب علیه‌السلام فرستاده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 به نکته زیبایی اشاره می‌کند که در متون تفسیری و حدیثی کمتر کسی به آن</w:t>
      </w:r>
    </w:p>
    <w:p>
      <w:pPr>
        <w:pStyle w:val="BookText"/>
        <w:rPr/>
      </w:pPr>
      <w:r>
        <w:rPr>
          <w:rFonts w:ascii="IRNazanin" w:hAnsi="IRNazanin" w:eastAsia="IRNazanin"/>
          <w:color w:val="111111"/>
          <w:sz w:val="28"/>
          <w:sz w:val="28"/>
          <w:szCs w:val="28"/>
          <w:rtl w:val="true"/>
          <w:lang w:bidi="fa-IR"/>
        </w:rPr>
        <w:t>اشاره کرده است و آن این که به نقل از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به منطور درخواست کمک به مسجد و بر علی علیه‌السلام وارد شد، فردی عادی و یا از فقرای شهر نبود بلکه فرشته‌ای بود که در قالب انسان ظاهر گشت تا چنین حادثه و واقعه مبارکی را ایجاد</w:t>
      </w:r>
    </w:p>
    <w:p>
      <w:pPr>
        <w:pStyle w:val="BookText"/>
        <w:rPr/>
      </w:pPr>
      <w:r>
        <w:rPr>
          <w:rFonts w:ascii="IRNazanin" w:hAnsi="IRNazanin" w:eastAsia="IRNazanin"/>
          <w:color w:val="111111"/>
          <w:sz w:val="28"/>
          <w:sz w:val="28"/>
          <w:szCs w:val="28"/>
          <w:rtl w:val="true"/>
          <w:lang w:bidi="fa-IR"/>
        </w:rPr>
        <w:t>کند و سبب نزول آیه موردنظر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صحّت این تعبیر که مأخوذ از روایتی منسوب به امام صادق علیه‌السلام است، قطعی باشد، حکایت از نوعی آزمایش الهی از پارساترین اصحاب پیامبر صلی‌الله‌علیه‌و‌آله که خود از ولات امر بود، دارد و می‌توان این آزمایش را از نوع آزمایشهای خداوند بر ابراهیم علیه‌السلام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واسطه عمل انسانی او شهرت جهانی پیدا کند و حقیقتی دیگر از تعالیم اسلام که می‌شود خدمات اجتماعی و دیگرخواهانه را در راستای عبادات الهی قرار داد، مکشوف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جمله سلامیه سائل به حضرت، عبارتی نیست که سائل عادی و امام‌نشناس و بیگانه با هیأت و حالات نماز بر زبان و قلب، انشا کرده باشد، 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امام، شناخت و بصیرت خاصّی را می‌طلبید،</w:t>
      </w:r>
    </w:p>
    <w:p>
      <w:pPr>
        <w:pStyle w:val="BookText"/>
        <w:rPr/>
      </w:pPr>
      <w:r>
        <w:rPr>
          <w:rFonts w:ascii="IRNazanin" w:hAnsi="IRNazanin" w:eastAsia="IRNazanin"/>
          <w:color w:val="111111"/>
          <w:sz w:val="28"/>
          <w:sz w:val="28"/>
          <w:szCs w:val="28"/>
          <w:rtl w:val="true"/>
          <w:lang w:bidi="fa-IR"/>
        </w:rPr>
        <w:t>بنابراین، سه احتمال در شخص سائل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فردی عادی از اعراب کوفه بوده است و با هیأت نماز و این که نمی‌توان از نمازگزار در حالت نماز چیزی درخواست، آش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نایی نداشت، لذا بدون مقدمه انتظار، درخواست خود را مطرح می‌کند، امّا انشای چنین سلام و تهنیتی از او به دور است، و رسم افراد عادی این گونه نبود که چنین وصفی بر زبان جاری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یکی از امام‌شناسان بصیر و از اصحاب امام بوده که توانسته است چنین وصفی از امام انشاء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گفت چگونه ممکن است چنین فردی حالت نماز را درک نکند و قبل از اتمام نماز، خواسته خود را مطرح سازد؟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فرشته‌ای بوده که با علم به شأن و مقام امام و نیز هیأت نماز، درخواست خود را عمدا در هنگام رکوع مطرح ساخته تا توجه مؤمنان و بلکه انسان را به جمع بین مصالح عباد و رضایت خداوند آن هم در یکی از بهترین حالات نماز، یعنی رکوع دعوت نماید و از علیّ بن ابی طالب علیه‌السلاماسطوره‌ای مقدّس برای تاریخ بشر بسازد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تفسیر امام فخر رازی چند سبب نزول بیان شده از جمله این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عطا از ابن عباس نقل کرده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ولیُّکُم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علیّ بن ابی طالب علیه‌السلام فرو فرستاده شد و نیز گزارش کرده که عبداللّه بن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آیه فوق نازل شد،</w:t>
      </w:r>
    </w:p>
    <w:p>
      <w:pPr>
        <w:pStyle w:val="BookText"/>
        <w:rPr/>
      </w:pPr>
      <w:r>
        <w:rPr>
          <w:rFonts w:ascii="IRNazanin" w:hAnsi="IRNazanin" w:eastAsia="IRNazanin"/>
          <w:color w:val="111111"/>
          <w:sz w:val="28"/>
          <w:sz w:val="28"/>
          <w:szCs w:val="28"/>
          <w:rtl w:val="true"/>
          <w:lang w:bidi="fa-IR"/>
        </w:rPr>
        <w:t>خدمت پیامبر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دیدم که در حال رکوع، حلقه انگشتری خود را به فرد فقیری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بیانی که در این آیه وجود دارد، ما ولایت علی علیه‌السلام را 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نقل روایتی دیگر از ابوذر می‌پردازد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پیامبر صلی‌الله‌علیه‌و‌آله نماز ظهر را اقامه کردیم، سائلی در مسجد کمک خواست، کسی چیزی به او نپرداخت، سائل دست خود را به سوی آسمان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 شاهد باش که در مسجد پیامبرت درخواست کمک کردم، کسی چیزی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 علیه‌السلام در حال رکوع بود، به فرد فقیر اشاره کرد و دست راست خود را که انگشتری در او بود به او نشان داد، مرد فقیر جلو آمد و در جلو دیدگان پیامبر، انگشتری</w:t>
      </w:r>
    </w:p>
    <w:p>
      <w:pPr>
        <w:pStyle w:val="BookText"/>
        <w:rPr/>
      </w:pPr>
      <w:r>
        <w:rPr>
          <w:rFonts w:ascii="IRNazanin" w:hAnsi="IRNazanin" w:eastAsia="IRNazanin"/>
          <w:color w:val="111111"/>
          <w:sz w:val="28"/>
          <w:sz w:val="28"/>
          <w:szCs w:val="28"/>
          <w:rtl w:val="true"/>
          <w:lang w:bidi="fa-IR"/>
        </w:rPr>
        <w:t>از علی علیه‌السلامبستاند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 این ماجرا، پیامبر اکرم صلی‌الله‌علیه‌و‌آله با خداوند راز و نیازی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خدایا، برادرم موسی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 پاسخ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سَنَشُدُّ عَضُدَکَ</w:t>
      </w:r>
    </w:p>
    <w:p>
      <w:pPr>
        <w:pStyle w:val="BookText"/>
        <w:rPr/>
      </w:pPr>
      <w:r>
        <w:rPr>
          <w:rFonts w:ascii="IRNazanin" w:hAnsi="IRNazanin" w:eastAsia="IRNazanin"/>
          <w:color w:val="111111"/>
          <w:sz w:val="28"/>
          <w:sz w:val="28"/>
          <w:szCs w:val="28"/>
          <w:rtl w:val="true"/>
          <w:lang w:bidi="fa-IR"/>
        </w:rPr>
        <w:t xml:space="preserve">بأخیکَ وَنَجْعَل لَکُما سلطانا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بار پروردگارا، اکنون من محمّد فرستاده و برگزیده تو، درخواستی دارم، سینه‌ام را بگشای، امرم را بر من آسان گردان و علی را که از اهل و خاندان من است، وزیرم قرار ده و عاقبت کارم را به واسطه آن نیکو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قدرتم را بیفزا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ابوذر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این راز و نیاز بودیم، هنوز سخن پیامبر صلی‌الله‌علیه‌و‌آلهپایان نیافته بود که جبرئیل بر او نازل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ولیُّکم اللّه ورسولُه والّذینَ آمَنوا</w:t>
      </w:r>
      <w:r>
        <w:rPr>
          <w:rFonts w:eastAsia="IRNazanin" w:cs="IRNazanin"/>
          <w:color w:val="111111"/>
          <w:sz w:val="28"/>
          <w:szCs w:val="28"/>
          <w:rtl w:val="true"/>
          <w:lang w:bidi="fa-IR"/>
        </w:rPr>
        <w:t>... »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فخر رازی پس از پذیرش سبب نزول فوق و ذکر عقیده شیعیان در اثبات امامت بلا فصل علی علیه‌السلاممی‌کوشد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معنای اصلی و معهود آن خارج سازد و بگوید معنای ولی در آیه، مُحبّ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یا یاری‌رسان است و از پذیرش مفهوم تصرّف و زمامداری عمومی جامعه به نیابت از پیامبر صلی‌الله‌علیه‌و‌آله سر 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 xml:space="preserve">سرانجام در رأی خویش استواری نشان نمی‌دهد و با تکیه بر حرف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شمول معنوی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می‌سازد و می‌پذیرد که ولی در آیه به معنای متصرف در امور است و این حقّ انحصاری خداوند می‌باشد و در واقع آیه را بدین شکل تأویل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المتصرّف فیکم أ یُّها المؤمنون هو اللّه ورسوله والمؤمنون الموصوفون بصفة الفلانیة</w:t>
      </w:r>
      <w:r>
        <w:rPr>
          <w:rFonts w:eastAsia="IRNazanin" w:cs="IRNazanin"/>
          <w:color w:val="111111"/>
          <w:sz w:val="28"/>
          <w:szCs w:val="28"/>
          <w:rtl w:val="true"/>
          <w:lang w:bidi="fa-IR"/>
        </w:rPr>
        <w:t xml:space="preserve">... » </w:t>
      </w:r>
      <w:r>
        <w:rPr>
          <w:rStyle w:val="FootnoteAnchor"/>
          <w:rtl w:val="true"/>
        </w:rPr>
        <w:footnoteReference w:id="289"/>
      </w:r>
      <w:r>
        <w:rPr>
          <w:rFonts w:ascii="IRNazanin" w:hAnsi="IRNazanin" w:eastAsia="IRNazanin"/>
          <w:color w:val="111111"/>
          <w:sz w:val="28"/>
          <w:sz w:val="28"/>
          <w:szCs w:val="28"/>
          <w:rtl w:val="true"/>
          <w:lang w:bidi="fa-IR"/>
        </w:rPr>
        <w:t xml:space="preserve">فخر سخن را به آن جا می‌رساند که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همزمان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حمل کرد و استناد او به مباحث اصولی است که حمل لفظ مشترک بر معانی متعدّد را در زمان واحد غیر مجاز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تفسیر نفحات الرّحمن به این اشکال فخر پاسخ می‌گوید که خلاصه آن، حاکی از وجود جامعیت در 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می‌تواند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خود را تأمین کند، این جامعیت، مفاهیم حُب نسبت به مردم، نصرت و یاری آنان</w:t>
      </w:r>
    </w:p>
    <w:p>
      <w:pPr>
        <w:pStyle w:val="BookText"/>
        <w:rPr/>
      </w:pPr>
      <w:r>
        <w:rPr>
          <w:rFonts w:ascii="IRNazanin" w:hAnsi="IRNazanin" w:eastAsia="IRNazanin"/>
          <w:color w:val="111111"/>
          <w:sz w:val="28"/>
          <w:sz w:val="28"/>
          <w:szCs w:val="28"/>
          <w:rtl w:val="true"/>
          <w:lang w:bidi="fa-IR"/>
        </w:rPr>
        <w:t>توأم با حقّ تصرّف در امورش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را در بر می‌گیرد، و آنان را از ظلمات به نور راهنمایی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نهاوندی به اشکال فخر، قانع‌کننده است و ما به منظور بازگشت به اصل سخن از ذکر بقیه پاسخ خودداری می‌ورزیم</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در تکمیل سخن خویش در اثبات مقام امامت و ولایت علی علیه‌السلام و اولاد او</w:t>
      </w:r>
    </w:p>
    <w:p>
      <w:pPr>
        <w:pStyle w:val="BookText"/>
        <w:rPr/>
      </w:pPr>
      <w:r>
        <w:rPr>
          <w:rFonts w:ascii="IRNazanin" w:hAnsi="IRNazanin" w:eastAsia="IRNazanin"/>
          <w:color w:val="111111"/>
          <w:sz w:val="28"/>
          <w:sz w:val="28"/>
          <w:szCs w:val="28"/>
          <w:rtl w:val="true"/>
          <w:lang w:bidi="fa-IR"/>
        </w:rPr>
        <w:t>می‌پردازد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الولایة المطلقة مقام الجامعیة لا یشغله شأن عن شأن فالتوجّه إلی کلام الفقیر توجّهٌ</w:t>
      </w:r>
    </w:p>
    <w:p>
      <w:pPr>
        <w:pStyle w:val="BookText"/>
        <w:rPr/>
      </w:pPr>
      <w:r>
        <w:rPr>
          <w:rFonts w:ascii="Amiri" w:hAnsi="Amiri" w:eastAsia="Amiri" w:cs="Amiri"/>
          <w:color w:val="111111"/>
          <w:sz w:val="28"/>
          <w:sz w:val="28"/>
          <w:szCs w:val="28"/>
          <w:rtl w:val="true"/>
          <w:lang w:bidi="ar-SA"/>
        </w:rPr>
        <w:t>إلی اللّه</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مطلقه ولایت امام، مقام جامع و فراگیری است، به گونه‌ای که پرداختن به امری او را از توجه به امر دیگر باز نمی‌دارد، پس توجه علی علیه‌السلام به فقیر به معنای توجه به خداوند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توضیح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 یُّهَا الرَّسُولُ بَلِّغْ مَا أُنزِلَ إِلَیْکَ مِن رَبِّکَ وَإِن لَمْ تَفْعَلْ فَمَا بَلَّغْتَ رِسَالَتَهُ وَاللّه‌ُ یَعْصِمُکَ مِنَ النَّاسِ إِنَّ اللّه‌َ لاَ یَهْدِی ا لْقَوْمَ ا لْکافرین </w:t>
      </w:r>
      <w:r>
        <w:rPr>
          <w:rFonts w:eastAsia="Amiri" w:cs="Amiri" w:ascii="Amiri" w:hAnsi="Amiri"/>
          <w:color w:val="111111"/>
          <w:sz w:val="28"/>
          <w:szCs w:val="28"/>
          <w:rtl w:val="true"/>
          <w:lang w:bidi="ar-SA"/>
        </w:rPr>
        <w:t>»</w:t>
      </w:r>
      <w:r>
        <w:rPr>
          <w:rStyle w:val="FootnoteAnchor"/>
          <w:rtl w:val="true"/>
        </w:rPr>
        <w:footnoteReference w:id="292"/>
      </w:r>
      <w:r>
        <w:rPr>
          <w:rFonts w:ascii="IRNazanin" w:hAnsi="IRNazanin" w:eastAsia="IRNazanin"/>
          <w:color w:val="111111"/>
          <w:sz w:val="28"/>
          <w:sz w:val="28"/>
          <w:szCs w:val="28"/>
          <w:rtl w:val="true"/>
          <w:lang w:bidi="fa-IR"/>
        </w:rPr>
        <w:t>، اعتقاد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متظافر، حاکی از آن است که این آیه در شأن علی علیه‌السلامنازل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نمی‌توانست از اعلام ولایت علی علیه‌السلام خودداری ورزد، زیرا ترک آن ملازم ترک تبلیغ و ترک تبلیغ به معنای ناتمام گزاردن مقام رسالت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سبب نزول آن هشت واقعه یاد می‌کند، سپس تمام آنها را مردود اعلام داشته، و سبب نهم را که اشعار به حجّة الوداع پیامبر صلی‌الله‌علیه‌و‌آله و نصب علی علیه‌السلامدر محوطه غدیر خم به مقام امامت و جانشینی و وصایت را دارد، تأیید می‌کند و آن را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منابع حدیثی و تاریخی از جمله نهج الحق علاّمه حلّی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علما اعتقاد دارند این آیه در فضیلت علیّ بن ابی طالب علیه‌السلامدر روز غدیر نازل شد</w:t>
      </w:r>
    </w:p>
    <w:p>
      <w:pPr>
        <w:pStyle w:val="BookText"/>
        <w:rPr/>
      </w:pPr>
      <w:r>
        <w:rPr>
          <w:rFonts w:ascii="IRNazanin" w:hAnsi="IRNazanin" w:eastAsia="IRNazanin"/>
          <w:color w:val="111111"/>
          <w:sz w:val="28"/>
          <w:sz w:val="28"/>
          <w:szCs w:val="28"/>
          <w:rtl w:val="true"/>
          <w:lang w:bidi="fa-IR"/>
        </w:rPr>
        <w:t>و پس از آن پیامبر صلی‌الله‌علیه‌و‌آلهدست علی را گرفت و خطاب به جمعیت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أولی منکم بأنفسکم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وعادِ من عاداه وانصر مَن نصره واخذل من خذله وادر الحقّ معه کیفما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روایت در صحاح نیز درج شده است، ثعلبی در تفسیر خود، ابن مغازلی شافعی در مناقب و ابن عقده از طریق یکصد و پنج راوی آن را نقل کرده‌اند و نیز مفسّر به نقل از ابن کثیر شامی شافعی نقل کرده که وی دو مجلّد ضخیم از آثار طبری را دیده است که اخبار حجّة الوداع از جمله خبر فوق در آن درج شده بوده و نیز می‌گوید ابن الجوزی در نوشته</w:t>
      </w:r>
    </w:p>
    <w:p>
      <w:pPr>
        <w:pStyle w:val="BookText"/>
        <w:rPr/>
      </w:pPr>
      <w:r>
        <w:rPr>
          <w:rFonts w:ascii="IRNazanin" w:hAnsi="IRNazanin" w:eastAsia="IRNazanin"/>
          <w:color w:val="111111"/>
          <w:sz w:val="28"/>
          <w:sz w:val="28"/>
          <w:szCs w:val="28"/>
          <w:rtl w:val="true"/>
          <w:lang w:bidi="fa-IR"/>
        </w:rPr>
        <w:t>خود پیرامون مناقب و شخصیت علی علیه‌السلام تواتر آن خبر را ادعا کرده است؛ در منابع حدیثی و تفسیری شیعه نیز این خبر به تواتر وارد شده از جمله در کافی به نقل از امام محمّد باقر علیه‌السلام، در جوامع الجامع از طریق ابن عباس و جابر بن عبداللّه انصاری 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با استناد به روایتی از امام محمّد باقر علیه‌السلام در کافی، اعتقاد دارد با ابلاغ ولایت علیّ بن ابی طالب علیه‌السلامبه عنوان آخرین فریضه دینی در زمان پیامبر صلی‌الله‌علیه‌و‌آله ، دین کامل گشت </w:t>
      </w:r>
      <w:r>
        <w:rPr>
          <w:rStyle w:val="FootnoteAnchor"/>
          <w:rtl w:val="true"/>
        </w:rPr>
        <w:footnoteReference w:id="2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لْیَوْمَ أَکْمَلْتُ لَکُمْ دِینَکُمْ وَأَتْمَمْتُ عَلَیْکُمْ نِعْمَتِی</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پیامبر از تهدیدات منافقان و 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ضمن طرح اشکال فخر بر عقاید شیعه پیرامون دلالت آیه بر اکمال دین از طریق نصب علی علیه‌السلام به امامت و خلافت در حجّة الوداع اعتقاد دارد که اِشکال فخر کاملاً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طرح</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سیاق آیات قبل و بعد آیه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گفت و گو پیرامون اهل کتاب از یهود و 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به نظر می‌رسد در بین کلام پیامبر با</w:t>
      </w:r>
    </w:p>
    <w:p>
      <w:pPr>
        <w:pStyle w:val="BookText"/>
        <w:rPr/>
      </w:pPr>
      <w:r>
        <w:rPr>
          <w:rFonts w:ascii="IRNazanin" w:hAnsi="IRNazanin" w:eastAsia="IRNazanin"/>
          <w:color w:val="111111"/>
          <w:sz w:val="28"/>
          <w:sz w:val="28"/>
          <w:szCs w:val="28"/>
          <w:rtl w:val="true"/>
          <w:lang w:bidi="fa-IR"/>
        </w:rPr>
        <w:t>اهل کتاب، آیه‌ای تک و تنها آن هم در خصوص موضوع دیگری نازل شده باشد به گونه‌ای که با قبل و بعد خود بیگانه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که پیامبر صلی‌الله‌علیه‌و‌آله بدان مأموریت پیدا کرد، تبلیغ احکام و تعالیم دین بود و به خاطر خوف و نگرانی پیامبر از اهل کتاب، خداوند، وعده پاسداری از شرّ اهل کتاب و دسیسه‌های آنان را به پیامبر داد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یَعْصِمُکَ مِنَ النّاسِ </w:t>
      </w:r>
      <w:r>
        <w:rPr>
          <w:rFonts w:eastAsia="Amiri" w:cs="Amiri" w:ascii="Amiri" w:hAnsi="Amiri"/>
          <w:color w:val="111111"/>
          <w:sz w:val="28"/>
          <w:szCs w:val="28"/>
          <w:rtl w:val="true"/>
          <w:lang w:bidi="ar-SA"/>
        </w:rPr>
        <w:t xml:space="preserve">» </w:t>
      </w:r>
      <w:r>
        <w:rPr>
          <w:rStyle w:val="FootnoteAnchor"/>
          <w:rtl w:val="true"/>
        </w:rPr>
        <w:footnoteReference w:id="295"/>
      </w:r>
      <w:r>
        <w:rPr>
          <w:rFonts w:ascii="IRNazanin" w:hAnsi="IRNazanin" w:eastAsia="IRNazanin"/>
          <w:color w:val="111111"/>
          <w:sz w:val="28"/>
          <w:sz w:val="28"/>
          <w:szCs w:val="28"/>
          <w:rtl w:val="true"/>
          <w:lang w:bidi="fa-IR"/>
        </w:rPr>
        <w:t>و پاسخ نهاوندی این گونه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آیه دلالت بر تأمین جانی پیامبر از آسیبهای کفّار اعم از اهل کتاب مجوس، مشرکان و مرتدّان و منافقان</w:t>
      </w:r>
    </w:p>
    <w:p>
      <w:pPr>
        <w:pStyle w:val="BookText"/>
        <w:rPr/>
      </w:pPr>
      <w:r>
        <w:rPr>
          <w:rFonts w:ascii="IRNazanin" w:hAnsi="IRNazanin" w:eastAsia="IRNazanin"/>
          <w:color w:val="111111"/>
          <w:sz w:val="28"/>
          <w:sz w:val="28"/>
          <w:szCs w:val="28"/>
          <w:rtl w:val="true"/>
          <w:lang w:bidi="fa-IR"/>
        </w:rPr>
        <w:t>دارد، بدیهی است عمومیت کفّار با تأویل آیه به موارد خاصّ آن، بیگانگی ندارد، علی رغم آن که ظاهر آیه دلالت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از مجموعه مباحثی که پیرامون آیه تبلیغ مطرح شده این است که آیه مورد نظر که فخر ادّعا می‌کند در خصوص اهل کتاب نازل شده و دلیل وی سیاق قبل و بعد آیات است، در آخرین روزهای عمر پیامبر نازل شد و آن موقعی بود که بیشتر و بلکه تمام احکام دین نازل شده بود و دین به</w:t>
      </w:r>
    </w:p>
    <w:p>
      <w:pPr>
        <w:pStyle w:val="BookText"/>
        <w:rPr/>
      </w:pPr>
      <w:r>
        <w:rPr>
          <w:rFonts w:ascii="IRNazanin" w:hAnsi="IRNazanin" w:eastAsia="IRNazanin"/>
          <w:color w:val="111111"/>
          <w:sz w:val="28"/>
          <w:sz w:val="28"/>
          <w:szCs w:val="28"/>
          <w:rtl w:val="true"/>
          <w:lang w:bidi="fa-IR"/>
        </w:rPr>
        <w:t>مرحله کمال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آیه، تأمین جانی پیامبر صلی‌الله‌علیه‌و‌آله از شرّ و آسیبهای اهل کتاب و یا تبلیغ مطلق احکام دین اسلام بود، مناسب آن بود که این آیه و وعده یاری</w:t>
      </w:r>
    </w:p>
    <w:p>
      <w:pPr>
        <w:pStyle w:val="BookText"/>
        <w:rPr/>
      </w:pPr>
      <w:r>
        <w:rPr>
          <w:rFonts w:ascii="IRNazanin" w:hAnsi="IRNazanin" w:eastAsia="IRNazanin"/>
          <w:color w:val="111111"/>
          <w:sz w:val="28"/>
          <w:sz w:val="28"/>
          <w:szCs w:val="28"/>
          <w:rtl w:val="true"/>
          <w:lang w:bidi="fa-IR"/>
        </w:rPr>
        <w:t>و دادستانی، در اوایل بعثت پیامبر یا در اوّل هجرت وی از مکّه به مدینه نازل می‌شد،</w:t>
      </w:r>
    </w:p>
    <w:p>
      <w:pPr>
        <w:pStyle w:val="BookText"/>
        <w:rPr/>
      </w:pPr>
      <w:r>
        <w:rPr>
          <w:rFonts w:ascii="IRNazanin" w:hAnsi="IRNazanin" w:eastAsia="IRNazanin"/>
          <w:color w:val="111111"/>
          <w:sz w:val="28"/>
          <w:sz w:val="28"/>
          <w:szCs w:val="28"/>
          <w:rtl w:val="true"/>
          <w:lang w:bidi="fa-IR"/>
        </w:rPr>
        <w:t>زیرا در آن موقع احساس خطر پیامبر صلی‌الله‌علیه‌و‌آله و اصحاب از خطر اهل کتاب بیشتر می‌بود و به طور کلّی آدمی در آغاز هر کار بزرگ و خطرناک بیمناک‌تر است تا پس از انجام و خاتمه</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آن زمان که پیامبر از یهود احساس خطر می‌کرد، وعده الهی به او نداد؟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است که مقصود تأمین در برابر اهل کتاب نیست، قبل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یَعْصِمُکَ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و خطرناک‌ترین و پرفراز و نشیب‌ترین مسیرهای تبلیغ دین طی شده بود، او بت‌ها و خدایان دروغین مشرکان را زیر دست و پای خود، خُرد کرده بود و مشرکان را علی رغم حرص و آزی که در عبادت بتان داشتند، و شوکت و اقتدار اجتماعی که برای خود ساخته بودند، همه را نادیده گرفته و بلکه تحقیر کرده بود و لعن و</w:t>
      </w:r>
    </w:p>
    <w:p>
      <w:pPr>
        <w:pStyle w:val="BookText"/>
        <w:rPr/>
      </w:pPr>
      <w:r>
        <w:rPr>
          <w:rFonts w:ascii="IRNazanin" w:hAnsi="IRNazanin" w:eastAsia="IRNazanin"/>
          <w:color w:val="111111"/>
          <w:sz w:val="28"/>
          <w:sz w:val="28"/>
          <w:szCs w:val="28"/>
          <w:rtl w:val="true"/>
          <w:lang w:bidi="fa-IR"/>
        </w:rPr>
        <w:t>نفرین عمومی را علیه یهود و نصاری علنی ساخته بود و قبله مسلمانان را از بیت المقدس</w:t>
      </w:r>
    </w:p>
    <w:p>
      <w:pPr>
        <w:pStyle w:val="BookText"/>
        <w:rPr/>
      </w:pPr>
      <w:r>
        <w:rPr>
          <w:rFonts w:ascii="IRNazanin" w:hAnsi="IRNazanin" w:eastAsia="IRNazanin"/>
          <w:color w:val="111111"/>
          <w:sz w:val="28"/>
          <w:sz w:val="28"/>
          <w:szCs w:val="28"/>
          <w:rtl w:val="true"/>
          <w:lang w:bidi="fa-IR"/>
        </w:rPr>
        <w:t>به سوی مسجد الحرام تغییر داده بود که خود، بزرگترین حادثه در طول تاریخ ادیان به شمار می‌رود و فلسفه‌ای جز تحقیر اهل کتاب و آزمون مسلمانان و سپس تعزیز و اقتدار مؤمنان آل رسول صلی‌الله‌علیه‌و‌آله نداشت؛ افزون بر اینها تمام جنگهایی که بین مسلمانان و</w:t>
      </w:r>
    </w:p>
    <w:p>
      <w:pPr>
        <w:pStyle w:val="BookText"/>
        <w:rPr/>
      </w:pPr>
      <w:r>
        <w:rPr>
          <w:rFonts w:ascii="IRNazanin" w:hAnsi="IRNazanin" w:eastAsia="IRNazanin"/>
          <w:color w:val="111111"/>
          <w:sz w:val="28"/>
          <w:sz w:val="28"/>
          <w:szCs w:val="28"/>
          <w:rtl w:val="true"/>
          <w:lang w:bidi="fa-IR"/>
        </w:rPr>
        <w:t>کافران و اهل کتاب و مشرکان اتفاق افتاده بود، قبل از واقعه حجّة الوداع و نزول آیه موردنظر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است که خداوند، وعده یاری را موقعی می‌دهد که پیامبر صلی‌الله‌علیه‌و‌آله و اصحاب او</w:t>
      </w:r>
    </w:p>
    <w:p>
      <w:pPr>
        <w:pStyle w:val="BookText"/>
        <w:rPr/>
      </w:pPr>
      <w:r>
        <w:rPr>
          <w:rFonts w:ascii="IRNazanin" w:hAnsi="IRNazanin" w:eastAsia="IRNazanin"/>
          <w:color w:val="111111"/>
          <w:sz w:val="28"/>
          <w:sz w:val="28"/>
          <w:szCs w:val="28"/>
          <w:rtl w:val="true"/>
          <w:lang w:bidi="fa-IR"/>
        </w:rPr>
        <w:t>تمام خطرات و بحرانهای سیاسی و اجتماعی را با عزّت و اقتدار پشت‌سر گذارده‌اند ؟ آیا</w:t>
      </w:r>
    </w:p>
    <w:p>
      <w:pPr>
        <w:pStyle w:val="BookText"/>
        <w:rPr/>
      </w:pPr>
      <w:r>
        <w:rPr>
          <w:rFonts w:ascii="IRNazanin" w:hAnsi="IRNazanin" w:eastAsia="IRNazanin"/>
          <w:color w:val="111111"/>
          <w:sz w:val="28"/>
          <w:sz w:val="28"/>
          <w:szCs w:val="28"/>
          <w:rtl w:val="true"/>
          <w:lang w:bidi="fa-IR"/>
        </w:rPr>
        <w:t>بهتر آن نبود که مسلمانان در جریان جنگها یا در تبلیغ و محاجّه با اهل کتاب، شاهد وعده</w:t>
      </w:r>
    </w:p>
    <w:p>
      <w:pPr>
        <w:pStyle w:val="BookText"/>
        <w:rPr/>
      </w:pPr>
      <w:r>
        <w:rPr>
          <w:rFonts w:ascii="IRNazanin" w:hAnsi="IRNazanin" w:eastAsia="IRNazanin"/>
          <w:color w:val="111111"/>
          <w:sz w:val="28"/>
          <w:sz w:val="28"/>
          <w:szCs w:val="28"/>
          <w:rtl w:val="true"/>
          <w:lang w:bidi="fa-IR"/>
        </w:rPr>
        <w:t xml:space="preserve">الهی مبنی بر تأمین جانی و حیثیتی می‌شدند ؟ معلوم است که آیه مورد نظر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w:t>
      </w:r>
    </w:p>
    <w:p>
      <w:pPr>
        <w:pStyle w:val="BookText"/>
        <w:rPr/>
      </w:pPr>
      <w:r>
        <w:rPr>
          <w:rFonts w:ascii="IRNazanin" w:hAnsi="IRNazanin" w:eastAsia="IRNazanin"/>
          <w:color w:val="111111"/>
          <w:sz w:val="28"/>
          <w:sz w:val="28"/>
          <w:szCs w:val="28"/>
          <w:rtl w:val="true"/>
          <w:lang w:bidi="fa-IR"/>
        </w:rPr>
        <w:t xml:space="preserve">نظم و چینش، محفوف به آیاتی است که پیرامون اهل کتاب 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 در قضایای اهل کتاب محصور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بیش از حد در این مورد، به نظر ما از مصادیق تحریف معنوی آیات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 آن گاه به تکمیل سخن خویش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کدام از قضایای قبل، بیم و خوفی در دل پیامبر صلی‌الله‌علیه‌و‌آله رخنه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واقع اعتقاد دارد پیامبری که مأمور تبلیغ دین و احکام خداست، هرگز از مواجهه و مقابله با دشمنان بیم و خوفی در دل به خود راه نمی‌دهد، چگونه است که پس از تذلیل یهود و جنگ با بنی قریظه و تبعید بنی نضیر و فتح قلعه‌های خیبر و فدک، وحشت در دل می‌پروراند ؟ هرگز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نهاون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به 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 فخر رازی کاملاً 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و روانشناسانه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عقیده پاک خود را که همان عقیده شیعه است، بیان داشته، و می‌گوید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خوفی که در این آیه از آن سخن رفته، خوف پیامبر در تبلیغ آخرین حکم دین است و آن معرّفی امام و خلیفه و جانشین واجب الطاعة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تأمین جانی و امنیت شخصیتی و حیثیتی نیازمند است و خداوند با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یعصمک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از شرّ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مرتدّان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ایمن می‌دارد</w:t>
      </w:r>
      <w:r>
        <w:rPr>
          <w:rFonts w:eastAsia="IRNazanin" w:cs="IRNazanin"/>
          <w:color w:val="111111"/>
          <w:sz w:val="28"/>
          <w:szCs w:val="28"/>
          <w:rtl w:val="true"/>
          <w:lang w:bidi="fa-IR"/>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راسخ محمّد بن عبدالرّحیم نهاوندی به مقام شامخ امامت و اهل بیت علیهم‌السلامدر جای جای تفسیر دیده می‌شود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ذیل آیه شریفه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فَقُلْ تَعَالَوا نَدْعُ أَبْنَاءَنَا وَأَبْنَاءَکُمْ</w:t>
      </w:r>
    </w:p>
    <w:p>
      <w:pPr>
        <w:pStyle w:val="BookText"/>
        <w:rPr/>
      </w:pPr>
      <w:r>
        <w:rPr>
          <w:rFonts w:ascii="Amiri" w:hAnsi="Amiri" w:eastAsia="Amiri" w:cs="Amiri"/>
          <w:color w:val="111111"/>
          <w:sz w:val="28"/>
          <w:sz w:val="28"/>
          <w:szCs w:val="28"/>
          <w:rtl w:val="true"/>
          <w:lang w:bidi="ar-SA"/>
        </w:rPr>
        <w:t>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اءَنَا وَنِس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اءَکُمْ وَأَنفُسَ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وَأَنفُسَکُمْ ثُمَّ نَبْتَهِلْ فَنَجْعَل لَعْنَتَ اللّه‌ِ عَلَی ا لْکَاذِبِینَ </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بار دیگر به تبیین شخصیت و مقام اهل بیت می‌پردازد و ضمن آن به اشکالاتی که مفسّران عامّه بر</w:t>
      </w:r>
    </w:p>
    <w:p>
      <w:pPr>
        <w:pStyle w:val="BookText"/>
        <w:rPr/>
      </w:pPr>
      <w:r>
        <w:rPr>
          <w:rFonts w:ascii="IRNazanin" w:hAnsi="IRNazanin" w:eastAsia="IRNazanin"/>
          <w:color w:val="111111"/>
          <w:sz w:val="28"/>
          <w:sz w:val="28"/>
          <w:szCs w:val="28"/>
          <w:rtl w:val="true"/>
          <w:lang w:bidi="fa-IR"/>
        </w:rPr>
        <w:t>عقاید حقّه مفسّران شیعی گرفته‌اند، پاسخ می‌دهد و همواره در احتجاج خود، مسیر منطق و واقع‌نگری را طی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مهمّی که در تفسیر این آیه و احتجاج پیرامون آن بیان شده، به شرح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در نظر گرفتن ماجرای تاریخی و تأویل آیه، حکایت از آن دارد که علی علیه‌السلامنفس پیامبر صلی‌الله‌علیه‌و‌آله و برتر از تمام مردم و جانشین پیامبر صلی‌الله‌علیه‌و‌آلهبود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با استناد به روایتی از موسی بن جعفر علیه‌السلام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ماجرای مباهله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عبای خویش را گشود و علیّ بن ابی طالب علیه‌السلام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حسنین علیهماالسلام وارد آن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مباهله صورت نگرفت، امّا مقدمه صدور حدیث شریف کساء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روایتی از علیّ بن ابراهیم قمی و او از امام 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مسیحیان</w:t>
      </w:r>
    </w:p>
    <w:p>
      <w:pPr>
        <w:pStyle w:val="BookText"/>
        <w:rPr/>
      </w:pPr>
      <w:r>
        <w:rPr>
          <w:rFonts w:ascii="IRNazanin" w:hAnsi="IRNazanin" w:eastAsia="IRNazanin"/>
          <w:color w:val="111111"/>
          <w:sz w:val="28"/>
          <w:sz w:val="28"/>
          <w:szCs w:val="28"/>
          <w:rtl w:val="true"/>
          <w:lang w:bidi="fa-IR"/>
        </w:rPr>
        <w:t>نجران به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محمّد صلی‌الله‌علیه‌و‌آله با اهل بیت خود حضور یافت با او مباهله نمی‌کنیم، زیرا کسی این گونه به مباهله نمی‌آید مگر آن که در ادّعا صادق باشد، صبحگاهان که قصد حضور در وعده‌گاه را داشتند، دیدند همراه پیامبر جز امیر المؤمنان علیه‌السلاموفاطمه و حسن و حسین علیهم‌السلامکس دیگری نیست، از یکدیگر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دیگر چه کسانی هستند ؟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 و وصیّ‌اش علی است و آن دیگر، دخترش فاطمه و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حسن و حسین‌اند، آن گاه از حضور در مباهله خودداری ورزیدند و به خدمت رسول اللّه پیام رساندند که ما رسالت تو را تایید کردیم، ما را از مباهله عفو کنید و پیامبر صلی‌الله‌علیه‌و‌آله نیز با دریافت مقرری جزیه با آنان مصالحه کرد و از ادامه مباهله خودداری ورزید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شخص رسول اللّه نیست زیرا هیچ کس خود را به واقعه یا کاری یا مجلسی دعوت نمی‌کند، بلکه متعلّق دعوت، دیگران می‌باشند، پس</w:t>
      </w:r>
    </w:p>
    <w:p>
      <w:pPr>
        <w:pStyle w:val="BookText"/>
        <w:rPr/>
      </w:pPr>
      <w:r>
        <w:rPr>
          <w:rFonts w:ascii="IRNazanin" w:hAnsi="IRNazanin" w:eastAsia="IRNazanin"/>
          <w:color w:val="111111"/>
          <w:sz w:val="28"/>
          <w:sz w:val="28"/>
          <w:szCs w:val="28"/>
          <w:rtl w:val="true"/>
          <w:lang w:bidi="fa-IR"/>
        </w:rPr>
        <w:t xml:space="preserve">باید پذیرفت از علی علیه‌السلامتعبیر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ترادف نَفْس علی علیه‌السلام و نفس پیامبر صلی‌الله‌علیه‌و‌آلهحکایت از برابری آن دو در بسیاری از حقوق و ارزشها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با استناد به سخن فردی به نام محمود بن حسن حمصی که به گفته وی از علما و بزرگان امامی مذهب معاصر فخر در ری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در این آیه هم‌دوش پیامبر صلی‌الله‌علیه‌و‌آلهمعرّفی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فهمیده است که همان گونه که پیامبر اسلام افضل الانبیاء است، علی علیه‌السلام نیز افضل از تمام انبیا جز شخص پیامبر صلی‌الله‌علیه‌و‌آلهاست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فخر پاسخ داده است که اجماع مسلمانان بر آن است که محمّد صلی‌الله‌علیه‌و‌آلهافضل از علی علیه‌السلاماست و نیز اجماع آنان بر این است که قبل از ولادت علی علیه‌السلامنیز از دیدگاه</w:t>
      </w:r>
    </w:p>
    <w:p>
      <w:pPr>
        <w:pStyle w:val="BookText"/>
        <w:rPr/>
      </w:pPr>
      <w:r>
        <w:rPr>
          <w:rFonts w:ascii="IRNazanin" w:hAnsi="IRNazanin" w:eastAsia="IRNazanin"/>
          <w:color w:val="111111"/>
          <w:sz w:val="28"/>
          <w:sz w:val="28"/>
          <w:szCs w:val="28"/>
          <w:rtl w:val="true"/>
          <w:lang w:bidi="fa-IR"/>
        </w:rPr>
        <w:t xml:space="preserve">مسلمانان، هر پیامبری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محمّد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از غیر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اجماع مسلمانان بر پیامبر نبودن علی علیه‌السلام تعلّق گرفته، لذا ظاهر آیه مورد بحث، حکایت از آن دارد که قطعا پیامبر اسلام صلی‌الله‌علیه‌و‌آلهو هر پیامبر دیگری بر غیر پیامبر برتری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در اصل استدلال رازی مناقشه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بر برتری هر نبی بر غیر نبی در نهایت بطلان است، بلکه ادّعای اجماع در خلاف آن را می‌نماید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بر آن است که برخی افراد غیر نبی بر پیامبران برتری</w:t>
      </w:r>
    </w:p>
    <w:p>
      <w:pPr>
        <w:pStyle w:val="BookText"/>
        <w:rPr/>
      </w:pPr>
      <w:r>
        <w:rPr>
          <w:rFonts w:ascii="IRNazanin" w:hAnsi="IRNazanin" w:eastAsia="IRNazanin"/>
          <w:color w:val="111111"/>
          <w:sz w:val="28"/>
          <w:sz w:val="28"/>
          <w:szCs w:val="28"/>
          <w:rtl w:val="true"/>
          <w:lang w:bidi="fa-IR"/>
        </w:rPr>
        <w:t xml:space="preserve">داشتند و برای اثبات مدّعای خود از مریم علیهاالسلام یاد می‌کند که وی برتر از پیامبران بنی اسرائیل بود و در کمالات نفسانی آن بانوی بزرگ، کاستی و نقصی در اتصاف به مقام نبوّت نبود، تنها به دلیل انوثیّت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به آن مقام برسد، دلیل این سخن</w:t>
      </w:r>
    </w:p>
    <w:p>
      <w:pPr>
        <w:pStyle w:val="BookText"/>
        <w:rPr/>
      </w:pPr>
      <w:r>
        <w:rPr>
          <w:rFonts w:ascii="IRNazanin" w:hAnsi="IRNazanin" w:eastAsia="IRNazanin"/>
          <w:color w:val="111111"/>
          <w:sz w:val="28"/>
          <w:sz w:val="28"/>
          <w:szCs w:val="28"/>
          <w:rtl w:val="true"/>
          <w:lang w:bidi="fa-IR"/>
        </w:rPr>
        <w:t>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زکریا از پیامبران الهی به شمار می‌رفت، امّا حضرت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گفت و گوی شفاهی و حضوری با فرشتگان را به دست آورد، امّا زکریا علیه‌السلامآن توفیق را درک نکرد، بلکه تنها صدای فرشتگان را می‌شنید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نیز از نظر قابلیّتهای شخصیتی و کمالات نفسانی به حدّی رسید که تا حدّ نبوّت، کاستی و قصور یا نقصی در او دیده نشد، اگر ختم نبوّت در</w:t>
      </w:r>
    </w:p>
    <w:p>
      <w:pPr>
        <w:pStyle w:val="BookText"/>
        <w:rPr/>
      </w:pPr>
      <w:r>
        <w:rPr>
          <w:rFonts w:ascii="IRNazanin" w:hAnsi="IRNazanin" w:eastAsia="IRNazanin"/>
          <w:color w:val="111111"/>
          <w:sz w:val="28"/>
          <w:sz w:val="28"/>
          <w:szCs w:val="28"/>
          <w:rtl w:val="true"/>
          <w:lang w:bidi="fa-IR"/>
        </w:rPr>
        <w:t>تقدیر الهی نبود، قطعا علی علیه‌السلامپس از محمّد صلی‌الله‌علیه‌و‌آله به پیامبری می‌رسید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گاه به بیان فضیلت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امامیّه، اگرچه</w:t>
      </w:r>
      <w:bookmarkStart w:id="313" w:name="pg4391_51066"/>
    </w:p>
    <w:p>
      <w:pPr>
        <w:pStyle w:val="BookText"/>
        <w:rPr/>
      </w:pPr>
      <w:bookmarkEnd w:id="313"/>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مرتبت و فضیلت، پایین‌تر از علی علیه‌السلام بود، امّا او بر پیامبران برتری داشت و در این استدلال از ذکر کلمه پیامبران بنی اسرائیل که تحدیدی در آن دیده می‌شود، خودداری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ذکر روایتی از پیامبر صلی‌الله‌علیه‌و‌آله در توصیف دخترش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روحی الّتی بین 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لما کان لفاطمة کفو آدم ومن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دلیل بر فضیلت و بلکه افضلیّت آن دو شخصیت مقدّس بر پیامبران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اصلاح سخن فخر رازی پرداخته،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است که هر پیامبری برتر از امّت خود و برتر از تابعین و پیروان خویش است و در این خصوص می‌توان ادّعای</w:t>
      </w:r>
    </w:p>
    <w:p>
      <w:pPr>
        <w:pStyle w:val="BookText"/>
        <w:rPr/>
      </w:pPr>
      <w:r>
        <w:rPr>
          <w:rFonts w:ascii="IRNazanin" w:hAnsi="IRNazanin" w:eastAsia="IRNazanin"/>
          <w:color w:val="111111"/>
          <w:sz w:val="28"/>
          <w:sz w:val="28"/>
          <w:szCs w:val="28"/>
          <w:rtl w:val="true"/>
          <w:lang w:bidi="fa-IR"/>
        </w:rPr>
        <w:t>اجماع کرد و از این اجماع و حکم مندرج در آن نمی‌توان چنین نتیجه گرفت که هر پیامبری بر غیر نبی برتری دارد و دایره این برتری را آن قدر وسیع گرفت که تمام زمانها و تمام انسانهای قبل و بعد را فراگیرد و در نتیجه، اوصیای پیامبر اسلام صلی‌الله‌علیه‌و‌آلهرا نیز در بر</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اعتقاد دارد، قول به برتری علی علیه‌السلام از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پیامبر اسلام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اختصاص به دیدگاه آن عالم حمصی که فخر رازی سخنش را تخطئه کرده بود، ندارد، بلکه این عقیده تمام علمای امامیّه و از ضروریّات مذهب امامیّه است</w:t>
      </w:r>
    </w:p>
    <w:p>
      <w:pPr>
        <w:pStyle w:val="BookText"/>
        <w:rPr/>
      </w:pPr>
      <w:r>
        <w:rPr>
          <w:rFonts w:ascii="IRNazanin" w:hAnsi="IRNazanin" w:eastAsia="IRNazanin"/>
          <w:color w:val="111111"/>
          <w:sz w:val="28"/>
          <w:sz w:val="28"/>
          <w:szCs w:val="28"/>
          <w:rtl w:val="true"/>
          <w:lang w:bidi="fa-IR"/>
        </w:rPr>
        <w:t xml:space="preserve">که علی علیه‌السلام افضل از تمام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خاتم النبیّین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1438825_1479056682"/>
      <w:bookmarkStart w:id="315" w:name="_Toc121"/>
      <w:bookmarkEnd w:id="314"/>
      <w:r>
        <w:rPr/>
        <w:t>4</w:t>
      </w:r>
      <w:r>
        <w:rPr>
          <w:rtl w:val="true"/>
        </w:rPr>
        <w:t xml:space="preserve"> - </w:t>
      </w:r>
      <w:r>
        <w:rPr>
          <w:rtl w:val="true"/>
        </w:rPr>
        <w:t>پیامبر صلی‌الله‌علیه‌و‌آله و اوصیای او علیهم‌السلام، راسخان در علم‌اند</w:t>
      </w:r>
      <w:bookmarkEnd w:id="315"/>
    </w:p>
    <w:p>
      <w:pPr>
        <w:pStyle w:val="BookText"/>
        <w:rPr/>
      </w:pPr>
      <w:r>
        <w:rPr>
          <w:rFonts w:ascii="Amiri" w:hAnsi="Amiri" w:eastAsia="Amiri" w:cs="Amiri"/>
          <w:color w:val="111111"/>
          <w:sz w:val="28"/>
          <w:sz w:val="28"/>
          <w:szCs w:val="28"/>
          <w:rtl w:val="true"/>
          <w:lang w:bidi="ar-SA"/>
        </w:rPr>
        <w:t>نهاوندی در ذیل آیه 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 لَّذِی أَنزَلَ عَلَیْکَ ا 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یَعْلَمُ تَأْوِیلَهُ إِلاَّ اللّه‌ُ وَالرَّاسِخُونَ فِی ا لْعِلْمِ</w:t>
      </w:r>
      <w:r>
        <w:rPr>
          <w:rFonts w:eastAsia="Amiri" w:cs="Amiri" w:ascii="Amiri" w:hAnsi="Amiri"/>
          <w:color w:val="111111"/>
          <w:sz w:val="28"/>
          <w:szCs w:val="28"/>
          <w:rtl w:val="true"/>
          <w:lang w:bidi="ar-SA"/>
        </w:rPr>
        <w:t>... »</w:t>
      </w:r>
      <w:r>
        <w:rPr>
          <w:rStyle w:val="FootnoteAnchor"/>
          <w:rtl w:val="true"/>
        </w:rPr>
        <w:footnoteReference w:id="299"/>
      </w:r>
      <w:r>
        <w:rPr>
          <w:rFonts w:ascii="IRNazanin" w:hAnsi="IRNazanin" w:eastAsia="IRNazanin"/>
          <w:color w:val="111111"/>
          <w:sz w:val="28"/>
          <w:sz w:val="28"/>
          <w:szCs w:val="28"/>
          <w:rtl w:val="true"/>
          <w:lang w:bidi="fa-IR"/>
        </w:rPr>
        <w:t>، اعتقاد خود را چنین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راسخان در علم، ثابت قدمان و برخورداران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ژرف‌اندیشانی هستند که بر بالهای امواج حکمت و معرفت شناورند، گفتار و بیان آنان به</w:t>
      </w:r>
    </w:p>
    <w:p>
      <w:pPr>
        <w:pStyle w:val="BookText"/>
        <w:rPr/>
      </w:pPr>
      <w:r>
        <w:rPr>
          <w:rFonts w:ascii="IRNazanin" w:hAnsi="IRNazanin" w:eastAsia="IRNazanin"/>
          <w:color w:val="111111"/>
          <w:sz w:val="28"/>
          <w:sz w:val="28"/>
          <w:szCs w:val="28"/>
          <w:rtl w:val="true"/>
          <w:lang w:bidi="fa-IR"/>
        </w:rPr>
        <w:t>تأیید الهی رسیده، آن جا که</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قدمها می‌لغزد، آنان از هر لغزشی ایمن بوده و آن جا که</w:t>
      </w:r>
      <w:bookmarkStart w:id="316" w:name="pg4391_51067"/>
    </w:p>
    <w:p>
      <w:pPr>
        <w:pStyle w:val="BookText"/>
        <w:rPr/>
      </w:pPr>
      <w:bookmarkEnd w:id="316"/>
      <w:r>
        <w:rPr>
          <w:rFonts w:ascii="IRNazanin" w:hAnsi="IRNazanin" w:eastAsia="IRNazanin"/>
          <w:color w:val="111111"/>
          <w:sz w:val="28"/>
          <w:sz w:val="28"/>
          <w:szCs w:val="28"/>
          <w:rtl w:val="true"/>
          <w:lang w:bidi="fa-IR"/>
        </w:rPr>
        <w:t>دیگران در تاریکی‌های زندان وهم و خیال و هوای دل، کور کورانه راه می‌روند، اینان در</w:t>
      </w:r>
    </w:p>
    <w:p>
      <w:pPr>
        <w:pStyle w:val="BookText"/>
        <w:rPr/>
      </w:pPr>
      <w:r>
        <w:rPr>
          <w:rFonts w:ascii="IRNazanin" w:hAnsi="IRNazanin" w:eastAsia="IRNazanin"/>
          <w:color w:val="111111"/>
          <w:sz w:val="28"/>
          <w:sz w:val="28"/>
          <w:szCs w:val="28"/>
          <w:rtl w:val="true"/>
          <w:lang w:bidi="fa-IR"/>
        </w:rPr>
        <w:t>پرتو انوار درخشان هدایت ربوبی به مقصد حقیقی گام می‌گذارند، آری، اینان کسانی جز شخص پیامبر صلی‌الله‌علیه‌و‌آله و اوصیای گرامی او نیستند و هرگز در دانش و بیان و اندیشه آنان اختلافی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راسخان در علم، اندیشمندانی‌اند که علم آنان مبتنی بر رأی و دانش شخصی و اجتهاد فردی که موجب تغییر نظر و اختلاف در احکام و دیدگاههاست نیست، بلکه علم و دانش در آنان با افاضه و الهام الهی است، مانند پیامبر صلی‌الله‌علیه‌و‌آلهو اوصیا و جانشینان آن حضرت، که در کلام آنان اختلاف یا تناقض یا تغییر دیده نمی‌شود و اگر تفاوتی هست، مبنایی نیست بلکه اقتضای شنونده و زمان یا مکان، موجب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 استناد به روایتی که گفت و گوی بین امام صادق علیه‌السلام و ابو حنیفه است،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علوم هستی، فقط نزد ذریّه پیامبر صلی‌الله‌علیه‌و‌آلهیعنی اوصیای اوست و با استناد به سخنی از علیّ بن ابی طالب علیه‌السلام در احتجاج طبرسی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کلام خود را سه گونه قرار داده، قسمتی از آن را عالِم و جاهل می‌فهمند و بخش دیگر آن را فقط متفکرانی که</w:t>
      </w:r>
    </w:p>
    <w:p>
      <w:pPr>
        <w:pStyle w:val="BookText"/>
        <w:rPr/>
      </w:pPr>
      <w:r>
        <w:rPr>
          <w:rFonts w:ascii="IRNazanin" w:hAnsi="IRNazanin" w:eastAsia="IRNazanin"/>
          <w:color w:val="111111"/>
          <w:sz w:val="28"/>
          <w:sz w:val="28"/>
          <w:szCs w:val="28"/>
          <w:rtl w:val="true"/>
          <w:lang w:bidi="fa-IR"/>
        </w:rPr>
        <w:t>از صفای ذهنی و فکری و قدرت تمییز و شرح صدر برخوردارند، در می‌یابند و بخش دیگر از کلام الهی را جز خداوند و پیامبرانش و راسخان در علم، نشناسد، و فلسفه این که</w:t>
      </w:r>
    </w:p>
    <w:p>
      <w:pPr>
        <w:pStyle w:val="BookText"/>
        <w:rPr/>
      </w:pPr>
      <w:r>
        <w:rPr>
          <w:rFonts w:ascii="IRNazanin" w:hAnsi="IRNazanin" w:eastAsia="IRNazanin"/>
          <w:color w:val="111111"/>
          <w:sz w:val="28"/>
          <w:sz w:val="28"/>
          <w:szCs w:val="28"/>
          <w:rtl w:val="true"/>
          <w:lang w:bidi="fa-IR"/>
        </w:rPr>
        <w:t>چرا خداوند، معرفت بخشی از کلامش را خاصّ انبیا و راسخان در علم کرده، این است که تصاحب‌کنندگان میراث نبوی و آنان که فقط علمی اندک از کتاب خدا دارند، بر مؤمنان سلطه نیابند و ناچار به راسخان رجوع کنند و طاعت حق را پیش گیرند</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نهاوندی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والرّاسخون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عطف است و لذا علم به تأویل آیات نزد آنان نیز</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317" w:name="__RefHeading___Toc1438827_1479056682"/>
      <w:bookmarkStart w:id="318" w:name="_Toc122"/>
      <w:bookmarkEnd w:id="317"/>
      <w:r>
        <w:rPr/>
        <w:t>5</w:t>
      </w:r>
      <w:r>
        <w:rPr>
          <w:rtl w:val="true"/>
        </w:rPr>
        <w:t xml:space="preserve"> - </w:t>
      </w:r>
      <w:r>
        <w:rPr>
          <w:rtl w:val="true"/>
        </w:rPr>
        <w:t>علیّ بن ابی طالب علیه‌السلام ، آگاه به علم کتاب است</w:t>
      </w:r>
      <w:r>
        <w:rPr>
          <w:rtl w:val="true"/>
        </w:rPr>
        <w:t>.</w:t>
      </w:r>
      <w:bookmarkEnd w:id="31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وَیَقُولُ ا لَّذِینَ کَفَرُوا لَسْتَ مُرْسَلاً قُلْ کَفَی بِاللّه‌ِ شَهِیدا بَیْنِی وَبَیْنَکُمْ وَمَنْ عِندَهُ عِلْمُ ا لْکِتَابِ </w:t>
      </w:r>
      <w:r>
        <w:rPr>
          <w:rFonts w:eastAsia="Amiri" w:cs="Amiri" w:ascii="Amiri" w:hAnsi="Amiri"/>
          <w:color w:val="111111"/>
          <w:sz w:val="28"/>
          <w:szCs w:val="28"/>
          <w:rtl w:val="true"/>
          <w:lang w:bidi="ar-SA"/>
        </w:rPr>
        <w:t>»</w:t>
      </w:r>
      <w:r>
        <w:rPr>
          <w:rStyle w:val="FootnoteAnchor"/>
          <w:rtl w:val="true"/>
        </w:rPr>
        <w:footnoteReference w:id="301"/>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مشرکان و یهود به رسول گرامی اسلام صلی‌الله‌علیه‌و‌آلهاعتراض</w:t>
      </w:r>
    </w:p>
    <w:p>
      <w:pPr>
        <w:pStyle w:val="BookText"/>
        <w:rPr/>
      </w:pPr>
      <w:r>
        <w:rPr>
          <w:rFonts w:ascii="IRNazanin" w:hAnsi="IRNazanin" w:eastAsia="IRNazanin"/>
          <w:color w:val="111111"/>
          <w:sz w:val="28"/>
          <w:sz w:val="28"/>
          <w:szCs w:val="28"/>
          <w:rtl w:val="true"/>
          <w:lang w:bidi="fa-IR"/>
        </w:rPr>
        <w:t>کردند که تو پیامبر خدا نیستی، پیامبر در پاسخ این اتّهام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خود شاهد و حاکم</w:t>
      </w:r>
    </w:p>
    <w:p>
      <w:pPr>
        <w:pStyle w:val="BookText"/>
        <w:rPr/>
      </w:pPr>
      <w:r>
        <w:rPr>
          <w:rFonts w:ascii="IRNazanin" w:hAnsi="IRNazanin" w:eastAsia="IRNazanin"/>
          <w:color w:val="111111"/>
          <w:sz w:val="28"/>
          <w:sz w:val="28"/>
          <w:szCs w:val="28"/>
          <w:rtl w:val="true"/>
          <w:lang w:bidi="fa-IR"/>
        </w:rPr>
        <w:t>است که من پیامبر او هستم و در گفتار خود صادق‌ام و نیز آن که علم کتاب نزد اوست، می‌داند که من پیامبر خدا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حضرت در پاسخ به این گونه سخنان کذب، آیه فوق را تلاوت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نهاوندی در تفسیر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عِندَهُ عِلْمُ ا 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چند نظر را ذکر و سرانجام نتیجه‌گیری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ذیل این آیه، نظریّات زیر را مورد بازنگری قرار</w:t>
      </w:r>
    </w:p>
    <w:p>
      <w:pPr>
        <w:pStyle w:val="BookText"/>
        <w:rPr/>
      </w:pP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از مؤمنان که اعجاز قرآن را دریافته و تمام جهات و جنبه‌های اعجاز را فهمیده و در تمام آیات و نکات و لطایف آن تدبّر کرده باشد و احکام و تعالیم آن را تصدیق کند،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این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جزیی ندارد و افاده عموم می‌کند و هرکس که به فهم اعجاز قرآن نایل شده باشد، رسالت پیامبر اسلام و حقّانیت وی را تصدیق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در نهج الحق از طرق عامّه از ابن عباس نقل می‌کند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مجالس المؤمنین روایتی از قول پیامبر اکرم صلی‌الله‌علیه‌و‌آله نقل شده که از آن حضرت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برادرم علیّ بن ابی طالب علیه‌السلاماست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احتجاج طبرسی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از علی علیه‌السلام درباره عالی‌ترین منقبت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پاسخ وی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عِندَهُ عِلْمُ ا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تلاوت کرد و افزود که فقط ما هستیم که علم کتاب را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روایت دوم و سوم،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ا 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است و مقصود از آن شخص علیّ بن ابی طالب علیه‌السلام می‌باشد و براساس روایت چهارم، مصداق آن آیه، عمومیت بیشتری پیدا کرده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امام محمّد باقر علیه‌السلام نقل شده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ا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ما علیّ بن ابی طالب علیه‌السلام است؛ او برترین و بهترین ما پس از پیامبر</w:t>
      </w:r>
    </w:p>
    <w:p>
      <w:pPr>
        <w:pStyle w:val="BookText"/>
        <w:rPr/>
      </w:pPr>
      <w:r>
        <w:rPr>
          <w:rFonts w:ascii="IRNazanin" w:hAnsi="IRNazanin" w:eastAsia="IRNazanin"/>
          <w:color w:val="111111"/>
          <w:sz w:val="28"/>
          <w:sz w:val="28"/>
          <w:szCs w:val="28"/>
          <w:rtl w:val="true"/>
          <w:lang w:bidi="fa-IR"/>
        </w:rPr>
        <w:t>اکرم صلی‌الله‌علیه‌و‌آلهاست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نیز ناظر بر این مطلب است که این آیه در شأن علی علیه‌السلام نازل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روایتی نیز از امام صادق علیه‌السلام نقل شده که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عِندَهُ عِلْمُ ا 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امیر المؤمنان علیه‌السلاماست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ا 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 این روایت منابع حدیثی عامّه است که عبداللّه بن سلام گفته این آیه در شأن من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 رازی پیشگام مفسّران عامّه به نقل از سعید بن جبیر نقل می‌کند که سخن عبداللّه بن سلام، سخن باطلی است؛ زیرا سوره رعد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عنده علم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است در حالی که عبداللّه بن سلام، در مدینه اسلام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نوراللّه شوشتری، متکلّم شیعی در احقاق الحق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شأن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ا 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عبداللّه بن سلام معرّفی کرده، کاملاً موضوع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خود عبداللّه بن سلام همین تعبیر را در حقّ علیّ بن ابی طالب علیه‌السلام داشته و گفته مقصود از آن، علیّ بن ابی طالب علیه‌السلاماست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عیّاشی در تفسیر خود، روایتی از امام محمّد باقر علیه‌السلام نقل می‌نماید که فردی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عبداللّه بن سلام گمان می‌کند که آیه فوق در شأن وی یا پدرش نازل</w:t>
      </w:r>
    </w:p>
    <w:p>
      <w:pPr>
        <w:pStyle w:val="BookText"/>
        <w:rPr/>
      </w:pPr>
      <w:r>
        <w:rPr>
          <w:rFonts w:ascii="IRNazanin" w:hAnsi="IRNazanin" w:eastAsia="IRNazanin"/>
          <w:color w:val="111111"/>
          <w:sz w:val="28"/>
          <w:sz w:val="28"/>
          <w:szCs w:val="28"/>
          <w:rtl w:val="true"/>
          <w:lang w:bidi="fa-IR"/>
        </w:rPr>
        <w:t>شده است،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چنین اعتقادی دارد، اشتباه می‌کند این آیه در شأن علیّ بن ابی طالب علیه‌السلام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نهاوندی پس از بررسی اخبار و روایات مختلف در تفسیر آیه مورد نظر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عِندَهُ عِلْمُ ا 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تأیید</w:t>
      </w:r>
    </w:p>
    <w:p>
      <w:pPr>
        <w:pStyle w:val="BookText"/>
        <w:rPr/>
      </w:pPr>
      <w:r>
        <w:rPr>
          <w:rFonts w:ascii="Amiri" w:hAnsi="Amiri" w:eastAsia="Amiri" w:cs="Amiri"/>
          <w:color w:val="111111"/>
          <w:sz w:val="28"/>
          <w:sz w:val="28"/>
          <w:szCs w:val="28"/>
          <w:rtl w:val="true"/>
          <w:lang w:bidi="ar-SA"/>
        </w:rPr>
        <w:t>نظر خویش به نقل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عَلَی بَیِّنَةٍ مِن رَبِّهِ وَیَتْلُوهُ شَاهِدٌ مِنْهُ</w:t>
      </w:r>
      <w:r>
        <w:rPr>
          <w:rFonts w:eastAsia="Amiri" w:cs="Amiri" w:ascii="Amiri" w:hAnsi="Amiri"/>
          <w:color w:val="111111"/>
          <w:sz w:val="28"/>
          <w:szCs w:val="28"/>
          <w:rtl w:val="true"/>
          <w:lang w:bidi="ar-SA"/>
        </w:rPr>
        <w:t>.... »</w:t>
      </w:r>
      <w:r>
        <w:rPr>
          <w:rStyle w:val="FootnoteAnchor"/>
          <w:rtl w:val="true"/>
        </w:rPr>
        <w:footnoteReference w:id="302"/>
      </w:r>
      <w:r>
        <w:rPr>
          <w:rFonts w:ascii="IRNazanin" w:hAnsi="IRNazanin" w:eastAsia="IRNazanin"/>
          <w:color w:val="111111"/>
          <w:sz w:val="28"/>
          <w:sz w:val="28"/>
          <w:szCs w:val="28"/>
          <w:rtl w:val="true"/>
          <w:lang w:bidi="fa-IR"/>
        </w:rPr>
        <w:t>،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شاهد در این آیه نیز علیّ بن ابی طالب علیه‌السلاماست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نگاه نهاوندی علیّ بن ابی طالب، آگاه به علم کتاب و قرآن است و دانش آن حضرت از قرآن از جنس علم رسول اللّه صلی‌الله‌علیه‌و‌آله به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نهاوندی پیرامون مفهوم و مصداق اُولی الأمر در متون اسلامی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نهاوندی در ذیل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 لَّذِینَ آمَنُوا أَطِیعُوا اللّه‌َ وَأَطِیعُوا الرَّسُولَ وَأُولِی ا لْأَمْرِ</w:t>
      </w:r>
    </w:p>
    <w:p>
      <w:pPr>
        <w:pStyle w:val="BookText"/>
        <w:rPr/>
      </w:pPr>
      <w:r>
        <w:rPr>
          <w:rFonts w:ascii="Amiri" w:hAnsi="Amiri" w:eastAsia="Amiri" w:cs="Amiri"/>
          <w:color w:val="111111"/>
          <w:sz w:val="28"/>
          <w:sz w:val="28"/>
          <w:szCs w:val="28"/>
          <w:rtl w:val="true"/>
          <w:lang w:bidi="ar-SA"/>
        </w:rPr>
        <w:t xml:space="preserve">مِنکُمْ </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اُولی الأمر، امامان مفترض الطاعه‌اند که خداوند، اطاعت از آنان را در تمام احکام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 انصاری از پیامبر اکرم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خداوند و رسولش را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الأمر چه کسانی هستند که خداوند اطاعت فرمان آنان را در کنار اطاعت از فرمان خود و فرستاده‌اش واجب گردانیده است؟</w:t>
      </w:r>
    </w:p>
    <w:p>
      <w:pPr>
        <w:pStyle w:val="BookText"/>
        <w:rPr/>
      </w:pPr>
      <w:r>
        <w:rPr>
          <w:rFonts w:ascii="IRNazanin" w:hAnsi="IRNazanin" w:eastAsia="IRNazanin"/>
          <w:color w:val="111111"/>
          <w:sz w:val="28"/>
          <w:sz w:val="28"/>
          <w:szCs w:val="28"/>
          <w:rtl w:val="true"/>
          <w:lang w:bidi="fa-IR"/>
        </w:rPr>
        <w:t>پیامبر در پاسخ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جانشینان من و پیشوایان مسلمانان‌اند که پس از من به امامت و ولایت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آنان علیّ بن ابی طالب، سپس حسن، آن گاه حسین و بعد علیّ بن الحسین و بعد از او، محمّد بن 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تورات، باقر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درک خواهی کرد، پس در آن روز سلام مرا به او برسان، آن گاه جعفر بن محمّد الصادق و سپس موسی بن جعفر، آن گاه علیّ بن موسی و بعد محمّد بن علی و علیّ بن محمّد و حسن بن علی و در پایان بقیة اللّه علی عباده ابن</w:t>
      </w:r>
    </w:p>
    <w:p>
      <w:pPr>
        <w:pStyle w:val="BookText"/>
        <w:rPr/>
      </w:pPr>
      <w:r>
        <w:rPr>
          <w:rFonts w:ascii="IRNazanin" w:hAnsi="IRNazanin" w:eastAsia="IRNazanin"/>
          <w:color w:val="111111"/>
          <w:sz w:val="28"/>
          <w:sz w:val="28"/>
          <w:szCs w:val="28"/>
          <w:rtl w:val="true"/>
          <w:lang w:bidi="fa-IR"/>
        </w:rPr>
        <w:t xml:space="preserve">الحسن بن علی است،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بن الحسن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چهارسوی کره زمین را به</w:t>
      </w:r>
    </w:p>
    <w:p>
      <w:pPr>
        <w:pStyle w:val="BookText"/>
        <w:rPr/>
      </w:pPr>
      <w:r>
        <w:rPr>
          <w:rFonts w:ascii="IRNazanin" w:hAnsi="IRNazanin" w:eastAsia="IRNazanin"/>
          <w:color w:val="111111"/>
          <w:sz w:val="28"/>
          <w:sz w:val="28"/>
          <w:szCs w:val="28"/>
          <w:rtl w:val="true"/>
          <w:lang w:bidi="fa-IR"/>
        </w:rPr>
        <w:t>دستش خواهد گشود و اوست که از منظر شیعیان و دوستانش غایب خواهد گردید و کسی جز پارسایان و آزمودگان، غیبت او را باور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جابر از پیامبر صلی‌الله‌علیه‌و‌آله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در زمان غیبت، امکان به فیض رسیدن از امام را خواهند داشت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سوگند به آن کسی که مرا به رسالت برانگیخت مردم در زمان غیبت او از انوار هدایتش پرتوهای درخشانی خواهند دید و از برکت ولایتش بهره‌مند گردند، همان گونه که از انوار درخشان و گرم خورشید، سود می‌جویند اگرچه ابرها روی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اسرار پنهان الهی و گنجینه علم اوست که خداوند او را جز از اهلش غایب کرد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پس از نقل این روایت و چندین روایت دیگر، از علیّ بن ابی طالب علیه‌السلام و اولاد معصوم او به عنوان اُولی الأمر یاد می‌کند، سپس به نقد و تحلیل سخن فخر رازی که</w:t>
      </w:r>
    </w:p>
    <w:p>
      <w:pPr>
        <w:pStyle w:val="BookText"/>
        <w:rPr/>
      </w:pPr>
      <w:r>
        <w:rPr>
          <w:rFonts w:ascii="IRNazanin" w:hAnsi="IRNazanin" w:eastAsia="IRNazanin"/>
          <w:color w:val="111111"/>
          <w:sz w:val="28"/>
          <w:sz w:val="28"/>
          <w:szCs w:val="28"/>
          <w:rtl w:val="true"/>
          <w:lang w:bidi="fa-IR"/>
        </w:rPr>
        <w:t xml:space="preserve">کوشیده است ذهن مسلمانان را از مفهوم صحیح اُولی الأمر دور گرداند و آنان را به اتّفاق‌نظر اجتماعی یا اجماع امّت متوجه سازد </w:t>
      </w:r>
      <w:r>
        <w:rPr>
          <w:rStyle w:val="FootnoteAnchor"/>
          <w:rtl w:val="true"/>
        </w:rPr>
        <w:footnoteReference w:id="305"/>
      </w:r>
      <w:r>
        <w:rPr>
          <w:rFonts w:ascii="IRNazanin" w:hAnsi="IRNazanin" w:eastAsia="IRNazanin"/>
          <w:color w:val="111111"/>
          <w:sz w:val="28"/>
          <w:sz w:val="28"/>
          <w:szCs w:val="28"/>
          <w:rtl w:val="true"/>
          <w:lang w:bidi="fa-IR"/>
        </w:rPr>
        <w:t>، می‌پردازد و بطلان سخن فخر را اثبات می‌کند و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معنی صحیح اُولی الأمر را ترک کرده، خود را در آغوش اجماع امّت یا اجماع اهل حل و عقد انداخته‌اند و مراد از اُولی الأمر را اتّفاق آرای جامعه دانسته‌اند، نیک می‌دانند که ادّعای پوچی است و صحّت آن هرگز ثابت نشده است نَه صحّت اجماع پاره‌ای از افراد جامعه و نَه اجماع تمام افراد جامعه،</w:t>
      </w:r>
    </w:p>
    <w:p>
      <w:pPr>
        <w:pStyle w:val="BookText"/>
        <w:rPr/>
      </w:pPr>
      <w:r>
        <w:rPr>
          <w:rFonts w:ascii="IRNazanin" w:hAnsi="IRNazanin" w:eastAsia="IRNazanin"/>
          <w:color w:val="111111"/>
          <w:sz w:val="28"/>
          <w:sz w:val="28"/>
          <w:szCs w:val="28"/>
          <w:rtl w:val="true"/>
          <w:lang w:bidi="fa-IR"/>
        </w:rPr>
        <w:t>هیچ کدام بنابر دلیل مقبول، تایید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مقصود از اجماع امّت، اجماع و</w:t>
      </w:r>
    </w:p>
    <w:p>
      <w:pPr>
        <w:pStyle w:val="BookText"/>
        <w:rPr/>
      </w:pPr>
      <w:r>
        <w:rPr>
          <w:rFonts w:ascii="IRNazanin" w:hAnsi="IRNazanin" w:eastAsia="IRNazanin"/>
          <w:color w:val="111111"/>
          <w:sz w:val="28"/>
          <w:sz w:val="28"/>
          <w:szCs w:val="28"/>
          <w:rtl w:val="true"/>
          <w:lang w:bidi="fa-IR"/>
        </w:rPr>
        <w:t>اتفّاق‌نظر علمای امّت با فرض ناشناخته بودن پاره‌ای از آنان باشد این همان تعریفی است</w:t>
      </w:r>
    </w:p>
    <w:p>
      <w:pPr>
        <w:pStyle w:val="BookText"/>
        <w:rPr/>
      </w:pPr>
      <w:r>
        <w:rPr>
          <w:rFonts w:ascii="IRNazanin" w:hAnsi="IRNazanin" w:eastAsia="IRNazanin"/>
          <w:color w:val="111111"/>
          <w:sz w:val="28"/>
          <w:sz w:val="28"/>
          <w:szCs w:val="28"/>
          <w:rtl w:val="true"/>
          <w:lang w:bidi="fa-IR"/>
        </w:rPr>
        <w:t>که اصحاب امامیّه آن را پذیرفته و اعتبار آن را بنابر کشف شدن از قول معصوم که در بین</w:t>
      </w:r>
    </w:p>
    <w:p>
      <w:pPr>
        <w:pStyle w:val="BookText"/>
        <w:rPr/>
      </w:pPr>
      <w:r>
        <w:rPr>
          <w:rFonts w:ascii="IRNazanin" w:hAnsi="IRNazanin" w:eastAsia="IRNazanin"/>
          <w:color w:val="111111"/>
          <w:sz w:val="28"/>
          <w:sz w:val="28"/>
          <w:szCs w:val="28"/>
          <w:rtl w:val="true"/>
          <w:lang w:bidi="fa-IR"/>
        </w:rPr>
        <w:t>آنان ناشناخته است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اُولی الأمر، اهل حل و عقد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فخر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 در تفسیر کبیر، گذشته از نظر تفسیری که خود، پیرامون اُولی الأمر بیان کرده و آن را برداشت صحیح از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تلقّی نموده و</w:t>
      </w:r>
    </w:p>
    <w:p>
      <w:pPr>
        <w:pStyle w:val="BookText"/>
        <w:rPr/>
      </w:pPr>
      <w:r>
        <w:rPr>
          <w:rFonts w:ascii="IRNazanin" w:hAnsi="IRNazanin" w:eastAsia="IRNazanin"/>
          <w:color w:val="111111"/>
          <w:sz w:val="28"/>
          <w:sz w:val="28"/>
          <w:szCs w:val="28"/>
          <w:rtl w:val="true"/>
          <w:lang w:bidi="fa-IR"/>
        </w:rPr>
        <w:t xml:space="preserve">اجماع امّت را همان اُولی الأمر دانسته است، به نقل چهار نظریه دیگر از جمله نظر امامیّه می‌پردازد و هر چهار نظر را مردود اعلام می‌دارد، و در ردّ نظر چهارم یا نظر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دیدگاه او روافض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مراد از اُولی الأمر را امامان معصوم می‌داند، چنین استدلال کرده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 وَأُوْلِی ا لْأَمْرِ مِنکُمْ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ائمّه معصومین، آن‌گونه که شیعیان امامیّه می‌گویند، در نهایت استبعاد می‌باشد و دلیل ما بر این مطلب سه مطلب</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اطاعت امامان مشروط به شناخت و دست‌یابی به آنان است، اگر قبل از شناخت آنان مکلّف به اطاعت آنان گردیم تکلیف ما لا یطاق خواهد بود و اگر اطاعت ما از آنان مشروط به شناخت آنان باشد و این شناخت نیز حاصل شود و مذهب و راه و رسم آنان دانسته شود، وجوب اطاعت آنان مشروط می‌گردد، یعنی مشروط به شناخت و معرفت امام می‌شود، در حالی که ظاهر آیه مورد بحث، مقتضی اطلاق است</w:t>
      </w:r>
      <w:r>
        <w:rPr>
          <w:rFonts w:eastAsia="IRNazanin" w:cs="IRNazanin"/>
          <w:color w:val="111111"/>
          <w:sz w:val="28"/>
          <w:szCs w:val="28"/>
          <w:rtl w:val="true"/>
          <w:lang w:bidi="fa-IR"/>
        </w:rPr>
        <w:t>.</w:t>
      </w:r>
      <w:bookmarkStart w:id="319" w:name="pg4391_51072"/>
    </w:p>
    <w:p>
      <w:pPr>
        <w:pStyle w:val="BookText"/>
        <w:rPr/>
      </w:pPr>
      <w:bookmarkEnd w:id="319"/>
      <w:r>
        <w:rPr>
          <w:rFonts w:ascii="IRNazanin" w:hAnsi="IRNazanin" w:eastAsia="IRNazanin"/>
          <w:color w:val="111111"/>
          <w:sz w:val="28"/>
          <w:sz w:val="28"/>
          <w:szCs w:val="28"/>
          <w:rtl w:val="true"/>
          <w:lang w:bidi="fa-IR"/>
        </w:rPr>
        <w:t xml:space="preserve">خداوند در این آیه، اطاعت پیامبر و اُولی الأمر را با یک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وَأَطِیعُوا الرَّسُولَ وَأُولِی ا 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لفظ واحد نمی‌تواند همزمان اطاعت مطلق و مشروط را بیان کند، اگر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پیامبر اطاعت مطلق برداشت می‌شود، لازم می‌آید همین برداشت نیز در خصوص اُولی الأمر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عبارت اُولی الأمر در آیه، جمع است در حالی که از دیدگاه شیعه در یک زمان بیش از یک امام، امامت ندارد، و حمل اُولی الأمر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فرد و واحد، خلاف ظاهر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 آیه پیش‌بینی شده چنانچه مردم دچار اختلاف در حکم گردیدند، به خدا و پیامبر رجوع کنند و نظر آن دو را معیار حلّ اختلاف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تنازعتم فی شی‌ءٍ فردّوه إلی اللّه والرّسول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مراد از اُولی الأمر، امام معصوم بود، لازم می‌آمد قول امام نیز</w:t>
      </w:r>
    </w:p>
    <w:p>
      <w:pPr>
        <w:pStyle w:val="BookText"/>
        <w:rPr/>
      </w:pPr>
      <w:r>
        <w:rPr>
          <w:rFonts w:ascii="IRNazanin" w:hAnsi="IRNazanin" w:eastAsia="IRNazanin"/>
          <w:color w:val="111111"/>
          <w:sz w:val="28"/>
          <w:sz w:val="28"/>
          <w:szCs w:val="28"/>
          <w:rtl w:val="true"/>
          <w:lang w:bidi="fa-IR"/>
        </w:rPr>
        <w:t>معیار حلّ اختلاف قرار گیرد و در دنباله آیه گفته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فردّوه إلی اللّه والرّسول والإمام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چنین نیست، پس مراد از اُولی الأمر، امام معصوم نیست، بلکه حق، همان اجماع امّت یا اهل حل و عقد است</w:t>
      </w:r>
      <w:r>
        <w:rPr>
          <w:rFonts w:eastAsia="IRNazanin" w:cs="IRNazanin"/>
          <w:color w:val="111111"/>
          <w:sz w:val="28"/>
          <w:szCs w:val="28"/>
          <w:rtl w:val="true"/>
          <w:lang w:bidi="fa-IR"/>
        </w:rPr>
        <w:t>.</w:t>
      </w:r>
    </w:p>
    <w:p>
      <w:pPr>
        <w:pStyle w:val="Heading5"/>
        <w:numPr>
          <w:ilvl w:val="4"/>
          <w:numId w:val="1"/>
        </w:numPr>
        <w:rPr/>
      </w:pPr>
      <w:bookmarkStart w:id="320" w:name="__RefHeading___Toc1438829_1479056682"/>
      <w:bookmarkStart w:id="321" w:name="_Toc123"/>
      <w:bookmarkEnd w:id="320"/>
      <w:r>
        <w:rPr>
          <w:rtl w:val="true"/>
        </w:rPr>
        <w:t>پاسخ نهاوندی</w:t>
      </w:r>
      <w:bookmarkEnd w:id="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وجوب کون اُولی الأمر 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ومین من‌الخطأ حق لا محیص عنه کما روی انّه لا طاعة لمن عصی اللّه وانّما الطّاعة للّه ولرسوله ولولاة الأمر، إنّما أمر اللّه بطاعة الرّسول لأ نّه 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مطهّر لا یأمر بمعص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 وإنّما أمر بطاعة اُولی الأمر، لأ نّهم معصومون</w:t>
      </w:r>
    </w:p>
    <w:p>
      <w:pPr>
        <w:pStyle w:val="BookText"/>
        <w:rPr/>
      </w:pPr>
      <w:r>
        <w:rPr>
          <w:rFonts w:ascii="IRNazanin" w:hAnsi="IRNazanin" w:eastAsia="IRNazanin"/>
          <w:color w:val="111111"/>
          <w:sz w:val="28"/>
          <w:sz w:val="28"/>
          <w:szCs w:val="28"/>
          <w:rtl w:val="true"/>
          <w:lang w:bidi="fa-IR"/>
        </w:rPr>
        <w:t>مطهّرون لا یأمرون بمعصیةٍ</w:t>
      </w:r>
      <w:r>
        <w:rPr>
          <w:rFonts w:eastAsia="IRNazanin" w:cs="IRNazanin"/>
          <w:color w:val="111111"/>
          <w:sz w:val="28"/>
          <w:szCs w:val="28"/>
          <w:rtl w:val="true"/>
          <w:lang w:bidi="fa-IR"/>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 بودن ولیّ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حقّی است و گریزی از آن نیست، همان گونه که از پیامبر خدا صلی‌الله‌علیه‌و‌آله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نافرمانی خدا را نماید، اطاعتی از او نیست بلکه اطاعت فقط مخصوص خداوند و پیامبرش و ولات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جهت به اطاعت پیامبرش فرمان داده که او معصوم است و امر به خطا و گناه نمی‌کند و نیز اطاعت اُولی الأمر به این جهت واجب گردیده است که ایشان معصوم و پاک بوده،</w:t>
      </w:r>
    </w:p>
    <w:p>
      <w:pPr>
        <w:pStyle w:val="BookText"/>
        <w:rPr/>
      </w:pPr>
      <w:r>
        <w:rPr>
          <w:rFonts w:ascii="IRNazanin" w:hAnsi="IRNazanin" w:eastAsia="IRNazanin"/>
          <w:color w:val="111111"/>
          <w:sz w:val="28"/>
          <w:sz w:val="28"/>
          <w:szCs w:val="28"/>
          <w:rtl w:val="true"/>
          <w:lang w:bidi="fa-IR"/>
        </w:rPr>
        <w:t>هرگز به گناه و خطا فرمان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سخن 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 در پاسخ به سخن رازی، آن‌گونه که لازم بود به تفصیل سخن نگفته، بلکه در مقابل سه دلیل وی به نقل روایتی اکتفا کرده است و حال آن که نوع</w:t>
      </w:r>
    </w:p>
    <w:p>
      <w:pPr>
        <w:pStyle w:val="BookText"/>
        <w:rPr/>
      </w:pPr>
      <w:r>
        <w:rPr>
          <w:rFonts w:ascii="IRNazanin" w:hAnsi="IRNazanin" w:eastAsia="IRNazanin"/>
          <w:color w:val="111111"/>
          <w:sz w:val="28"/>
          <w:sz w:val="28"/>
          <w:szCs w:val="28"/>
          <w:rtl w:val="true"/>
          <w:lang w:bidi="fa-IR"/>
        </w:rPr>
        <w:t>بحث ایجاب کرد، پاسخ گسترده‌تری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افزون برآنچه نهاوندی بیان داشته است،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اطاعت امام به شناخت وی مشروط می‌باشد و این نوع اطاعت، اطاعت مشروط بوده و با اطاعت مطلق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می‌آید سازگاری نداشته باشد، چگونه است که اطاعت پیامبر، به شناخت وی مشروط نیست ؟ مگر می‌توان فرمان</w:t>
      </w:r>
    </w:p>
    <w:p>
      <w:pPr>
        <w:pStyle w:val="BookText"/>
        <w:rPr/>
      </w:pPr>
      <w:r>
        <w:rPr>
          <w:rFonts w:ascii="IRNazanin" w:hAnsi="IRNazanin" w:eastAsia="IRNazanin"/>
          <w:color w:val="111111"/>
          <w:sz w:val="28"/>
          <w:sz w:val="28"/>
          <w:szCs w:val="28"/>
          <w:rtl w:val="true"/>
          <w:lang w:bidi="fa-IR"/>
        </w:rPr>
        <w:t>پیامبری را که ناشناخته است و تصویری صحیح از دین و معجزه و آیین او در دست نیست، اطاعت کرد؟ حتما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شناخت نبی، مقدمه اطاعت اوست؛ زیرا در طول تاریخ، هیچ فرد یا امّتی به صحنه حیات نیامده‌اند که بدون شناخت از پیامبران</w:t>
      </w:r>
    </w:p>
    <w:p>
      <w:pPr>
        <w:pStyle w:val="BookText"/>
        <w:rPr/>
      </w:pPr>
      <w:r>
        <w:rPr>
          <w:rFonts w:ascii="IRNazanin" w:hAnsi="IRNazanin" w:eastAsia="IRNazanin"/>
          <w:color w:val="111111"/>
          <w:sz w:val="28"/>
          <w:sz w:val="28"/>
          <w:szCs w:val="28"/>
          <w:rtl w:val="true"/>
          <w:lang w:bidi="fa-IR"/>
        </w:rPr>
        <w:t>خود اطاعت کنند؛ آری، اطاعت از سنن آبا و اجدادی خود، به ویژه در بین اعراب جاهلی، کاملاً مرسوم بوده و هیچ عرب جاهلی به خود اجازه نمی‌داده است به بهانه عدم شناخت آبا و اجداد و آیین قبیله خود، در مورد سنّتها و پیامها و فرمانهای آنان تشکیک کرده، تردید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فرمان پیامبر به اعراب مبنی 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أَعِظُکُم بِوَاحِدَةٍ أَن تَقُومُوا للّه‌ِِ مَثْنَی وَفُرَادَی ثُمَّ تَتَفَکَّرُوا مَا بِصَاحِبِکُم مِن جِنَّةٍ إِنْ هُوَ إِلاَّ نَذِیرٌ لَکُم</w:t>
      </w:r>
      <w:r>
        <w:rPr>
          <w:rFonts w:eastAsia="IRNazanin" w:cs="IRNazanin"/>
          <w:color w:val="111111"/>
          <w:sz w:val="28"/>
          <w:szCs w:val="28"/>
          <w:rtl w:val="true"/>
          <w:lang w:bidi="fa-IR"/>
        </w:rPr>
        <w:t>... »</w:t>
      </w:r>
      <w:r>
        <w:rPr>
          <w:rStyle w:val="FootnoteAnchor"/>
          <w:rtl w:val="true"/>
        </w:rPr>
        <w:footnoteReference w:id="308"/>
      </w:r>
      <w:r>
        <w:rPr>
          <w:rFonts w:ascii="IRNazanin" w:hAnsi="IRNazanin" w:eastAsia="IRNazanin"/>
          <w:color w:val="111111"/>
          <w:sz w:val="28"/>
          <w:sz w:val="28"/>
          <w:szCs w:val="28"/>
          <w:rtl w:val="true"/>
          <w:lang w:bidi="fa-IR"/>
        </w:rPr>
        <w:t>، آن بود که اعراب را به استقلال در تصمیم‌گیری و سپس تفکّر منطقی و صحیح در خصوص پیامبرشان وادار سازد تا از گذر تفکّر و تحلیل آزاد اندیشانه به شناخت صحیحی از پیامبر آسمانی خویش نایل آیند و از تهمت به او خودداری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از پیامبر، نیاز به شناخت او نداشته باشد، اصلاً اطاعتی حاصل نمی‌شود و اگر حاصل شود، دایمی و عاشقانه نخواهد بود، پس چگونه است که فخر رازی اطاعت اُولی الأمر را اطاعت مشروط می‌داند، امّا اطاعت پیامبر را مطلق تلقّی می‌کند ؟ ناگزیر باید</w:t>
      </w:r>
    </w:p>
    <w:p>
      <w:pPr>
        <w:pStyle w:val="BookText"/>
        <w:rPr/>
      </w:pPr>
      <w:r>
        <w:rPr>
          <w:rFonts w:ascii="IRNazanin" w:hAnsi="IRNazanin" w:eastAsia="IRNazanin"/>
          <w:color w:val="111111"/>
          <w:sz w:val="28"/>
          <w:sz w:val="28"/>
          <w:szCs w:val="28"/>
          <w:rtl w:val="true"/>
          <w:lang w:bidi="fa-IR"/>
        </w:rPr>
        <w:t>پذیرفت شرط معرفت امام در اطاعت از او و نیز شرط معرفت رسول اللّه صلی‌الله‌علیه‌و‌آله در پیروی و</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فرمانبری از وی خللی به اصل اطاعت و مطلق بودن آن وارد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w:t>
      </w:r>
    </w:p>
    <w:p>
      <w:pPr>
        <w:pStyle w:val="BookText"/>
        <w:rPr/>
      </w:pPr>
      <w:r>
        <w:rPr>
          <w:rFonts w:ascii="IRNazanin" w:hAnsi="IRNazanin" w:eastAsia="IRNazanin"/>
          <w:color w:val="111111"/>
          <w:sz w:val="28"/>
          <w:sz w:val="28"/>
          <w:szCs w:val="28"/>
          <w:rtl w:val="true"/>
          <w:lang w:bidi="fa-IR"/>
        </w:rPr>
        <w:t>سخن آن که، اطاعت خالص و صحیح از خداوند نیز مشروط به تحصیل معرفت حقیقی از ذات اقدس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مراتب عالی شناخت که امری اکتسابی و بعضا موهبتی است حاصل نشود، عمل به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حقّ تقاته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اتّقوا اللّه ما استطعتم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شاید محال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سخن فخر مبنی بر ناسازگاری اعتقاد امامیّه در مورد فرد بودن امام با ظاهر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جمع ذکر کرده، مغالطه‌ای بیش نیست و خود، اگر اندکی</w:t>
      </w:r>
    </w:p>
    <w:p>
      <w:pPr>
        <w:pStyle w:val="BookText"/>
        <w:rPr/>
      </w:pPr>
      <w:r>
        <w:rPr>
          <w:rFonts w:ascii="IRNazanin" w:hAnsi="IRNazanin" w:eastAsia="IRNazanin"/>
          <w:color w:val="111111"/>
          <w:sz w:val="28"/>
          <w:sz w:val="28"/>
          <w:szCs w:val="28"/>
          <w:rtl w:val="true"/>
          <w:lang w:bidi="fa-IR"/>
        </w:rPr>
        <w:t>بیشتر به گفته‌هایش می‌اندیشید، به خطای خود پی می‌برد و بعید می‌دانیم که فخر با ذکاوت و فراستی که در تحلیل مسائل کلامی داشت، متوجّه خطایی که مرتکب شده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توضیح مطلب و ردّ اشکال فخر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 را اعتقاد بر آن است که امامان، نور واحد بوده، گفتار هریک، گفتار دیگری و فعل و تقریر هر کدام به منزله فعل و تقریر امام دیگر است؛ آنان از منبع مشترک تغذیه</w:t>
      </w:r>
    </w:p>
    <w:p>
      <w:pPr>
        <w:pStyle w:val="BookText"/>
        <w:rPr/>
      </w:pPr>
      <w:r>
        <w:rPr>
          <w:rFonts w:ascii="IRNazanin" w:hAnsi="IRNazanin" w:eastAsia="IRNazanin"/>
          <w:color w:val="111111"/>
          <w:sz w:val="28"/>
          <w:sz w:val="28"/>
          <w:szCs w:val="28"/>
          <w:rtl w:val="true"/>
          <w:lang w:bidi="fa-IR"/>
        </w:rPr>
        <w:t>می‌شوند و سخنی جز سخن رسول اللّه صلی‌الله‌علیه‌و‌آله بیان نمی‌کنند و عملی جز به تأیید و سنّت پیامبر انجام نمی‌دهند، هریک از امامان دوازده‌گانه اگرچه از نظر زمانی در تقدّم و تأخّر از یکدیگر به سر می‌برند و امامت هریک با خاتمه امامت امام قبل آغاز می‌شود، امّا در واقع امامت هریک جاری مجرای امامت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مقصود از اُولی الأمر، تمام امامان است و امامت امام واحد در زمان واحد، عمومیت در ظاهر آیه را نقض نمی‌کند و با آن سازگاری کامل 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این، اگر سخن فخر صحیح باشد، پس باید اعتقاد داشت که هر جای قرآن که با لفظ مفرد وارد شده، مخاطب خاص داشته و اطلاق حکم آیه با الفاظ مفرد بر جامعه نادرست است و یا آن جا که خطاب آیه جمع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 یُّها الّذین آمنوا اُوفوا بالعقود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فقط یک نفر از افراد جامعه، به حکم آیه عمل کند و به عقد و پیمانهایی که با دیگران بسته وفادار ماند، حکم آیه تعطیل شده، عمل آن فرد مقبول نخواهد بود، در حالی که چنین نیست و عمومیت در الفاظ و خطاب‌های آیه، مانع صحّت عمل افراد جامعه به طور جزء جزء نیست، همین طور اگر الفاظ آیه خاص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وَأْمُرْ أَهْلَکَ بِالصَّلاَةِ</w:t>
      </w:r>
    </w:p>
    <w:p>
      <w:pPr>
        <w:pStyle w:val="BookText"/>
        <w:rPr/>
      </w:pPr>
      <w:r>
        <w:rPr>
          <w:rFonts w:ascii="Amiri" w:hAnsi="Amiri" w:eastAsia="Amiri" w:cs="Amiri"/>
          <w:color w:val="111111"/>
          <w:sz w:val="28"/>
          <w:sz w:val="28"/>
          <w:szCs w:val="28"/>
          <w:rtl w:val="true"/>
          <w:lang w:bidi="ar-SA"/>
        </w:rPr>
        <w:t>وَاصْطَبِرْ عَلَیْهَا</w:t>
      </w:r>
      <w:r>
        <w:rPr>
          <w:rFonts w:eastAsia="Amiri" w:cs="Amiri" w:ascii="Amiri" w:hAnsi="Amiri"/>
          <w:color w:val="111111"/>
          <w:sz w:val="28"/>
          <w:szCs w:val="28"/>
          <w:rtl w:val="true"/>
          <w:lang w:bidi="ar-SA"/>
        </w:rPr>
        <w:t>... »</w:t>
      </w:r>
      <w:r>
        <w:rPr>
          <w:rStyle w:val="FootnoteAnchor"/>
          <w:rtl w:val="true"/>
        </w:rPr>
        <w:footnoteReference w:id="309"/>
      </w:r>
      <w:r>
        <w:rPr>
          <w:rFonts w:ascii="Amiri" w:hAnsi="Amiri" w:eastAsia="Amiri" w:cs="Amiri"/>
          <w:color w:val="111111"/>
          <w:sz w:val="28"/>
          <w:sz w:val="28"/>
          <w:szCs w:val="28"/>
          <w:rtl w:val="true"/>
          <w:lang w:bidi="ar-SA"/>
        </w:rPr>
        <w:t xml:space="preserve">، و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آتَیکَ اللّه‌ُ الدَّارَ ا لاْخِرَةَ وَلاَ تَنسَ نَصِیبَکَ مِنَ الدُّنْیَا وَأَحْسِن کَمَا أَحْسَنَ اللّه‌ُ إِلَیْکَ وَلاَ تَبْغِ ا لْفَسَادَ فِی ا لْأَرْضِ</w:t>
      </w:r>
      <w:r>
        <w:rPr>
          <w:rFonts w:eastAsia="Amiri" w:cs="Amiri" w:ascii="Amiri" w:hAnsi="Amiri"/>
          <w:color w:val="111111"/>
          <w:sz w:val="28"/>
          <w:szCs w:val="28"/>
          <w:rtl w:val="true"/>
          <w:lang w:bidi="ar-SA"/>
        </w:rPr>
        <w:t>... »</w:t>
      </w:r>
      <w:r>
        <w:rPr>
          <w:rStyle w:val="FootnoteAnchor"/>
          <w:rtl w:val="true"/>
        </w:rPr>
        <w:footnoteReference w:id="310"/>
      </w:r>
      <w:r>
        <w:rPr>
          <w:rFonts w:ascii="IRNazanin" w:hAnsi="IRNazanin" w:eastAsia="IRNazanin"/>
          <w:color w:val="111111"/>
          <w:sz w:val="28"/>
          <w:sz w:val="28"/>
          <w:szCs w:val="28"/>
          <w:rtl w:val="true"/>
          <w:lang w:bidi="fa-IR"/>
        </w:rPr>
        <w:t>، و لو آن که مخاطبِ نخستِ آیه شخص پیامبر اکرم صلی‌الله‌علیه‌و‌آلهبوده باشد، چنین نیست که دیگر مکلّفان از شمول حکم آن خارج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بسیاری از آیات الهی که به فعل و اراده خداوند اشاره دارد در</w:t>
      </w:r>
    </w:p>
    <w:p>
      <w:pPr>
        <w:pStyle w:val="BookText"/>
        <w:rPr/>
      </w:pPr>
      <w:r>
        <w:rPr>
          <w:rFonts w:ascii="IRNazanin" w:hAnsi="IRNazanin" w:eastAsia="IRNazanin"/>
          <w:color w:val="111111"/>
          <w:sz w:val="28"/>
          <w:sz w:val="28"/>
          <w:szCs w:val="28"/>
          <w:rtl w:val="true"/>
          <w:lang w:bidi="fa-IR"/>
        </w:rPr>
        <w:t xml:space="preserve">صیغه جمع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خلقناکم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نُریدُ أن نَمُنَّ علی الّذین استضعفوا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استدلال فخر می‌بایست بر این گونه آیات که با توحید افعالی ناسازگاری ظاهری دارد، اشکال گرفت، یا اگر معیار قضاوت، آیات قرآن است، بر عقیده مسلمانان راجع به مراتب</w:t>
      </w:r>
    </w:p>
    <w:p>
      <w:pPr>
        <w:pStyle w:val="BookText"/>
        <w:rPr/>
      </w:pPr>
      <w:r>
        <w:rPr>
          <w:rFonts w:ascii="IRNazanin" w:hAnsi="IRNazanin" w:eastAsia="IRNazanin"/>
          <w:color w:val="111111"/>
          <w:sz w:val="28"/>
          <w:sz w:val="28"/>
          <w:szCs w:val="28"/>
          <w:rtl w:val="true"/>
          <w:lang w:bidi="fa-IR"/>
        </w:rPr>
        <w:t>توحید از جمله توحید افعالی و عبادی خرده گرفت و آن را با اصول قرآنی ناسازگار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اگرچه در آیه موردنظر، ارجاع امر به اُولی الأمر مسکوت گذارده شده،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فردُّوه إلی اللّه والرّسول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فردُّوه إلی اللّه والرّسول واُولی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غافل نباید شد که در آیات دیگر، ارجاع به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تمکین در برابر داوری‌های</w:t>
      </w:r>
    </w:p>
    <w:p>
      <w:pPr>
        <w:pStyle w:val="BookText"/>
        <w:rPr/>
      </w:pPr>
      <w:r>
        <w:rPr>
          <w:rFonts w:ascii="Amiri" w:hAnsi="Amiri" w:eastAsia="Amiri" w:cs="Amiri"/>
          <w:color w:val="111111"/>
          <w:sz w:val="28"/>
          <w:sz w:val="28"/>
          <w:szCs w:val="28"/>
          <w:rtl w:val="true"/>
          <w:lang w:bidi="ar-SA"/>
        </w:rPr>
        <w:t>او به عنوان یک اصل بیان شده است و آن آیه شریفه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رَدُّوهُ إِلَی الرَّسُولِ وَإِلَی أُوْلِی ا لْأَمْرِ مِنْهُمْ لَعَلِمَهُ ا لَّذِینَ یَسْتَنْبِطُونَهُ مِنْهُمْ </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xml:space="preserve">می‌باشد، که در همین سوره و با فاصله چند آیه، به لزوم مراجعت مردم به داوری‌های اُولی الأمر تصریح کرده و آن را قرین داوری‌های پیامبر صلی‌الله‌علیه‌و‌آله قرار داده و با مطلق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ارجاع را همزمان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در عصر تابعین قتاده، میمون بن مهران و سدّی و نیز پیش از آنان، دیگران به آن معترف بوده‌اند و مورد تأیید ائمّه نیز قرار گرفته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الردّ إلی الأئمّة یجری مجری الردّ إلی اللّه والرّسول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ارجاع امور به ائمّه و بازگشت به داوری‌های امامان، جاری مجرای ارجاع به پیامبر و پذیرش داوری‌های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تصریحی به آن دیده نمی‌شود، دلیل را در همین نکته باید جست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این خصوص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 نّه إذا کان قولهم حجّة من حیث کانوا معصومین حافظین للشرع جروا مجری الرّسول فی هذا الباب</w:t>
      </w:r>
      <w:r>
        <w:rPr>
          <w:rFonts w:eastAsia="IRNazanin" w:cs="IRNazanin"/>
          <w:color w:val="111111"/>
          <w:sz w:val="28"/>
          <w:szCs w:val="28"/>
          <w:rtl w:val="true"/>
          <w:lang w:bidi="fa-IR"/>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اعتقاد بر آن باشد که امامان علیهم‌السلام به عنوان نگاهبانان دین معصوم از هر خطا و</w:t>
      </w:r>
    </w:p>
    <w:p>
      <w:pPr>
        <w:pStyle w:val="BookText"/>
        <w:rPr/>
      </w:pPr>
      <w:r>
        <w:rPr>
          <w:rFonts w:ascii="IRNazanin" w:hAnsi="IRNazanin" w:eastAsia="IRNazanin"/>
          <w:color w:val="111111"/>
          <w:sz w:val="28"/>
          <w:sz w:val="28"/>
          <w:szCs w:val="28"/>
          <w:rtl w:val="true"/>
          <w:lang w:bidi="fa-IR"/>
        </w:rPr>
        <w:t xml:space="preserve">لغزشی هستند، پس سخن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جاری مجرای سخن و سنّت رسول اللّه صلی‌الله‌علیه‌و‌آلهاست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تکمیل نقد بر سخن نهاوندی و تأیید عقیده وی در تعیین مراد از اُولی الأمر در آیه مورد بحث، مراجعه به متون تفسیری متقدّمان حکایت از آن دارد که در خصوص اُولی الأمر سه دیدگاه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قول ابن عباس و دیگران که مراد از اُولی الأمر را اُمرا و سلاطین و فرمانروایان بر جامعه اسلامی می‌داند، سپس قول جابر بن عبداللّه انصاری و</w:t>
      </w:r>
    </w:p>
    <w:p>
      <w:pPr>
        <w:pStyle w:val="BookText"/>
        <w:rPr/>
      </w:pPr>
      <w:r>
        <w:rPr>
          <w:rFonts w:ascii="IRNazanin" w:hAnsi="IRNazanin" w:eastAsia="IRNazanin"/>
          <w:color w:val="111111"/>
          <w:sz w:val="28"/>
          <w:sz w:val="28"/>
          <w:szCs w:val="28"/>
          <w:rtl w:val="true"/>
          <w:lang w:bidi="fa-IR"/>
        </w:rPr>
        <w:t>دیگران که مراد از آن را، علما و دانشمندان در جامعه اسلامی می‌دانند و قول سوم به نقل</w:t>
      </w:r>
    </w:p>
    <w:p>
      <w:pPr>
        <w:pStyle w:val="BookText"/>
        <w:rPr/>
      </w:pPr>
      <w:r>
        <w:rPr>
          <w:rFonts w:ascii="IRNazanin" w:hAnsi="IRNazanin" w:eastAsia="IRNazanin"/>
          <w:color w:val="111111"/>
          <w:sz w:val="28"/>
          <w:sz w:val="28"/>
          <w:szCs w:val="28"/>
          <w:rtl w:val="true"/>
          <w:lang w:bidi="fa-IR"/>
        </w:rPr>
        <w:t xml:space="preserve">از امام محمّد باقر و امام جعفر صادق علیهماالسلام که آن حضرت مراد از اُولی الأمر را ائمّه اطهار که همگی از آل و خاندان پیامبرند، دانسته‌اند و عقیده علما و بزرگان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قول سوم متمرکز است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نهاوندی علاوه برآنچه گزارش شد، در مواضع دیگری نیز به تجلیل از مقام امامان علیهم‌السلام پرداخته شده که به جهت اختصار کلام و حُسن ختام به عقیده مفسّر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یَبْتَغِ غَیْرَ ا لاْءِسْلاَمِ دِینا فَلَن یُقْبَلَ مِنْهُ وَهُوَ فِی ا لاْخِرَةِ مِنَ الْخَاسِرِینَ </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اسلام، مترادف کلمه ایمان است و حقیقت هریک، حقیقت دیگری است و آن عبارت از اقرار به شهادتین و تصدیق قلبی قرآن و سنّت پیامبر صلی‌الله‌علیه‌و‌آله است، که ولایت آل رسول که همان ائمّه اطهار علیهم‌السلاماست، و امامت و خلافت علی و فرزندانش، همه در آن می‌گنجد، و شرط ایمان، تصدیق امامت و ولایت این بزرگان است؛ هر کس امامت و ولایت آنان را انکار کند و اطاعت آنان را واجب نداند، دینی غیر از اسلام را برگزیده است و سخن خود را چنین تکمیل می‌کند که مخالفان امامت و ولایت ائمّه، اگرچه وفادار به شهادتین باشند، احترام و احکام خاصّی دارند و خون و مال</w:t>
      </w:r>
    </w:p>
    <w:p>
      <w:pPr>
        <w:pStyle w:val="BookText"/>
        <w:rPr/>
      </w:pPr>
      <w:r>
        <w:rPr>
          <w:rFonts w:ascii="IRNazanin" w:hAnsi="IRNazanin" w:eastAsia="IRNazanin"/>
          <w:color w:val="111111"/>
          <w:sz w:val="28"/>
          <w:sz w:val="28"/>
          <w:szCs w:val="28"/>
          <w:rtl w:val="true"/>
          <w:lang w:bidi="fa-IR"/>
        </w:rPr>
        <w:t xml:space="preserve">و عرض آنان حرام است و اشکالی در پذیرش روایات صحیح آنان نیست و پرداخت زکات و کفّاره و مناکحه و اقتداء به آنان جایز می‌باشد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همچنین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وَرَابِطُوا وَاتَّقُوا اللّه‌َ لَعَلَّکُمْ تُفْلِحُونَ </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 xml:space="preserve">ارتباط با امامان علیهم‌السلام می‌داند و در اثبات مدّعای خود، به روایتی از امام صادق علیه‌السلامبسنده می‌کند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نهاوندی با اعتقاد راسخی که به مقام شامخ امامان علیهم‌السلام دارد، آنان را از انوار ربوبی و مخزن علم الهی و حافظان دین دانسته، پذیرش امامت و ولایت آنان را شرط تکمیل دین و صحّت اسلام و ایمان معرّفی می‌کند و در تفسیر خود، بر مبنای این اعتقاد و استعانت</w:t>
      </w:r>
    </w:p>
    <w:p>
      <w:pPr>
        <w:pStyle w:val="BookText"/>
        <w:rPr/>
      </w:pPr>
      <w:r>
        <w:rPr>
          <w:rFonts w:ascii="IRNazanin" w:hAnsi="IRNazanin" w:eastAsia="IRNazanin"/>
          <w:color w:val="111111"/>
          <w:sz w:val="28"/>
          <w:sz w:val="28"/>
          <w:szCs w:val="28"/>
          <w:rtl w:val="true"/>
          <w:lang w:bidi="fa-IR"/>
        </w:rPr>
        <w:t>از روایات تفسیری آنان با ملحوظ قرار دادن نقش عقل و اجتهاد و تدبّر و مدد گرفتن از</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ابزار و علوم مورد نیاز در تفسیر، به تفسیر کلام الهی می‌پردازد و صبغه‌ای روایی و کلامی به تفسیر خود می‌دهد</w:t>
      </w:r>
      <w:r>
        <w:rPr>
          <w:rFonts w:eastAsia="IRNazanin" w:cs="IRNazanin"/>
          <w:color w:val="111111"/>
          <w:sz w:val="28"/>
          <w:szCs w:val="28"/>
          <w:rtl w:val="true"/>
          <w:lang w:bidi="fa-IR"/>
        </w:rPr>
        <w:t>.</w:t>
      </w:r>
      <w:bookmarkStart w:id="322" w:name="pg4391_51079"/>
    </w:p>
    <w:p>
      <w:pPr>
        <w:pStyle w:val="Heading3"/>
        <w:numPr>
          <w:ilvl w:val="2"/>
          <w:numId w:val="1"/>
        </w:numPr>
        <w:rPr/>
      </w:pPr>
      <w:bookmarkStart w:id="323" w:name="__RefHeading___Toc1438831_1479056682"/>
      <w:bookmarkStart w:id="324" w:name="_Toc124"/>
      <w:bookmarkEnd w:id="322"/>
      <w:bookmarkEnd w:id="323"/>
      <w:r>
        <w:rPr>
          <w:rtl w:val="true"/>
        </w:rPr>
        <w:t>باب چهارم</w:t>
      </w:r>
      <w:r>
        <w:rPr>
          <w:rtl w:val="true"/>
        </w:rPr>
        <w:t xml:space="preserve">: </w:t>
      </w:r>
      <w:r>
        <w:rPr>
          <w:rtl w:val="true"/>
        </w:rPr>
        <w:t>روش تفسیری نفحات الرّحمن فی تفسیر القرآن</w:t>
      </w:r>
      <w:bookmarkEnd w:id="324"/>
    </w:p>
    <w:p>
      <w:pPr>
        <w:pStyle w:val="Heading4"/>
        <w:numPr>
          <w:ilvl w:val="3"/>
          <w:numId w:val="1"/>
        </w:numPr>
        <w:rPr/>
      </w:pPr>
      <w:bookmarkStart w:id="325" w:name="__RefHeading___Toc1438833_1479056682"/>
      <w:bookmarkStart w:id="326" w:name="_Toc125"/>
      <w:bookmarkEnd w:id="325"/>
      <w:r>
        <w:rPr>
          <w:rtl w:val="true"/>
        </w:rPr>
        <w:t>اشاره</w:t>
      </w:r>
      <w:bookmarkEnd w:id="326"/>
    </w:p>
    <w:p>
      <w:pPr>
        <w:pStyle w:val="BookText"/>
        <w:rPr/>
      </w:pPr>
      <w:r>
        <w:rPr>
          <w:rFonts w:ascii="IRNazanin" w:hAnsi="IRNazanin" w:eastAsia="IRNazanin"/>
          <w:color w:val="111111"/>
          <w:sz w:val="28"/>
          <w:sz w:val="28"/>
          <w:szCs w:val="28"/>
          <w:rtl w:val="true"/>
          <w:lang w:bidi="fa-IR"/>
        </w:rPr>
        <w:t>باب چهارم</w:t>
      </w:r>
    </w:p>
    <w:p>
      <w:pPr>
        <w:pStyle w:val="BookText"/>
        <w:rPr/>
      </w:pPr>
      <w:r>
        <w:rPr>
          <w:rFonts w:ascii="IRNazanin" w:hAnsi="IRNazanin" w:eastAsia="IRNazanin"/>
          <w:color w:val="111111"/>
          <w:sz w:val="28"/>
          <w:sz w:val="28"/>
          <w:szCs w:val="28"/>
          <w:rtl w:val="true"/>
          <w:lang w:bidi="fa-IR"/>
        </w:rPr>
        <w:t>روش تفسیری</w:t>
      </w:r>
    </w:p>
    <w:p>
      <w:pPr>
        <w:pStyle w:val="BookText"/>
        <w:rPr/>
      </w:pPr>
      <w:r>
        <w:rPr>
          <w:rFonts w:ascii="IRNazanin" w:hAnsi="IRNazanin" w:eastAsia="IRNazanin"/>
          <w:color w:val="111111"/>
          <w:sz w:val="28"/>
          <w:sz w:val="28"/>
          <w:szCs w:val="28"/>
          <w:rtl w:val="true"/>
          <w:lang w:bidi="fa-IR"/>
        </w:rPr>
        <w:t>نفحات الرّحمن فی تفسیر القرآن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تفسیری نهاوندی</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مناسبات سور در نفحات الرّحمن</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اسباب نزول در نفحات الرّحمن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مبهمات قرآن در نفحات الرّحمن</w:t>
      </w:r>
      <w:bookmarkStart w:id="327" w:name="pg4391_51081"/>
    </w:p>
    <w:p>
      <w:pPr>
        <w:pStyle w:val="Heading4"/>
        <w:numPr>
          <w:ilvl w:val="3"/>
          <w:numId w:val="1"/>
        </w:numPr>
        <w:rPr/>
      </w:pPr>
      <w:bookmarkStart w:id="328" w:name="__RefHeading___Toc1438835_1479056682"/>
      <w:bookmarkStart w:id="329" w:name="_Toc126"/>
      <w:bookmarkEnd w:id="327"/>
      <w:bookmarkEnd w:id="328"/>
      <w:r>
        <w:rPr>
          <w:rtl w:val="true"/>
        </w:rPr>
        <w:t xml:space="preserve">فصل دوازدهم </w:t>
      </w:r>
      <w:r>
        <w:rPr>
          <w:rtl w:val="true"/>
        </w:rPr>
        <w:t xml:space="preserve">- </w:t>
      </w:r>
      <w:r>
        <w:rPr>
          <w:rtl w:val="true"/>
        </w:rPr>
        <w:t>روش تفسیری نهاوندی</w:t>
      </w:r>
      <w:bookmarkEnd w:id="329"/>
    </w:p>
    <w:p>
      <w:pPr>
        <w:pStyle w:val="Heading5"/>
        <w:numPr>
          <w:ilvl w:val="4"/>
          <w:numId w:val="1"/>
        </w:numPr>
        <w:rPr/>
      </w:pPr>
      <w:bookmarkStart w:id="330" w:name="__RefHeading___Toc1438837_1479056682"/>
      <w:bookmarkStart w:id="331" w:name="_Toc127"/>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روشهای معمول در تفسیر قرآن، ترتیبی، موضوعی و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ترتیبی، مفسّر بدون تقسیم و یا جداسازی آیات به ترتیب نظم موجود در قرآن، به تفسیر آیات و سور می‌پردازد؛ یعنی پس از تفسیر بسمله، به تفسیر الفاظ و عبارات و منطوق و مفهوم هر کلمه و پاره آیه و نیز هر نکته و طُرفه و کنایه‌ای که در آیه نخستین دیده می‌شود،</w:t>
      </w:r>
    </w:p>
    <w:p>
      <w:pPr>
        <w:pStyle w:val="BookText"/>
        <w:rPr/>
      </w:pPr>
      <w:r>
        <w:rPr>
          <w:rFonts w:ascii="IRNazanin" w:hAnsi="IRNazanin" w:eastAsia="IRNazanin"/>
          <w:color w:val="111111"/>
          <w:sz w:val="28"/>
          <w:sz w:val="28"/>
          <w:szCs w:val="28"/>
          <w:rtl w:val="true"/>
          <w:lang w:bidi="fa-IR"/>
        </w:rPr>
        <w:t>می‌پردازد و در این تفسیر تقدّم و تأخّر او در بیان و توضیح، منطبق با ترتیب چینش الفاظ</w:t>
      </w:r>
    </w:p>
    <w:p>
      <w:pPr>
        <w:pStyle w:val="BookText"/>
        <w:rPr/>
      </w:pPr>
      <w:r>
        <w:rPr>
          <w:rFonts w:ascii="IRNazanin" w:hAnsi="IRNazanin" w:eastAsia="IRNazanin"/>
          <w:color w:val="111111"/>
          <w:sz w:val="28"/>
          <w:sz w:val="28"/>
          <w:szCs w:val="28"/>
          <w:rtl w:val="true"/>
          <w:lang w:bidi="fa-IR"/>
        </w:rPr>
        <w:t>آیه است و چنانچه تفهیم مطالب تفسیری آیه، نیازمند به بحث مستقل و مبسوط باشد، در پایان همان آیه، به طرح و بیان آن می‌پردازد، سپس آیه دوم سوره را به همان ترتیب،</w:t>
      </w:r>
    </w:p>
    <w:p>
      <w:pPr>
        <w:pStyle w:val="BookText"/>
        <w:rPr/>
      </w:pPr>
      <w:r>
        <w:rPr>
          <w:rFonts w:ascii="IRNazanin" w:hAnsi="IRNazanin" w:eastAsia="IRNazanin"/>
          <w:color w:val="111111"/>
          <w:sz w:val="28"/>
          <w:sz w:val="28"/>
          <w:szCs w:val="28"/>
          <w:rtl w:val="true"/>
          <w:lang w:bidi="fa-IR"/>
        </w:rPr>
        <w:t>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روش ترتیبی، همین شکل و سیر را تا پایان سوره ادامه می‌دهد و</w:t>
      </w:r>
    </w:p>
    <w:p>
      <w:pPr>
        <w:pStyle w:val="BookText"/>
        <w:rPr/>
      </w:pPr>
      <w:r>
        <w:rPr>
          <w:rFonts w:ascii="IRNazanin" w:hAnsi="IRNazanin" w:eastAsia="IRNazanin"/>
          <w:color w:val="111111"/>
          <w:sz w:val="28"/>
          <w:sz w:val="28"/>
          <w:szCs w:val="28"/>
          <w:rtl w:val="true"/>
          <w:lang w:bidi="fa-IR"/>
        </w:rPr>
        <w:t>هر جا لازم می‌داند به استشهادات قرآنی، روایی، عقلی، شعری، لغوی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گروهی در تفسیر، آن است که مفسّر، آیات هر سوره را براساس پیام مشترک و مطلب اصلی که در هر چند آیه وجود دارد، به گروههای مختلف دو آیه‌ای تا ده آیه‌ای و بلکه کمتر یا بیشتر تقسیم می‌کند و سپس به تفسیر گروه آیات می‌پردازد و پس از اتمام</w:t>
      </w:r>
    </w:p>
    <w:p>
      <w:pPr>
        <w:pStyle w:val="BookText"/>
        <w:rPr/>
      </w:pPr>
      <w:r>
        <w:rPr>
          <w:rFonts w:ascii="IRNazanin" w:hAnsi="IRNazanin" w:eastAsia="IRNazanin"/>
          <w:color w:val="111111"/>
          <w:sz w:val="28"/>
          <w:sz w:val="28"/>
          <w:szCs w:val="28"/>
          <w:rtl w:val="true"/>
          <w:lang w:bidi="fa-IR"/>
        </w:rPr>
        <w:t>تفسیر گروه اوّل آیات، گروه دوم آیات سوره مورد نظر را که دارای سیاق واحدند، تفسیر</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این روش به ارتباط موجود بین گروه آیات توجه زیادی دارد و هرجا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می‌داند برای تکمیل مطالب تفسیری به بحث گسترده پیرامون تک‌واژه‌های آیه و یا</w:t>
      </w:r>
    </w:p>
    <w:p>
      <w:pPr>
        <w:pStyle w:val="BookText"/>
        <w:rPr/>
      </w:pPr>
      <w:r>
        <w:rPr>
          <w:rFonts w:ascii="IRNazanin" w:hAnsi="IRNazanin" w:eastAsia="IRNazanin"/>
          <w:color w:val="111111"/>
          <w:sz w:val="28"/>
          <w:sz w:val="28"/>
          <w:szCs w:val="28"/>
          <w:rtl w:val="true"/>
          <w:lang w:bidi="fa-IR"/>
        </w:rPr>
        <w:t>موضوع مشترک گروه آیات می‌پردازد و در این مسیر به دیگر آیات و روایات استناد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روش موضوعی، مفسّر بدون رعایت ترتیب آیات در سور با استخراج آیات مختلف در سوره‌های مختلف و چینش آنها در کنار یکدیگر به تفسیر آیات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در تفسیر موضوعی، ابتدا موضوع خاصّی را پیش فرض می‌گیرد و سپس می‌کوشد آن موضوع را از دیدگاه قرآن تحقیق کند، لذا ناگزیر می‌شود خود را ملازم ترتیب موجود در قرآن نداند و با شناسایی آیات متّحد الموضوع که در جاهای مختلف قرآن جای گرفته</w:t>
      </w:r>
    </w:p>
    <w:p>
      <w:pPr>
        <w:pStyle w:val="BookText"/>
        <w:rPr/>
      </w:pPr>
      <w:r>
        <w:rPr>
          <w:rFonts w:ascii="IRNazanin" w:hAnsi="IRNazanin" w:eastAsia="IRNazanin"/>
          <w:color w:val="111111"/>
          <w:sz w:val="28"/>
          <w:sz w:val="28"/>
          <w:szCs w:val="28"/>
          <w:rtl w:val="true"/>
          <w:lang w:bidi="fa-IR"/>
        </w:rPr>
        <w:t>است، آنها را استخراج و با توجه به ارتباط مفهومی موجود بین این گونه آیات و بر اساس</w:t>
      </w:r>
    </w:p>
    <w:p>
      <w:pPr>
        <w:pStyle w:val="BookText"/>
        <w:rPr/>
      </w:pPr>
      <w:r>
        <w:rPr>
          <w:rFonts w:ascii="IRNazanin" w:hAnsi="IRNazanin" w:eastAsia="IRNazanin"/>
          <w:color w:val="111111"/>
          <w:sz w:val="28"/>
          <w:sz w:val="28"/>
          <w:szCs w:val="28"/>
          <w:rtl w:val="true"/>
          <w:lang w:bidi="fa-IR"/>
        </w:rPr>
        <w:t>تخصّص و گرایشی که مفسّر دارد، به تفسیر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برخی مفسّران تمایل دارند موضوعاتی از قبیل هدایت از دیدگاه قرآن، حکومت از دیدگاه قرآن، خلقت</w:t>
      </w:r>
    </w:p>
    <w:p>
      <w:pPr>
        <w:pStyle w:val="BookText"/>
        <w:rPr/>
      </w:pPr>
      <w:r>
        <w:rPr>
          <w:rFonts w:ascii="IRNazanin" w:hAnsi="IRNazanin" w:eastAsia="IRNazanin"/>
          <w:color w:val="111111"/>
          <w:sz w:val="28"/>
          <w:sz w:val="28"/>
          <w:szCs w:val="28"/>
          <w:rtl w:val="true"/>
          <w:lang w:bidi="fa-IR"/>
        </w:rPr>
        <w:t>آدم از دیدگاه قرآن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تحقیق کنند، لذا مجموعه تلاشها و کاوشهای علمی آنها تحت یک عنوان خاص جای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موضوعی نسبت به دو روش پیش گفته قدمت و کاربرد کمتری در میان مفسّران داشته و اگر از آن به عنوان یک روش خاص و مستقل در تفسیر یاد می‌شود، به تلاشهای مفسّران متأخّر و بلکه معاصر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با رونق تفسیر علمی در میان مفسّران، پرداختن به شیوه موضوعی از میان سه روش گفته شده، توجّه خاصّی را به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روح البیان بروسوی </w:t>
      </w:r>
      <w:r>
        <w:rPr>
          <w:rFonts w:eastAsia="IRNazanin" w:cs="IRNazanin"/>
          <w:color w:val="111111"/>
          <w:sz w:val="28"/>
          <w:szCs w:val="28"/>
          <w:rtl w:val="true"/>
          <w:lang w:bidi="fa-IR"/>
        </w:rPr>
        <w:t>(</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کشّاف 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وجیز سیّد عبداللّه شبّر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تفسیر وجیز بیضاوی از نمونه‌های بارز تفسیر ترتیبی است که مفسّران به ترتیب الفاظ آیات به تفسیر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مجمع البیان و نیز جوامع الجامع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تبیان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کبیر فخر رازی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المیزان محمّد حسین طباطبائی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بحر</w:t>
      </w:r>
    </w:p>
    <w:p>
      <w:pPr>
        <w:pStyle w:val="BookText"/>
        <w:rPr/>
      </w:pPr>
      <w:r>
        <w:rPr>
          <w:rFonts w:ascii="IRNazanin" w:hAnsi="IRNazanin" w:eastAsia="IRNazanin"/>
          <w:color w:val="111111"/>
          <w:sz w:val="28"/>
          <w:sz w:val="28"/>
          <w:szCs w:val="28"/>
          <w:rtl w:val="true"/>
          <w:lang w:bidi="fa-IR"/>
        </w:rPr>
        <w:t xml:space="preserve">المحیطابو حیّان غرناطی اندلسی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الجواهر فی تفسیر القرآن الحکیم</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طنطاوی و جوهری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تفسیر طنطاوی، از نمونه‌های بارز تفسیر گروهی است که مفسّران در آنها بر اساس سیاق و موضوع مشترکی که در آیات مجاور</w:t>
      </w:r>
      <w:bookmarkStart w:id="332" w:name="pg4391_51083"/>
    </w:p>
    <w:p>
      <w:pPr>
        <w:pStyle w:val="BookText"/>
        <w:rPr/>
      </w:pPr>
      <w:bookmarkEnd w:id="332"/>
      <w:r>
        <w:rPr>
          <w:rFonts w:ascii="IRNazanin" w:hAnsi="IRNazanin" w:eastAsia="IRNazanin"/>
          <w:color w:val="111111"/>
          <w:sz w:val="28"/>
          <w:sz w:val="28"/>
          <w:szCs w:val="28"/>
          <w:rtl w:val="true"/>
          <w:lang w:bidi="fa-IR"/>
        </w:rPr>
        <w:t>هر سوره وجود دارد، تفسیر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کنز العرفان فی فقه القرآن فاضل مقداد </w:t>
      </w:r>
      <w:r>
        <w:rPr>
          <w:rFonts w:eastAsia="IRNazanin" w:cs="IRNazanin"/>
          <w:color w:val="111111"/>
          <w:sz w:val="28"/>
          <w:szCs w:val="28"/>
          <w:rtl w:val="true"/>
          <w:lang w:bidi="fa-IR"/>
        </w:rPr>
        <w:t>(</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الغیب والشهادة من</w:t>
      </w:r>
    </w:p>
    <w:p>
      <w:pPr>
        <w:pStyle w:val="BookText"/>
        <w:rPr/>
      </w:pPr>
      <w:r>
        <w:rPr>
          <w:rFonts w:ascii="IRNazanin" w:hAnsi="IRNazanin" w:eastAsia="IRNazanin"/>
          <w:color w:val="111111"/>
          <w:sz w:val="28"/>
          <w:sz w:val="28"/>
          <w:szCs w:val="28"/>
          <w:rtl w:val="true"/>
          <w:lang w:bidi="fa-IR"/>
        </w:rPr>
        <w:t xml:space="preserve">خلال القرآن محمّد علی البازوری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الموسوعة القرآنیة ابراهیم الابیاری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صفات المتّقین و مقاصد سورة البقرة حسن البنّاء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نمونه‌های بارز تفسیر موضوعی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نهضت تفسیر موضوعی در ایران پس از انقلاب اسلامی و روی آوردن علما به تفسیر موضوعات مختلف از دیدگاه قرآن کاملاً مشهود است</w:t>
      </w:r>
      <w:r>
        <w:rPr>
          <w:rFonts w:eastAsia="IRNazanin" w:cs="IRNazanin"/>
          <w:color w:val="111111"/>
          <w:sz w:val="28"/>
          <w:szCs w:val="28"/>
          <w:rtl w:val="true"/>
          <w:lang w:bidi="fa-IR"/>
        </w:rPr>
        <w:t>.</w:t>
      </w:r>
    </w:p>
    <w:p>
      <w:pPr>
        <w:pStyle w:val="Heading5"/>
        <w:numPr>
          <w:ilvl w:val="4"/>
          <w:numId w:val="1"/>
        </w:numPr>
        <w:rPr/>
      </w:pPr>
      <w:bookmarkStart w:id="333" w:name="__RefHeading___Toc1438839_1479056682"/>
      <w:bookmarkStart w:id="334" w:name="_Toc128"/>
      <w:bookmarkEnd w:id="333"/>
      <w:r>
        <w:rPr>
          <w:rtl w:val="true"/>
        </w:rPr>
        <w:t>جایگاه نفحات الرّحمن در میان این سه روش</w:t>
      </w:r>
      <w:bookmarkEnd w:id="334"/>
    </w:p>
    <w:p>
      <w:pPr>
        <w:pStyle w:val="BookText"/>
        <w:rPr/>
      </w:pPr>
      <w:r>
        <w:rPr>
          <w:rFonts w:ascii="IRNazanin" w:hAnsi="IRNazanin" w:eastAsia="IRNazanin"/>
          <w:color w:val="111111"/>
          <w:sz w:val="28"/>
          <w:sz w:val="28"/>
          <w:szCs w:val="28"/>
          <w:rtl w:val="true"/>
          <w:lang w:bidi="fa-IR"/>
        </w:rPr>
        <w:t>تفسیر نفحات الرّحمن به شیوه ترتیبی نگاشته شده و مفسّر طی چهار مجلّد مبسوط و ضخیم به تفسیر تمام سور و آیات قرآن پرداخته است و ترتیب او در تفسیر همان ترتیب</w:t>
      </w:r>
    </w:p>
    <w:p>
      <w:pPr>
        <w:pStyle w:val="BookText"/>
        <w:rPr/>
      </w:pPr>
      <w:r>
        <w:rPr>
          <w:rFonts w:ascii="IRNazanin" w:hAnsi="IRNazanin" w:eastAsia="IRNazanin"/>
          <w:color w:val="111111"/>
          <w:sz w:val="28"/>
          <w:sz w:val="28"/>
          <w:szCs w:val="28"/>
          <w:rtl w:val="true"/>
          <w:lang w:bidi="fa-IR"/>
        </w:rPr>
        <w:t>موجود در آیات است و تا پایان تفسیر از این روش بیرون نشده و با قطعه قطعه کردن هر آیه، به تفسیر آن پرداخته است، گاه لفظ و عبارتی را بی‌نیاز از تفسیر دیده</w:t>
      </w:r>
      <w:r>
        <w:rPr>
          <w:rStyle w:val="FootnoteAnchor"/>
          <w:rtl w:val="true"/>
        </w:rPr>
        <w:footnoteReference w:id="318"/>
      </w:r>
      <w:r>
        <w:rPr>
          <w:rFonts w:ascii="IRNazanin" w:hAnsi="IRNazanin" w:eastAsia="IRNazanin"/>
          <w:color w:val="111111"/>
          <w:sz w:val="28"/>
          <w:sz w:val="28"/>
          <w:szCs w:val="28"/>
          <w:rtl w:val="true"/>
          <w:lang w:bidi="fa-IR"/>
        </w:rPr>
        <w:t>و گاه کلمه‌ای</w:t>
      </w:r>
    </w:p>
    <w:p>
      <w:pPr>
        <w:pStyle w:val="BookText"/>
        <w:rPr/>
      </w:pPr>
      <w:r>
        <w:rPr>
          <w:rFonts w:ascii="IRNazanin" w:hAnsi="IRNazanin" w:eastAsia="IRNazanin"/>
          <w:color w:val="111111"/>
          <w:sz w:val="28"/>
          <w:sz w:val="28"/>
          <w:szCs w:val="28"/>
          <w:rtl w:val="true"/>
          <w:lang w:bidi="fa-IR"/>
        </w:rPr>
        <w:t>را در حدّ یک کلمه تفسیر کرده</w:t>
      </w:r>
      <w:r>
        <w:rPr>
          <w:rStyle w:val="FootnoteAnchor"/>
          <w:rtl w:val="true"/>
        </w:rPr>
        <w:footnoteReference w:id="319"/>
      </w:r>
      <w:r>
        <w:rPr>
          <w:rFonts w:ascii="IRNazanin" w:hAnsi="IRNazanin" w:eastAsia="IRNazanin"/>
          <w:color w:val="111111"/>
          <w:sz w:val="28"/>
          <w:sz w:val="28"/>
          <w:szCs w:val="28"/>
          <w:rtl w:val="true"/>
          <w:lang w:bidi="fa-IR"/>
        </w:rPr>
        <w:t xml:space="preserve">و گاه در حدّ یک سطر </w:t>
      </w:r>
      <w:r>
        <w:rPr>
          <w:rStyle w:val="FootnoteAnchor"/>
          <w:rtl w:val="true"/>
        </w:rPr>
        <w:footnoteReference w:id="320"/>
      </w:r>
      <w:r>
        <w:rPr>
          <w:rFonts w:ascii="IRNazanin" w:hAnsi="IRNazanin" w:eastAsia="IRNazanin"/>
          <w:color w:val="111111"/>
          <w:sz w:val="28"/>
          <w:sz w:val="28"/>
          <w:szCs w:val="28"/>
          <w:rtl w:val="true"/>
          <w:lang w:bidi="fa-IR"/>
        </w:rPr>
        <w:t xml:space="preserve">و گاه یک صفحه </w:t>
      </w:r>
      <w:r>
        <w:rPr>
          <w:rStyle w:val="FootnoteAnchor"/>
          <w:rtl w:val="true"/>
        </w:rPr>
        <w:footnoteReference w:id="321"/>
      </w:r>
      <w:r>
        <w:rPr>
          <w:rFonts w:ascii="IRNazanin" w:hAnsi="IRNazanin" w:eastAsia="IRNazanin"/>
          <w:color w:val="111111"/>
          <w:sz w:val="28"/>
          <w:sz w:val="28"/>
          <w:szCs w:val="28"/>
          <w:rtl w:val="true"/>
          <w:lang w:bidi="fa-IR"/>
        </w:rPr>
        <w:t>و گاه در دو</w:t>
      </w:r>
    </w:p>
    <w:p>
      <w:pPr>
        <w:pStyle w:val="BookText"/>
        <w:rPr/>
      </w:pPr>
      <w:r>
        <w:rPr>
          <w:rFonts w:ascii="IRNazanin" w:hAnsi="IRNazanin" w:eastAsia="IRNazanin"/>
          <w:color w:val="111111"/>
          <w:sz w:val="28"/>
          <w:sz w:val="28"/>
          <w:szCs w:val="28"/>
          <w:rtl w:val="true"/>
          <w:lang w:bidi="fa-IR"/>
        </w:rPr>
        <w:t>صفحه</w:t>
      </w:r>
      <w:r>
        <w:rPr>
          <w:rStyle w:val="FootnoteAnchor"/>
          <w:rtl w:val="true"/>
        </w:rPr>
        <w:footnoteReference w:id="322"/>
      </w:r>
      <w:r>
        <w:rPr>
          <w:rFonts w:ascii="IRNazanin" w:hAnsi="IRNazanin" w:eastAsia="IRNazanin"/>
          <w:color w:val="111111"/>
          <w:sz w:val="28"/>
          <w:sz w:val="28"/>
          <w:szCs w:val="28"/>
          <w:rtl w:val="true"/>
          <w:lang w:bidi="fa-IR"/>
        </w:rPr>
        <w:t xml:space="preserve">به تفسیر کلمات و آیه نشسته و هر جا لازم دانسته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و بررسی نظریّات مختلف تفسیری و نیز جرح و تعدیل روایات همّت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کاتب نیز متن الفاظ و عبارات قرآنی را اندکی درشت‌تر و پر رنگ‌تر از مطالب تفسیری نوشته به گونه‌ای که اختلاط و اشتباهی بین آیات و تفسیر پیش نیاید</w:t>
      </w:r>
      <w:r>
        <w:rPr>
          <w:rFonts w:eastAsia="IRNazanin" w:cs="IRNazanin"/>
          <w:color w:val="111111"/>
          <w:sz w:val="28"/>
          <w:szCs w:val="28"/>
          <w:rtl w:val="true"/>
          <w:lang w:bidi="fa-IR"/>
        </w:rPr>
        <w:t>.</w:t>
      </w:r>
    </w:p>
    <w:p>
      <w:pPr>
        <w:pStyle w:val="Heading5"/>
        <w:numPr>
          <w:ilvl w:val="4"/>
          <w:numId w:val="1"/>
        </w:numPr>
        <w:rPr/>
      </w:pPr>
      <w:bookmarkStart w:id="335" w:name="__RefHeading___Toc1438841_1479056682"/>
      <w:bookmarkStart w:id="336" w:name="_Toc129"/>
      <w:bookmarkEnd w:id="335"/>
      <w:r>
        <w:rPr>
          <w:rtl w:val="true"/>
        </w:rPr>
        <w:t>روش فرعی نهاوندی در تفسیر</w:t>
      </w:r>
      <w:bookmarkEnd w:id="33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پیش گفته شد، روش اصلی نهاوندی در تفسیر بود و معلوم شد که او در</w:t>
      </w:r>
      <w:bookmarkStart w:id="337" w:name="pg4391_51084"/>
    </w:p>
    <w:p>
      <w:pPr>
        <w:pStyle w:val="BookText"/>
        <w:rPr/>
      </w:pPr>
      <w:bookmarkEnd w:id="337"/>
      <w:r>
        <w:rPr>
          <w:rFonts w:ascii="IRNazanin" w:hAnsi="IRNazanin" w:eastAsia="IRNazanin"/>
          <w:color w:val="111111"/>
          <w:sz w:val="28"/>
          <w:sz w:val="28"/>
          <w:szCs w:val="28"/>
          <w:rtl w:val="true"/>
          <w:lang w:bidi="fa-IR"/>
        </w:rPr>
        <w:t>تفسیر آیات، ترتیب الفاظ را رعایت می‌کند، امّا بررسی روش تفسیری او در تفسیر آیات و سور چنین می‌نمایاند که وی علاوه بر رعایت ترتیب فوق، به نکات مهمّ دیگری نیز توجّه نشان‌داده تا از گذر آن بهتر و سریعتر به مقاصد تفسیری آیات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تفسیر آیات، به اقتضای حال و مقال به برخی نکات توجّه خاصّی نشان داده و از طرح برخی مباحث که شیوه معمول دیگر مفسّران است، سر باز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نکاتی که در تفسیر آیات به طرح آن ملتزم است</w:t>
      </w:r>
      <w:r>
        <w:rPr>
          <w:rFonts w:eastAsia="IRNazanin" w:cs="IRNazanin"/>
          <w:color w:val="111111"/>
          <w:sz w:val="28"/>
          <w:szCs w:val="28"/>
          <w:rtl w:val="true"/>
          <w:lang w:bidi="fa-IR"/>
        </w:rPr>
        <w:t>:</w:t>
      </w:r>
    </w:p>
    <w:p>
      <w:pPr>
        <w:pStyle w:val="Heading5"/>
        <w:numPr>
          <w:ilvl w:val="4"/>
          <w:numId w:val="1"/>
        </w:numPr>
        <w:rPr/>
      </w:pPr>
      <w:bookmarkStart w:id="338" w:name="__RefHeading___Toc1438843_1479056682"/>
      <w:bookmarkStart w:id="339" w:name="_Toc130"/>
      <w:bookmarkEnd w:id="338"/>
      <w:r>
        <w:rPr>
          <w:rtl w:val="true"/>
        </w:rPr>
        <w:t>نقل روایات تفسیری</w:t>
      </w:r>
      <w:bookmarkEnd w:id="339"/>
    </w:p>
    <w:p>
      <w:pPr>
        <w:pStyle w:val="BookText"/>
        <w:rPr/>
      </w:pPr>
      <w:r>
        <w:rPr>
          <w:rFonts w:ascii="IRNazanin" w:hAnsi="IRNazanin" w:eastAsia="IRNazanin"/>
          <w:color w:val="111111"/>
          <w:sz w:val="28"/>
          <w:sz w:val="28"/>
          <w:szCs w:val="28"/>
          <w:rtl w:val="true"/>
          <w:lang w:bidi="fa-IR"/>
        </w:rPr>
        <w:t>التزام مفسّر به بهره‌گیری از روایات تفسیری معصومین علیهم‌السلام و گاه استنادهای تحلیلی به اقوال و گفتارهای مفسّران دوره صحابه و تابعین، در سرتاسر کتاب مشاهده می‌شود</w:t>
      </w:r>
      <w:r>
        <w:rPr>
          <w:rFonts w:eastAsia="IRNazanin" w:cs="IRNazanin"/>
          <w:color w:val="111111"/>
          <w:sz w:val="28"/>
          <w:szCs w:val="28"/>
          <w:rtl w:val="true"/>
          <w:lang w:bidi="fa-IR"/>
        </w:rPr>
        <w:t>.</w:t>
      </w:r>
    </w:p>
    <w:p>
      <w:pPr>
        <w:pStyle w:val="Heading5"/>
        <w:numPr>
          <w:ilvl w:val="4"/>
          <w:numId w:val="1"/>
        </w:numPr>
        <w:rPr/>
      </w:pPr>
      <w:bookmarkStart w:id="340" w:name="__RefHeading___Toc1438845_1479056682"/>
      <w:bookmarkStart w:id="341" w:name="_Toc131"/>
      <w:bookmarkEnd w:id="340"/>
      <w:r>
        <w:rPr>
          <w:rtl w:val="true"/>
        </w:rPr>
        <w:t>بیان نظم سوره‌ها</w:t>
      </w:r>
      <w:bookmarkEnd w:id="341"/>
    </w:p>
    <w:p>
      <w:pPr>
        <w:pStyle w:val="BookText"/>
        <w:rPr/>
      </w:pPr>
      <w:r>
        <w:rPr>
          <w:rFonts w:ascii="IRNazanin" w:hAnsi="IRNazanin" w:eastAsia="IRNazanin"/>
          <w:color w:val="111111"/>
          <w:sz w:val="28"/>
          <w:sz w:val="28"/>
          <w:szCs w:val="28"/>
          <w:rtl w:val="true"/>
          <w:lang w:bidi="fa-IR"/>
        </w:rPr>
        <w:t>نهاوندی یکی از مفسّران دقیق و هوشیاری است که به نظام سور و تناسب موجود بین سوره‌های قرآن و نیز بنابر اقتضا، تناسب آیات، توجّه خاصّی از خود نشان داده</w:t>
      </w:r>
    </w:p>
    <w:p>
      <w:pPr>
        <w:pStyle w:val="BookText"/>
        <w:rPr/>
      </w:pPr>
      <w:r>
        <w:rPr>
          <w:rFonts w:ascii="IRNazanin" w:hAnsi="IRNazanin" w:eastAsia="IRNazanin"/>
          <w:color w:val="111111"/>
          <w:sz w:val="28"/>
          <w:sz w:val="28"/>
          <w:szCs w:val="28"/>
          <w:rtl w:val="true"/>
          <w:lang w:bidi="fa-IR"/>
        </w:rPr>
        <w:t xml:space="preserve">است </w:t>
      </w:r>
      <w:r>
        <w:rPr>
          <w:rStyle w:val="FootnoteAnchor"/>
          <w:rtl w:val="true"/>
        </w:rPr>
        <w:footnoteReference w:id="3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او به تناسب و ارتباط سوره‌ها در سرتاسر کتاب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پایان تفسیر هر سوره و نیز آغاز تفسیر سوره بعد، می‌کوشد سنخیّت و تناسب خاصّی بین مطالب پایان هر سوره با مطالب آغازین سوره بعد بجوید و در این تلاش نیز بدون استثنا</w:t>
      </w:r>
    </w:p>
    <w:p>
      <w:pPr>
        <w:pStyle w:val="BookText"/>
        <w:rPr/>
      </w:pPr>
      <w:r>
        <w:rPr>
          <w:rFonts w:ascii="IRNazanin" w:hAnsi="IRNazanin" w:eastAsia="IRNazanin"/>
          <w:color w:val="111111"/>
          <w:sz w:val="28"/>
          <w:sz w:val="28"/>
          <w:szCs w:val="28"/>
          <w:rtl w:val="true"/>
          <w:lang w:bidi="fa-IR"/>
        </w:rPr>
        <w:t>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مهمتر آن که می‌کوشد نظمی دقیق بین سوره‌های قرآن شناسایی کند</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را می‌توان به عنوان یکی از مهمترین ایده‌ها و آرمانهای تفسیری در اثبات</w:t>
      </w:r>
    </w:p>
    <w:p>
      <w:pPr>
        <w:pStyle w:val="BookText"/>
        <w:rPr/>
      </w:pPr>
      <w:r>
        <w:rPr>
          <w:rFonts w:ascii="IRNazanin" w:hAnsi="IRNazanin" w:eastAsia="IRNazanin"/>
          <w:color w:val="111111"/>
          <w:sz w:val="28"/>
          <w:sz w:val="28"/>
          <w:szCs w:val="28"/>
          <w:rtl w:val="true"/>
          <w:lang w:bidi="fa-IR"/>
        </w:rPr>
        <w:t>توقیفی بودن نظم سور و آیات یاد کرد و به نظر می‌رسد کمتر مفسّری است که به نکته دوم پرداخته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دقّت‌نظر مستمر نهاوندی در سرتاسر تفسیر مشهود بوده و زیبایی خاصّی به نفحات الرّحمن او داده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تازگی و طراوت اندیشه نهاوندی را می‌توان در اِمعان نظر وی به منظور شناسایی نظم</w:t>
      </w:r>
      <w:bookmarkStart w:id="342" w:name="pg4391_51085"/>
    </w:p>
    <w:p>
      <w:pPr>
        <w:pStyle w:val="BookText"/>
        <w:rPr/>
      </w:pPr>
      <w:bookmarkEnd w:id="342"/>
      <w:r>
        <w:rPr>
          <w:rFonts w:ascii="IRNazanin" w:hAnsi="IRNazanin" w:eastAsia="IRNazanin"/>
          <w:color w:val="111111"/>
          <w:sz w:val="28"/>
          <w:sz w:val="28"/>
          <w:szCs w:val="28"/>
          <w:rtl w:val="true"/>
          <w:lang w:bidi="fa-IR"/>
        </w:rPr>
        <w:t>و تناسب موجود در سرتاسر آیات سوره‌های مجاور به وضوح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تسلّط وی بر مطالب مندرج در سوره‌های قرآن، این امکان را برایش فراهم ساخته است</w:t>
      </w:r>
    </w:p>
    <w:p>
      <w:pPr>
        <w:pStyle w:val="BookText"/>
        <w:rPr/>
      </w:pPr>
      <w:r>
        <w:rPr>
          <w:rFonts w:ascii="IRNazanin" w:hAnsi="IRNazanin" w:eastAsia="IRNazanin"/>
          <w:color w:val="111111"/>
          <w:sz w:val="28"/>
          <w:sz w:val="28"/>
          <w:szCs w:val="28"/>
          <w:rtl w:val="true"/>
          <w:lang w:bidi="fa-IR"/>
        </w:rPr>
        <w:t>تا اعجاز قرآن را به شیوه‌ای غیر از آنچه دیگران گفته‌اند به تصویر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او اعتقاد دارد علاوه بر ارتباط و تناسب خاصّی که در پایان و آغاز سوره یونس و هود دیده می‌شود، وجود ده مطلب مشترک در هر دو سوره، نظمی درونی به آن بخشیده است </w:t>
      </w:r>
      <w:r>
        <w:rPr>
          <w:rStyle w:val="FootnoteAnchor"/>
          <w:rtl w:val="true"/>
        </w:rPr>
        <w:footnoteReference w:id="325"/>
      </w:r>
      <w:r>
        <w:rPr>
          <w:rFonts w:ascii="IRNazanin" w:hAnsi="IRNazanin" w:eastAsia="IRNazanin"/>
          <w:color w:val="111111"/>
          <w:sz w:val="28"/>
          <w:sz w:val="28"/>
          <w:szCs w:val="28"/>
          <w:rtl w:val="true"/>
          <w:lang w:bidi="fa-IR"/>
        </w:rPr>
        <w:t>که ما در جای دیگر، پیرامون آن سخن گفته‌ایم</w:t>
      </w:r>
      <w:r>
        <w:rPr>
          <w:rFonts w:eastAsia="IRNazanin" w:cs="IRNazanin"/>
          <w:color w:val="111111"/>
          <w:sz w:val="28"/>
          <w:szCs w:val="28"/>
          <w:rtl w:val="true"/>
          <w:lang w:bidi="fa-IR"/>
        </w:rPr>
        <w:t>.</w:t>
      </w:r>
    </w:p>
    <w:p>
      <w:pPr>
        <w:pStyle w:val="Heading5"/>
        <w:numPr>
          <w:ilvl w:val="4"/>
          <w:numId w:val="1"/>
        </w:numPr>
        <w:rPr/>
      </w:pPr>
      <w:bookmarkStart w:id="343" w:name="__RefHeading___Toc1438847_1479056682"/>
      <w:bookmarkStart w:id="344" w:name="_Toc132"/>
      <w:bookmarkEnd w:id="343"/>
      <w:r>
        <w:rPr>
          <w:rtl w:val="true"/>
        </w:rPr>
        <w:t>توجّه به اسباب نزول</w:t>
      </w:r>
      <w:bookmarkEnd w:id="344"/>
    </w:p>
    <w:p>
      <w:pPr>
        <w:pStyle w:val="BookText"/>
        <w:rPr/>
      </w:pPr>
      <w:r>
        <w:rPr>
          <w:rFonts w:ascii="IRNazanin" w:hAnsi="IRNazanin" w:eastAsia="IRNazanin"/>
          <w:color w:val="111111"/>
          <w:sz w:val="28"/>
          <w:sz w:val="28"/>
          <w:szCs w:val="28"/>
          <w:rtl w:val="true"/>
          <w:lang w:bidi="fa-IR"/>
        </w:rPr>
        <w:t>اهتمام مفسّر در تفسیر آیات از طریق شناسایی سبب یا اسباب نزول آیات در سرتاسر کتاب وی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شناسایی اسباب نزول آیات صرفا از طریق نقل اقدام می‌کند و در این راستا به روایات معصومین و سپس گفتار صحابه توجّه خاصّی مبذول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شناسایی اسباب نزول آیات صرفا از طریق مذهب خویش اصرار نمی‌ورزد و اگر روایت و گفتار قابل توجّهی در طرق عامّه می‌بیند، به نقل آن می‌پردازد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مواقعی که تعارضی در روایات مبیّن سبب نزول آیات احساس می‌کند، می‌کوشد با مراجعه به طرق معتبر روات شیعه و اعتماد به سخن آنها به حلّ تعارض پردازد </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پذیری مفسّر از عقاید طبرسی در مجمع البیان و جوامع الجامع و نیز شیخ طوسی در</w:t>
      </w:r>
    </w:p>
    <w:p>
      <w:pPr>
        <w:pStyle w:val="BookText"/>
        <w:rPr/>
      </w:pPr>
      <w:r>
        <w:rPr>
          <w:rFonts w:ascii="IRNazanin" w:hAnsi="IRNazanin" w:eastAsia="IRNazanin"/>
          <w:color w:val="111111"/>
          <w:sz w:val="28"/>
          <w:sz w:val="28"/>
          <w:szCs w:val="28"/>
          <w:rtl w:val="true"/>
          <w:lang w:bidi="fa-IR"/>
        </w:rPr>
        <w:t>التبیان، در این خصوص، کاملاً چشمگیر است، اگرچه خود به آن اعتراف نکرده و یا ارجاعی دقیق نداده است</w:t>
      </w:r>
      <w:r>
        <w:rPr>
          <w:rStyle w:val="FootnoteAnchor"/>
          <w:rtl w:val="true"/>
        </w:rPr>
        <w:footnoteReference w:id="3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نقل وقایعی که منجر به نزول آیه و سوره شده است، از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می‌ورزد و با عباراتی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شأن نزوله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الآیة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نزلت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هذه الآیة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منظور خود را بیان می‌کند </w:t>
      </w:r>
      <w:r>
        <w:rPr>
          <w:rStyle w:val="FootnoteAnchor"/>
          <w:rtl w:val="true"/>
        </w:rPr>
        <w:footnoteReference w:id="329"/>
      </w:r>
      <w:r>
        <w:rPr>
          <w:rFonts w:ascii="IRNazanin" w:hAnsi="IRNazanin" w:eastAsia="IRNazanin"/>
          <w:color w:val="111111"/>
          <w:sz w:val="28"/>
          <w:sz w:val="28"/>
          <w:szCs w:val="28"/>
          <w:rtl w:val="true"/>
          <w:lang w:bidi="fa-IR"/>
        </w:rPr>
        <w:t>نیز در رویارویی با روایات و اخباری که اسباب متعدّدی را در نزول آیه بیان داشته‌اند، تا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جا که مقدور است، به تحلیل و سنجش روایات و اقوال می‌پردازد تا سخن حقیقی و قول ارجح را برگزیند </w:t>
      </w:r>
      <w:r>
        <w:rPr>
          <w:rStyle w:val="FootnoteAnchor"/>
          <w:rtl w:val="true"/>
        </w:rPr>
        <w:footnoteReference w:id="330"/>
      </w:r>
      <w:r>
        <w:rPr>
          <w:rFonts w:ascii="IRNazanin" w:hAnsi="IRNazanin" w:eastAsia="IRNazanin"/>
          <w:color w:val="111111"/>
          <w:sz w:val="28"/>
          <w:sz w:val="28"/>
          <w:szCs w:val="28"/>
          <w:rtl w:val="true"/>
          <w:lang w:bidi="fa-IR"/>
        </w:rPr>
        <w:t>و هرجا به این مهم دست نمی‌یابد و یا ترجیحی در روایات</w:t>
      </w:r>
      <w:bookmarkStart w:id="345" w:name="pg4391_51086"/>
    </w:p>
    <w:p>
      <w:pPr>
        <w:pStyle w:val="BookText"/>
        <w:rPr/>
      </w:pPr>
      <w:bookmarkEnd w:id="345"/>
      <w:r>
        <w:rPr>
          <w:rFonts w:ascii="IRNazanin" w:hAnsi="IRNazanin" w:eastAsia="IRNazanin"/>
          <w:color w:val="111111"/>
          <w:sz w:val="28"/>
          <w:sz w:val="28"/>
          <w:szCs w:val="28"/>
          <w:rtl w:val="true"/>
          <w:lang w:bidi="fa-IR"/>
        </w:rPr>
        <w:t>نمی‌بیند، هر دو یا هر سه روایات و اقوال را به عنوان اسباب نزول آیه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w:t>
      </w:r>
    </w:p>
    <w:p>
      <w:pPr>
        <w:pStyle w:val="BookText"/>
        <w:rPr/>
      </w:pPr>
      <w:r>
        <w:rPr>
          <w:rFonts w:ascii="IRNazanin" w:hAnsi="IRNazanin" w:eastAsia="IRNazanin"/>
          <w:color w:val="111111"/>
          <w:sz w:val="28"/>
          <w:sz w:val="28"/>
          <w:szCs w:val="28"/>
          <w:rtl w:val="true"/>
          <w:lang w:bidi="fa-IR"/>
        </w:rPr>
        <w:t xml:space="preserve">مقدمه تفسیر به تعرّض خود نسبت به اسباب نزول آیات اعتراف کرده است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438849_1479056682"/>
      <w:bookmarkStart w:id="347" w:name="_Toc133"/>
      <w:bookmarkEnd w:id="346"/>
      <w:r>
        <w:rPr>
          <w:rtl w:val="true"/>
        </w:rPr>
        <w:t>اجتناب از ورود به بحث قراءات</w:t>
      </w:r>
      <w:bookmarkEnd w:id="347"/>
    </w:p>
    <w:p>
      <w:pPr>
        <w:pStyle w:val="BookText"/>
        <w:rPr/>
      </w:pPr>
      <w:r>
        <w:rPr>
          <w:rFonts w:ascii="IRNazanin" w:hAnsi="IRNazanin" w:eastAsia="IRNazanin"/>
          <w:color w:val="111111"/>
          <w:sz w:val="28"/>
          <w:sz w:val="28"/>
          <w:szCs w:val="28"/>
          <w:rtl w:val="true"/>
          <w:lang w:bidi="fa-IR"/>
        </w:rPr>
        <w:t>معمول برخی مفسّران آن است که قبل از ورود به تفسیر به اختیار قراءت خود بپردازد و در استدلال و اثبات آن دلایلی را ذکر کند، امّا پاره‌ای دیگر از مفسّران از ورود به مباحث اختلافی پیرامون قراءات اجتناب کرده‌اند و با پذیرش قراءت حفص از عاصم به تعقیب اهداف تفسیری خود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به ندرت و بلکه در حدّ صفر به بررسی وجوه مختلف قراءات می‌پردازد و به ادّعای خود که در مقدمه تفسیر اشاره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وکففت عن التکلّم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وجوه القراءات الّتی کانت مخالفة للقراءة المشهورة</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کاملاً وفادار مانده است و پیش‌بینی می‌کند چنانچه قصد پرداختن به این مطلب را داشته باشد دلایل قراءت اختیاری خود را صرفا</w:t>
      </w:r>
    </w:p>
    <w:p>
      <w:pPr>
        <w:pStyle w:val="BookText"/>
        <w:rPr/>
      </w:pPr>
      <w:r>
        <w:rPr>
          <w:rFonts w:ascii="IRNazanin" w:hAnsi="IRNazanin" w:eastAsia="IRNazanin"/>
          <w:color w:val="111111"/>
          <w:sz w:val="28"/>
          <w:sz w:val="28"/>
          <w:szCs w:val="28"/>
          <w:rtl w:val="true"/>
          <w:lang w:bidi="fa-IR"/>
        </w:rPr>
        <w:t xml:space="preserve">از اقوال و روایات معصومین برگزیند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عنوان مثال در قراءت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حتّی 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تَقْرَبُوهُنَّ حَتَّی یَطْهُرْنَ</w:t>
      </w:r>
      <w:r>
        <w:rPr>
          <w:rFonts w:eastAsia="Amiri" w:cs="Amiri" w:ascii="Amiri" w:hAnsi="Amiri"/>
          <w:color w:val="111111"/>
          <w:sz w:val="28"/>
          <w:szCs w:val="28"/>
          <w:rtl w:val="true"/>
          <w:lang w:bidi="ar-SA"/>
        </w:rPr>
        <w:t>... »</w:t>
      </w:r>
      <w:r>
        <w:rPr>
          <w:rStyle w:val="FootnoteAnchor"/>
          <w:rtl w:val="true"/>
        </w:rPr>
        <w:footnoteReference w:id="334"/>
      </w:r>
      <w:r>
        <w:rPr>
          <w:rFonts w:ascii="IRNazanin" w:hAnsi="IRNazanin" w:eastAsia="IRNazanin"/>
          <w:color w:val="111111"/>
          <w:sz w:val="28"/>
          <w:sz w:val="28"/>
          <w:szCs w:val="28"/>
          <w:rtl w:val="true"/>
          <w:lang w:bidi="fa-IR"/>
        </w:rPr>
        <w:t xml:space="preserve">، اگرچه برخی قرّاء آن را با تشدید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کرده‌اند، امّا نهاوندی قراءت غیر مشدّد آن را برگزیده و در اثبات نظر خویش به برخی روایات فقهی که با قراءت غیر مشدّد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یطهرن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 استناد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سخنی از عبداللّه بن بکیر به نقل</w:t>
      </w:r>
    </w:p>
    <w:p>
      <w:pPr>
        <w:pStyle w:val="BookText"/>
        <w:rPr/>
      </w:pPr>
      <w:r>
        <w:rPr>
          <w:rFonts w:ascii="IRNazanin" w:hAnsi="IRNazanin" w:eastAsia="IRNazanin"/>
          <w:color w:val="111111"/>
          <w:sz w:val="28"/>
          <w:sz w:val="28"/>
          <w:szCs w:val="28"/>
          <w:rtl w:val="true"/>
          <w:lang w:bidi="fa-IR"/>
        </w:rPr>
        <w:t xml:space="preserve">از امام صادق علیه‌السلام و نیز سخنی دیگر از آن حضرت و روایتی از امام حسن عسکری علیه‌السلام دلایل روایی او را تشکیل می‌دهد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اختیار این قراءت با صاحب تفسیر مجمع البیان هم‌رأی است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قاری نفحات الرّحمن نباید انتظار بحث فنّی پیرامون قراءات را داشته باشد، امّا نظر به گرایش فقهی و اصولی مفسّر، آن جا که اختلاف در قراءات، منشأ اختلاف و دگرگونی در استنباط احکام فقهی و شرعی شده است، وی در اختیار قراءت خود،</w:t>
      </w:r>
      <w:bookmarkStart w:id="348" w:name="pg4391_51087"/>
    </w:p>
    <w:p>
      <w:pPr>
        <w:pStyle w:val="BookText"/>
        <w:rPr/>
      </w:pPr>
      <w:bookmarkEnd w:id="348"/>
      <w:r>
        <w:rPr>
          <w:rFonts w:ascii="IRNazanin" w:hAnsi="IRNazanin" w:eastAsia="IRNazanin"/>
          <w:color w:val="111111"/>
          <w:sz w:val="28"/>
          <w:sz w:val="28"/>
          <w:szCs w:val="28"/>
          <w:rtl w:val="true"/>
          <w:lang w:bidi="fa-IR"/>
        </w:rPr>
        <w:t>استدلال می‌کند، امّا دیگر مفسّران مشهور در صدر بیانات تفسیری خویش به معرّفی قراءات اختیاری خویش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نهاوندی در مقدمه تفسیر اشاره کرده، وی پیوسته بر رعایت و تبعیت از قراءت مشهور وفادار بوده و از ورود به قراءت غیر مشهور و احتجاج و مناقشه پیرامون آن اجتناب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وی از قراءت مشهور، قراءت حفص </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عاصم</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عاصم بن ابی النجود کوفی، قرآن را بر ابی عبدالرّحمن سلمی به روایت عبداللّه بن مسعود و عثمان بن عفّان و علیّ بن ابی طالب علیه‌السلام و اُبیّ بن کعب و زید بن ثابت به روایت از نبیّ اکرم صلی‌الله‌علیه‌و‌آله قراءت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قراءت عاصم دو نفر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سلیمان دوری،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بکر شعبة بن عیّاش حنّاط </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سرآمد قرّاء کوفه بودند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مفسّران و اصولیّ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قرآن و نصوص آن را متواتر و قراءات را غیر متواتر</w:t>
      </w:r>
    </w:p>
    <w:p>
      <w:pPr>
        <w:pStyle w:val="BookText"/>
        <w:rPr/>
      </w:pPr>
      <w:r>
        <w:rPr>
          <w:rFonts w:ascii="IRNazanin" w:hAnsi="IRNazanin" w:eastAsia="IRNazanin"/>
          <w:color w:val="111111"/>
          <w:sz w:val="28"/>
          <w:sz w:val="28"/>
          <w:szCs w:val="28"/>
          <w:rtl w:val="true"/>
          <w:lang w:bidi="fa-IR"/>
        </w:rPr>
        <w:t xml:space="preserve">می‌دانند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438851_1479056682"/>
      <w:bookmarkStart w:id="350" w:name="_Toc134"/>
      <w:bookmarkEnd w:id="349"/>
      <w:r>
        <w:rPr>
          <w:rtl w:val="true"/>
        </w:rPr>
        <w:t>تفسیر به دو زبان</w:t>
      </w:r>
      <w:bookmarkEnd w:id="350"/>
    </w:p>
    <w:p>
      <w:pPr>
        <w:pStyle w:val="BookText"/>
        <w:rPr/>
      </w:pPr>
      <w:r>
        <w:rPr>
          <w:rFonts w:ascii="IRNazanin" w:hAnsi="IRNazanin" w:eastAsia="IRNazanin"/>
          <w:color w:val="111111"/>
          <w:sz w:val="28"/>
          <w:sz w:val="28"/>
          <w:szCs w:val="28"/>
          <w:rtl w:val="true"/>
          <w:lang w:bidi="fa-IR"/>
        </w:rPr>
        <w:t>متن اصلی تفسیر نفحات الرّحمن به زبان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عربی مؤلّف، قابل توجّه و تسلّط وی به قواعد نحوی و صرفی الفاظ و عبارات و کاربرد به جای آن در جای جای کتاب، چشمگیر است ارائه تفسیر عربی و فارسی از مفسّر فارسی زبان، سابقه زیادی در بین ایرانیان دارد و راز آن را باید در اعتقاد دانشمندان، فقها و مفسّران و محدّثان به زبان رسمی اسلام که عربی است،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زبان عربی مناسب‌ترین زبان در بیان مقاصد آیات قرآن کریم است، هم می‌تواند شیرین‌ترین و بلکه رساترین ابزار در بیان</w:t>
      </w:r>
    </w:p>
    <w:p>
      <w:pPr>
        <w:pStyle w:val="BookText"/>
        <w:rPr/>
      </w:pPr>
      <w:r>
        <w:rPr>
          <w:rFonts w:ascii="IRNazanin" w:hAnsi="IRNazanin" w:eastAsia="IRNazanin"/>
          <w:color w:val="111111"/>
          <w:sz w:val="28"/>
          <w:sz w:val="28"/>
          <w:szCs w:val="28"/>
          <w:rtl w:val="true"/>
          <w:lang w:bidi="fa-IR"/>
        </w:rPr>
        <w:t>مطالب تفسیری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تفسیر قرآن به هر زبان که باشد، فاقد وجوه اعجاز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با سخن بشر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دانشمندان ایرانی که در نظام آموزشی حوزه‌های دینی تحصیل کرده‌اند کتابهای خود را به زبان عربی می‌نویسند زیرا اشراف آنها بر ادبیات عرب بیش از آگاهی‌شان از زبان مادری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باید پذیرفت که عربی بودن زبان اصلی آموزش و 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قیق 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آموزش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در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وزه‌های دینی به طور طبیعی تسلّط آنان را بر این زبان به دنبال خواهد داشت و این امری انکارناپذیر است و اگر زبان آموزش و تحصیل غیر از عربی بود، وضع تحقیق و نگارش به گونه دیگری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نیز بنا به همین دلایل، زبان عربی را برای متن تفسیری نفحات الرّحمن</w:t>
      </w:r>
    </w:p>
    <w:p>
      <w:pPr>
        <w:pStyle w:val="BookText"/>
        <w:rPr/>
      </w:pPr>
      <w:r>
        <w:rPr>
          <w:rFonts w:ascii="IRNazanin" w:hAnsi="IRNazanin" w:eastAsia="IRNazanin"/>
          <w:color w:val="111111"/>
          <w:sz w:val="28"/>
          <w:sz w:val="28"/>
          <w:szCs w:val="28"/>
          <w:rtl w:val="true"/>
          <w:lang w:bidi="fa-IR"/>
        </w:rPr>
        <w:t>برگزیده است، امّا نکته جالب توجّهی که در این کتاب دیده می‌شود، وفاداری مفسّر به زبان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پرداختن به متن اصلی کتاب، خلاصه‌ای از ترجمه و تفسیر آیات را در قالب نثر یک دست فارسی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هدف وی از این کار، احساس مسؤولیت وی در برابر خوانندگان و پژوهشگران فارسی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گروه از قرآنپژوهان نیز حقّی قایل می‌باشد؛ لذا قبل از ورود به متن اصلی حظ و بهره‌ای از تفسیر را در کام آنان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مقایسه متن فارسی و عربی تفسیر نفحات الرّحمن</w:t>
      </w:r>
    </w:p>
    <w:p>
      <w:pPr>
        <w:pStyle w:val="BookText"/>
        <w:rPr/>
      </w:pPr>
      <w:r>
        <w:rPr>
          <w:rFonts w:ascii="IRNazanin" w:hAnsi="IRNazanin" w:eastAsia="IRNazanin"/>
          <w:color w:val="111111"/>
          <w:sz w:val="28"/>
          <w:sz w:val="28"/>
          <w:szCs w:val="28"/>
          <w:rtl w:val="true"/>
          <w:lang w:bidi="fa-IR"/>
        </w:rPr>
        <w:t>نکته‌های زیر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فارسی تفسیر به طور میانگین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کتاب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فارسی، از درج الفاظ و عبارات قرآن 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ترجمه و تفسیر متن فارسی، نه تحت اللّفظی، بلکه به صورت گزارشی و ترجمه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فارسی از ورود به مباحث فنّی در علم تفسیر از قبیل تعریف مصطلحات علوم قرآنی و تفسیر، طرح روایات متعارض، تحلیل روایات، جرح و تعدیل،</w:t>
      </w:r>
    </w:p>
    <w:p>
      <w:pPr>
        <w:pStyle w:val="BookText"/>
        <w:rPr/>
      </w:pPr>
      <w:r>
        <w:rPr>
          <w:rFonts w:ascii="IRNazanin" w:hAnsi="IRNazanin" w:eastAsia="IRNazanin"/>
          <w:color w:val="111111"/>
          <w:sz w:val="28"/>
          <w:sz w:val="28"/>
          <w:szCs w:val="28"/>
          <w:rtl w:val="true"/>
          <w:lang w:bidi="fa-IR"/>
        </w:rPr>
        <w:t>مباحث نحوی، طرح دیدگاه‌های مخالف تفسیری، کاوش پیرامون اسباب نزول آیات و تفسیر مبهمات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فارسی تفسیر، می‌تواند به عنوان مقدمه ورود به مباحث دقیق و فنّی نفحات الرّحمن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اهداف و مقاصدی که در متن عربی دنبال شده، در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 فارسی گردآوری نشده است</w:t>
      </w:r>
      <w:r>
        <w:rPr>
          <w:rFonts w:eastAsia="IRNazanin" w:cs="IRNazanin"/>
          <w:color w:val="111111"/>
          <w:sz w:val="28"/>
          <w:szCs w:val="28"/>
          <w:rtl w:val="true"/>
          <w:lang w:bidi="fa-IR"/>
        </w:rPr>
        <w:t>.</w:t>
      </w:r>
      <w:bookmarkStart w:id="351" w:name="pg4391_51089"/>
    </w:p>
    <w:p>
      <w:pPr>
        <w:pStyle w:val="BookText"/>
        <w:rPr/>
      </w:pPr>
      <w:bookmarkEnd w:id="351"/>
      <w:r>
        <w:rPr>
          <w:rFonts w:ascii="IRNazanin" w:hAnsi="IRNazanin" w:eastAsia="IRNazanin"/>
          <w:color w:val="111111"/>
          <w:sz w:val="28"/>
          <w:sz w:val="28"/>
          <w:szCs w:val="28"/>
          <w:rtl w:val="true"/>
          <w:lang w:bidi="fa-IR"/>
        </w:rPr>
        <w:t xml:space="preserve">مقدّمه مبسوط مفسّر بر نفحات الرّحمن که طیّ چهل طُرفه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فصل به معنای نکته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 به طور کامل به زبان اصلی تفسیر یعنی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آنانی که با تفسیر روح البیان اسماعیل حقی بروسوی </w:t>
      </w:r>
      <w:r>
        <w:rPr>
          <w:rStyle w:val="FootnoteAnchor"/>
          <w:rtl w:val="true"/>
        </w:rPr>
        <w:footnoteReference w:id="339"/>
      </w:r>
      <w:r>
        <w:rPr>
          <w:rFonts w:ascii="IRNazanin" w:hAnsi="IRNazanin" w:eastAsia="IRNazanin"/>
          <w:color w:val="111111"/>
          <w:sz w:val="28"/>
          <w:sz w:val="28"/>
          <w:szCs w:val="28"/>
          <w:rtl w:val="true"/>
          <w:lang w:bidi="fa-IR"/>
        </w:rPr>
        <w:t>آشنایی دارند، خوب می‌دانند که این</w:t>
      </w:r>
    </w:p>
    <w:p>
      <w:pPr>
        <w:pStyle w:val="BookText"/>
        <w:rPr/>
      </w:pPr>
      <w:r>
        <w:rPr>
          <w:rFonts w:ascii="IRNazanin" w:hAnsi="IRNazanin" w:eastAsia="IRNazanin"/>
          <w:color w:val="111111"/>
          <w:sz w:val="28"/>
          <w:sz w:val="28"/>
          <w:szCs w:val="28"/>
          <w:rtl w:val="true"/>
          <w:lang w:bidi="fa-IR"/>
        </w:rPr>
        <w:t>تفسیر به زبان عربی نگاشته شده، امّا هر از چند گاهی استشهادات مفسّر به الفاظ و عبارات فارسی و گاه تُرکی به چشم می‌خورد</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ورود الفاظ و عبارات فارسی در تفسیر روح البیان صرفا در حدّ استشهاد است، امّا در نفحات الرّحمن از این فراتر رفته و به عنوان متن مستقل تفسیری به شمار می‌رود، به گونه‌ای که چنانچه قسمتهای مختلف متن فارسی از کتاب استخراج و مرتّب گردد، خود، می‌تواند تفسیر یگانه و گویایی به شمار آید، امّا از آن جا که مفسّر بیان جزئیّات مربوط به تفسیر آیات را به متن عربی نفحات</w:t>
      </w:r>
    </w:p>
    <w:p>
      <w:pPr>
        <w:pStyle w:val="BookText"/>
        <w:rPr/>
      </w:pPr>
      <w:r>
        <w:rPr>
          <w:rFonts w:ascii="IRNazanin" w:hAnsi="IRNazanin" w:eastAsia="IRNazanin"/>
          <w:color w:val="111111"/>
          <w:sz w:val="28"/>
          <w:sz w:val="28"/>
          <w:szCs w:val="28"/>
          <w:rtl w:val="true"/>
          <w:lang w:bidi="fa-IR"/>
        </w:rPr>
        <w:t>واگذار کرده است، مطالعه متن فارسی تفسیر، به تنهایی نمی‌تواند برای اهل فن جذابیّت</w:t>
      </w:r>
    </w:p>
    <w:p>
      <w:pPr>
        <w:pStyle w:val="BookText"/>
        <w:rPr/>
      </w:pPr>
      <w:r>
        <w:rPr>
          <w:rFonts w:ascii="IRNazanin" w:hAnsi="IRNazanin" w:eastAsia="IRNazanin"/>
          <w:color w:val="111111"/>
          <w:sz w:val="28"/>
          <w:sz w:val="28"/>
          <w:szCs w:val="28"/>
          <w:rtl w:val="true"/>
          <w:lang w:bidi="fa-IR"/>
        </w:rPr>
        <w:t>و گیرایی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معدود و کم شماری نیز دیده می‌شود که مفسّر در درون متن عربی تفسیر به عبارات فارسی گرایش پیدا کرده است از جمله در تفسیر حال عیسی علیه‌السلام و وصف حواریون، به متن مترجم انجیل یوحنا به زبان فارسی استناد کرده است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2" w:name="__RefHeading___Toc1438853_1479056682"/>
      <w:bookmarkStart w:id="353" w:name="_Toc135"/>
      <w:bookmarkEnd w:id="352"/>
      <w:r>
        <w:rPr>
          <w:rtl w:val="true"/>
        </w:rPr>
        <w:t>طرح برداشت‌های شخصی</w:t>
      </w:r>
      <w:bookmarkEnd w:id="35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نهاوندی در آغاز ورود به تفسیر آیات و الفاظ و نیز پیش از نقل روایات و گفتارهای تفسیری، ابتدا برداشت خود را از آیه بیان می‌کند</w:t>
      </w:r>
      <w:r>
        <w:rPr>
          <w:rStyle w:val="FootnoteAnchor"/>
          <w:rtl w:val="true"/>
        </w:rPr>
        <w:footnoteReference w:id="342"/>
      </w:r>
      <w:r>
        <w:rPr>
          <w:rFonts w:ascii="IRNazanin" w:hAnsi="IRNazanin" w:eastAsia="IRNazanin"/>
          <w:color w:val="111111"/>
          <w:sz w:val="28"/>
          <w:sz w:val="28"/>
          <w:szCs w:val="28"/>
          <w:rtl w:val="true"/>
          <w:lang w:bidi="fa-IR"/>
        </w:rPr>
        <w:t>، سپس دلایلی در اثبات گفته‌های خود می‌آورد و در صورت وجود آرای مخالف، ضمن طرح آن، به تحلیل و توجیه و یا ردّ</w:t>
      </w:r>
      <w:bookmarkStart w:id="354" w:name="pg4391_51090"/>
    </w:p>
    <w:p>
      <w:pPr>
        <w:pStyle w:val="BookText"/>
        <w:rPr/>
      </w:pPr>
      <w:bookmarkEnd w:id="354"/>
      <w:r>
        <w:rPr>
          <w:rFonts w:ascii="IRNazanin" w:hAnsi="IRNazanin" w:eastAsia="IRNazanin"/>
          <w:color w:val="111111"/>
          <w:sz w:val="28"/>
          <w:sz w:val="28"/>
          <w:szCs w:val="28"/>
          <w:rtl w:val="true"/>
          <w:lang w:bidi="fa-IR"/>
        </w:rPr>
        <w:t xml:space="preserve">آنها می‌پردازد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دیدگاههای تفسیری خود را به عنوان پیش فرض مطرح نمی‌کند و اصراری در تحمیل نظرات استنباطی خود بر مفاد روایات معتبر تفسیری ندارد</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هنگام مواجهه با نظرات تفسیری معارض اگر در اطراف آن قرائن تقویت کننده‌ای یابد،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به نقل آن می‌پردازد و با مختصر داوریی از آن عبور می‌کند و ارزیابی نهایی را به عهده خواننده می‌گذارد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برخی موارد، توضیحات تفسیری وی صرفا جنبه ذکر مثال و مصداق را دارد؛ مثل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Style w:val="FootnoteAnchor"/>
          <w:rtl w:val="true"/>
        </w:rPr>
        <w:footnoteReference w:id="347"/>
      </w:r>
      <w:r>
        <w:rPr>
          <w:rFonts w:ascii="IRNazanin" w:hAnsi="IRNazanin" w:eastAsia="IRNazanin"/>
          <w:color w:val="111111"/>
          <w:sz w:val="28"/>
          <w:sz w:val="28"/>
          <w:szCs w:val="28"/>
          <w:rtl w:val="true"/>
          <w:lang w:bidi="fa-IR"/>
        </w:rPr>
        <w:t>، و گاه به قصد تکمیل بیان آیه سخن می‌گوید؛ مثلاً آن که در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یُوصِیکُم اللّه فِی أولادکُم </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أ یُّها النّاس ویعهد إلیکم فی شأن أولادکم وأمر حقوقهم</w:t>
      </w:r>
      <w:r>
        <w:rPr>
          <w:rFonts w:eastAsia="IRNazanin" w:cs="IRNazanin"/>
          <w:color w:val="111111"/>
          <w:sz w:val="28"/>
          <w:szCs w:val="28"/>
          <w:rtl w:val="true"/>
          <w:lang w:bidi="fa-IR"/>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شیوه‌های مفسّران در نقل روایات تفسیری متفاوت است؛ برخی ابتدا روایات را نقل کرده، سپس به نتیجه‌گیری می‌پردازند و گروهی دیگر، ابتدا دیدگاههای خود و دیگران را</w:t>
      </w:r>
    </w:p>
    <w:p>
      <w:pPr>
        <w:pStyle w:val="BookText"/>
        <w:rPr/>
      </w:pPr>
      <w:r>
        <w:rPr>
          <w:rFonts w:ascii="IRNazanin" w:hAnsi="IRNazanin" w:eastAsia="IRNazanin"/>
          <w:color w:val="111111"/>
          <w:sz w:val="28"/>
          <w:sz w:val="28"/>
          <w:szCs w:val="28"/>
          <w:rtl w:val="true"/>
          <w:lang w:bidi="fa-IR"/>
        </w:rPr>
        <w:t>بیان می‌کنند، سپس در اثبات مدّعا به ذکر روایات و اقوال تفسیری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نهاوندی</w:t>
      </w:r>
    </w:p>
    <w:p>
      <w:pPr>
        <w:pStyle w:val="BookText"/>
        <w:rPr/>
      </w:pPr>
      <w:r>
        <w:rPr>
          <w:rFonts w:ascii="IRNazanin" w:hAnsi="IRNazanin" w:eastAsia="IRNazanin"/>
          <w:color w:val="111111"/>
          <w:sz w:val="28"/>
          <w:sz w:val="28"/>
          <w:szCs w:val="28"/>
          <w:rtl w:val="true"/>
          <w:lang w:bidi="fa-IR"/>
        </w:rPr>
        <w:t>از گروه دوم به شمار می‌رود</w:t>
      </w:r>
      <w:r>
        <w:rPr>
          <w:rFonts w:eastAsia="IRNazanin" w:cs="IRNazanin"/>
          <w:color w:val="111111"/>
          <w:sz w:val="28"/>
          <w:szCs w:val="28"/>
          <w:rtl w:val="true"/>
          <w:lang w:bidi="fa-IR"/>
        </w:rPr>
        <w:t>.</w:t>
      </w:r>
    </w:p>
    <w:p>
      <w:pPr>
        <w:pStyle w:val="Heading5"/>
        <w:numPr>
          <w:ilvl w:val="4"/>
          <w:numId w:val="1"/>
        </w:numPr>
        <w:rPr/>
      </w:pPr>
      <w:bookmarkStart w:id="355" w:name="__RefHeading___Toc1438855_1479056682"/>
      <w:bookmarkStart w:id="356" w:name="_Toc136"/>
      <w:bookmarkEnd w:id="355"/>
      <w:r>
        <w:rPr>
          <w:rtl w:val="true"/>
        </w:rPr>
        <w:t>تبیین و توضیح لغات</w:t>
      </w:r>
      <w:bookmarkEnd w:id="356"/>
    </w:p>
    <w:p>
      <w:pPr>
        <w:pStyle w:val="BookText"/>
        <w:rPr/>
      </w:pPr>
      <w:r>
        <w:rPr>
          <w:rFonts w:ascii="IRNazanin" w:hAnsi="IRNazanin" w:eastAsia="IRNazanin"/>
          <w:color w:val="111111"/>
          <w:sz w:val="28"/>
          <w:sz w:val="28"/>
          <w:szCs w:val="28"/>
          <w:rtl w:val="true"/>
          <w:lang w:bidi="fa-IR"/>
        </w:rPr>
        <w:t>ارجاعات لغت شناسانه نهاوندی، کمتر از حدّ انتظار می‌نمایاند و کمتر دیده می‌شود که وی در بیان مفهوم لغات و کلمات به منابع و مآخذ لغت شناسی و یا اقوال و نظریّات لغت پردازانی چون فرّاء، ابن فارس، ابن منظور، راغب اصفهانی، طریحی و یا دیگران ارجاع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ارجاع وی به معنای رها ساختن مفهوم گمنام و پنهان الفاظ نیست،</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ترجیح می‌دهد این وظیفه را بدون ارجاع به کتابهای لغت انجام دهد و قبل از آن که</w:t>
      </w:r>
      <w:bookmarkStart w:id="357" w:name="pg4391_51091"/>
    </w:p>
    <w:p>
      <w:pPr>
        <w:pStyle w:val="BookText"/>
        <w:rPr/>
      </w:pPr>
      <w:bookmarkEnd w:id="357"/>
      <w:r>
        <w:rPr>
          <w:rFonts w:ascii="IRNazanin" w:hAnsi="IRNazanin" w:eastAsia="IRNazanin"/>
          <w:color w:val="111111"/>
          <w:sz w:val="28"/>
          <w:sz w:val="28"/>
          <w:szCs w:val="28"/>
          <w:rtl w:val="true"/>
          <w:lang w:bidi="fa-IR"/>
        </w:rPr>
        <w:t>نامی از منابع و مآخذ لغت شناسی به میان آورد، با بیان ساده به توضیح و تحلیل مفاهیم لغوی کلمات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توضیحات لغوی وی بدون ارجاع و استناد به مآخذ لغت شناسی به شرح زیر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یَنْأَوْن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یتباعدون </w:t>
      </w:r>
      <w:r>
        <w:rPr>
          <w:rStyle w:val="FootnoteAnchor"/>
          <w:rtl w:val="true"/>
        </w:rPr>
        <w:footnoteReference w:id="350"/>
      </w:r>
      <w:r>
        <w:rPr>
          <w:rFonts w:ascii="Amiri" w:hAnsi="Amiri" w:eastAsia="Amiri" w:cs="Amiri"/>
          <w:color w:val="111111"/>
          <w:sz w:val="28"/>
          <w:sz w:val="28"/>
          <w:szCs w:val="28"/>
          <w:rtl w:val="true"/>
          <w:lang w:bidi="ar-SA"/>
        </w:rPr>
        <w:t xml:space="preserve">، بَأْسنا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عذابنا </w:t>
      </w:r>
      <w:r>
        <w:rPr>
          <w:rStyle w:val="FootnoteAnchor"/>
          <w:rtl w:val="true"/>
        </w:rPr>
        <w:footnoteReference w:id="351"/>
      </w:r>
      <w:r>
        <w:rPr>
          <w:rFonts w:ascii="Amiri" w:hAnsi="Amiri" w:eastAsia="Amiri" w:cs="Amiri"/>
          <w:color w:val="111111"/>
          <w:sz w:val="28"/>
          <w:sz w:val="28"/>
          <w:szCs w:val="28"/>
          <w:rtl w:val="true"/>
          <w:lang w:bidi="ar-SA"/>
        </w:rPr>
        <w:t xml:space="preserve">،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بغیر سبق امارة </w:t>
      </w:r>
      <w:r>
        <w:rPr>
          <w:rStyle w:val="FootnoteAnchor"/>
          <w:rtl w:val="true"/>
        </w:rPr>
        <w:footnoteReference w:id="352"/>
      </w:r>
      <w:r>
        <w:rPr>
          <w:rFonts w:ascii="Amiri" w:hAnsi="Amiri" w:eastAsia="Amiri" w:cs="Amiri"/>
          <w:color w:val="111111"/>
          <w:sz w:val="28"/>
          <w:sz w:val="28"/>
          <w:szCs w:val="28"/>
          <w:rtl w:val="true"/>
          <w:lang w:bidi="ar-SA"/>
        </w:rPr>
        <w:t xml:space="preserve">،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ابتلینا </w:t>
      </w:r>
      <w:r>
        <w:rPr>
          <w:rStyle w:val="FootnoteAnchor"/>
          <w:rtl w:val="true"/>
        </w:rPr>
        <w:footnoteReference w:id="353"/>
      </w:r>
      <w:r>
        <w:rPr>
          <w:rFonts w:ascii="IRNazanin" w:hAnsi="IRNazanin" w:eastAsia="IRNazanin"/>
          <w:color w:val="111111"/>
          <w:sz w:val="28"/>
          <w:sz w:val="28"/>
          <w:szCs w:val="28"/>
          <w:rtl w:val="true"/>
          <w:lang w:bidi="fa-IR"/>
        </w:rPr>
        <w:t xml:space="preserve">، آفلین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غائبین </w:t>
      </w:r>
      <w:r>
        <w:rPr>
          <w:rStyle w:val="FootnoteAnchor"/>
          <w:rtl w:val="true"/>
        </w:rPr>
        <w:footnoteReference w:id="354"/>
      </w:r>
      <w:r>
        <w:rPr>
          <w:rFonts w:ascii="IRNazanin" w:hAnsi="IRNazanin" w:eastAsia="IRNazanin"/>
          <w:color w:val="111111"/>
          <w:sz w:val="28"/>
          <w:sz w:val="28"/>
          <w:szCs w:val="28"/>
          <w:rtl w:val="true"/>
          <w:lang w:bidi="fa-IR"/>
        </w:rPr>
        <w:t xml:space="preserve">، فطر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اخراج الکل من کتم العدم إلی الوجود </w:t>
      </w:r>
      <w:r>
        <w:rPr>
          <w:rStyle w:val="FootnoteAnchor"/>
          <w:rtl w:val="true"/>
        </w:rPr>
        <w:footnoteReference w:id="355"/>
      </w:r>
      <w:r>
        <w:rPr>
          <w:rFonts w:ascii="IRNazanin" w:hAnsi="IRNazanin" w:eastAsia="IRNazanin"/>
          <w:color w:val="111111"/>
          <w:sz w:val="28"/>
          <w:sz w:val="28"/>
          <w:szCs w:val="28"/>
          <w:rtl w:val="true"/>
          <w:lang w:bidi="fa-IR"/>
        </w:rPr>
        <w:t xml:space="preserve">، حربا کبیرا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اثما عظیما فیعاقب علیه عقابا شدیدا </w:t>
      </w:r>
      <w:r>
        <w:rPr>
          <w:rStyle w:val="FootnoteAnchor"/>
          <w:rtl w:val="true"/>
        </w:rPr>
        <w:footnoteReference w:id="356"/>
      </w:r>
      <w:r>
        <w:rPr>
          <w:rFonts w:ascii="Amiri" w:hAnsi="Amiri" w:eastAsia="Amiri" w:cs="Amiri"/>
          <w:color w:val="111111"/>
          <w:sz w:val="28"/>
          <w:sz w:val="28"/>
          <w:szCs w:val="28"/>
          <w:rtl w:val="true"/>
          <w:lang w:bidi="ar-SA"/>
        </w:rPr>
        <w:t xml:space="preserve">، نحلةً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فریضةً </w:t>
      </w:r>
      <w:r>
        <w:rPr>
          <w:rStyle w:val="FootnoteAnchor"/>
          <w:rtl w:val="true"/>
        </w:rPr>
        <w:footnoteReference w:id="357"/>
      </w:r>
      <w:r>
        <w:rPr>
          <w:rFonts w:ascii="Amiri" w:hAnsi="Amiri" w:eastAsia="Amiri" w:cs="Amiri"/>
          <w:color w:val="111111"/>
          <w:sz w:val="28"/>
          <w:sz w:val="28"/>
          <w:szCs w:val="28"/>
          <w:rtl w:val="true"/>
          <w:lang w:bidi="ar-SA"/>
        </w:rPr>
        <w:t xml:space="preserve">، الرِّجال قوّامون علی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مُهَیمنون علیهنّ مهتمّون بتنظیم اُمورهنّ فی حفظهنّ ناظرون فی صلاحهنّ </w:t>
      </w:r>
      <w:r>
        <w:rPr>
          <w:rStyle w:val="FootnoteAnchor"/>
          <w:rtl w:val="true"/>
        </w:rPr>
        <w:footnoteReference w:id="358"/>
      </w:r>
      <w:r>
        <w:rPr>
          <w:rFonts w:ascii="IRNazanin" w:hAnsi="IRNazanin" w:eastAsia="IRNazanin"/>
          <w:color w:val="111111"/>
          <w:sz w:val="28"/>
          <w:sz w:val="28"/>
          <w:szCs w:val="28"/>
          <w:rtl w:val="true"/>
          <w:lang w:bidi="fa-IR"/>
        </w:rPr>
        <w:t xml:space="preserve">، نَضجت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احترقت </w:t>
      </w:r>
      <w:r>
        <w:rPr>
          <w:rStyle w:val="FootnoteAnchor"/>
          <w:rtl w:val="true"/>
        </w:rPr>
        <w:footnoteReference w:id="359"/>
      </w:r>
      <w:r>
        <w:rPr>
          <w:rFonts w:ascii="IRNazanin" w:hAnsi="IRNazanin" w:eastAsia="IRNazanin"/>
          <w:color w:val="111111"/>
          <w:sz w:val="28"/>
          <w:sz w:val="28"/>
          <w:szCs w:val="28"/>
          <w:rtl w:val="true"/>
          <w:lang w:bidi="fa-IR"/>
        </w:rPr>
        <w:t xml:space="preserve">،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انّ الکلالة فی اللّغة بمعنی الاحاطة وسمّی من عدی الوالد والوَلَد من القرابات بالکلالة لاحاطتهم بالشخص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کنّی</w:t>
      </w:r>
    </w:p>
    <w:p>
      <w:pPr>
        <w:pStyle w:val="BookText"/>
        <w:rPr/>
      </w:pPr>
      <w:r>
        <w:rPr>
          <w:rFonts w:ascii="IRNazanin" w:hAnsi="IRNazanin" w:eastAsia="IRNazanin"/>
          <w:color w:val="111111"/>
          <w:sz w:val="28"/>
          <w:sz w:val="28"/>
          <w:szCs w:val="28"/>
          <w:rtl w:val="true"/>
          <w:lang w:bidi="fa-IR"/>
        </w:rPr>
        <w:t>سبحانه عن الرّجل دون المرأة اظهارا لشرفه وفضله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قول و قیل را معرّفی نمی‌کند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8" w:name="__RefHeading___Toc1438857_1479056682"/>
      <w:bookmarkStart w:id="359" w:name="_Toc137"/>
      <w:bookmarkEnd w:id="358"/>
      <w:r>
        <w:rPr>
          <w:rtl w:val="true"/>
        </w:rPr>
        <w:t>استنادات تفسیری</w:t>
      </w:r>
      <w:bookmarkEnd w:id="359"/>
    </w:p>
    <w:p>
      <w:pPr>
        <w:pStyle w:val="BookText"/>
        <w:rPr/>
      </w:pPr>
      <w:r>
        <w:rPr>
          <w:rFonts w:ascii="IRNazanin" w:hAnsi="IRNazanin" w:eastAsia="IRNazanin"/>
          <w:color w:val="111111"/>
          <w:sz w:val="28"/>
          <w:sz w:val="28"/>
          <w:szCs w:val="28"/>
          <w:rtl w:val="true"/>
          <w:lang w:bidi="fa-IR"/>
        </w:rPr>
        <w:t>یکی از ویژگی‌های تفسیر نهاوندی، استناد وی به آرای تفسیری مفسّران شیعی و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ارائه تفسیر کامل و مطلوب همانند دیگر مفسّران ناگزیر شده به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نظریّات و آرای دیگران ارج نهد و با ذکر گفته‌های آنان، علاوه بر ارزش قایل شدن برای دیدگاههای آنان و نتیجه‌گیری و تلخیص آرای مختلف، مجال مناسبی را برای نیک اندیشی خوانندگان خود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 مانند مفسّران افراطی عامّه عمل کرده است که گفته‌ها و نظریّات مفسّران شیعی را کتمان می‌کنند و نه مانند مفسّران یک سونگر شیعی به تنظیم و تحلیل مطالب تفسیری می‌پردازد که ناگزیر باشد صرفا به اقوال محدّثان و متکلّمان و یا عرفا و یا فقها استناد جوید، بلکه کتاب نفحات الرّحمن،</w:t>
      </w:r>
      <w:bookmarkStart w:id="360" w:name="pg4391_51092"/>
    </w:p>
    <w:p>
      <w:pPr>
        <w:pStyle w:val="BookText"/>
        <w:rPr/>
      </w:pPr>
      <w:bookmarkEnd w:id="360"/>
      <w:r>
        <w:rPr>
          <w:rFonts w:ascii="IRNazanin" w:hAnsi="IRNazanin" w:eastAsia="IRNazanin"/>
          <w:color w:val="111111"/>
          <w:sz w:val="28"/>
          <w:sz w:val="28"/>
          <w:szCs w:val="28"/>
          <w:rtl w:val="true"/>
          <w:lang w:bidi="fa-IR"/>
        </w:rPr>
        <w:t>مجمع البحرینی از اقوال و نظریّات مختلف می‌باشد، مراجعه به کتابنامه این تفسیر که در بخش دیگری از این تحقیق به آن پرداخته شده است، وسعت نظر نهاوندی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استنادات تفسیری وی نام مفسّران عهد صحابه و تابعین و متقدّمان و متأخّران از مفسّران عامّه و خاصّه به چشم می‌خورد </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استنادات به مفسّران عهد 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استنادات به نظرات تفسیری مفسّران متقدّم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364</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نظرات مفسّران متقدّم اهل تسنّن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407</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419</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414</w:t>
      </w:r>
      <w:r>
        <w:rPr>
          <w:rFonts w:eastAsia="IRNazanin" w:cs="IRNazanin"/>
          <w:color w:val="111111"/>
          <w:sz w:val="28"/>
          <w:szCs w:val="28"/>
          <w:rtl w:val="true"/>
          <w:lang w:bidi="fa-IR"/>
        </w:rPr>
        <w:t xml:space="preserve"> - </w:t>
      </w:r>
      <w:r>
        <w:rPr>
          <w:rFonts w:eastAsia="IRNazanin" w:cs="IRNazanin"/>
          <w:color w:val="111111"/>
          <w:sz w:val="28"/>
          <w:szCs w:val="28"/>
          <w:lang w:bidi="fa-IR"/>
        </w:rPr>
        <w:t>415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اقوال مفسّران متأخّر شیعه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اقوال مفسّران متأخّر عامّه در این خصوص بحث مستقل و مفصّلی در همین رساله به میان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چهره‌های شاخص آن می‌توان از مفسّران زیر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ابن مسعود، سعید بن جبیر، مجاهد بن جبر مکّی، سعید بن مسیب، علیّ ابن ابراهیم قمی، عیّاشی سمرقندی، شیخ طوسی، فضل بن حسن طبرسی، محمّد بن جریر طبری زمخشری، فخر رازی، بخاری و مسلم، ملاّ محسن فیض کاشانی، محمّد باقر مجلسی، جوهری و دیگران</w:t>
      </w:r>
      <w:r>
        <w:rPr>
          <w:rStyle w:val="FootnoteAnchor"/>
          <w:rtl w:val="true"/>
        </w:rPr>
        <w:footnoteReference w:id="3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مستقلّی که در همین تحقیق تحت</w:t>
      </w:r>
    </w:p>
    <w:p>
      <w:pPr>
        <w:pStyle w:val="BookText"/>
        <w:rPr/>
      </w:pPr>
      <w:r>
        <w:rPr>
          <w:rFonts w:ascii="IRNazanin" w:hAnsi="IRNazanin" w:eastAsia="IRNazanin"/>
          <w:color w:val="111111"/>
          <w:sz w:val="28"/>
          <w:sz w:val="28"/>
          <w:szCs w:val="28"/>
          <w:rtl w:val="true"/>
          <w:lang w:bidi="fa-IR"/>
        </w:rPr>
        <w:t>عنوان معرّفی مآخذ و مصادر تفسیری نهاوندی به عمل آمده، به تفصیل، نام و آثار مفسّران و محدّثان و قرآنپژوهان مورد مراجعه نهاوندی 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گستردگی</w:t>
      </w:r>
    </w:p>
    <w:p>
      <w:pPr>
        <w:pStyle w:val="BookText"/>
        <w:rPr/>
      </w:pPr>
      <w:r>
        <w:rPr>
          <w:rFonts w:ascii="IRNazanin" w:hAnsi="IRNazanin" w:eastAsia="IRNazanin"/>
          <w:color w:val="111111"/>
          <w:sz w:val="28"/>
          <w:sz w:val="28"/>
          <w:szCs w:val="28"/>
          <w:rtl w:val="true"/>
          <w:lang w:bidi="fa-IR"/>
        </w:rPr>
        <w:t>منابع و مآخذ این تفسیر، دلیل بر اهتمام و احترام مفسّر به آرای دیگران است و به همین</w:t>
      </w:r>
    </w:p>
    <w:p>
      <w:pPr>
        <w:pStyle w:val="BookText"/>
        <w:rPr/>
      </w:pPr>
      <w:r>
        <w:rPr>
          <w:rFonts w:ascii="IRNazanin" w:hAnsi="IRNazanin" w:eastAsia="IRNazanin"/>
          <w:color w:val="111111"/>
          <w:sz w:val="28"/>
          <w:sz w:val="28"/>
          <w:szCs w:val="28"/>
          <w:rtl w:val="true"/>
          <w:lang w:bidi="fa-IR"/>
        </w:rPr>
        <w:t>خاطر در به جاگزاردن اثری قابل اعتماد و پر جاذبه موفّق شده است</w:t>
      </w:r>
      <w:r>
        <w:rPr>
          <w:rFonts w:eastAsia="IRNazanin" w:cs="IRNazanin"/>
          <w:color w:val="111111"/>
          <w:sz w:val="28"/>
          <w:szCs w:val="28"/>
          <w:rtl w:val="true"/>
          <w:lang w:bidi="fa-IR"/>
        </w:rPr>
        <w:t>.</w:t>
      </w:r>
    </w:p>
    <w:p>
      <w:pPr>
        <w:pStyle w:val="Heading5"/>
        <w:numPr>
          <w:ilvl w:val="4"/>
          <w:numId w:val="1"/>
        </w:numPr>
        <w:rPr/>
      </w:pPr>
      <w:bookmarkStart w:id="361" w:name="__RefHeading___Toc1438859_1479056682"/>
      <w:bookmarkStart w:id="362" w:name="_Toc138"/>
      <w:bookmarkEnd w:id="361"/>
      <w:r>
        <w:rPr>
          <w:rtl w:val="true"/>
        </w:rPr>
        <w:t>طرح فضایل سور</w:t>
      </w:r>
      <w:bookmarkEnd w:id="36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مجلّدات تفسیر نفحات الرّحمن، حاکی از توجّه مفسّر به فضایل سور و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ارائه چهار بحث مستقل در مقدمه تفسیر خویش، پیرامون فضایل و</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سور و آیات </w:t>
      </w:r>
      <w:r>
        <w:rPr>
          <w:rStyle w:val="FootnoteAnchor"/>
          <w:rtl w:val="true"/>
        </w:rPr>
        <w:footnoteReference w:id="363"/>
      </w:r>
      <w:r>
        <w:rPr>
          <w:rFonts w:ascii="IRNazanin" w:hAnsi="IRNazanin" w:eastAsia="IRNazanin"/>
          <w:color w:val="111111"/>
          <w:sz w:val="28"/>
          <w:sz w:val="28"/>
          <w:szCs w:val="28"/>
          <w:rtl w:val="true"/>
          <w:lang w:bidi="fa-IR"/>
        </w:rPr>
        <w:t>، در جای جای کتاب، پیرامون فضایل سور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طرح این گونه مباحث، پایان تفسیر هر سوره را برگزیده و پس از اتمام آخرین مطالب تفسیری در هر سوره، نقل روایات حاوی فضایل سوره را به عنوان حسن ختام آن قرار داده است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دیگر مفسّران در صدر مطالب تفسیری خویش بدان پرداخته‌اند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bookmarkStart w:id="363" w:name="pg4391_51094"/>
    </w:p>
    <w:p>
      <w:pPr>
        <w:pStyle w:val="Heading4"/>
        <w:numPr>
          <w:ilvl w:val="3"/>
          <w:numId w:val="1"/>
        </w:numPr>
        <w:rPr/>
      </w:pPr>
      <w:bookmarkStart w:id="364" w:name="__RefHeading___Toc1438861_1479056682"/>
      <w:bookmarkStart w:id="365" w:name="_Toc139"/>
      <w:bookmarkEnd w:id="363"/>
      <w:bookmarkEnd w:id="364"/>
      <w:r>
        <w:rPr>
          <w:rtl w:val="true"/>
        </w:rPr>
        <w:t xml:space="preserve">فصل سیزدهم </w:t>
      </w:r>
      <w:r>
        <w:rPr>
          <w:rtl w:val="true"/>
        </w:rPr>
        <w:t xml:space="preserve">- </w:t>
      </w:r>
      <w:r>
        <w:rPr>
          <w:rtl w:val="true"/>
        </w:rPr>
        <w:t>مناسبات سور در نفحات الرّحمن</w:t>
      </w:r>
      <w:bookmarkEnd w:id="365"/>
    </w:p>
    <w:p>
      <w:pPr>
        <w:pStyle w:val="Heading5"/>
        <w:numPr>
          <w:ilvl w:val="4"/>
          <w:numId w:val="1"/>
        </w:numPr>
        <w:rPr/>
      </w:pPr>
      <w:bookmarkStart w:id="366" w:name="__RefHeading___Toc1438863_1479056682"/>
      <w:bookmarkStart w:id="367" w:name="_Toc140"/>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یکی از مباحث مهمّی که نظر قرآنپژوهان را به خود جلب ساخته، وجود نوعی نسبت در الفاظ یا مفاهیم پایان و آغاز سوره‌های مجاور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نمونه‌های زیادی از سوره‌های قرآن، حاکی از وجود نوعی ارتباط و تناسب بین آنهاست، به گونه‌ای که با اندک تدبّر و تأمّل می‌توان آن را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بیانگر وجود نظم و همسویی در کلام</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ترتیب چینش سوره‌ها با ترتیب زمان نزول آنها هماهنگ نیست، امّا وجود تلازم و تناسب لفظی و یا معنوی در سر آغاز هر سوره با پایان سوره قبل، گویای اعجاز قرآن است و چنین می‌نمایاند که در چینش آیات و سوَر، حکمت شارع مقدس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گو پیرامون وجود ارتباط بین سرآغاز سوره‌ها با آیات پایانی سوره</w:t>
      </w:r>
    </w:p>
    <w:p>
      <w:pPr>
        <w:pStyle w:val="BookText"/>
        <w:rPr/>
      </w:pPr>
      <w:r>
        <w:rPr>
          <w:rFonts w:ascii="IRNazanin" w:hAnsi="IRNazanin" w:eastAsia="IRNazanin"/>
          <w:color w:val="111111"/>
          <w:sz w:val="28"/>
          <w:sz w:val="28"/>
          <w:szCs w:val="28"/>
          <w:rtl w:val="true"/>
          <w:lang w:bidi="fa-IR"/>
        </w:rPr>
        <w:t>قبل، به پیدایش علم مستقلّی در علوم قرآنی منجر گردید و با آغاز تدوین رسمی و مستقل کتب علوم قرآنی، شاخه‌ای از بحث به این بُعد از اعجاز و نظم قرآن اختصاص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جعفر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زنده،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معلّمِ ابو حیان </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مستقلّی به نام البرهان فی مناسبة ترتیب سور القرآن و برهان الدین بقاعی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نهم 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 نظم الدُرر</w:t>
      </w:r>
    </w:p>
    <w:p>
      <w:pPr>
        <w:pStyle w:val="BookText"/>
        <w:rPr/>
      </w:pPr>
      <w:r>
        <w:rPr>
          <w:rFonts w:ascii="IRNazanin" w:hAnsi="IRNazanin" w:eastAsia="IRNazanin"/>
          <w:color w:val="111111"/>
          <w:sz w:val="28"/>
          <w:sz w:val="28"/>
          <w:szCs w:val="28"/>
          <w:rtl w:val="true"/>
          <w:lang w:bidi="fa-IR"/>
        </w:rPr>
        <w:t>فی تناسب الآی والسور نگاشتند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ارتباط، کتاب تَناسُق الدُرر فی تناسب السور را تدوین کرد</w:t>
      </w:r>
      <w:r>
        <w:rPr>
          <w:rFonts w:eastAsia="IRNazanin" w:cs="IRNazanin"/>
          <w:color w:val="111111"/>
          <w:sz w:val="28"/>
          <w:szCs w:val="28"/>
          <w:rtl w:val="true"/>
          <w:lang w:bidi="fa-IR"/>
        </w:rPr>
        <w:t>.</w:t>
      </w:r>
      <w:bookmarkStart w:id="368" w:name="pg4391_51095"/>
    </w:p>
    <w:p>
      <w:pPr>
        <w:pStyle w:val="BookText"/>
        <w:rPr/>
      </w:pPr>
      <w:bookmarkEnd w:id="368"/>
      <w:r>
        <w:rPr>
          <w:rFonts w:ascii="IRNazanin" w:hAnsi="IRNazanin" w:eastAsia="IRNazanin"/>
          <w:color w:val="111111"/>
          <w:sz w:val="28"/>
          <w:sz w:val="28"/>
          <w:szCs w:val="28"/>
          <w:rtl w:val="true"/>
          <w:lang w:bidi="fa-IR"/>
        </w:rPr>
        <w:t xml:space="preserve">مفسّران بزرگ چون 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طبرسی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فخر الدین رازی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تشریح و تفسیر آیات و سوَر، به راز موجود در نسب سوره‌ها و</w:t>
      </w:r>
    </w:p>
    <w:p>
      <w:pPr>
        <w:pStyle w:val="BookText"/>
        <w:rPr/>
      </w:pPr>
      <w:r>
        <w:rPr>
          <w:rFonts w:ascii="IRNazanin" w:hAnsi="IRNazanin" w:eastAsia="IRNazanin"/>
          <w:color w:val="111111"/>
          <w:sz w:val="28"/>
          <w:sz w:val="28"/>
          <w:szCs w:val="28"/>
          <w:rtl w:val="true"/>
          <w:lang w:bidi="fa-IR"/>
        </w:rPr>
        <w:t>ارتباط آنها با یکدیگر توجّه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گونه نسبتها و رعایت آن در نظم و ترتیب سوره‌ها، رای کسانی را که ترتیب سوره‌ها را بنابر اجتهاد و سلیقه قاریان و گردآورندگان قرآن می‌دانند، تضعیف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پاره‌ای از گفته‌های نهاوندی را پیرامون تناسب بین سوره‌ها بیان می‌کنیم</w:t>
      </w:r>
      <w:r>
        <w:rPr>
          <w:rFonts w:eastAsia="IRNazanin" w:cs="IRNazanin"/>
          <w:color w:val="111111"/>
          <w:sz w:val="28"/>
          <w:szCs w:val="28"/>
          <w:rtl w:val="true"/>
          <w:lang w:bidi="fa-IR"/>
        </w:rPr>
        <w:t>:</w:t>
      </w:r>
    </w:p>
    <w:p>
      <w:pPr>
        <w:pStyle w:val="Heading5"/>
        <w:numPr>
          <w:ilvl w:val="4"/>
          <w:numId w:val="1"/>
        </w:numPr>
        <w:rPr/>
      </w:pPr>
      <w:bookmarkStart w:id="369" w:name="__RefHeading___Toc1438865_1479056682"/>
      <w:bookmarkStart w:id="370" w:name="_Toc141"/>
      <w:bookmarkEnd w:id="369"/>
      <w:r>
        <w:rPr>
          <w:rtl w:val="true"/>
        </w:rPr>
        <w:t>تناسب بین سوره‌های فاتحة الکتاب و بقره</w:t>
      </w:r>
      <w:bookmarkEnd w:id="370"/>
    </w:p>
    <w:p>
      <w:pPr>
        <w:pStyle w:val="BookText"/>
        <w:rPr/>
      </w:pPr>
      <w:r>
        <w:rPr>
          <w:rFonts w:ascii="IRNazanin" w:hAnsi="IRNazanin" w:eastAsia="IRNazanin"/>
          <w:color w:val="111111"/>
          <w:sz w:val="28"/>
          <w:sz w:val="28"/>
          <w:szCs w:val="28"/>
          <w:rtl w:val="true"/>
          <w:lang w:bidi="fa-IR"/>
        </w:rPr>
        <w:t>در پایان سوره حمد، نوعی دعا و درخواست بندگان برای یافتن راه هدایت و صراط مستقیم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سوره بقره، آیات نخستین به بیان راه و رسم هدایت و رستگاری می‌پردازد و با ذکر برخی عقاید و شعایر عملی مسلمانان، راه نیل به هدایت را</w:t>
      </w:r>
    </w:p>
    <w:p>
      <w:pPr>
        <w:pStyle w:val="BookText"/>
        <w:rPr/>
      </w:pPr>
      <w:r>
        <w:rPr>
          <w:rFonts w:ascii="IRNazanin" w:hAnsi="IRNazanin" w:eastAsia="IRNazanin"/>
          <w:color w:val="111111"/>
          <w:sz w:val="28"/>
          <w:sz w:val="28"/>
          <w:szCs w:val="28"/>
          <w:rtl w:val="true"/>
          <w:lang w:bidi="fa-IR"/>
        </w:rPr>
        <w:t>به آنان می‌آموزد</w:t>
      </w:r>
      <w:r>
        <w:rPr>
          <w:rFonts w:eastAsia="IRNazanin" w:cs="IRNazanin"/>
          <w:color w:val="111111"/>
          <w:sz w:val="28"/>
          <w:szCs w:val="28"/>
          <w:rtl w:val="true"/>
          <w:lang w:bidi="fa-IR"/>
        </w:rPr>
        <w:t>.</w:t>
      </w:r>
    </w:p>
    <w:p>
      <w:pPr>
        <w:pStyle w:val="Heading5"/>
        <w:numPr>
          <w:ilvl w:val="4"/>
          <w:numId w:val="1"/>
        </w:numPr>
        <w:rPr/>
      </w:pPr>
      <w:bookmarkStart w:id="371" w:name="__RefHeading___Toc1438867_1479056682"/>
      <w:bookmarkStart w:id="372" w:name="_Toc142"/>
      <w:bookmarkEnd w:id="371"/>
      <w:r>
        <w:rPr>
          <w:rtl w:val="true"/>
        </w:rPr>
        <w:t>تناسب بین سوره‌های بقره و آل عمران</w:t>
      </w:r>
      <w:bookmarkEnd w:id="372"/>
    </w:p>
    <w:p>
      <w:pPr>
        <w:pStyle w:val="BookText"/>
        <w:rPr/>
      </w:pPr>
      <w:r>
        <w:rPr>
          <w:rFonts w:ascii="IRNazanin" w:hAnsi="IRNazanin" w:eastAsia="IRNazanin"/>
          <w:color w:val="111111"/>
          <w:sz w:val="28"/>
          <w:sz w:val="28"/>
          <w:szCs w:val="28"/>
          <w:rtl w:val="true"/>
          <w:lang w:bidi="fa-IR"/>
        </w:rPr>
        <w:t xml:space="preserve">مفسّر را اعتماد بر آن است که بیش از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آغازین سوره بقره به طرح احتجاج با یهود و معرّفی عقاید و عملکرد آنان و انحراف آنان از آیین بر حقّ موسی علیه‌السلام و نقض پیمان و تحریف کتاب آسمانی و کینه‌توزی در برابر مسلمانان و شخص حضرت رسول صلی‌الله‌علیه‌و‌آلهاختصاص یافته است و در پایان این سوره، دعای بندگان و درخواست آنان از خداوند به منظور پیروزی و غلبه نظری و عملی بر یهود و کافران مطرح شده است؛ مؤمنان از خداوند ثبات در صراط مستقیم، بخشش اعمال، تکلیف به قدر توانایی و پیروزی بر کفّار را درخواست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تناسب سوره آل عمران با بقره، آن است که در سوره آل عمران، دعای مؤمنان</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مستجاب گردیده و به آنان گفته شده است که همیشه بر کفّار پیروز خواهند بود و این پیروزی در جنگهای نخستین مسلمانان با کافران، بدر و اُحد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w:t>
      </w:r>
      <w:bookmarkStart w:id="373" w:name="pg4391_51096"/>
    </w:p>
    <w:p>
      <w:pPr>
        <w:pStyle w:val="BookText"/>
        <w:rPr/>
      </w:pPr>
      <w:bookmarkEnd w:id="373"/>
      <w:r>
        <w:rPr>
          <w:rFonts w:ascii="IRNazanin" w:hAnsi="IRNazanin" w:eastAsia="IRNazanin"/>
          <w:color w:val="111111"/>
          <w:sz w:val="28"/>
          <w:sz w:val="28"/>
          <w:szCs w:val="28"/>
          <w:rtl w:val="true"/>
          <w:lang w:bidi="fa-IR"/>
        </w:rPr>
        <w:t>آل عمران همچنان ماجرای مباهله مسلمانان و مسیحیان نجران مطرح شده که به پیروزی مسلمانان منتهی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هشتاد آیه از سوره آل عمران درباره محاجّه و گفت‌وگوهای تئوریک و عملی بین مسلمانان و مسیحیان است</w:t>
      </w:r>
      <w:r>
        <w:rPr>
          <w:rFonts w:eastAsia="IRNazanin" w:cs="IRNazanin"/>
          <w:color w:val="111111"/>
          <w:sz w:val="28"/>
          <w:szCs w:val="28"/>
          <w:rtl w:val="true"/>
          <w:lang w:bidi="fa-IR"/>
        </w:rPr>
        <w:t>.</w:t>
      </w:r>
    </w:p>
    <w:p>
      <w:pPr>
        <w:pStyle w:val="Heading5"/>
        <w:numPr>
          <w:ilvl w:val="4"/>
          <w:numId w:val="1"/>
        </w:numPr>
        <w:rPr/>
      </w:pPr>
      <w:bookmarkStart w:id="374" w:name="__RefHeading___Toc1438869_1479056682"/>
      <w:bookmarkStart w:id="375" w:name="_Toc143"/>
      <w:bookmarkEnd w:id="374"/>
      <w:r>
        <w:rPr>
          <w:rtl w:val="true"/>
        </w:rPr>
        <w:t>تناسب بین سوره‌های آل عمران و نساء</w:t>
      </w:r>
      <w:bookmarkEnd w:id="375"/>
    </w:p>
    <w:p>
      <w:pPr>
        <w:pStyle w:val="BookText"/>
        <w:rPr/>
      </w:pPr>
      <w:r>
        <w:rPr>
          <w:rFonts w:ascii="IRNazanin" w:hAnsi="IRNazanin" w:eastAsia="IRNazanin"/>
          <w:color w:val="111111"/>
          <w:sz w:val="28"/>
          <w:sz w:val="28"/>
          <w:szCs w:val="28"/>
          <w:rtl w:val="true"/>
          <w:lang w:bidi="fa-IR"/>
        </w:rPr>
        <w:t>از نگاه صاحب تفسیر نفحات، دو سوره بقره و آل عمران، دربردارنده اثبات توحید و رسالت پیامبر اکرم صلی‌الله‌علیه‌و‌آله و احتجاج یهودیان و مسیحیان در مقابل مسلمانان و نیز بیان مهمترین وظایف دینی مسلمانان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زکات، حج، جهاد و امثال آن است، ترتیب و تقدّم و تأخّر در بیان حقوق الهی و آن گاه حقوق اجتماعی مردم از قبیل امور مربوط به ایتام، خانواده، نادانان، ارث و وراثت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به قرار گرفتن سوره نساء پس از سوره آل عمران گردید؛ لذا سوره نساء که حاوی آموزه‌های مربوط به احکام و حقوق شخصی و مدنی و حقّ الناس است پس از سوره آل عمران که دربردارنده مباحث توحید و حقوق اللّه می‌باشد،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سوره حمد و بقره با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آغاز تفکّر دینی را به استعانت از خداوند و تبرّک از نام مقدّس او مرتبط ساخت؛ در پایان سوره آل عمران هم پایان تفکّر دینی یا عالی ترین مرتبه آن، که تقوا و التزام به معاد و روز رستاخیز است، مورد اشاره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آیات در پایان سوره آل عمران، مؤمنان و پارسایان‌اند، امّا به منظور دفع این توهّم که تقوا و فلاح و ایمان به معاد صرفا برای مؤمنان نیست و راه دیگران به این حقایق بزرگ بسته</w:t>
      </w:r>
    </w:p>
    <w:p>
      <w:pPr>
        <w:pStyle w:val="BookText"/>
        <w:rPr/>
      </w:pPr>
      <w:r>
        <w:rPr>
          <w:rFonts w:ascii="IRNazanin" w:hAnsi="IRNazanin" w:eastAsia="IRNazanin"/>
          <w:color w:val="111111"/>
          <w:sz w:val="28"/>
          <w:sz w:val="28"/>
          <w:szCs w:val="28"/>
          <w:rtl w:val="true"/>
          <w:lang w:bidi="fa-IR"/>
        </w:rPr>
        <w:t>نشده است، در آغاز سوره نساء، عموم مردم را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 یُّها النّاس اتّقوا ربّکم الّذی خلقکم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اعتراف مؤمنان به تقوا و تمسّک ایشان به دستورهای الهی در پایان سوره آل عمران و نیز توصیه عمومی خداوند به تمام انسانها</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مبنی بر رعایت تقوا در آغاز سوره نساء، حلقه وصل و ارتباط گفتاری و ماهوی پایان و آغاز این دو سوره به شمار می‌رود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bookmarkStart w:id="376" w:name="pg4391_51097"/>
    </w:p>
    <w:p>
      <w:pPr>
        <w:pStyle w:val="Heading5"/>
        <w:numPr>
          <w:ilvl w:val="4"/>
          <w:numId w:val="1"/>
        </w:numPr>
        <w:rPr/>
      </w:pPr>
      <w:bookmarkStart w:id="377" w:name="__RefHeading___Toc1438871_1479056682"/>
      <w:bookmarkStart w:id="378" w:name="_Toc144"/>
      <w:bookmarkEnd w:id="376"/>
      <w:bookmarkEnd w:id="377"/>
      <w:r>
        <w:rPr>
          <w:rtl w:val="true"/>
        </w:rPr>
        <w:t>تناسب بین سوره‌های نساء و مائده</w:t>
      </w:r>
      <w:bookmarkEnd w:id="378"/>
    </w:p>
    <w:p>
      <w:pPr>
        <w:pStyle w:val="BookText"/>
        <w:rPr/>
      </w:pPr>
      <w:r>
        <w:rPr>
          <w:rFonts w:ascii="IRNazanin" w:hAnsi="IRNazanin" w:eastAsia="IRNazanin"/>
          <w:color w:val="111111"/>
          <w:sz w:val="28"/>
          <w:sz w:val="28"/>
          <w:szCs w:val="28"/>
          <w:rtl w:val="true"/>
          <w:lang w:bidi="fa-IR"/>
        </w:rPr>
        <w:t>نهاوندی در وجود تناسب بین دو سوره نساء و مائده اظهار می‌دارد که خداوند در آغاز سوره نساء، خود را به قدرت و کمال توصیف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خلقکم من نفس</w:t>
      </w:r>
    </w:p>
    <w:p>
      <w:pPr>
        <w:pStyle w:val="BookText"/>
        <w:rPr/>
      </w:pP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بندگان را به رعایت تقوا خواند و آن گاه در پایان همان سوره علم ذاتی و گسترده خود را بر هستی نمایان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بکلّ شیء علیمٌ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صفت یعنی قدرت و علم، مرجع تمام صفات الهی و مثبت الوهیت و ربوبیت او و نیز علت وجوب اطاعت مردم از ذات اقدس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مائده، پس از افتتاح با بسمله و خطاب مؤمنان به اطاعت از احکام الهی که تمامی آنها عقد و عهد خدا با مردم است، به تشریع مهمترین احکام مربوط به خوراکی‌ها و آشامیدنی‌ها پرداخته و طیّ آن احکام مربوط به گوشت شتر، گاو، گوسفند و جنین آنها و گاو و بز و نیز چگونگی رشد و اهلی و بیابانی بودن آن را بیان کرده و متعاقب آن، برخی محرّمات را مشخص کرده و در آغاز سوره مائده، وفاداری مؤمنان و مخاطبان به پیمان خود با خداوند، مورد تأکید قرار گرفته است</w:t>
      </w:r>
      <w:r>
        <w:rPr>
          <w:rFonts w:eastAsia="IRNazanin" w:cs="IRNazanin"/>
          <w:color w:val="111111"/>
          <w:sz w:val="28"/>
          <w:szCs w:val="28"/>
          <w:rtl w:val="true"/>
          <w:lang w:bidi="fa-IR"/>
        </w:rPr>
        <w:t>.</w:t>
      </w:r>
    </w:p>
    <w:p>
      <w:pPr>
        <w:pStyle w:val="Heading5"/>
        <w:numPr>
          <w:ilvl w:val="4"/>
          <w:numId w:val="1"/>
        </w:numPr>
        <w:rPr/>
      </w:pPr>
      <w:bookmarkStart w:id="379" w:name="__RefHeading___Toc1438873_1479056682"/>
      <w:bookmarkStart w:id="380" w:name="_Toc145"/>
      <w:bookmarkEnd w:id="379"/>
      <w:r>
        <w:rPr>
          <w:rtl w:val="true"/>
        </w:rPr>
        <w:t>تناسب بین سوره‌های مائده و انعام</w:t>
      </w:r>
      <w:bookmarkEnd w:id="380"/>
    </w:p>
    <w:p>
      <w:pPr>
        <w:pStyle w:val="BookText"/>
        <w:rPr/>
      </w:pPr>
      <w:r>
        <w:rPr>
          <w:rFonts w:ascii="IRNazanin" w:hAnsi="IRNazanin" w:eastAsia="IRNazanin"/>
          <w:color w:val="111111"/>
          <w:sz w:val="28"/>
          <w:sz w:val="28"/>
          <w:szCs w:val="28"/>
          <w:rtl w:val="true"/>
          <w:lang w:bidi="fa-IR"/>
        </w:rPr>
        <w:t>آنچه در سوره‌های پیش از انعام تشریع گردید، بیان محاجّه با یهود و نصارا و اثبات توحید و پیامبری خاتم الانبیاء و نیز رفع شبهات مطرح شده از سوی یهودیان و مسیحیان و ابطال عقاید نادرست آنان بود و نیز بدعتهایی که فراسوی پیروان خود نهاوندی ایجاد شده بود و نیز تبیین احکام و حقوق عبادی و سیاسی و اجتماعی مردم و طرح پاکی و حلّیّت اطعمه حیوانی و توصیه در امر نکاح و منع از رهبانیت و اظهار منّت بر تمام</w:t>
      </w:r>
    </w:p>
    <w:p>
      <w:pPr>
        <w:pStyle w:val="BookText"/>
        <w:rPr/>
      </w:pPr>
      <w:r>
        <w:rPr>
          <w:rFonts w:ascii="IRNazanin" w:hAnsi="IRNazanin" w:eastAsia="IRNazanin"/>
          <w:color w:val="111111"/>
          <w:sz w:val="28"/>
          <w:sz w:val="28"/>
          <w:szCs w:val="28"/>
          <w:rtl w:val="true"/>
          <w:lang w:bidi="fa-IR"/>
        </w:rPr>
        <w:t>مسلمانان با تکمیل دین و اتمام نعمت با نصب امام و جانشین خود در پایان سوره مائده هم قدرت و عظمت و سلطان و اقتدارخداوند در آفرینش نظام هستی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سوره‌های حمد، بقره، آل عمران، نساء و مائده که ماهیّت آموزه‌ها و ارتباط بین</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بیان شد، سوره انعام با حمد و سپاس بر نعمتهای نام برده شده و نیز اعتراف به</w:t>
      </w:r>
    </w:p>
    <w:p>
      <w:pPr>
        <w:pStyle w:val="BookText"/>
        <w:rPr/>
      </w:pPr>
      <w:r>
        <w:rPr>
          <w:rFonts w:ascii="IRNazanin" w:hAnsi="IRNazanin" w:eastAsia="IRNazanin"/>
          <w:color w:val="111111"/>
          <w:sz w:val="28"/>
          <w:sz w:val="28"/>
          <w:szCs w:val="28"/>
          <w:rtl w:val="true"/>
          <w:lang w:bidi="fa-IR"/>
        </w:rPr>
        <w:t>قدرت خداوند در آفرینش آسمانها و زمین و ظلمت و نور آغاز می‌شود و مهمترین مقصد در این سوره، احتجاج با مشرکان و بت‌پرستان پیرامون عقاید باطل و نادرست آنان است و نیز بدعتهایی که از آن پیروی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سوره مائده را با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ملک</w:t>
      </w:r>
    </w:p>
    <w:p>
      <w:pPr>
        <w:pStyle w:val="BookText"/>
        <w:rPr/>
      </w:pPr>
      <w:r>
        <w:rPr>
          <w:rFonts w:ascii="IRNazanin" w:hAnsi="IRNazanin" w:eastAsia="IRNazanin"/>
          <w:color w:val="111111"/>
          <w:sz w:val="28"/>
          <w:sz w:val="28"/>
          <w:szCs w:val="28"/>
          <w:rtl w:val="true"/>
          <w:lang w:bidi="fa-IR"/>
        </w:rPr>
        <w:t xml:space="preserve">السّموات والأرض وما فیهنّ وهو علی کلّ شی‌ءٍ 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 و سوره انعام را با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السّموات والأرض وجعل الظُّلمات والنُّور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کرد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موارد فراوان دیگری که در تفسیر نهاوندی وجود دارد و تأمل در این گونه موارد برخی از ابعاد اعجاز قرآن را روشن می‌کند که کمترین فایده آن تصدیق نظریه توقیفی بودن نظم سور و آیات است</w:t>
      </w:r>
      <w:r>
        <w:rPr>
          <w:rFonts w:eastAsia="IRNazanin" w:cs="IRNazanin"/>
          <w:color w:val="111111"/>
          <w:sz w:val="28"/>
          <w:szCs w:val="28"/>
          <w:rtl w:val="true"/>
          <w:lang w:bidi="fa-IR"/>
        </w:rPr>
        <w:t>.</w:t>
      </w:r>
      <w:bookmarkStart w:id="381" w:name="pg4391_51099"/>
    </w:p>
    <w:p>
      <w:pPr>
        <w:pStyle w:val="Heading4"/>
        <w:numPr>
          <w:ilvl w:val="3"/>
          <w:numId w:val="1"/>
        </w:numPr>
        <w:rPr/>
      </w:pPr>
      <w:bookmarkStart w:id="382" w:name="__RefHeading___Toc1438875_1479056682"/>
      <w:bookmarkStart w:id="383" w:name="_Toc146"/>
      <w:bookmarkEnd w:id="381"/>
      <w:bookmarkEnd w:id="382"/>
      <w:r>
        <w:rPr>
          <w:rtl w:val="true"/>
        </w:rPr>
        <w:t xml:space="preserve">فصل چهاردهم </w:t>
      </w:r>
      <w:r>
        <w:rPr>
          <w:rtl w:val="true"/>
        </w:rPr>
        <w:t xml:space="preserve">- </w:t>
      </w:r>
      <w:r>
        <w:rPr>
          <w:rtl w:val="true"/>
        </w:rPr>
        <w:t>اسباب نزول در نفحات الرّحمن</w:t>
      </w:r>
      <w:bookmarkEnd w:id="383"/>
    </w:p>
    <w:p>
      <w:pPr>
        <w:pStyle w:val="Heading5"/>
        <w:numPr>
          <w:ilvl w:val="4"/>
          <w:numId w:val="1"/>
        </w:numPr>
        <w:rPr/>
      </w:pPr>
      <w:bookmarkStart w:id="384" w:name="__RefHeading___Toc1438877_1479056682"/>
      <w:bookmarkStart w:id="385" w:name="_Toc147"/>
      <w:bookmarkEnd w:id="384"/>
      <w:r>
        <w:rPr>
          <w:rtl w:val="true"/>
        </w:rPr>
        <w:t>تفسیر آیات و سوره با توجّه به اسباب نزول آنها</w:t>
      </w:r>
      <w:bookmarkEnd w:id="385"/>
    </w:p>
    <w:p>
      <w:pPr>
        <w:pStyle w:val="BookText"/>
        <w:rPr/>
      </w:pPr>
      <w:r>
        <w:rPr>
          <w:rFonts w:ascii="IRNazanin" w:hAnsi="IRNazanin" w:eastAsia="IRNazanin"/>
          <w:color w:val="111111"/>
          <w:sz w:val="28"/>
          <w:sz w:val="28"/>
          <w:szCs w:val="28"/>
          <w:rtl w:val="true"/>
          <w:lang w:bidi="fa-IR"/>
        </w:rPr>
        <w:t>توجّه به سبب یا اسباب نزول آیات و سوَر، تأثیر مستقیم در فهم آیات و استنباط صحیح احکام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آیات، سبب نزول خاص دارند؛ یعنی از پی حادثه‌ای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جالب یا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پرسشی مبهم و یا رخداد و پیش‌آمد خاصّی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ربط بین حوادث و وقایع که پیش درآمد و سبب نزول احکام و تعالیم آسمانی است، در استحکام حکم با موضوع تأثیر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کتب مستقل یا غیر مستقلی پیرامون این گونه آیات و تحلیل سبب نزول آنها تدوین و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دیگر از آیات، فاقد سبب نزول خاص، بلکه خطابی عام دارند و در ارتباط با هدایت عموم مکلّفان یا شنوندگان به سوی حق نازل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شناخت اسباب نزول و ایجاد و ربط بین آیه و سبب نزول آن، فوایدی چند مطرح شده که برخی از آن به شرح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فلسفه و حکمت قانونگذاری و تشریع الهی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تخصیص حکم آیه به سبب نزول خاص؛ این در صورتی است که ملاک در حکم</w:t>
      </w:r>
    </w:p>
    <w:p>
      <w:pPr>
        <w:pStyle w:val="BookText"/>
        <w:rPr/>
      </w:pPr>
      <w:r>
        <w:rPr>
          <w:rFonts w:ascii="IRNazanin" w:hAnsi="IRNazanin" w:eastAsia="IRNazanin"/>
          <w:color w:val="111111"/>
          <w:sz w:val="28"/>
          <w:sz w:val="28"/>
          <w:szCs w:val="28"/>
          <w:rtl w:val="true"/>
          <w:lang w:bidi="fa-IR"/>
        </w:rPr>
        <w:t>آیه خصوص سبب باشد، نَه عموم لفظ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مدلول صحیح آیات و سور و رفع هرگونه ابهام و تردید</w:t>
      </w:r>
      <w:r>
        <w:rPr>
          <w:rFonts w:eastAsia="IRNazanin" w:cs="IRNazanin"/>
          <w:color w:val="111111"/>
          <w:sz w:val="28"/>
          <w:szCs w:val="28"/>
          <w:rtl w:val="true"/>
          <w:lang w:bidi="fa-IR"/>
        </w:rPr>
        <w:t>.</w:t>
      </w:r>
      <w:bookmarkStart w:id="386" w:name="pg4391_51100"/>
    </w:p>
    <w:p>
      <w:pPr>
        <w:pStyle w:val="BookText"/>
        <w:rPr/>
      </w:pPr>
      <w:bookmarkEnd w:id="38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خروج سبب نزول از حکم آیه در صورتی که حکم عام آیه، مشمول تخصیص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دفع توهّم حصر و اختصاص در احکام آیات، آن جا که ظاهر آیات، افاده حصر یا اختصاص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در حفظ و یادگیری 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تاریخ و سرگذشت اشخاص، اُمم، قبایل و تمدّنهایی که آیات در خصوص یا وصف آنان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بدین وسیله علاوه بر فایده فوق، افراد یا قبایلی که مشمول حکم آیه نیستند، از شمولیّت حکم خارج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نفحات الرّحمن، مفسّر می‌کوشد از طریق اخبار و روایات مورد اعتماد به شناخت اسباب نزول دست یابد و نیز با ایجاد ربط بین آیاتی که سبب نزول دارند، با سبب یا اسباب نزول خود، ذهن پژوهشگر را آماده فهم مدلول صحیح آیات کند و توهّم و تردید را از او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 در بسیاری از مواضع کتاب مورد توجّه و اهتمام مفسّر</w:t>
      </w:r>
    </w:p>
    <w:p>
      <w:pPr>
        <w:pStyle w:val="BookText"/>
        <w:rPr/>
      </w:pPr>
      <w:r>
        <w:rPr>
          <w:rFonts w:ascii="IRNazanin" w:hAnsi="IRNazanin" w:eastAsia="IRNazanin"/>
          <w:color w:val="111111"/>
          <w:sz w:val="28"/>
          <w:sz w:val="28"/>
          <w:szCs w:val="28"/>
          <w:rtl w:val="true"/>
          <w:lang w:bidi="fa-IR"/>
        </w:rPr>
        <w:t>قرار گرفته است، به عنوان نمونه</w:t>
      </w:r>
      <w:r>
        <w:rPr>
          <w:rFonts w:eastAsia="IRNazanin" w:cs="IRNazanin"/>
          <w:color w:val="111111"/>
          <w:sz w:val="28"/>
          <w:szCs w:val="28"/>
          <w:rtl w:val="true"/>
          <w:lang w:bidi="fa-IR"/>
        </w:rPr>
        <w:t>:</w:t>
      </w:r>
    </w:p>
    <w:p>
      <w:pPr>
        <w:pStyle w:val="Heading5"/>
        <w:numPr>
          <w:ilvl w:val="4"/>
          <w:numId w:val="1"/>
        </w:numPr>
        <w:rPr/>
      </w:pPr>
      <w:bookmarkStart w:id="387" w:name="__RefHeading___Toc1438879_1479056682"/>
      <w:bookmarkStart w:id="388" w:name="_Toc148"/>
      <w:bookmarkEnd w:id="387"/>
      <w:r>
        <w:rPr>
          <w:rtl w:val="true"/>
        </w:rPr>
        <w:t xml:space="preserve">سبب نزول آیه </w:t>
      </w:r>
      <w:r>
        <w:rPr/>
        <w:t>267</w:t>
      </w:r>
      <w:r>
        <w:rPr>
          <w:rtl w:val="true"/>
        </w:rPr>
        <w:t xml:space="preserve"> </w:t>
      </w:r>
      <w:r>
        <w:rPr>
          <w:rtl w:val="true"/>
        </w:rPr>
        <w:t>سوره بقره</w:t>
      </w:r>
      <w:r>
        <w:rPr>
          <w:rtl w:val="true"/>
        </w:rPr>
        <w:t>: «</w:t>
      </w:r>
      <w:r>
        <w:rPr>
          <w:rtl w:val="true"/>
        </w:rPr>
        <w:t xml:space="preserve">یَا أَ یُّهَا ا لَّذِینَ آمَنُوا أَنْفِقُوا مِن طَیِّبَاتِ مَا کَسَبْتُمْ </w:t>
      </w:r>
      <w:r>
        <w:rPr>
          <w:rtl w:val="true"/>
        </w:rPr>
        <w:t>»</w:t>
      </w:r>
      <w:bookmarkEnd w:id="388"/>
    </w:p>
    <w:p>
      <w:pPr>
        <w:pStyle w:val="BookText"/>
        <w:rPr/>
      </w:pPr>
      <w:r>
        <w:rPr>
          <w:rFonts w:ascii="IRNazanin" w:hAnsi="IRNazanin" w:eastAsia="IRNazanin"/>
          <w:color w:val="111111"/>
          <w:sz w:val="28"/>
          <w:sz w:val="28"/>
          <w:szCs w:val="28"/>
          <w:rtl w:val="true"/>
          <w:lang w:bidi="fa-IR"/>
        </w:rPr>
        <w:t>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ابتدا به توضیح آیه می‌پردازد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ناظر بر انفاق از آن بخش اموال مشروع و شخصی دارد که از طریق تجارت و یا هبه و بخشش کسب شده و آدمی براساس جود و سخا آن را به دیگران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با ذکر بخشی از تاریخ حیات اجتماعی اعراب قبل از اسلام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خصوص آن دسته اعراب جاهلی است که اکنون ایمان آورده‌اند، امّا قبل از آن از اموالی که به ربا و نزول به دست آورده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بودند، به دیگران می‌دادند و اکنون نیز ندانسته به همان روش قصد انفاق به مسلمانان و همنوعان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نزول این آیه، آنان را از این عمل نهی کرد و فرمود از راه حلال و طیب و نیز از اموال پاک و مشروع خود، به دیگران صدقه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توضیح</w:t>
      </w:r>
    </w:p>
    <w:p>
      <w:pPr>
        <w:pStyle w:val="BookText"/>
        <w:rPr/>
      </w:pPr>
      <w:r>
        <w:rPr>
          <w:rFonts w:ascii="IRNazanin" w:hAnsi="IRNazanin" w:eastAsia="IRNazanin"/>
          <w:color w:val="111111"/>
          <w:sz w:val="28"/>
          <w:sz w:val="28"/>
          <w:szCs w:val="28"/>
          <w:rtl w:val="true"/>
          <w:lang w:bidi="fa-IR"/>
        </w:rPr>
        <w:t>خود را مستند به روایتی از امام صادق علیه‌السلام می‌کند که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القوم قد کسبوا مکاسب فی الجاهلیّة فلمّا أسلموا أرادوا أن یخرجُوها من أموالهم لیتصدّقوا بها فأبی اللّه تبارک وتعالی إلاّ أن یخرجوا مِن طیّب ما کسبوا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نتیجه می‌گیرد شرط درستی انفاق و صدقه، پرداخت از اموال مشروع و حلال است</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سرتاسر تفسیر، هرجا مفسّر روایت صحیحی در تبیین سبب نزول آیه می‌یابد، با استناد به آن به تحلیل مفهوم آیه یا سوره می‌پردازد</w:t>
      </w:r>
      <w:r>
        <w:rPr>
          <w:rFonts w:eastAsia="IRNazanin" w:cs="IRNazanin"/>
          <w:color w:val="111111"/>
          <w:sz w:val="28"/>
          <w:szCs w:val="28"/>
          <w:rtl w:val="true"/>
          <w:lang w:bidi="fa-IR"/>
        </w:rPr>
        <w:t>.</w:t>
      </w:r>
      <w:bookmarkStart w:id="389" w:name="pg4391_51102"/>
    </w:p>
    <w:p>
      <w:pPr>
        <w:pStyle w:val="Heading4"/>
        <w:numPr>
          <w:ilvl w:val="3"/>
          <w:numId w:val="1"/>
        </w:numPr>
        <w:rPr/>
      </w:pPr>
      <w:bookmarkStart w:id="390" w:name="__RefHeading___Toc1438881_1479056682"/>
      <w:bookmarkStart w:id="391" w:name="_Toc149"/>
      <w:bookmarkEnd w:id="389"/>
      <w:bookmarkEnd w:id="390"/>
      <w:r>
        <w:rPr>
          <w:rtl w:val="true"/>
        </w:rPr>
        <w:t xml:space="preserve">فصل پانزدهم </w:t>
      </w:r>
      <w:r>
        <w:rPr>
          <w:rtl w:val="true"/>
        </w:rPr>
        <w:t xml:space="preserve">- </w:t>
      </w:r>
      <w:r>
        <w:rPr>
          <w:rtl w:val="true"/>
        </w:rPr>
        <w:t>تفسیر مبهمات قرآن در نفحات الرّحمن</w:t>
      </w:r>
      <w:bookmarkEnd w:id="391"/>
    </w:p>
    <w:p>
      <w:pPr>
        <w:pStyle w:val="BookText"/>
        <w:rPr/>
      </w:pPr>
      <w:r>
        <w:rPr>
          <w:rFonts w:ascii="IRNazanin" w:hAnsi="IRNazanin" w:eastAsia="IRNazanin"/>
          <w:color w:val="111111"/>
          <w:sz w:val="28"/>
          <w:sz w:val="28"/>
          <w:szCs w:val="28"/>
          <w:rtl w:val="true"/>
          <w:lang w:bidi="fa-IR"/>
        </w:rPr>
        <w:t>یکی از وظایف مهم و راهگشای مفسّران، رفع ابهام از واژگان مبهم قرآنی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واژگان و عبارات قرآنی که قرآن پژوهان از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کرده‌اند، نسبت به هر واژه و عبارت دیگر، تفسیر و پژوهش بیشتری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موضوع، ذهن برخی قرآن شناسان را بر آن داشت تا پیرامون این علم مستقل قرآنی به تألیف و تحقیق دست زنند و نتیجه تحقیق خود را در اختیار پژوهشگران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تحقیقات و تألیفات مستقل در این زمینه به قرن پنجم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عبدالرّحمان بن عبداللّه بن احمد خثعمی سهیلی که زرکشی از آن به عنوان ابوالقاسم سهیلی </w:t>
      </w:r>
      <w:r>
        <w:rPr>
          <w:rStyle w:val="FootnoteAnchor"/>
          <w:rtl w:val="true"/>
        </w:rPr>
        <w:footnoteReference w:id="369"/>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محقّق کوشا و ادیبی است که کتاب التعریف والإعلام فی ما أبهم فی القرآن من الأسماء والأعلام و نیز کتاب الإیضاح والتبیین لما أبهم من تفسیر الکتاب المبین را تألیف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شاگردش ابن عساکر </w:t>
      </w:r>
      <w:r>
        <w:rPr>
          <w:rStyle w:val="FootnoteAnchor"/>
          <w:rtl w:val="true"/>
        </w:rPr>
        <w:footnoteReference w:id="370"/>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تکمله‌ای بر</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استادش سهیلی نوشت و آن را التکملة والاتمام لکتاب التعریف والاعلام 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بخشی از کتاب البرهان </w:t>
      </w:r>
      <w:r>
        <w:rPr>
          <w:rStyle w:val="FootnoteAnchor"/>
          <w:rtl w:val="true"/>
        </w:rPr>
        <w:footnoteReference w:id="371"/>
      </w:r>
      <w:r>
        <w:rPr>
          <w:rFonts w:ascii="IRNazanin" w:hAnsi="IRNazanin" w:eastAsia="IRNazanin"/>
          <w:color w:val="111111"/>
          <w:sz w:val="28"/>
          <w:sz w:val="28"/>
          <w:szCs w:val="28"/>
          <w:rtl w:val="true"/>
          <w:lang w:bidi="fa-IR"/>
        </w:rPr>
        <w:t>خود را به معرّفی اجمالی این علم و بررسی دلایل ذکر مبهمات در قرآن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جلال الدین عبدالرّحمان</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طبق اعترافی که در الاتقان </w:t>
      </w:r>
      <w:r>
        <w:rPr>
          <w:rStyle w:val="FootnoteAnchor"/>
          <w:rtl w:val="true"/>
        </w:rPr>
        <w:footnoteReference w:id="372"/>
      </w:r>
      <w:r>
        <w:rPr>
          <w:rFonts w:ascii="IRNazanin" w:hAnsi="IRNazanin" w:eastAsia="IRNazanin"/>
          <w:color w:val="111111"/>
          <w:sz w:val="28"/>
          <w:sz w:val="28"/>
          <w:szCs w:val="28"/>
          <w:rtl w:val="true"/>
          <w:lang w:bidi="fa-IR"/>
        </w:rPr>
        <w:t xml:space="preserve">کرده است، تألیف مستقلّی در زمینه مبهمات قرآن نگاشت و نام آن را مفحمات الاقران فی مبهمات القرآن گذارد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از اینان، کسانی دیگر نیز به تحقیق و تألیف کتاب مستقل پیرامون این علم، همّت گماردند که عمده این تحقیقات به دوره‌های پیشین باز می‌گردد،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فیما أبهم من الأسماء فی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سلیمان بن احمد زهری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ذیل التعریف والاعلام،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محمّد بلنسی </w:t>
      </w:r>
      <w:r>
        <w:rPr>
          <w:rFonts w:eastAsia="IRNazanin" w:cs="IRNazanin"/>
          <w:color w:val="111111"/>
          <w:sz w:val="28"/>
          <w:szCs w:val="28"/>
          <w:rtl w:val="true"/>
          <w:lang w:bidi="fa-IR"/>
        </w:rPr>
        <w:t>(</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لمبهمات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بدرالدین محمّد بن ابراهیم بن سعداللّه معروف به ابن جماعه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مبهمات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محمّد بن علی بلنسی </w:t>
      </w:r>
      <w:r>
        <w:rPr>
          <w:rFonts w:eastAsia="IRNazanin" w:cs="IRNazanin"/>
          <w:color w:val="111111"/>
          <w:sz w:val="28"/>
          <w:szCs w:val="28"/>
          <w:rtl w:val="true"/>
          <w:lang w:bidi="fa-IR"/>
        </w:rPr>
        <w:t>(</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الاحکام لبیان ما فی القرآن من الابهام،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علی کتانی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غوامض القرآن، 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بن محمّد نجفی معروف به طریحی </w:t>
      </w:r>
      <w:r>
        <w:rPr>
          <w:rFonts w:eastAsia="IRNazanin" w:cs="IRNazanin"/>
          <w:color w:val="111111"/>
          <w:sz w:val="28"/>
          <w:szCs w:val="28"/>
          <w:rtl w:val="true"/>
          <w:lang w:bidi="fa-IR"/>
        </w:rPr>
        <w:t>(</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مبهمات القرآن، نسخه خطّی آن در کتابخانه باشادر موصل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متأخّران نیز بدون آن که به یافته‌های پیشینیان چیزی بیفزایند، به نگارشهای مشابه پرداختند و نظم و سامان خاصّی به این بخش از علوم قرآنی دادند</w:t>
      </w:r>
      <w:r>
        <w:rPr>
          <w:rFonts w:eastAsia="IRNazanin" w:cs="IRNazanin"/>
          <w:color w:val="111111"/>
          <w:sz w:val="28"/>
          <w:szCs w:val="28"/>
          <w:rtl w:val="true"/>
          <w:lang w:bidi="fa-IR"/>
        </w:rPr>
        <w:t>.</w:t>
      </w:r>
      <w:r>
        <w:rPr>
          <w:rStyle w:val="FootnoteAnchor"/>
          <w:rtl w:val="true"/>
        </w:rPr>
        <w:footnoteReference w:id="374"/>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اصطلاحات علوم قرآنی، مقصود از مبهمات، اشخاص، جایها، حوادث و</w:t>
      </w:r>
    </w:p>
    <w:p>
      <w:pPr>
        <w:pStyle w:val="BookText"/>
        <w:rPr/>
      </w:pPr>
      <w:r>
        <w:rPr>
          <w:rFonts w:ascii="IRNazanin" w:hAnsi="IRNazanin" w:eastAsia="IRNazanin"/>
          <w:color w:val="111111"/>
          <w:sz w:val="28"/>
          <w:sz w:val="28"/>
          <w:szCs w:val="28"/>
          <w:rtl w:val="true"/>
          <w:lang w:bidi="fa-IR"/>
        </w:rPr>
        <w:t>جریانهایی است که در هاله‌ای از ابهام از آن سخن رفته و به طور دقیق، مصداق آن بیان</w:t>
      </w:r>
    </w:p>
    <w:p>
      <w:pPr>
        <w:pStyle w:val="BookText"/>
        <w:rPr/>
      </w:pP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مبهمات قرآنی، واژگانی است که از نظر مسمّی یا معدود و یا زمان، چگونگی آن مخفی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گفت ابهام در این گونه واژگان را نباید از مقوله لفظ دانست، بلکه از نوع بیان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شارع مقدس، به طور عمد از بیان جزئیّات مربوط به اسماء، اَعلام، جایها، گروهها،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ورزیده است و لذا راه علم به مفهوم و مدلول این گونه واژگان، نَه از طریق مراجعه به کتاب لغت امکان‌پذیر است و نه از طریق اجتهادهای عقلی، بلکه به نظر ما رجوع به اقوال پیامبر صلی‌الله‌علیه‌و‌آله و ائمّه اطهار علیهم‌السلام و راسخان در علم که علم به تأویل آیات نزد آنان است، می‌تواند تنها راه تفسیر مبهمات قرآن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پاره‌ای از مبهمات قرآنی نیز از طریق مراجعه به سیاق آیات قابل فهم و تفسیر است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تحقیق تلاش می‌شود موضع نفحات الرّحمن پیرامون مبهمات قرآن شناسایی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پاره‌ای مبهمات در جای جای سور شناسایی می‌گردد، سپس تفسیر آنها را در نفحات می‌جوییم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تَرَ إِلَی ا لَّذِی حَاجَّ إِبْرَاهِیمَ فِی رَبِّهِ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آیه از معرّفی فردی که با ابراهیم محاجّه کرد، خودداری شده است، لذا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ابهام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در این خصوص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نمرود بن کنعان، امپراتور و فرمانروای مستبدّ زمان ابراهیم علیه‌السلام ، فردی بود که با ابراهیم علیه‌السلام پیرامون توحید محاجّه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w:t>
      </w:r>
    </w:p>
    <w:p>
      <w:pPr>
        <w:pStyle w:val="BookText"/>
        <w:rPr/>
      </w:pPr>
      <w:r>
        <w:rPr>
          <w:rFonts w:ascii="IRNazanin" w:hAnsi="IRNazanin" w:eastAsia="IRNazanin"/>
          <w:color w:val="111111"/>
          <w:sz w:val="28"/>
          <w:sz w:val="28"/>
          <w:szCs w:val="28"/>
          <w:rtl w:val="true"/>
          <w:lang w:bidi="fa-IR"/>
        </w:rPr>
        <w:t>قدرت و سلطنت گسترده‌ای که به دست آورده بود، مغرور گشت و ادّعای خدایی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نقل سخنی از مجاهد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چهار نفری که در زمان خود، بر گستره زمین حکمرانی کردند، دو نفر مسلمان و دو نفر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فرمانروایان مسلمان، سلیمان</w:t>
      </w:r>
    </w:p>
    <w:p>
      <w:pPr>
        <w:pStyle w:val="BookText"/>
        <w:rPr/>
      </w:pPr>
      <w:r>
        <w:rPr>
          <w:rFonts w:ascii="IRNazanin" w:hAnsi="IRNazanin" w:eastAsia="IRNazanin"/>
          <w:color w:val="111111"/>
          <w:sz w:val="28"/>
          <w:sz w:val="28"/>
          <w:szCs w:val="28"/>
          <w:rtl w:val="true"/>
          <w:lang w:bidi="fa-IR"/>
        </w:rPr>
        <w:t>بن داود و ذو القرنین بودند و نیز فرمانروایان خودرأی و متکبّر، نمرود و بخت النّصّر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 بن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بخت النّصّر، کاخهایی عظیم در صحرای عدن بنا نهاد، و قرآن از</w:t>
      </w:r>
    </w:p>
    <w:p>
      <w:pPr>
        <w:pStyle w:val="BookText"/>
        <w:rPr/>
      </w:pPr>
      <w:r>
        <w:rPr>
          <w:rFonts w:ascii="IRNazanin" w:hAnsi="IRNazanin" w:eastAsia="IRNazanin"/>
          <w:color w:val="111111"/>
          <w:sz w:val="28"/>
          <w:sz w:val="28"/>
          <w:szCs w:val="28"/>
          <w:rtl w:val="true"/>
          <w:lang w:bidi="fa-IR"/>
        </w:rPr>
        <w:t>آن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اوّلین کسی بود که تاج بر سر نهاد و بر مردم خود بزرگی کرد و آنان را به ستایش و پرستش خویش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نهاوندی علاوه بر رفع ابهام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نکته زیبایی در تجلیل و بزرگداشت ابراهیم علیه‌السلاماشاره می‌نماید، و آن این که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هاء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بازگشت به ابراهیم علیه‌السلامدارد، دلیل بر تشریف و بزرگداشت مقام ابراهیم و تأیید روش و نبوّت و رسالت و امامت آن حضرت است</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وَقَالَت طَائِفَةٌ مِنْ أَهْلِ ا لْکِتَابِ آمِنُوا بِالَّذِی أُنزِلَ عَلَی ا لَّذِینَ آمَنُوا وَجْهَ النَّهَارِ وَاکْفُرُوا آخِرَهُ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این آیه سخن از گروهی از اهل کتاب است که به دوستان خود توصیه می‌کردند به محمّد صلی‌الله‌علیه‌و‌آله و آیین او ایمان آورید و پس از چندی به او پشت کنید تا از این طریق، اعتماد ظاهری مسلمانان را نسبت به خود جلب و سپس با پشت کردن به محمّد صلی‌الله‌علیه‌و‌آله آنان را در</w:t>
      </w:r>
    </w:p>
    <w:p>
      <w:pPr>
        <w:pStyle w:val="BookText"/>
        <w:rPr/>
      </w:pPr>
      <w:r>
        <w:rPr>
          <w:rFonts w:ascii="IRNazanin" w:hAnsi="IRNazanin" w:eastAsia="IRNazanin"/>
          <w:color w:val="111111"/>
          <w:sz w:val="28"/>
          <w:sz w:val="28"/>
          <w:szCs w:val="28"/>
          <w:rtl w:val="true"/>
          <w:lang w:bidi="fa-IR"/>
        </w:rPr>
        <w:t>هاله‌ای از ابهام قرار دهید و قصد آنان از این تاکتیک ایجاد دلهره و تردید در دل تازه</w:t>
      </w:r>
    </w:p>
    <w:p>
      <w:pPr>
        <w:pStyle w:val="BookText"/>
        <w:rPr/>
      </w:pPr>
      <w:r>
        <w:rPr>
          <w:rFonts w:ascii="IRNazanin" w:hAnsi="IRNazanin" w:eastAsia="IRNazanin"/>
          <w:color w:val="111111"/>
          <w:sz w:val="28"/>
          <w:sz w:val="28"/>
          <w:szCs w:val="28"/>
          <w:rtl w:val="true"/>
          <w:lang w:bidi="fa-IR"/>
        </w:rPr>
        <w:t>مسلمانان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مصادیق و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طائفة من أهل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مسکوت گذارده شده، امّا نهاوندی با مراجعه به روایات تفسیری، گروه اهل کتاب و یهودیان منافق را شناسانده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نهاوندی، تظاهر یهودیان به حقّانیت قرآن و احکام و تعالیم محمّد صلی‌الله‌علیه‌و‌آله</w:t>
      </w:r>
    </w:p>
    <w:p>
      <w:pPr>
        <w:pStyle w:val="BookText"/>
        <w:rPr/>
      </w:pPr>
      <w:r>
        <w:rPr>
          <w:rFonts w:ascii="IRNazanin" w:hAnsi="IRNazanin" w:eastAsia="IRNazanin"/>
          <w:color w:val="111111"/>
          <w:sz w:val="28"/>
          <w:sz w:val="28"/>
          <w:szCs w:val="28"/>
          <w:rtl w:val="true"/>
          <w:lang w:bidi="fa-IR"/>
        </w:rPr>
        <w:t>صرفا به بعد از واقعه تحویل قبله باز نمی‌گردد، بلکه در بسیاری موارد، استراتژی آنان، ایجاد تردید در دل مسلمانان بود و حیله آنان در تعقیب این هدف ناپاک، تظاهر اوّلیه به</w:t>
      </w:r>
    </w:p>
    <w:p>
      <w:pPr>
        <w:pStyle w:val="BookText"/>
        <w:rPr/>
      </w:pPr>
      <w:r>
        <w:rPr>
          <w:rFonts w:ascii="IRNazanin" w:hAnsi="IRNazanin" w:eastAsia="IRNazanin"/>
          <w:color w:val="111111"/>
          <w:sz w:val="28"/>
          <w:sz w:val="28"/>
          <w:szCs w:val="28"/>
          <w:rtl w:val="true"/>
          <w:lang w:bidi="fa-IR"/>
        </w:rPr>
        <w:t>پذیرش اسلام و احکام قرآن و انکار آن در فرصتهای بعدی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 لَّذِینَ آمَنُوا اذْکُرُوا نِعْمَتَ اللّه‌ِ عَلَیْکُمْ إِذْ هَمَّ قَوْمٌ أَن یَبْسُطُوا إِلَیْکُمْ أَیْدِیَهُمْ</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سخن از قصد و تصمیم گروهی از کافران به میان آمده که نقشه قتل پیامبر صلی‌الله‌علیه‌و‌آلهرا طرّاحی کرده بودند، امّا جبرئیل علیه‌السلام حضرت را از قصد شوم آنان آگاه</w:t>
      </w:r>
    </w:p>
    <w:p>
      <w:pPr>
        <w:pStyle w:val="BookText"/>
        <w:rPr/>
      </w:pPr>
      <w:r>
        <w:rPr>
          <w:rFonts w:ascii="IRNazanin" w:hAnsi="IRNazanin" w:eastAsia="IRNazanin"/>
          <w:color w:val="111111"/>
          <w:sz w:val="28"/>
          <w:sz w:val="28"/>
          <w:szCs w:val="28"/>
          <w:rtl w:val="true"/>
          <w:lang w:bidi="fa-IR"/>
        </w:rPr>
        <w:t>ساخت و پیامبر و اصحاب او از یک ترور سیاسی نجات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می‌کوشد آن کافران تروریست را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استناد به خبری از ابن عباس، اعتقاد دارد که مراد از طایفه‌ای از کافران که در این آیه از کینه‌ورزی و تهاجم آنان علیه پیامبر و مؤمنان سخن گفته شده، قبیله بنی عامر است که یکی از حوادث تلخ تاریخ اسلام را در سال چهارم هجری پی‌ریزی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تظاهر و فریب از پیامبر آموزش</w:t>
      </w:r>
    </w:p>
    <w:p>
      <w:pPr>
        <w:pStyle w:val="BookText"/>
        <w:rPr/>
      </w:pPr>
      <w:r>
        <w:rPr>
          <w:rFonts w:ascii="IRNazanin" w:hAnsi="IRNazanin" w:eastAsia="IRNazanin"/>
          <w:color w:val="111111"/>
          <w:sz w:val="28"/>
          <w:sz w:val="28"/>
          <w:szCs w:val="28"/>
          <w:rtl w:val="true"/>
          <w:lang w:bidi="fa-IR"/>
        </w:rPr>
        <w:t>قرآن را درخواست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نیز چهل نفر از معلّمان و بلکه حافظان قرآن را به سوی قبیله بنی عامر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قبیله بنی عامر با همدستی قبیله‌های متّحد خود به</w:t>
      </w:r>
    </w:p>
    <w:p>
      <w:pPr>
        <w:pStyle w:val="BookText"/>
        <w:rPr/>
      </w:pPr>
      <w:r>
        <w:rPr>
          <w:rFonts w:ascii="IRNazanin" w:hAnsi="IRNazanin" w:eastAsia="IRNazanin"/>
          <w:color w:val="111111"/>
          <w:sz w:val="28"/>
          <w:sz w:val="28"/>
          <w:szCs w:val="28"/>
          <w:rtl w:val="true"/>
          <w:lang w:bidi="fa-IR"/>
        </w:rPr>
        <w:t>جای استقبال از هیأت اعزامی پیامبر اکرم صلی‌الله‌علیه‌و‌آله به قتل و غارت آنان پرداختند، به گونه‌ای که از گروه چهل نفره اعزامی، جز سه تن زنده نماندند، و همه را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نهاوندی بر اساس گفته‌های ابن عباس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سه مبلّغ نجات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همراهی دو تن دیگر به سوی مدینه و نزد پیامبر صلی‌الله‌علیه‌و‌آله روانه شد تا ماجرا را به آگاهی آن حضرت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دو نفر از افراد قبیله بنی سلیم که از امان یافتگان پیامبر صلی‌الله‌علیه‌و‌آله بودند برخوردند و غافل از تأمین جانی آنان، آن دو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افراد قبیله بنی سلیم رسید، آنان نیز نزد</w:t>
      </w:r>
    </w:p>
    <w:p>
      <w:pPr>
        <w:pStyle w:val="BookText"/>
        <w:rPr/>
      </w:pPr>
      <w:r>
        <w:rPr>
          <w:rFonts w:ascii="IRNazanin" w:hAnsi="IRNazanin" w:eastAsia="IRNazanin"/>
          <w:color w:val="111111"/>
          <w:sz w:val="28"/>
          <w:sz w:val="28"/>
          <w:szCs w:val="28"/>
          <w:rtl w:val="true"/>
          <w:lang w:bidi="fa-IR"/>
        </w:rPr>
        <w:t>پیامبر صلی‌الله‌علیه‌و‌آله رفتند و با شکایت از عمل عمر و اُمیّه و همدستان او، درخواست دیه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این واقعه ناخشنود گشت همراه علی و ابو بکر و عثمان نزد قبیله بنی نضیر که هم‌پیمان و معین مسلمانان بودند، رفت و بر اساس مفاد یکی از بندهای عهدنامه</w:t>
      </w:r>
    </w:p>
    <w:p>
      <w:pPr>
        <w:pStyle w:val="BookText"/>
        <w:rPr/>
      </w:pPr>
      <w:r>
        <w:rPr>
          <w:rFonts w:ascii="IRNazanin" w:hAnsi="IRNazanin" w:eastAsia="IRNazanin"/>
          <w:color w:val="111111"/>
          <w:sz w:val="28"/>
          <w:sz w:val="28"/>
          <w:szCs w:val="28"/>
          <w:rtl w:val="true"/>
          <w:lang w:bidi="fa-IR"/>
        </w:rPr>
        <w:t>مشترک، دیه دو مقتول را از بنی نضیر 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پیمان‌شکن و کینه‌توز، پیامبر</w:t>
      </w:r>
    </w:p>
    <w:p>
      <w:pPr>
        <w:pStyle w:val="BookText"/>
        <w:rPr/>
      </w:pPr>
      <w:r>
        <w:rPr>
          <w:rFonts w:ascii="IRNazanin" w:hAnsi="IRNazanin" w:eastAsia="IRNazanin"/>
          <w:color w:val="111111"/>
          <w:sz w:val="28"/>
          <w:sz w:val="28"/>
          <w:szCs w:val="28"/>
          <w:rtl w:val="true"/>
          <w:lang w:bidi="fa-IR"/>
        </w:rPr>
        <w:t>صلی‌الله‌علیه‌و‌آلهرا به آرامش و استراحت خواندند و خود در تدارک قتل پیامبر با یکدیگر رایزنی کردند و سرانجام تصمیم به ترور پیامبر گرفتند، چند لحظه‌ای به وقوع حادثه باقی نمانده بود که پیامبر از طریق جبرئیل از توطئه یهودیان آگاه شد، بی‌درنگ جلسه را ترک گفت، تا</w:t>
      </w:r>
    </w:p>
    <w:p>
      <w:pPr>
        <w:pStyle w:val="BookText"/>
        <w:rPr/>
      </w:pPr>
      <w:r>
        <w:rPr>
          <w:rFonts w:ascii="IRNazanin" w:hAnsi="IRNazanin" w:eastAsia="IRNazanin"/>
          <w:color w:val="111111"/>
          <w:sz w:val="28"/>
          <w:sz w:val="28"/>
          <w:szCs w:val="28"/>
          <w:rtl w:val="true"/>
          <w:lang w:bidi="fa-IR"/>
        </w:rPr>
        <w:t>پایان خبر</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پیامبر و مسلمانان از بزرگترین خطر و تهدید علیه امّت اسلام، یعنی ترور عالی‌ترین مقام دینی و حکومتیِ وقت نجات یافتند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پس از گذشت مدّتی به منظور یادآوری به مسلمانان و هشدار به آنان در حفظ</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نعمتها و هدایتهای الهی، قرآن، خطر و رهایی گذشته را به یاد آنان می‌آورد تا از این طریق، مسلمانان و مؤمنان خطرات بزرگی را که در گذشته از آن جان سالم به در بردند، یاد آورند و نسبت به عهد خود با خداوند،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دیگری که در تفسیر نهاوندی موجود است و از این گفتار چنین نتیجه می‌گیریم که یکی از مشخصه‌های تفسیر نهاوندی پرداختن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مبهمات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مراجعه به دلایل روائی و نقلی کوشیده است تاچهره روشن و شفافی از مبهمات قرآن ارائه دهد</w:t>
      </w:r>
      <w:r>
        <w:rPr>
          <w:rFonts w:eastAsia="IRNazanin" w:cs="IRNazanin"/>
          <w:color w:val="111111"/>
          <w:sz w:val="28"/>
          <w:szCs w:val="28"/>
          <w:rtl w:val="true"/>
          <w:lang w:bidi="fa-IR"/>
        </w:rPr>
        <w:t>.</w:t>
      </w:r>
      <w:bookmarkStart w:id="392" w:name="pg4391_51109"/>
    </w:p>
    <w:p>
      <w:pPr>
        <w:pStyle w:val="Heading2"/>
        <w:numPr>
          <w:ilvl w:val="1"/>
          <w:numId w:val="1"/>
        </w:numPr>
        <w:rPr/>
      </w:pPr>
      <w:bookmarkStart w:id="393" w:name="__RefHeading___Toc1438883_1479056682"/>
      <w:bookmarkStart w:id="394" w:name="_Toc150"/>
      <w:bookmarkEnd w:id="392"/>
      <w:bookmarkEnd w:id="393"/>
      <w:r>
        <w:rPr>
          <w:rtl w:val="true"/>
        </w:rPr>
        <w:t>بخش دوم</w:t>
      </w:r>
      <w:bookmarkEnd w:id="394"/>
    </w:p>
    <w:p>
      <w:pPr>
        <w:pStyle w:val="Heading3"/>
        <w:numPr>
          <w:ilvl w:val="2"/>
          <w:numId w:val="1"/>
        </w:numPr>
        <w:rPr/>
      </w:pPr>
      <w:bookmarkStart w:id="395" w:name="__RefHeading___Toc1438885_1479056682"/>
      <w:bookmarkStart w:id="396" w:name="_Toc151"/>
      <w:bookmarkEnd w:id="395"/>
      <w:r>
        <w:rPr>
          <w:rtl w:val="true"/>
        </w:rPr>
        <w:t>مقدّمة نفحات الرّحمن فی تفسیر القرآن و تبیین الفرقان</w:t>
      </w:r>
      <w:bookmarkEnd w:id="39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7" w:name="__RefHeading___Toc1438887_1479056682"/>
      <w:bookmarkStart w:id="398" w:name="_Toc152"/>
      <w:bookmarkEnd w:id="397"/>
      <w:r>
        <w:rPr>
          <w:rtl w:val="true"/>
        </w:rPr>
        <w:t>اشاره</w:t>
      </w:r>
      <w:bookmarkStart w:id="399" w:name="pg4391_51111"/>
      <w:bookmarkEnd w:id="398"/>
    </w:p>
    <w:p>
      <w:pPr>
        <w:pStyle w:val="Heading4"/>
        <w:numPr>
          <w:ilvl w:val="3"/>
          <w:numId w:val="1"/>
        </w:numPr>
        <w:rPr/>
      </w:pPr>
      <w:bookmarkStart w:id="400" w:name="__RefHeading___Toc1438889_1479056682"/>
      <w:bookmarkStart w:id="401" w:name="_Toc153"/>
      <w:bookmarkEnd w:id="399"/>
      <w:bookmarkEnd w:id="400"/>
      <w:r>
        <w:rPr>
          <w:rtl w:val="true"/>
        </w:rPr>
        <w:t>المقدمة</w:t>
      </w:r>
      <w:bookmarkEnd w:id="401"/>
    </w:p>
    <w:p>
      <w:pPr>
        <w:pStyle w:val="Heading5"/>
        <w:numPr>
          <w:ilvl w:val="4"/>
          <w:numId w:val="1"/>
        </w:numPr>
        <w:rPr/>
      </w:pPr>
      <w:bookmarkStart w:id="402" w:name="__RefHeading___Toc1438891_1479056682"/>
      <w:bookmarkStart w:id="403" w:name="_Toc154"/>
      <w:bookmarkEnd w:id="402"/>
      <w:r>
        <w:rPr>
          <w:rtl w:val="true"/>
        </w:rPr>
        <w:t>اشاره</w:t>
      </w:r>
      <w:bookmarkEnd w:id="403"/>
    </w:p>
    <w:p>
      <w:pPr>
        <w:pStyle w:val="BookText"/>
        <w:rPr/>
      </w:pPr>
      <w:r>
        <w:rPr>
          <w:rFonts w:ascii="Amiri" w:hAnsi="Amiri" w:eastAsia="Amiri" w:cs="Amiri"/>
          <w:color w:val="111111"/>
          <w:sz w:val="28"/>
          <w:sz w:val="28"/>
          <w:szCs w:val="28"/>
          <w:rtl w:val="true"/>
          <w:lang w:bidi="ar-SA"/>
        </w:rPr>
        <w:t>الحمدُ للّه‌ِِ الّذی نَزَّلَ الفُرْقانَ عَلی عَبْدِهِ لِیَکُونَ لِلْعَالَمینَ نَذیراً، وَأَنْزَلَ الکِتَابَ وَلَمْ یَجْعَلْ لَهُ عِوَجاً قَیِّماً، لِیُبَشِّرَ المُؤمِنینَ بِأَنَّ لَهُمْ مِنَ اللّه‌ِ فَضْلاً کَبیراً، وَجَعَلَهُ فی ظُلماتِ الأَرَضِینَ شَمْساً مُضیئةً وَقَمَراً مُنِیراً، وَأَبْلَجَ بِهِ عَنْ هُدی رَسُولِهِ، وَأَوْضَحَ بِهِ الحَقَّ وَأَرْشَدَ البَرِیَّةَ إلی سَبِیلِهِ وَذَکَّرَهُمْ بِهِ تَذْکِیراً، وتَحَدَّی</w:t>
      </w:r>
      <w:r>
        <w:rPr>
          <w:rStyle w:val="FootnoteAnchor"/>
          <w:rtl w:val="true"/>
        </w:rPr>
        <w:footnoteReference w:id="378"/>
      </w:r>
      <w:r>
        <w:rPr>
          <w:rFonts w:ascii="Amiri" w:hAnsi="Amiri" w:eastAsia="Amiri" w:cs="Amiri"/>
          <w:color w:val="111111"/>
          <w:sz w:val="28"/>
          <w:sz w:val="28"/>
          <w:szCs w:val="28"/>
          <w:rtl w:val="true"/>
          <w:lang w:bidi="ar-SA"/>
        </w:rPr>
        <w:t>الجَاحِدِینَ فی إِتْیَانِ سُورَةٍ مِنْ مِثْلِهِ، فَلَمْ یَفْعَلُوا وَلَنْ یَفْعَلُوا وَلَوْ کَانَ بَعْضُهُمْ لِبَعْضٍ ظَهِیراً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وَتَجَلّی فِیهِ بِظُهُورِ قُدْرَتِهِ وَبُهُورِ حِکْمَتِهِ وَسُطُوعِ نُورِ عَظَمَتِهِ حَتّی رَآهُ بِقَلْبِهِ مَنْ کَانَ بَصِیراً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وَالصَّلاَةُ وَالسَّلاَمُ عَلی مَنْ أَرْسَلَهُ بِرَحْمَتِهِ وَفَضْلِهِ إلی النَّاسِ بَشِیراً، وَخَتَمَ بِهِ الرِّسَالَةَ وَبَشَّرَ بِهِ المُرْسَلُونَ أُمَمَهُمْ تَبْشِیراً وَشَرَّفَ المَلاَئِکَةَ المُقَرَّبِینَ بِأَنْ جَعَلَهُمْ لَهُ ظَهِیراً وَنَصِیراً، وَعَلی ابْنِ عَمِّهِ وَکَاشِفِ غَمِّهِ وَزَوْجِ ابْنَتِهِ وَالمخْصُوصِ بِاُخُوَّتِهِ الّذِی وَهَبَهُ اللّه‌ُ لَهُ وَصِیّاً وَوَزیراً، وَعَلی الأَئمَّةِ مِنْ ذُرِّیَّتِهِ الَّذِینَ أَذْهَبَ اللّه‌ُ عَنْهُم الرِّجْسَ وَطَهَّرَهُم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بعد، فقد طال ما 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فی أن أکتب للکتاب الکریم تفسیراً، کی یکون ذخری لحین فقری ونج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 فی یوم یکون شرّه مُستطیراً، وإن کان لقصور باعی وقلّة اطِّلاعی علیَّ عسیراً، إلاّ أنّ شوقی الأکید هاج روعی وکلّفنی السّعی فوق ما فی وُسْعی،</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فشمّرتُ للغوص فی هذا البحر العمیق، فشرعتُ فیه سائلاً مِنَ اللّه الإعانةَ والتوفیقَ،</w:t>
      </w:r>
    </w:p>
    <w:p>
      <w:pPr>
        <w:pStyle w:val="BookText"/>
        <w:rPr/>
      </w:pPr>
      <w:r>
        <w:rPr>
          <w:rFonts w:ascii="IRNazanin" w:hAnsi="IRNazanin" w:eastAsia="IRNazanin"/>
          <w:color w:val="111111"/>
          <w:sz w:val="28"/>
          <w:sz w:val="28"/>
          <w:szCs w:val="28"/>
          <w:rtl w:val="true"/>
          <w:lang w:bidi="fa-IR"/>
        </w:rPr>
        <w:t>فاصطفیتُ من التّفاس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 ما هو لبابها، واکتفیتُ من الوجوه بما هو صوابها، وبالغتُ فی الجدِّ بنقل ما وصل إلیَّ بطرق الخاصّة والعامّة من الرّوایات، واستفرغتُ الوسع فی بیان وجه</w:t>
      </w:r>
    </w:p>
    <w:p>
      <w:pPr>
        <w:pStyle w:val="BookText"/>
        <w:rPr/>
      </w:pPr>
      <w:r>
        <w:rPr>
          <w:rFonts w:ascii="Amiri" w:hAnsi="Amiri" w:eastAsia="Amiri" w:cs="Amiri"/>
          <w:color w:val="111111"/>
          <w:sz w:val="28"/>
          <w:sz w:val="28"/>
          <w:szCs w:val="28"/>
          <w:rtl w:val="true"/>
          <w:lang w:bidi="ar-SA"/>
        </w:rPr>
        <w:t>النّظم بین السّور والآیات، وصرفتُ الهمَّ فی التعرّضِ لأسباب النّزولِ الواردةِ فی الآثار،</w:t>
      </w:r>
    </w:p>
    <w:p>
      <w:pPr>
        <w:pStyle w:val="BookText"/>
        <w:rPr/>
      </w:pPr>
      <w:r>
        <w:rPr>
          <w:rFonts w:ascii="IRNazanin" w:hAnsi="IRNazanin" w:eastAsia="IRNazanin"/>
          <w:color w:val="111111"/>
          <w:sz w:val="28"/>
          <w:sz w:val="28"/>
          <w:szCs w:val="28"/>
          <w:rtl w:val="true"/>
          <w:lang w:bidi="fa-IR"/>
        </w:rPr>
        <w:t>وبذلتُ الجهد فی الإسفار عن وجوه بعض النّکت والأسرار، وکففتُ عن التکلّم فی أعاریب</w:t>
      </w:r>
      <w:r>
        <w:rPr>
          <w:rStyle w:val="FootnoteAnchor"/>
          <w:rtl w:val="true"/>
        </w:rPr>
        <w:footnoteReference w:id="380"/>
      </w:r>
      <w:r>
        <w:rPr>
          <w:rFonts w:ascii="Amiri" w:hAnsi="Amiri" w:eastAsia="Amiri" w:cs="Amiri"/>
          <w:color w:val="111111"/>
          <w:sz w:val="28"/>
          <w:sz w:val="28"/>
          <w:szCs w:val="28"/>
          <w:rtl w:val="true"/>
          <w:lang w:bidi="ar-SA"/>
        </w:rPr>
        <w:t>الکلمات وبیان وجوه القراءات الّتی کانت مخالفةً للقراءةِ المشهورةِ، إلاّ الّتی وجدتُها عن أهل الذِّکر مأثورةً، وسمّیتُه 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نفحات الرّحمن فی تفسیر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رأیت أن أهدی للمهتدی البصیر قبل الشّروع فی التفسیر طرائف بارعة ولطائف نافعة تثبیتاً للقلوب وتمهیداً للمطلوب، وتشحیذاً </w:t>
      </w:r>
      <w:r>
        <w:rPr>
          <w:rStyle w:val="FootnoteAnchor"/>
          <w:rtl w:val="true"/>
        </w:rPr>
        <w:footnoteReference w:id="381"/>
      </w:r>
      <w:r>
        <w:rPr>
          <w:rFonts w:ascii="IRNazanin" w:hAnsi="IRNazanin" w:eastAsia="IRNazanin"/>
          <w:color w:val="111111"/>
          <w:sz w:val="28"/>
          <w:sz w:val="28"/>
          <w:szCs w:val="28"/>
          <w:rtl w:val="true"/>
          <w:lang w:bidi="fa-IR"/>
        </w:rPr>
        <w:t xml:space="preserve">للأذهان وتنبیهاً للوسنان، فهیّأتُ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قلّة البضاعة وعدم التدرّب فی الصِّناعة ببذل الجهد وتحمّل الکلفة من المطالب المرتبطة</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طرفة، وجعلتها مقدّمة وجئتُ لها خاتمة، راجیاً من اللّه أن یجعل ذلک لی ولإخوانی المؤمنین نعمةً دائمةً، وأن ینعم علیَّ بالاعتصام فی مزالّ الأقدام</w:t>
      </w:r>
      <w:r>
        <w:rPr>
          <w:rFonts w:eastAsia="IRNazanin" w:cs="IRNazanin"/>
          <w:color w:val="111111"/>
          <w:sz w:val="28"/>
          <w:szCs w:val="28"/>
          <w:rtl w:val="true"/>
          <w:lang w:bidi="fa-IR"/>
        </w:rPr>
        <w:t>.</w:t>
      </w:r>
      <w:bookmarkStart w:id="404" w:name="pg4391_51113"/>
    </w:p>
    <w:p>
      <w:pPr>
        <w:pStyle w:val="Heading5"/>
        <w:numPr>
          <w:ilvl w:val="4"/>
          <w:numId w:val="1"/>
        </w:numPr>
        <w:rPr/>
      </w:pPr>
      <w:bookmarkStart w:id="405" w:name="__RefHeading___Toc1438893_1479056682"/>
      <w:bookmarkStart w:id="406" w:name="_Toc155"/>
      <w:bookmarkEnd w:id="404"/>
      <w:bookmarkEnd w:id="405"/>
      <w:r>
        <w:rPr>
          <w:rtl w:val="true"/>
        </w:rPr>
        <w:t>الطُّرْفَةُ الأُولی</w:t>
      </w:r>
      <w:r>
        <w:rPr>
          <w:rtl w:val="true"/>
        </w:rPr>
        <w:t xml:space="preserve">: </w:t>
      </w:r>
      <w:r>
        <w:rPr>
          <w:rtl w:val="true"/>
        </w:rPr>
        <w:t>فی أنَّ الکتابَ العزیزَ أعظمُ معجزاتِ خاتَمِ الأَنبیاءِ صلی‌الله‌علیه‌و‌آله</w:t>
      </w:r>
      <w:bookmarkEnd w:id="406"/>
    </w:p>
    <w:p>
      <w:pPr>
        <w:pStyle w:val="BookText"/>
        <w:rPr/>
      </w:pPr>
      <w:r>
        <w:rPr>
          <w:rFonts w:ascii="Amiri" w:hAnsi="Amiri" w:eastAsia="Amiri" w:cs="Amiri"/>
          <w:color w:val="111111"/>
          <w:sz w:val="28"/>
          <w:sz w:val="28"/>
          <w:szCs w:val="28"/>
          <w:rtl w:val="true"/>
          <w:lang w:bidi="ar-SA"/>
        </w:rPr>
        <w:t>الطُّرْفَةُ</w:t>
      </w:r>
      <w:r>
        <w:rPr>
          <w:rStyle w:val="FootnoteAnchor"/>
          <w:rtl w:val="true"/>
        </w:rPr>
        <w:footnoteReference w:id="382"/>
      </w:r>
      <w:r>
        <w:rPr>
          <w:rFonts w:ascii="Amiri" w:hAnsi="Amiri" w:eastAsia="Amiri" w:cs="Amiri"/>
          <w:color w:val="111111"/>
          <w:sz w:val="28"/>
          <w:sz w:val="28"/>
          <w:szCs w:val="28"/>
          <w:rtl w:val="true"/>
          <w:lang w:bidi="ar-SA"/>
        </w:rPr>
        <w:t>الأُولی</w:t>
      </w:r>
    </w:p>
    <w:p>
      <w:pPr>
        <w:pStyle w:val="BookText"/>
        <w:rPr/>
      </w:pPr>
      <w:r>
        <w:rPr>
          <w:rFonts w:ascii="Amiri" w:hAnsi="Amiri" w:eastAsia="Amiri" w:cs="Amiri"/>
          <w:color w:val="111111"/>
          <w:sz w:val="28"/>
          <w:sz w:val="28"/>
          <w:szCs w:val="28"/>
          <w:rtl w:val="true"/>
          <w:lang w:bidi="ar-SA"/>
        </w:rPr>
        <w:t>فی أنَّ الکتابَ العزیزَ أعظمُ معجزاتِ خاتَمِ الأَنبیاءِ صلی‌الله‌علیه‌و‌آله</w:t>
      </w:r>
    </w:p>
    <w:p>
      <w:pPr>
        <w:pStyle w:val="BookText"/>
        <w:rPr/>
      </w:pPr>
      <w:r>
        <w:rPr>
          <w:rFonts w:ascii="IRNazanin" w:hAnsi="IRNazanin" w:eastAsia="IRNazanin"/>
          <w:color w:val="111111"/>
          <w:sz w:val="28"/>
          <w:sz w:val="28"/>
          <w:szCs w:val="28"/>
          <w:rtl w:val="true"/>
          <w:lang w:bidi="fa-IR"/>
        </w:rPr>
        <w:t xml:space="preserve">لا ریبَ فی أنّ الکتاب العزیز کان من أعظم معجزات خاتم النّبیِّین صلی‌الله‌علیه‌و‌آله، حیث أنّه کانت جهة الإعجاز فیه أظهر من المعجزات الباهرة الّتی کانت لسائر الأنبیاء العظام، وتأثیرُهُ فی النّفوس أشدُّ مِن تأثیرها، لبداهة أنّ المؤمنین به صلی‌الله‌علیه‌و‌آله من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عرافتهم</w:t>
      </w:r>
      <w:r>
        <w:rPr>
          <w:rStyle w:val="FootnoteAnchor"/>
          <w:rtl w:val="true"/>
        </w:rPr>
        <w:footnoteReference w:id="383"/>
      </w:r>
      <w:r>
        <w:rPr>
          <w:rFonts w:ascii="IRNazanin" w:hAnsi="IRNazanin" w:eastAsia="IRNazanin"/>
          <w:color w:val="111111"/>
          <w:sz w:val="28"/>
          <w:sz w:val="28"/>
          <w:szCs w:val="28"/>
          <w:rtl w:val="true"/>
          <w:lang w:bidi="fa-IR"/>
        </w:rPr>
        <w:t xml:space="preserve">بشدّة العصبیّة واللّجاج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فی زمانه أکثر من المؤمنین بسائر الأنبیاء فی زمانهم، وکان إیمانُ أتباعه به وانقیادُهم لأمره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کونهم أشدَّ الخلق تکبّراً وأکثَرهم تفاخراً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أقوی وأزید من إیمان سائر الأُمم بأنبیائهم وانقیادهم لأوامرهم، وکان حبّ العرب له وشَغَفَهُم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کونهم أقسی النّاس قلوباً وأقلّهم رأفة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 وأکثر من حبّ بنی إسرائیل لموسی بن عمران علیه‌السلام مع کونه صاحب تسع آیاتٍ بیِّنات، ومن حبّ الحواریین لعیسی ابن مریم علیهماالسلام</w:t>
      </w:r>
    </w:p>
    <w:p>
      <w:pPr>
        <w:pStyle w:val="BookText"/>
        <w:rPr/>
      </w:pPr>
      <w:r>
        <w:rPr>
          <w:rFonts w:ascii="IRNazanin" w:hAnsi="IRNazanin" w:eastAsia="IRNazanin"/>
          <w:color w:val="111111"/>
          <w:sz w:val="28"/>
          <w:sz w:val="28"/>
          <w:szCs w:val="28"/>
          <w:rtl w:val="true"/>
          <w:lang w:bidi="fa-IR"/>
        </w:rPr>
        <w:t>مع کونه محیی الأموات ومُبْرئ الأکْمَهَ والأبْرَصَ، حیث أنّ المؤمنین بنبیِّنا صلی‌الله‌علیه‌و‌آلهکانوا یتسابقون إلی بذل المهج والغور فی اللّجج، ویتسارعون إلی معانقة السّیوف وشرب الحتُوف، تحفّظاً لسلامته وترویجاً لشریعته، وبنوإسرائیل کانوا أحفظ لأنفس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 نفس</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موسی علیه‌السلام حیث أنّه لمّا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قَومِ ادْخُلُوا الأَرْضَ المُقَدَّسَةَ الَّتِی کَتَبَ اللّه‌ُ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مُوسی إِنَّ فِیهَا قَوْماً جَبَّارِینَ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 نَدْخُلَهَا أَبَداً مَا دَامُوا فِیهَا فَاذْهَبْ أَنْتَ وَرَبُّکَ فَقاتِلا إِنَّا ههُنا قَاعِدُونَ </w:t>
      </w:r>
      <w:r>
        <w:rPr>
          <w:rFonts w:eastAsia="Amiri" w:cs="Amiri" w:ascii="Amiri" w:hAnsi="Amiri"/>
          <w:color w:val="111111"/>
          <w:sz w:val="28"/>
          <w:szCs w:val="28"/>
          <w:rtl w:val="true"/>
          <w:lang w:bidi="ar-SA"/>
        </w:rPr>
        <w:t>»</w:t>
      </w:r>
      <w:r>
        <w:rPr>
          <w:rStyle w:val="FootnoteAnchor"/>
          <w:rtl w:val="true"/>
        </w:rPr>
        <w:footnoteReference w:id="384"/>
      </w:r>
      <w:r>
        <w:rPr>
          <w:rFonts w:ascii="Amiri" w:hAnsi="Amiri" w:eastAsia="Amiri" w:cs="Amiri"/>
          <w:color w:val="111111"/>
          <w:sz w:val="28"/>
          <w:sz w:val="28"/>
          <w:szCs w:val="28"/>
          <w:rtl w:val="true"/>
          <w:lang w:bidi="ar-SA"/>
        </w:rPr>
        <w:t>، ولم یُنقَلْ من حواریی عیسی علیه‌السلامفزعٌ شدیدٌ حین رأوه علی الصّلیب،</w:t>
      </w:r>
    </w:p>
    <w:p>
      <w:pPr>
        <w:pStyle w:val="BookText"/>
        <w:rPr/>
      </w:pPr>
      <w:r>
        <w:rPr>
          <w:rFonts w:ascii="Amiri" w:hAnsi="Amiri" w:eastAsia="Amiri" w:cs="Amiri"/>
          <w:color w:val="111111"/>
          <w:sz w:val="28"/>
          <w:sz w:val="28"/>
          <w:szCs w:val="28"/>
          <w:rtl w:val="true"/>
          <w:lang w:bidi="ar-SA"/>
        </w:rPr>
        <w:t>ونُقل أنّه لمّا ماتَ نبیّنا صلی‌الله‌علیه‌و‌آله عزیزاً فی فراشه غشی علی بعض المؤمنین من شدّة الحزن وجُنَّ آخرٌ، وصار یومُ موتِه مَثلاً فی شدَّة البُکاءِ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یکن جمیعُ ذلک إلاّ لکون إعجاز کتابه الکریم أشدَّ تأثیراً فی نفوسهم من آیات نبوّة موسی و عیسی علیهماالسلام فی نفوس أتباعهما، مع أنّ القرآنَ العظیمَ أوجد فی نفوس العرب آثاراً لم یوجدها معجزات سائر</w:t>
      </w:r>
    </w:p>
    <w:p>
      <w:pPr>
        <w:pStyle w:val="BookText"/>
        <w:rPr/>
      </w:pPr>
      <w:r>
        <w:rPr>
          <w:rFonts w:ascii="IRNazanin" w:hAnsi="IRNazanin" w:eastAsia="IRNazanin"/>
          <w:color w:val="111111"/>
          <w:sz w:val="28"/>
          <w:sz w:val="28"/>
          <w:szCs w:val="28"/>
          <w:rtl w:val="true"/>
          <w:lang w:bidi="fa-IR"/>
        </w:rPr>
        <w:t xml:space="preserve">الأنبیاء، حیث أنّه أخرجهم بسماعه من ظلمات الجهالة وغمرات الضّلالة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تمادیهم فیها وتمرّنهم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نور الهدایة وأوج الحکمة، وصیّرهم بعد أُمِّیّتهم علماء حکماء،</w:t>
      </w:r>
    </w:p>
    <w:p>
      <w:pPr>
        <w:pStyle w:val="BookText"/>
        <w:rPr/>
      </w:pPr>
      <w:r>
        <w:rPr>
          <w:rFonts w:ascii="Amiri" w:hAnsi="Amiri" w:eastAsia="Amiri" w:cs="Amiri"/>
          <w:color w:val="111111"/>
          <w:sz w:val="28"/>
          <w:sz w:val="28"/>
          <w:szCs w:val="28"/>
          <w:rtl w:val="true"/>
          <w:lang w:bidi="ar-SA"/>
        </w:rPr>
        <w:t>بل کادوا أن یکونوا من الحکمة والمعرفة أنبیاء، وبلغوا من العلم إلی أن صاروا بعد وحشیّتهم أساتید الأُمَمِ وسادةُ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إلی حواریی عیسی مع کونهم أکمل مَن آمن به وأعلم بما جاء،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یَسْتَطیعُ رَبُّکَ أَنْ یُنَزِّل عَلَینا مَائِدَةً مِنَ السَّماءِ </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 وأطفال أُمّة نبیّنا صلی‌الله‌علیه‌و‌آله فی زمانه کانوا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عَلَی کُلِّ شیءٍ قَدیرٌ، وَلا یعجزُ اللّه‌َ شیءٌ فی الأرْضِ وَلاَ فی السَّماءِ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العاقلَ المتأمِّلَ فی آیات القرآن المجید لا یرتاب فی أ نّها کلامُ اللّه وأ نّها أعظمُ المعجزات، وقد أفرد جمع کثیرٌ من علماء الإسلام إعجازَ القرآن بالتصنیف،</w:t>
      </w:r>
    </w:p>
    <w:p>
      <w:pPr>
        <w:pStyle w:val="BookText"/>
        <w:rPr/>
      </w:pPr>
      <w:r>
        <w:rPr>
          <w:rFonts w:ascii="IRNazanin" w:hAnsi="IRNazanin" w:eastAsia="IRNazanin"/>
          <w:color w:val="111111"/>
          <w:sz w:val="28"/>
          <w:sz w:val="28"/>
          <w:szCs w:val="28"/>
          <w:rtl w:val="true"/>
          <w:lang w:bidi="fa-IR"/>
        </w:rPr>
        <w:t>ومع ذلک حاروا فی کشف حجب البیان عن وجوه إعجازه بعد أن ثبتت عندهم بالوجد ان والبرهان، فالمنصف یری القرآن فی الهدایة والبیان کالرّوح فی الجسد، یُعرف بمظاهره وآثاره، ویعجز العارفون عن بیان حقیقته وکنهه، فإنّ قریشا کانت أفصحَ العرب لساناً وأعذَبهم بیاناً وأخلصَهُم لغةً وأرفعَهُم عن‌الرداءة لهجةً، ومع ذلک کان النبیّ صلی‌الله‌علیه‌و‌آلهیحتجّ علیهم بالقرآن صباحاً ومساءً، ویَحثُّهم علی أن یُعارضوه بسورة واحدة أو بآیات یسیرة،</w:t>
      </w:r>
    </w:p>
    <w:p>
      <w:pPr>
        <w:pStyle w:val="BookText"/>
        <w:rPr/>
      </w:pPr>
      <w:r>
        <w:rPr>
          <w:rFonts w:ascii="IRNazanin" w:hAnsi="IRNazanin" w:eastAsia="IRNazanin"/>
          <w:color w:val="111111"/>
          <w:sz w:val="28"/>
          <w:sz w:val="28"/>
          <w:szCs w:val="28"/>
          <w:rtl w:val="true"/>
          <w:lang w:bidi="fa-IR"/>
        </w:rPr>
        <w:t>فکلّما ازداد تحدِّیاً لهم بها وتقریعاً علیهم کشف عجزهم عن نقصهم ما کان مستوراً وظهر</w:t>
      </w:r>
    </w:p>
    <w:p>
      <w:pPr>
        <w:pStyle w:val="BookText"/>
        <w:rPr/>
      </w:pPr>
      <w:r>
        <w:rPr>
          <w:rFonts w:ascii="IRNazanin" w:hAnsi="IRNazanin" w:eastAsia="IRNazanin"/>
          <w:color w:val="111111"/>
          <w:sz w:val="28"/>
          <w:sz w:val="28"/>
          <w:szCs w:val="28"/>
          <w:rtl w:val="true"/>
          <w:lang w:bidi="fa-IR"/>
        </w:rPr>
        <w:t>منهم ما کان خفیّاً، فحین لم یجدوا حیلةً ولا حجّةً،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تعرف أخبارَ الأُممِ، ولذا تقدر علی ما نعجز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جیئوا بها مفتریات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لم یأت بمثله أریب عن معارضته،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یبرم ذلک خطیب ولا طمَعَ فیه شاعرٌ، ولا تکلّفه طبع فصیح ماهر، ولو تکلّفه لظهر</w:t>
      </w:r>
    </w:p>
    <w:p>
      <w:pPr>
        <w:pStyle w:val="BookText"/>
        <w:rPr/>
      </w:pPr>
      <w:r>
        <w:rPr>
          <w:rFonts w:ascii="IRNazanin" w:hAnsi="IRNazanin" w:eastAsia="IRNazanin"/>
          <w:color w:val="111111"/>
          <w:sz w:val="28"/>
          <w:sz w:val="28"/>
          <w:szCs w:val="28"/>
          <w:rtl w:val="true"/>
          <w:lang w:bidi="fa-IR"/>
        </w:rPr>
        <w:t>ذلک، فدلّ ذلک علی عجز القوم عن معارضته، مع کثرة کلامهم وسهولة ذلک علیهم، وکثرة شعرائهم وکثرة من هجاه منهم وعارض شعراءُ أصحابه وخطباءُ أتباعه، ومن الواضح أنّهم لو جاؤوا بسورةٍ واحدةٍ أو آیاتٍ یسیرةٍ بدل الهجاء ومعارضة الشّعراء، لکان أنقض لقوله</w:t>
      </w:r>
    </w:p>
    <w:p>
      <w:pPr>
        <w:pStyle w:val="BookText"/>
        <w:rPr/>
      </w:pPr>
      <w:r>
        <w:rPr>
          <w:rFonts w:ascii="IRNazanin" w:hAnsi="IRNazanin" w:eastAsia="IRNazanin"/>
          <w:color w:val="111111"/>
          <w:sz w:val="28"/>
          <w:sz w:val="28"/>
          <w:szCs w:val="28"/>
          <w:rtl w:val="true"/>
          <w:lang w:bidi="fa-IR"/>
        </w:rPr>
        <w:t>وأفسد لأمره وأضرّ علیه وعلی أصحابه، مع أنّ الکلامَ سیِّدُ عملهم، وقد احتاجوا إلیه،</w:t>
      </w:r>
    </w:p>
    <w:p>
      <w:pPr>
        <w:pStyle w:val="BookText"/>
        <w:rPr/>
      </w:pPr>
      <w:r>
        <w:rPr>
          <w:rFonts w:ascii="IRNazanin" w:hAnsi="IRNazanin" w:eastAsia="IRNazanin"/>
          <w:color w:val="111111"/>
          <w:sz w:val="28"/>
          <w:sz w:val="28"/>
          <w:szCs w:val="28"/>
          <w:rtl w:val="true"/>
          <w:lang w:bidi="fa-IR"/>
        </w:rPr>
        <w:t xml:space="preserve">والحاجة تبعث علی الفکر والجدّ فی الأمر الغامض المشکل، فکیف بالسّهل، الجلیل المنفعة والعظیم الفائدة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ابن عبّاس رضی‌الله‌عنه</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قال لیث ابن أبی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لزمتَ هذا الغلام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وترکتَ الأکابر من أصحاب رسول‌اللّه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رأیت سبعین رجلاً من أصحاب رسول اللّه صلی‌الله‌علیه‌و‌آلهإذا تدارؤا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اختلفوا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أمرٍ، صاروا إلی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واستعمله علیّ بن أبی طالب علیه‌السلامعلی البصرة فبقی علیها أمیرا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مع علیّ علیه‌السلام صفّینَ وکان أحد الأُمراء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کثیر من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وقوع الفتنة بین عبداللّه بن الزبیر وعبدالملک بن مروان، نزل ابن عبّاس بمکّة، فبعث عبداللّه بن الزبیر إلیه وإلی محمّد بن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تبایعان ؟ فأبیا وقالا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وشأنک لا نعرض لک ولا لغیرک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لما تُوُفِّیَ النبیّ صلی‌الله‌علیه‌و‌آله ثلاث عشرة سنة وتوفّی سنة ثمان وستّین بالطائف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أُسد الغابة لابن الأثیر، بتلخیصٍ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الولید بن المغیرة إلی‌النبیّ صلی‌الله‌علیه‌و‌آله فقرأ علیه القرآن، فکأ نّه رقّ له، فبلغ ذلک أبا جهل فأتاه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 إنّ قومک یریدون أن یجمعوا لک مالاً لیعطوکه لأن لا تأتی محمّداً والتعرّض لما قاله،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قریشُ أنِّی من أکثرها مالاً،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فیه قولاً یبلغ قومک أ نّک کاره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 أقول؟ فواللّه ما فیکم رجل أعلم بالشعر منِّی ولا برَجَزه ولا بقصیده ولا بأشعار الجنّ، واللّه‌ِ ما یشبه الّذی یقول شیئاً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وواللّه‌ِ إنّ لقوله الّذی یقول حَلاوةً، وإنّ علیه لَطلاوةً، وإنّه لمثمرٌ أعلاه، مُغْدَق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أسفله، إنّه لَیَعْلو ولا یُعلی علیه، وإنّه لیحطم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یرضی عنک قومک حتّی تقول فیه،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فدعنی حتّی أُفَکِّر، فلمّا فَکَّر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 یؤثر، یأثره عن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رُوی أنّ قوله عزّ وجلّ فی أوّل حم السّجدة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فَأَعْرَضَ أکْثَرُهُم فَهُمْ لا یَسْمَعُونَ </w:t>
      </w:r>
      <w:r>
        <w:rPr>
          <w:rFonts w:eastAsia="Amiri" w:cs="Amiri" w:ascii="Amiri" w:hAnsi="Amiri"/>
          <w:color w:val="111111"/>
          <w:sz w:val="28"/>
          <w:szCs w:val="28"/>
          <w:rtl w:val="true"/>
          <w:lang w:bidi="ar-SA"/>
        </w:rPr>
        <w:t>»</w:t>
      </w:r>
      <w:r>
        <w:rPr>
          <w:rStyle w:val="FootnoteAnchor"/>
          <w:rtl w:val="true"/>
        </w:rPr>
        <w:footnoteReference w:id="388"/>
      </w:r>
      <w:r>
        <w:rPr>
          <w:rFonts w:ascii="IRNazanin" w:hAnsi="IRNazanin" w:eastAsia="IRNazanin"/>
          <w:color w:val="111111"/>
          <w:sz w:val="28"/>
          <w:sz w:val="28"/>
          <w:szCs w:val="28"/>
          <w:rtl w:val="true"/>
          <w:lang w:bidi="fa-IR"/>
        </w:rPr>
        <w:t xml:space="preserve">نزلت فی شیبة وعتبة ابنی ربیعة وأبی سفیان بن حرب وأبی جهل، وذکر أنّهم بعثوهم وغیرهم من وجوه قریش بعتبة بن ربیعة </w:t>
      </w:r>
      <w:r>
        <w:rPr>
          <w:rStyle w:val="FootnoteAnchor"/>
          <w:rtl w:val="true"/>
        </w:rPr>
        <w:footnoteReference w:id="389"/>
      </w:r>
    </w:p>
    <w:p>
      <w:pPr>
        <w:pStyle w:val="BookText"/>
        <w:rPr/>
      </w:pPr>
      <w:r>
        <w:rPr>
          <w:rFonts w:ascii="Amiri" w:hAnsi="Amiri" w:eastAsia="Amiri" w:cs="Amiri"/>
          <w:color w:val="111111"/>
          <w:sz w:val="28"/>
          <w:sz w:val="28"/>
          <w:szCs w:val="28"/>
          <w:rtl w:val="true"/>
          <w:lang w:bidi="ar-SA"/>
        </w:rPr>
        <w:t xml:space="preserve">قال ابن إسحاق فی السیرة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الکلبیّ هو بَهْزِی مِن بنی بَهْز بن امرئ القیس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أُسد الغابة فی معرفة الصحابة لابن الأثیر </w:t>
      </w:r>
      <w:r>
        <w:rPr>
          <w:rFonts w:eastAsia="IRNazanin" w:cs="IRNazanin"/>
          <w:color w:val="111111"/>
          <w:sz w:val="28"/>
          <w:szCs w:val="28"/>
          <w:lang w:bidi="fa-IR"/>
        </w:rPr>
        <w:t>3/456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النبیّ صلی‌الله‌علیه‌و‌آله لیکلّمه، وکان حسن الحدیث عجیب الشّأن، بلیغُ الکلام، وأرادوا أن یأتیهم بما عنده، فقرأ النبیّ صلی‌الله‌علیه‌و‌آلهسورةَ حم السّجدة مِن أوّلِها حتّی انتهی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أَنْذَرْتُکُم صاعِقَةً مِثلَ صاعِقَةِ عادٍ</w:t>
      </w:r>
    </w:p>
    <w:p>
      <w:pPr>
        <w:pStyle w:val="BookText"/>
        <w:rPr/>
      </w:pPr>
      <w:r>
        <w:rPr>
          <w:rFonts w:ascii="Amiri" w:hAnsi="Amiri" w:eastAsia="Amiri" w:cs="Amiri"/>
          <w:color w:val="111111"/>
          <w:sz w:val="28"/>
          <w:sz w:val="28"/>
          <w:szCs w:val="28"/>
          <w:rtl w:val="true"/>
          <w:lang w:bidi="ar-SA"/>
        </w:rPr>
        <w:t xml:space="preserve">وَثمُودَ </w:t>
      </w:r>
      <w:r>
        <w:rPr>
          <w:rFonts w:eastAsia="Amiri" w:cs="Amiri" w:ascii="Amiri" w:hAnsi="Amiri"/>
          <w:color w:val="111111"/>
          <w:sz w:val="28"/>
          <w:szCs w:val="28"/>
          <w:rtl w:val="true"/>
          <w:lang w:bidi="ar-SA"/>
        </w:rPr>
        <w:t>»</w:t>
      </w:r>
      <w:r>
        <w:rPr>
          <w:rStyle w:val="FootnoteAnchor"/>
          <w:rtl w:val="true"/>
        </w:rPr>
        <w:footnoteReference w:id="390"/>
      </w:r>
      <w:r>
        <w:rPr>
          <w:rFonts w:ascii="IRNazanin" w:hAnsi="IRNazanin" w:eastAsia="IRNazanin"/>
          <w:color w:val="111111"/>
          <w:sz w:val="28"/>
          <w:sz w:val="28"/>
          <w:szCs w:val="28"/>
          <w:rtl w:val="true"/>
          <w:lang w:bidi="fa-IR"/>
        </w:rPr>
        <w:t xml:space="preserve">، فوثب مخافة العذاب، فاستحکوه ما سَمع، فذکر أنّه لم یسمع منه کلمة واحدة ولا اهتدی بجوابه، ولو کان ذلک من جنس کلامهم لم یخف علیه وجه الاحتجاج والردّ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عثمان بن مظعون</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قال عثمان وهو یغدو بأمان الولید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غُدوّی ورواحی آمنا بجوار رجل من أهل الشرک وأصحابی وأهل دینی یلقون البلاء والأذی فی اللّه ما لا یصیبنی لَنَقص شدید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الولید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اوذیتَ أو انتهکتَ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 أرضی بجوار اللّه، ولا أرید أن أستجیر بغیره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انصرف عثمان ولبیدُ بن ربیعة ابن جعفر فی مجلس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عثمان إلی المدینة وشهد بدرا، وکان مِن أشدّ الناس اجتهادا فی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رجل مات بالمدینة من المهاجرین سنة اثنتین من الهجرة، وهو أوّل من دفن بالبقیع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عائشة أنّ النبیّ صلی‌الله‌علیه‌و‌آله قبّل عثمان بن مظعون وهو میّت وهو یبکی وعیناه تهراقان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تذرفان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وأعلم‌النبیّعلی قبره بحجر وکان یزوره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أُسد الغابة فی معرفة الصحابة لابن الأثیر </w:t>
      </w:r>
      <w:r>
        <w:rPr>
          <w:rFonts w:eastAsia="IRNazanin" w:cs="IRNazanin"/>
          <w:color w:val="111111"/>
          <w:sz w:val="28"/>
          <w:szCs w:val="28"/>
          <w:lang w:bidi="fa-IR"/>
        </w:rPr>
        <w:t>3/494</w:t>
      </w:r>
      <w:r>
        <w:rPr>
          <w:rFonts w:eastAsia="IRNazanin" w:cs="IRNazanin"/>
          <w:color w:val="111111"/>
          <w:sz w:val="28"/>
          <w:szCs w:val="28"/>
          <w:rtl w:val="true"/>
          <w:lang w:bidi="fa-IR"/>
        </w:rPr>
        <w:t xml:space="preserve"> -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لعلموا أنّه من عند اللّه إذ لم یهتدوا بجوابه، وروی أنَّ جُبیر بن مُطعم ورد علی النبیّ صلی‌الله‌علیه‌و‌آله فی معنی حلیف له أراد أن یفادیه، فدخل والنبیّ صلی‌الله‌علیه‌و‌آلهیقرأ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وَکِتابٍ مَسْطُورٍ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صلاة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انتهی إلی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 رَبّکَ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خشیت أن یدرکنی العذاب، فأسلمت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ورُوی أنّ ابن أبی العوجاء وثلاثةَ نفرٍ من الدّهریّةِ اتّفقوا علی أن یعارض کلّ واحد</w:t>
      </w:r>
    </w:p>
    <w:p>
      <w:pPr>
        <w:pStyle w:val="BookText"/>
        <w:rPr/>
      </w:pPr>
      <w:r>
        <w:rPr>
          <w:rFonts w:ascii="IRNazanin" w:hAnsi="IRNazanin" w:eastAsia="IRNazanin"/>
          <w:color w:val="111111"/>
          <w:sz w:val="28"/>
          <w:sz w:val="28"/>
          <w:szCs w:val="28"/>
          <w:rtl w:val="true"/>
          <w:lang w:bidi="fa-IR"/>
        </w:rPr>
        <w:t>منهم ربعَ القرآن وکانوا بمکّة، وعاهدوا علی أن یجیئوا بمعارضته فی العام القابل، فلمّا</w:t>
      </w:r>
    </w:p>
    <w:p>
      <w:pPr>
        <w:pStyle w:val="BookText"/>
        <w:rPr/>
      </w:pPr>
      <w:r>
        <w:rPr>
          <w:rFonts w:ascii="Amiri" w:hAnsi="Amiri" w:eastAsia="Amiri" w:cs="Amiri"/>
          <w:color w:val="111111"/>
          <w:sz w:val="28"/>
          <w:sz w:val="28"/>
          <w:szCs w:val="28"/>
          <w:rtl w:val="true"/>
          <w:lang w:bidi="ar-SA"/>
        </w:rPr>
        <w:t>حال الحول، اجتمعوا فی مقام إبراهیم علیه‌السلامقال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لمّا رأیت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وَقِیلَ یَآ أَرْضُ ابْلَعِی مآءَکِ وَیَا سَمآءُ أَقْلِعی وَغِیضَ الْمَآءُ وقُضِیَ الأَمْرُ </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کففت عن المعارضة،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 أنا، لمّا وجدتُ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اسْتَیْأسُوا مِنْهُ خَلَصُوا نَجِیّاً </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أیست عن المعارضة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وکانوا یسرّون بذلک إذ مرّ علیهم الصّادق علیه‌السلام، فالتفت وقرأ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لَئِن اجْتَمَعَتِ الإِنسُ والجِنُّ عَلی أنْ یَأْتُوا بِمِثْلِ هذا القُرآنِ لاَ یَأْتُونَ بِمِثْلِهِ </w:t>
      </w:r>
      <w:r>
        <w:rPr>
          <w:rFonts w:eastAsia="Amiri" w:cs="Amiri" w:ascii="Amiri" w:hAnsi="Amiri"/>
          <w:color w:val="111111"/>
          <w:sz w:val="28"/>
          <w:szCs w:val="28"/>
          <w:rtl w:val="true"/>
          <w:lang w:bidi="ar-SA"/>
        </w:rPr>
        <w:t>»</w:t>
      </w:r>
      <w:r>
        <w:rPr>
          <w:rStyle w:val="FootnoteAnchor"/>
          <w:rtl w:val="true"/>
        </w:rPr>
        <w:footnoteReference w:id="395"/>
      </w:r>
      <w:r>
        <w:rPr>
          <w:rFonts w:ascii="IRNazanin" w:hAnsi="IRNazanin" w:eastAsia="IRNazanin"/>
          <w:color w:val="111111"/>
          <w:sz w:val="28"/>
          <w:sz w:val="28"/>
          <w:szCs w:val="28"/>
          <w:rtl w:val="true"/>
          <w:lang w:bidi="fa-IR"/>
        </w:rPr>
        <w:t xml:space="preserve">فبهتوا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وإلیکم متنه الکامل من هذا الخبر علی ما قال الطبرسیّ فی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ابن أبی العوجاء وأبو شاکر الدیصانیّ الزندیق وعبدالملک البصریّ وابن المقفّع عند بیت اللّه الحرام یستهزؤون بالحاجّ ویطعنون بالقرآن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تعالوا ننقض کلّ واحد منّا ربع القرآن، ومیعادنا من قابل فی هذا الموضع نجتمع فیه وقد نقضنا القرآن کلّه، فإنّ فی نقض القرآن إبطال نبوّة محمّد صلی‌الله‌علیه‌و‌آلهوفی إبطال نبوّته إبطال الإسلام وإثبات ما نحن فیه، فاتّفقوا علی ذلک وافترقوا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کان من قابل اجتمعوا عند بیت اللّه الحرام، فقال ابن أبی العوجاء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فمفکّر مُنذُ افترقنا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فَلمّااسْتَیْأَسُوا مِنْهُ خَلَصُوا نَجِیّا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فما أقدر أن أضمّ إلیها فی فصاحتها وجمیع معانیها شیئا، فشغلَتْنی هذه الآیة عن التفکّر فی ما سواها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فارقتکم مُفکِّر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 یُّها النَّاس ضُرِبَ مَثلٌ فَاسْتَمِعُوا لَهُ إِنَّ الَّذِینَ تَدْعُونَ مِنْ دُونِ اللّه‌ِ لَنْ یَخْلُقُوا ذُبَابا وَلَوِ اجْتَمَعُوا لَهُ وَإِنْ یَسْلُبْهُمُ الذُّبَابُ شَیْئا لاَ یَسْتَنْقِذُوهُ مِنْهُ ضَعُفَ الطَّالِبُ وَالْمَطْلُوبُ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ولم أقدر علی الإتیان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شاکر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منذُ فارقتکم مفکِّر فی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کَانَ فِیهِمَا آلِهَةٌ إِلاَّ اللّه‌ُ لَفَسَدَتَا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لم أقدر علی الإتیان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المقفّع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 هذا القرآن لیس من جنس کلام البشر، وأنا منذُ فارقتکم مُفکِّر فی 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وَقِیلَ یَا أَرْضُ ابْلَعِی مَاءَکَ وَیَا سَمَآءُ أَقْلِعِی وَغِیضَ الْمَاءُ وَقُضِیَ الْأَمْرُ وَاسْتَوَتْ عَلَی الْجُودِیِّ وَقِیلَ بُعْدا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لم أبلغ غایة المعرفة بها ولم أقدر علی الإتیان بمثلها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فبینما هم فی ذلک إذ مَرَّ بهم جعفر بن محمّد الصادق علیه‌السلام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لَئِن اجْتَمَعَتِ الاْءِنسُ وَالجِنُّ عَلی أَنْ یَأْتُوا بِمِثْلِ هذَا القُرآنَ لاَ یَأْتُونَ بِمِثْلهِ وَلَوْ کَانَ بَعْضُهُمْ لِبَعْضٍ ظَهِیرا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فنظر القوم بعضهم إلی بعضٍ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کان الإسلام حقیقة لما انتهت أمر وصیّة محمّد صلی‌الله‌علیه‌و‌آله إلی جعفر بن محمّد علیه‌السلامواللّه ما رأیناه قطّ إلاّ هبناه واقشَعرَّت جلودنا لهیبته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تفرّقوا مُقرّین بالعجز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للطبرسیّ، الجزء الثانی،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أیضا مع بعض اختلاف الطبرسیّ، الفضل بن حسن فی المجمع </w:t>
      </w:r>
      <w:r>
        <w:rPr>
          <w:rFonts w:eastAsia="IRNazanin" w:cs="IRNazanin"/>
          <w:color w:val="111111"/>
          <w:sz w:val="28"/>
          <w:szCs w:val="28"/>
          <w:lang w:bidi="fa-IR"/>
        </w:rPr>
        <w:t>6/250</w:t>
      </w:r>
      <w:r>
        <w:rPr>
          <w:rFonts w:ascii="IRNazanin" w:hAnsi="IRNazanin" w:eastAsia="IRNazanin"/>
          <w:color w:val="111111"/>
          <w:sz w:val="28"/>
          <w:sz w:val="28"/>
          <w:szCs w:val="28"/>
          <w:rtl w:val="true"/>
          <w:lang w:bidi="fa-IR"/>
        </w:rPr>
        <w:t xml:space="preserve">، والمجلسیّ، محمّد باقر فی البحار </w:t>
      </w:r>
      <w:r>
        <w:rPr>
          <w:rFonts w:eastAsia="IRNazanin" w:cs="IRNazanin"/>
          <w:color w:val="111111"/>
          <w:sz w:val="28"/>
          <w:szCs w:val="28"/>
          <w:lang w:bidi="fa-IR"/>
        </w:rPr>
        <w:t>89/16</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وأمثال هذه الروایات کثیرة</w:t>
      </w:r>
    </w:p>
    <w:p>
      <w:pPr>
        <w:pStyle w:val="BookText"/>
        <w:rPr/>
      </w:pPr>
      <w:r>
        <w:rPr>
          <w:rFonts w:ascii="IRNazanin" w:hAnsi="IRNazanin" w:eastAsia="IRNazanin"/>
          <w:color w:val="111111"/>
          <w:sz w:val="28"/>
          <w:sz w:val="28"/>
          <w:szCs w:val="28"/>
          <w:rtl w:val="true"/>
          <w:lang w:bidi="fa-IR"/>
        </w:rPr>
        <w:t>جدّاً، وممّا یشهد علی أنّ القرآنَ العظیمَ فوقَ طوقِ البشر أنّ من قایس بین آیاته وکلمات رسول اللّه صلی‌الله‌علیه‌و‌آله وخطبه البلیغة وجد التفاوت بینهما تفاوت الخالق والمخلوق والواجب والممکن، مع أنّه صلی‌الله‌علیه‌و‌آله کان أفصح من نطق بالضاد، ولم یسمع بکلام أحسن أسلوباً وألطف لفظاً وأعدل وزناً وأجمل مذهباً وأحسن موقعاً وأسهل مخرجاً وأفصح بیاناً وأبین فحویً</w:t>
      </w:r>
    </w:p>
    <w:p>
      <w:pPr>
        <w:pStyle w:val="BookText"/>
        <w:rPr/>
      </w:pPr>
      <w:r>
        <w:rPr>
          <w:rFonts w:ascii="IRNazanin" w:hAnsi="IRNazanin" w:eastAsia="IRNazanin"/>
          <w:color w:val="111111"/>
          <w:sz w:val="28"/>
          <w:sz w:val="28"/>
          <w:szCs w:val="28"/>
          <w:rtl w:val="true"/>
          <w:lang w:bidi="fa-IR"/>
        </w:rPr>
        <w:t>وأکرم مطلعاً من کلامه صلی‌الله‌علیه‌و‌آله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العزیز فی لسان العربیّة بلغ مبلغاً من الفصاحة والبلاغة وحسن النّظم والأسلوب لا یمکن للبشر أن یدانیه بالفطرة والعقل والاکتساب، وقد صدق الصّادق علیه‌السلامحیث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تجلّی اللّه تعالی لخلقه فی کلامه لکنّهم لا یبصرون</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النبیّ صلی‌الله‌علیه‌و‌آلهفی وصف القرآن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أنیق وباطنه عمیق، لا تحصی عجائِبُه ولاتبلی غرائِبُه</w:t>
      </w:r>
      <w:r>
        <w:rPr>
          <w:rFonts w:eastAsia="IRNazanin" w:cs="IRNazanin"/>
          <w:color w:val="111111"/>
          <w:sz w:val="28"/>
          <w:szCs w:val="28"/>
          <w:rtl w:val="true"/>
          <w:lang w:bidi="fa-IR"/>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أمیر المؤمنین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تنقضی عجائبه، ولا یشبع منه العلماء، هو الّذی لم تلبث الجنّ إذ سمعته أن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سَمِعنا قُرْآناً عَجباً یَهدِی إِلَی الرُّشد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وسیأتی إن شاء اللّه عند تفسیر قوله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تَفْعَلُوا وَلَنْ تَفْعَلُوا </w:t>
      </w:r>
      <w:r>
        <w:rPr>
          <w:rFonts w:eastAsia="Amiri" w:cs="Amiri" w:ascii="Amiri" w:hAnsi="Amiri"/>
          <w:color w:val="111111"/>
          <w:sz w:val="28"/>
          <w:szCs w:val="28"/>
          <w:rtl w:val="true"/>
          <w:lang w:bidi="ar-SA"/>
        </w:rPr>
        <w:t xml:space="preserve">» </w:t>
      </w:r>
      <w:r>
        <w:rPr>
          <w:rStyle w:val="FootnoteAnchor"/>
          <w:rtl w:val="true"/>
        </w:rPr>
        <w:footnoteReference w:id="401"/>
      </w:r>
      <w:r>
        <w:rPr>
          <w:rFonts w:ascii="IRNazanin" w:hAnsi="IRNazanin" w:eastAsia="IRNazanin"/>
          <w:color w:val="111111"/>
          <w:sz w:val="28"/>
          <w:sz w:val="28"/>
          <w:szCs w:val="28"/>
          <w:rtl w:val="true"/>
          <w:lang w:bidi="fa-IR"/>
        </w:rPr>
        <w:t>، مزید بیان لذلک والتعرّض لوجوه إعجازه بمقدار فهمی القاصر</w:t>
      </w:r>
      <w:r>
        <w:rPr>
          <w:rFonts w:eastAsia="IRNazanin" w:cs="IRNazanin"/>
          <w:color w:val="111111"/>
          <w:sz w:val="28"/>
          <w:szCs w:val="28"/>
          <w:rtl w:val="true"/>
          <w:lang w:bidi="fa-IR"/>
        </w:rPr>
        <w:t>.</w:t>
      </w:r>
      <w:bookmarkStart w:id="407" w:name="pg4391_51119"/>
    </w:p>
    <w:p>
      <w:pPr>
        <w:pStyle w:val="Heading5"/>
        <w:numPr>
          <w:ilvl w:val="4"/>
          <w:numId w:val="1"/>
        </w:numPr>
        <w:rPr/>
      </w:pPr>
      <w:bookmarkStart w:id="408" w:name="__RefHeading___Toc1438895_1479056682"/>
      <w:bookmarkStart w:id="409" w:name="_Toc156"/>
      <w:bookmarkEnd w:id="407"/>
      <w:bookmarkEnd w:id="408"/>
      <w:r>
        <w:rPr>
          <w:rtl w:val="true"/>
        </w:rPr>
        <w:t>الطُّرفة الثّانیة</w:t>
      </w:r>
      <w:r>
        <w:rPr>
          <w:rtl w:val="true"/>
        </w:rPr>
        <w:t xml:space="preserve">: </w:t>
      </w:r>
      <w:r>
        <w:rPr>
          <w:rtl w:val="true"/>
        </w:rPr>
        <w:t>فی تعریف المعجزة وأنَّ القرآنَ العظیم معجزةٌ عقلیّةٌ</w:t>
      </w:r>
      <w:bookmarkEnd w:id="409"/>
    </w:p>
    <w:p>
      <w:pPr>
        <w:pStyle w:val="BookText"/>
        <w:rPr/>
      </w:pP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الأمر الخارق للعادة المقرون بالتحدِّی السالم عن المعارضة من مدّعی النبوّة عند احتمال صدقه فی الدّعوی، 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حِسِّیّةٌ کصیرورة العصا ثعباناً وإحیاء</w:t>
      </w:r>
    </w:p>
    <w:p>
      <w:pPr>
        <w:pStyle w:val="BookText"/>
        <w:rPr/>
      </w:pPr>
      <w:r>
        <w:rPr>
          <w:rFonts w:ascii="IRNazanin" w:hAnsi="IRNazanin" w:eastAsia="IRNazanin"/>
          <w:color w:val="111111"/>
          <w:sz w:val="28"/>
          <w:sz w:val="28"/>
          <w:szCs w:val="28"/>
          <w:rtl w:val="true"/>
          <w:lang w:bidi="fa-IR"/>
        </w:rPr>
        <w:t>الموتی وإطعام الجمع الکثیر بالطّعام الیسیر، وعقلیّةٌ کإعجاز القرآن المجید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معجزات أنبیاء بنی إسرائیل أکثرها حسّیةً، لبلادة أُممهم وقلّة ذکائهم، بخلاف معجزات نبیّنا صلی‌الله‌علیه‌و‌آلهفإنّ عُمدتها عقلیةٌ، لفرط ذکاء أُمّته وکمال فَهمهم، ولأنّ هذه الشریعة ونبوّة هذا النبیّباقیةٌ دائمة مدی الدّهر، وأحکامه مستمرّة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فخصَّ نبیّنا بأعظم معجزاته العقلیة الباقیة، لیراها ذو البصائر قرناً بعد قرن کالشمس تجری ما استقرّت الأرضون ودارت السّماوات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الأنبیاء نبیّ إلاّ أعطی ما بمثله آمن البشر، وإنّما کان الّذی أُوتیته وحیاً أوحاه اللّه إلیَّ، فأرجو أن أکون أکثرهم تابعاً </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معناه أنّ معجزات الأنبیاء انقرضت بانقراض أعصارهم، فلم یشاهدها إلاّ من حضرها ومعجزة القرآن مستمرّة إلی یوم القیامة، وخرقه العادة فی فصاحته وبلاغته ونظمه وأسلوبه وأخباره بالمغیّبات باق إلی آخر الدّهر، فلا یمرّ عصر من الأعصار إلاّ ویظهر فیه شیء ممّا أخبر به أنّه سیکون، وکلّ من سمعه فی القرون المتطاولة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وکان عارفاً بکلام العرب وأُسلوب بیانهم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علیه الحجّة بسماعه کما قال اللّه</w:t>
      </w:r>
    </w:p>
    <w:p>
      <w:pPr>
        <w:pStyle w:val="BookText"/>
        <w:rPr/>
      </w:pP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أَوَلَمْ یَکْفِهِم أ نّا أَنْزَلْنَا عَلَیْکَ الکِتَابَ یُتلی عَلَیْهِم </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أَحَدٌ مِنَ</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المُشْرِکِینَ اسْتَجَارَکَ فَأَجِرْهُ حَتَّی یَسْمَعَ کَلامَ اللّه‌ِ </w:t>
      </w:r>
      <w:r>
        <w:rPr>
          <w:rFonts w:eastAsia="Amiri" w:cs="Amiri" w:ascii="Amiri" w:hAnsi="Amiri"/>
          <w:color w:val="111111"/>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فإنّ الآیتین دالّتان علی أنّ الحجّة بتلاوة الکتاب العزیز وسماع کلام اللّه تتمّ علی کلّ أحدٍ من العارفین بکلام العرب ومحاوراتهم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أنّ رجلاً سأل أبا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القرآن لا یزدادُ علی النشر والدّرس إلاّ غضاضة ؟ فقال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تبارک وتعالی لم یجعله لزمان دون زمان ولا ناس، دون ناس، فهو فی کلّ زمان جدید وعند کلّ قوم غضٌّ إلی یوم القیامة </w:t>
      </w:r>
      <w:r>
        <w:rPr>
          <w:rStyle w:val="FootnoteAnchor"/>
          <w:rtl w:val="true"/>
        </w:rPr>
        <w:footnoteReference w:id="4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خطبة طویلة لأمیر المؤمنین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أنزل علیه الکتاب نوراً لا تُطْفَأُ مصابیحُه، وسراجاً لا یَخبو تَوقّدُه، وبحراً لا یُدرک قعرُه، ومنهاجاً لا یُضلّ نهجُهُ، وشعاعاً لا یُظلم ضَوؤُهُ، وفرقاناً لا یُخْمَد برهانه، وتبیاناً لا تُهدم أرکانه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روایة عن الرّضا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یخلق من الأزمنة ولا یغثّ علی الألسنة، لأنّه لم یجعل لزمانٍ دون زمان، بل جعل دلیل البرهان وحجّة علی کلّ 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یَأْتیهِ الباطِلُ مِنْ بَیْنِ یَدَیْهِ وَلاَ مِنْ خَلْفِهِ تَنْزِیلٌ مِنْ حَکِیمٍ حَمیدٍ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خطبة فاطمة علیهاالسلام فی أمر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فیکم عهد قدّمه إلیکم وبقیّة استخلفها علیکم، کتاب اللّه بیّنةٌ بصائِرُهُ وآیٌ منکشفةٌ سرائرُها وبرهان متجلّیةٌ ظواهرُه، مدیم للبریّة استماعه وقائد إلی الرضوان أتباعه ومؤدّ إلی النّجاة أشیاعه، فیه تبیان حجج اللّه المنیرة،</w:t>
      </w:r>
    </w:p>
    <w:p>
      <w:pPr>
        <w:pStyle w:val="BookText"/>
        <w:rPr/>
      </w:pPr>
      <w:r>
        <w:rPr>
          <w:rFonts w:ascii="IRNazanin" w:hAnsi="IRNazanin" w:eastAsia="IRNazanin"/>
          <w:color w:val="111111"/>
          <w:sz w:val="28"/>
          <w:sz w:val="28"/>
          <w:szCs w:val="28"/>
          <w:rtl w:val="true"/>
          <w:lang w:bidi="fa-IR"/>
        </w:rPr>
        <w:t xml:space="preserve">ومحارمه المحرّمة، وفضائله المدوّنة، وجمله الکافیة، ورخصته الموهوبة، وشرائطه المکتوبة، وبیّناته الجالیة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وهذا جزء آخر من خطبة فاطمة علیهاالسلام فی شأن القرآن، لمّا منعوها فدک علی ما نقل فی الاحتجاج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التفتت إلی المجلس وقالت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أنتم عباد اللّه نصب أمره ونهیه وحملة دینه وأُمناء اللّه علی أنفسکم وبلغائه إلی الأُمم، زعیم حقّ له فیکم وعهد قدّمه إلیکم وبقیّة استخلفها علیکم، کتاب اللّه الناطق والقرآن الصادق والنور الساطع والضیاء اللاّمع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بیّنة بصائره، منکشفةٌ سرائره، منجلیةٌ ظواهره، مغتبطة به أشیاعه، قائد إلی الرضوان أتباعه، مؤدٍّ إلی النجاة استماعه، به تنال حجج اللّه المنوّرة وعزائمُه المفسّرة ومحارمه المخدّرة وبیّناته الجالیة وبراهینه الکافیة وفضائله المندوبة ورخصه الموهوبة وشرائعه المکتوبة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اللّه الإیمان تطهیرا لکم من الشِّرک والصلاة تنزیها لکم عن الکبر والزّکاة تزکیة للنفس ونماءٌ فی الرزق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الاحتجاج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ذلک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حقّ العارف بلسان العرب، وأمّا غیر العارف فیتمّ علیه الحجّة بتصدیق أهل اللسان إعجازه، کما تمّت الحجّة علی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إسرائیل الجاهلین بعلم السّحر بتصدیقِ السَّحَرَةِ إعجاز العصا، وعلی الجاهلین بعلم</w:t>
      </w:r>
    </w:p>
    <w:p>
      <w:pPr>
        <w:pStyle w:val="BookText"/>
        <w:rPr/>
      </w:pPr>
      <w:r>
        <w:rPr>
          <w:rFonts w:ascii="IRNazanin" w:hAnsi="IRNazanin" w:eastAsia="IRNazanin"/>
          <w:color w:val="111111"/>
          <w:sz w:val="28"/>
          <w:sz w:val="28"/>
          <w:szCs w:val="28"/>
          <w:rtl w:val="true"/>
          <w:lang w:bidi="fa-IR"/>
        </w:rPr>
        <w:t xml:space="preserve">الطبّ بتصدیق الأطبّاء إعجاز إبراء الأکمه والأبرص وإحیاء الموتی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معنی العجز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الضعف والتأخّر عن الشیء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وجاء فی القرآن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أَنتُم بِمُعْجِزِینَ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أعجز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الإعجاز ومنه اشتُقَّت کلمة معجزة، وهی اسم الفاعل منه لحقته تاء التأنیث وواحدة معجزات الأنبیاء التی تُؤیِّد بها نبوّتهم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الباحثون فی العلوم القرآنیة وهو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المعنی الفنّیّ لم یُستعمل فی القرآن ولا فی لسان العرب حین نزول القرآن، وقد صار لها هذا المعنی فی زمنٍ متأخّرٍ عن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یرد فی القرآن لفظ معجزة أو اعجاز وإنّما جاء فیه الألفاظ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بیّنة، برهان وسلطان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أنّ هذه الکلمات لا تُرادف کلمة معجزة ولا تشمل معنی إعجاز المفهوم الکلامیّ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تدلّ علی جزء من معناها ولا یدلّ علی أکثر منها، فإنّ کلمةَ معجزة لم تظهر بظهوره ولیست قدیمةً،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یستفاد منَ المتون التفسیریة والفنّیة أنّها استعملت علی لسان العلماء حسب ما نذکرها أدناه، و هذا لیس استقصاءً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رَبَن الطبریّ، أ لّف کتاب الأُسلوب والبلاغة فی السنة </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ولم یستعمل فیه کلمة معجزة أو کلمة أُخری مشتقّة منها وهذا دلیل علی عدم شیوع استعمالها فی المعنی الفنّیّ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أحمد بن حنبل المتوفّی سنة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المعجزة للأنبیاء والکرامة للأولیاء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الجاحظ المتوفّی سنة </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البیان والتبیین وکتاب الحیوان وکتاب النظم وهو غیر مطبوع، و قد ذکره العلماء فی آثارهم ولم یذکر أو یستعمل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یزید الواسطیّ المتوفّی سنة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کتابا عنوانه إعجاز القرآن وهو علی ما نقل أوّل کتاب عُنون باسم إعجاز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جریر الطبریّ المتوفّی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فی تفسیر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یَأْتُونَ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یعجزون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أوّل من ذکر کلمة المعجزة ومشتقّاتها فی المعنی الفنّیّ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 استعمال الکلمات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بیّنة، سلطان وحجّة وبرهان، وازداد استعمال المعجزة علی لسان من تلاه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عیسی الرمّانیّ المتوفّی سنة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الخطّابیّ المتوفّی سنة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بکر محمّد الباقلانیّ المتوفّی سنة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الشریف المرتضی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حسن الشیخ الطوسیّ المتوفّی سنة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غیرهم</w:t>
      </w:r>
    </w:p>
    <w:p>
      <w:pPr>
        <w:pStyle w:val="BookText"/>
        <w:rPr/>
      </w:pPr>
      <w:r>
        <w:rPr>
          <w:rFonts w:ascii="IRNazanin" w:hAnsi="IRNazanin" w:eastAsia="IRNazanin"/>
          <w:color w:val="111111"/>
          <w:sz w:val="28"/>
          <w:sz w:val="28"/>
          <w:szCs w:val="28"/>
          <w:rtl w:val="true"/>
          <w:lang w:bidi="fa-IR"/>
        </w:rPr>
        <w:t>وبعد هؤلاء المفسِّرین والمتکلِّمین شاع استعمال المعجزة بالمعنی الفنّیّ حول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معجزة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المحقِّقین فی عدم اکتفاء النبیّ صلی‌الله‌علیه‌و‌آله بإتیان المعجزات الحسِّیة بل أعظم منها، المعجزة العقلیّة الخالدة للأدلّة الآتیة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أتاهم بمعجزات عیسی و موسی لما آمنوا ولقالوا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سِحرٌ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المعجزات الحسِّیة إنّما تحمِل إلی ذوی العقول الجامدة والنفوس الخاملة من الأُمم غیر الأُمّة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العرب یمتازون بالذّکاء والعقولِ الراجحة برأی هؤ لاء العلماء، ولذلک کانت معجزة نبیّهم معنویّة بیانیّة وهی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المعجزات الحسِّیة تزول بزوال مشاهدیها زمن النبیّ، وأمّا المعجزة البیانیة فهی باقیةٌ أبد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الذِّکر وإنّا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وعلّل بعض العلماء أنّ معجزة کلّ نبیٍّ کانت من جنس الفنّ الّذی اشتُهر فی قومه إلی عهده، ولذلک کانت معجزة موسی وعیسی علیهماالسلام من جنس السحر أو الطبّ، لأ نّهما فنّانان حاذقان فی عهدیهما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وجاءَت معجزه‌النبیّ صلی‌الله‌علیه‌و‌آلهمن جنس الفنّ الّذی اشتهر به العرب وهو فنّ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واحتجّ العلماء الباحثون النقّاد، ومنهم أُستاذنا الکریم السیِّد محمّد باقر الحسینیّ الحجّتیّ بأنّ الأدلّة الأربعة لیست کافیة ولا صحیحهً‌للأسباب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 ؛ لیست شهرة السحر والطبّ فی عهدی موسی وعیسی علیهماالسلام 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 کان بعض المتبحّرین وذویالفنون الشائعة مقهورین ومضطهدین ولا یعتنی الناس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 بُعث النبیّ صلی‌الله‌علیه‌و‌آله رحمة للعالمین وبشیرا للناس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العرب منهم والعجم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کلّهم فصحاء و بلغاء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 زوال اعتبار المعجزات الحسِّیة بزوال الأمم والأنبیاء لیس صحیحا بل ثبت بالتحقیق أنّ المعجزات الحسِّیة للنبی صلی‌الله‌علیه‌و‌آله والأنبیاء السالفین متواترة تواترا معنویّا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 لم یکن العرب فی زمن نزول القرآن الکریم فی نهایة البلوغ والکمال فی الفصاحة والبلاغة، بل کانوا ممهّدین لمن جاء بعدهم من الکتّاب والأُدباء والباحثین فی العلوم القرآنیة والنبویّة إذکانوا أکثر منهم براعة فی میادین الفکر والبیان والاحتجاج و منهم الشیخ الطوسیّ صاحب التبیان والزمخشریّ صاحب الکشّاف والطبرسیّ صاحب مجمع البیان والرازیّ صاحب مفاتیح الغیب، و أقدمهم ابن فارس صاحب الکتب القیّمة منها معجم مقاییس اللّغة والزجّاج صاحب معانی القرآن وإعرابه وابن منظور صاحب اللِّسان وغیرهم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 ؛ کان کثیر من أوتاد العلوم الأدبیّة والبیانیّة، بل علوم التفسیر والروایة والکلام قد ظهروا فی البلاد غیر العربیة وفی بیئةٍ غیر بیئة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أصحاب الکتب الأربعة والصحاح الستّة والمتکلّمون والباحثون والأُدباء کسیبویه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ینبغی لنا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حکمة إعجاز القرآن فی وجوه بیانه والأسرار الموجودة فی تشریعه بسبب کونه معجزة لکلّ الأُمم والعصور، ولزمت دوام إعجازه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وجوهه فی أقوال المفسِّرین والمتکلِّمین والمحدِّثین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یوم الفصل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0" w:name="pg4391_51123"/>
    </w:p>
    <w:p>
      <w:pPr>
        <w:pStyle w:val="Heading5"/>
        <w:numPr>
          <w:ilvl w:val="4"/>
          <w:numId w:val="1"/>
        </w:numPr>
        <w:rPr/>
      </w:pPr>
      <w:bookmarkStart w:id="411" w:name="__RefHeading___Toc1438897_1479056682"/>
      <w:bookmarkStart w:id="412" w:name="_Toc157"/>
      <w:bookmarkEnd w:id="410"/>
      <w:bookmarkEnd w:id="411"/>
      <w:r>
        <w:rPr>
          <w:rtl w:val="true"/>
        </w:rPr>
        <w:t>الطُّرفة الثالثة</w:t>
      </w:r>
      <w:r>
        <w:rPr>
          <w:rtl w:val="true"/>
        </w:rPr>
        <w:t xml:space="preserve">: </w:t>
      </w:r>
      <w:r>
        <w:rPr>
          <w:rtl w:val="true"/>
        </w:rPr>
        <w:t>فی أنّ الکتاب العزیز مع قطع النظر عن وجوه إعجازه دلیل صدق النبیّ صلی‌الله‌علیه‌و‌آله</w:t>
      </w:r>
      <w:bookmarkEnd w:id="412"/>
    </w:p>
    <w:p>
      <w:pPr>
        <w:pStyle w:val="BookText"/>
        <w:rPr/>
      </w:pPr>
      <w:r>
        <w:rPr>
          <w:rFonts w:ascii="IRNazanin" w:hAnsi="IRNazanin" w:eastAsia="IRNazanin"/>
          <w:color w:val="111111"/>
          <w:sz w:val="28"/>
          <w:sz w:val="28"/>
          <w:szCs w:val="28"/>
          <w:rtl w:val="true"/>
          <w:lang w:bidi="fa-IR"/>
        </w:rPr>
        <w:t>لا شبهة أنّ الکتاب العزیز مع غضّ النظر عن وجوه إعجازه من أقوی دلائل صدق نبیّنا صلی‌الله‌علیه‌و‌آلهلوجوه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 صلی‌الله‌علیه‌و‌آله أعلن فی الناس بصریح کتابه الکریم بأنّ موسی بن عمران علیه‌السلامبشّر أُمّته بظهوره علیه‌السلاموبعثته وأخبر بعلائمه ونعوته، وأنّ عیسی ابن مریم علیه‌السلام بشّر مع ذلک باسمه</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السّامی حیث قال فی کتابه 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قَالَ عِیسَی ابْنُ مَرْیَمَ یَا بَنِی إِسْرَآئِیلَ إِنِّی رَسُولُ اللّه‌ِ إِلَیْکُم مُصَدِّقاً لِمَا بَیْنَ یَدَیَّ مِنَ التَّوْرَاةِ وَمُبَشِّراً بِرَسُولٍ یَأْتِی مِن بَعْدِی اسْمُهُ أَحْمَدُ </w:t>
      </w:r>
      <w:r>
        <w:rPr>
          <w:rFonts w:eastAsia="Amiri" w:cs="Amiri" w:ascii="Amiri" w:hAnsi="Amiri"/>
          <w:color w:val="111111"/>
          <w:sz w:val="28"/>
          <w:szCs w:val="28"/>
          <w:rtl w:val="true"/>
          <w:lang w:bidi="ar-SA"/>
        </w:rPr>
        <w:t>»</w:t>
      </w:r>
      <w:r>
        <w:rPr>
          <w:rStyle w:val="FootnoteAnchor"/>
          <w:rtl w:val="true"/>
        </w:rPr>
        <w:footnoteReference w:id="410"/>
      </w:r>
      <w:r>
        <w:rPr>
          <w:rFonts w:ascii="IRNazanin" w:hAnsi="IRNazanin" w:eastAsia="IRNazanin"/>
          <w:color w:val="111111"/>
          <w:sz w:val="28"/>
          <w:sz w:val="28"/>
          <w:szCs w:val="28"/>
          <w:rtl w:val="true"/>
          <w:lang w:bidi="fa-IR"/>
        </w:rPr>
        <w:t xml:space="preserve">فلو لم یکن نبیّنا صلی‌الله‌علیه‌و‌آلهصادقاً فی دعواه وعلی حجّة فیما ادّعاه ما کانت الیهود والنّصاری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کثرة عددهم وأحبارهم ورُهبانهم وشدّة عداوتهم له صلی‌الله‌علیه‌و‌آلهولجاجهم فی ملّتهم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ساکتین عن معارضته، مع تمکّنهم من إدحاض </w:t>
      </w:r>
      <w:r>
        <w:rPr>
          <w:rStyle w:val="FootnoteAnchor"/>
          <w:rtl w:val="true"/>
        </w:rPr>
        <w:footnoteReference w:id="411"/>
      </w:r>
      <w:r>
        <w:rPr>
          <w:rFonts w:ascii="IRNazanin" w:hAnsi="IRNazanin" w:eastAsia="IRNazanin"/>
          <w:color w:val="111111"/>
          <w:sz w:val="28"/>
          <w:sz w:val="28"/>
          <w:szCs w:val="28"/>
          <w:rtl w:val="true"/>
          <w:lang w:bidi="fa-IR"/>
        </w:rPr>
        <w:t>حجّته وقدرتهم علی إبطال دعوته، ولبادروا إلی تکذیبه ولتسارعوا إلی تفضیحه</w:t>
      </w:r>
      <w:r>
        <w:rPr>
          <w:rStyle w:val="FootnoteAnchor"/>
          <w:rtl w:val="true"/>
        </w:rPr>
        <w:footnoteReference w:id="412"/>
      </w:r>
      <w:r>
        <w:rPr>
          <w:rFonts w:ascii="IRNazanin" w:hAnsi="IRNazanin" w:eastAsia="IRNazanin"/>
          <w:color w:val="111111"/>
          <w:sz w:val="28"/>
          <w:sz w:val="28"/>
          <w:szCs w:val="28"/>
          <w:rtl w:val="true"/>
          <w:lang w:bidi="fa-IR"/>
        </w:rPr>
        <w:t>وتنکیبه، بأنّ کانت الأحبار والرّهبان لحفظ ریاستهم وملّتهم حرّموا علی أنفسهم الرّقاد</w:t>
      </w:r>
      <w:r>
        <w:rPr>
          <w:rStyle w:val="FootnoteAnchor"/>
          <w:rtl w:val="true"/>
        </w:rPr>
        <w:footnoteReference w:id="413"/>
      </w:r>
      <w:r>
        <w:rPr>
          <w:rFonts w:ascii="IRNazanin" w:hAnsi="IRNazanin" w:eastAsia="IRNazanin"/>
          <w:color w:val="111111"/>
          <w:sz w:val="28"/>
          <w:sz w:val="28"/>
          <w:szCs w:val="28"/>
          <w:rtl w:val="true"/>
          <w:lang w:bidi="fa-IR"/>
        </w:rPr>
        <w:t>وتنادوا بأعلی صوتهم فی البلاد وأحضروا النّاس فی المیعاد وأتوا بکتبهم فی محضر الحاضر والباد وفتحوها علی رؤوس الأشهاد، وألزموا النبیّ صلی‌الله‌علیه‌و‌آله علی أنّ یریهم منها آیة فیها اسمه أو نعته ویخرج منها عبارة فیها علامته وصفته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عند ذلک بعجزه إفحامه وبهته، فلم یمکن أن یخضرّ له بعد ذلک عود ولم یقم</w:t>
      </w:r>
    </w:p>
    <w:p>
      <w:pPr>
        <w:pStyle w:val="BookText"/>
        <w:rPr/>
      </w:pPr>
      <w:r>
        <w:rPr>
          <w:rFonts w:ascii="IRNazanin" w:hAnsi="IRNazanin" w:eastAsia="IRNazanin"/>
          <w:color w:val="111111"/>
          <w:sz w:val="28"/>
          <w:sz w:val="28"/>
          <w:szCs w:val="28"/>
          <w:rtl w:val="true"/>
          <w:lang w:bidi="fa-IR"/>
        </w:rPr>
        <w:t>له عمود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لم یظهر تظاهرهم فی 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بثبوت نعوته فی کتبهم وتیقنّا بصدقه فی أخباره أن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نطق الکتاب العزیز فی عدّة مواضعه بأنّ الیهود والنصاری حرّفوا الکتابین، وغیّروا الآیات المبشّرات ببعثته، الدالاّت علی نعوته واتّفق</w:t>
      </w:r>
    </w:p>
    <w:p>
      <w:pPr>
        <w:pStyle w:val="BookText"/>
        <w:rPr/>
      </w:pPr>
      <w:r>
        <w:rPr>
          <w:rFonts w:ascii="IRNazanin" w:hAnsi="IRNazanin" w:eastAsia="IRNazanin"/>
          <w:color w:val="111111"/>
          <w:sz w:val="28"/>
          <w:sz w:val="28"/>
          <w:szCs w:val="28"/>
          <w:rtl w:val="true"/>
          <w:lang w:bidi="fa-IR"/>
        </w:rPr>
        <w:t>المسلمون علیه، ولازم ذلک أنّه لم یکن فی ذلک الوقت فی الکتابین آیة دالّة علی نعته ولم</w:t>
      </w:r>
    </w:p>
    <w:p>
      <w:pPr>
        <w:pStyle w:val="BookText"/>
        <w:rPr/>
      </w:pPr>
      <w:r>
        <w:rPr>
          <w:rFonts w:ascii="IRNazanin" w:hAnsi="IRNazanin" w:eastAsia="IRNazanin"/>
          <w:color w:val="111111"/>
          <w:sz w:val="28"/>
          <w:sz w:val="28"/>
          <w:szCs w:val="28"/>
          <w:rtl w:val="true"/>
          <w:lang w:bidi="fa-IR"/>
        </w:rPr>
        <w:t>یکن‌النبیّ صلی‌الله‌علیه‌و‌آله قادراً علی إثبات بشارة موسی وعیسی بمجیئه ورسالته، ولذلک لم یؤمن أکثر أهل الکتابین بنبوّته، ولو کان فی الکتابین ذکر علائمه</w:t>
      </w:r>
      <w:r>
        <w:rPr>
          <w:rStyle w:val="FootnoteAnchor"/>
          <w:rtl w:val="true"/>
        </w:rPr>
        <w:footnoteReference w:id="414"/>
      </w:r>
      <w:r>
        <w:rPr>
          <w:rFonts w:ascii="IRNazanin" w:hAnsi="IRNazanin" w:eastAsia="IRNazanin"/>
          <w:color w:val="111111"/>
          <w:sz w:val="28"/>
          <w:sz w:val="28"/>
          <w:szCs w:val="28"/>
          <w:rtl w:val="true"/>
          <w:lang w:bidi="fa-IR"/>
        </w:rPr>
        <w:t>المنطبقة علیه لم یبق لهم عذر فی عدم الإیمان والتّسلیم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ولکنّه لم یقع التّحریف فی جمیع النّسخ الموجودة فی ذلک العصر من الکتابین، وإنّما وقع فی عدّة کتب کانوا یظهرونها لعوامّهم ویتلونها علیهم إضلالاً لهم</w:t>
      </w:r>
    </w:p>
    <w:p>
      <w:pPr>
        <w:pStyle w:val="BookText"/>
        <w:rPr/>
      </w:pPr>
      <w:r>
        <w:rPr>
          <w:rFonts w:ascii="IRNazanin" w:hAnsi="IRNazanin" w:eastAsia="IRNazanin"/>
          <w:color w:val="111111"/>
          <w:sz w:val="28"/>
          <w:sz w:val="28"/>
          <w:szCs w:val="28"/>
          <w:rtl w:val="true"/>
          <w:lang w:bidi="fa-IR"/>
        </w:rPr>
        <w:t>وحفظاً لریاستهم فی السرّ والخفاء، ولم یقدروا علی التّجاهر بالمعارضة لکون النّسخ الغیر</w:t>
      </w:r>
    </w:p>
    <w:p>
      <w:pPr>
        <w:pStyle w:val="BookText"/>
        <w:rPr/>
      </w:pPr>
      <w:r>
        <w:rPr>
          <w:rFonts w:ascii="IRNazanin" w:hAnsi="IRNazanin" w:eastAsia="IRNazanin"/>
          <w:color w:val="111111"/>
          <w:sz w:val="28"/>
          <w:sz w:val="28"/>
          <w:szCs w:val="28"/>
          <w:rtl w:val="true"/>
          <w:lang w:bidi="fa-IR"/>
        </w:rPr>
        <w:t>المحرّفة کثیرة الوجود، وکانت عدّةٌ من المسلمین من علماء الفریقین مطّلعین علی الآیات الغیر المحرّفة قادرین علی إفحام المعارضین الجاحدین فلم یجسر أحد علی التظاهر بالتکذیب والإنکار، بل سلک المتمرّدون مع‌النبیّوالمسلمین سبیل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العادة قاضیة بأنّ کلّ من یرید أنّ یثبت لنفسه بین النّاس مرتبةً من الکمال الّتی لیست له، ویدّعی کونه فی مرتبة الواجدین أو فوقهم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لتلک المرتبة من الکمال</w:t>
      </w:r>
    </w:p>
    <w:p>
      <w:pPr>
        <w:pStyle w:val="BookText"/>
        <w:rPr/>
      </w:pPr>
      <w:r>
        <w:rPr>
          <w:rFonts w:ascii="IRNazanin" w:hAnsi="IRNazanin" w:eastAsia="IRNazanin"/>
          <w:color w:val="111111"/>
          <w:sz w:val="28"/>
          <w:sz w:val="28"/>
          <w:szCs w:val="28"/>
          <w:rtl w:val="true"/>
          <w:lang w:bidi="fa-IR"/>
        </w:rPr>
        <w:t xml:space="preserve">آثار فی الأنظار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لذلک المدّعی الکاذب من السّعی فی إلقاء الشبهات فی ملازمة تلک</w:t>
      </w:r>
    </w:p>
    <w:p>
      <w:pPr>
        <w:pStyle w:val="BookText"/>
        <w:rPr/>
      </w:pPr>
      <w:r>
        <w:rPr>
          <w:rFonts w:ascii="IRNazanin" w:hAnsi="IRNazanin" w:eastAsia="IRNazanin"/>
          <w:color w:val="111111"/>
          <w:sz w:val="28"/>
          <w:sz w:val="28"/>
          <w:szCs w:val="28"/>
          <w:rtl w:val="true"/>
          <w:lang w:bidi="fa-IR"/>
        </w:rPr>
        <w:t>الآثار لتلک المرتبة من الکمال، وإزالة اعتقاد الناس بها ومن المبالغة فی تنقیص من عُرف</w:t>
      </w:r>
    </w:p>
    <w:p>
      <w:pPr>
        <w:pStyle w:val="BookText"/>
        <w:rPr/>
      </w:pPr>
      <w:r>
        <w:rPr>
          <w:rFonts w:ascii="IRNazanin" w:hAnsi="IRNazanin" w:eastAsia="IRNazanin"/>
          <w:color w:val="111111"/>
          <w:sz w:val="28"/>
          <w:sz w:val="28"/>
          <w:szCs w:val="28"/>
          <w:rtl w:val="true"/>
          <w:lang w:bidi="fa-IR"/>
        </w:rPr>
        <w:t xml:space="preserve">بهذه المرتبة وتکذیبه فی دعوی وجدانه الآثار وتکذیب نقلتها عنه، ومن الجدّ فی الإزراء </w:t>
      </w:r>
      <w:r>
        <w:rPr>
          <w:rStyle w:val="FootnoteAnchor"/>
          <w:rtl w:val="true"/>
        </w:rPr>
        <w:footnoteReference w:id="415"/>
      </w:r>
      <w:r>
        <w:rPr>
          <w:rFonts w:ascii="IRNazanin" w:hAnsi="IRNazanin" w:eastAsia="IRNazanin"/>
          <w:color w:val="111111"/>
          <w:sz w:val="28"/>
          <w:sz w:val="28"/>
          <w:szCs w:val="28"/>
          <w:rtl w:val="true"/>
          <w:lang w:bidi="fa-IR"/>
        </w:rPr>
        <w:t>بالمخاطبین حتّی تحصل له رفعة القدر وسماع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ادّعی مدّعٍ کاذب لنفسه مرتبة النبوّة، وکانت فی اعتقاد النّاس ملازمة لإتیان المعجزة وعمل خارق</w:t>
      </w:r>
    </w:p>
    <w:p>
      <w:pPr>
        <w:pStyle w:val="BookText"/>
        <w:rPr/>
      </w:pPr>
      <w:r>
        <w:rPr>
          <w:rFonts w:ascii="IRNazanin" w:hAnsi="IRNazanin" w:eastAsia="IRNazanin"/>
          <w:color w:val="111111"/>
          <w:sz w:val="28"/>
          <w:sz w:val="28"/>
          <w:szCs w:val="28"/>
          <w:rtl w:val="true"/>
          <w:lang w:bidi="fa-IR"/>
        </w:rPr>
        <w:t xml:space="preserve">للعادة، وکان المدّعی عاجزاً عن ذلک، فلابدّ له من إنکار ملازمة النبوّة للاِعجاز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قال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عامّةُ البشر واجب علی اللّه سبحانه، وهذا الحکم قطعیٌّ قد ثبت بالبراهین الصّحیحة والأدلّة العقلیّة الواضحة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الضروری أنّ التکلیف یحتاج إلی مبلِّغ من نوع البشر، ومن الضروری أیضا أنّ السفارة الإلهیة من المناصب العظیمة الّتی یکثر له المدّعون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ونتیجة هذا أن یشتبه الصادق بالکاذب ویختلط المضلّ بالهادی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وإذن لا بدّ لمدّعی السفارة أن یقیم شاهدا واضحا یدلُّ علی صدقه فی الدعوی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وأنّما یکون الإعجاز دلیلاً علی صدق المدّعی فلایمکن إتیان المعجزة إلاّ بعنایة اللّه وأنّه متوقّفة علی القول بأنّ العمل یحکم بالحسن والقبح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البیان فی تفسیر القرآن للخوئیّ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w:t>
      </w:r>
    </w:p>
    <w:p>
      <w:pPr>
        <w:pStyle w:val="BookText"/>
        <w:rPr/>
      </w:pPr>
      <w:r>
        <w:rPr>
          <w:rFonts w:ascii="IRNazanin" w:hAnsi="IRNazanin" w:eastAsia="IRNazanin"/>
          <w:color w:val="111111"/>
          <w:sz w:val="28"/>
          <w:sz w:val="28"/>
          <w:szCs w:val="28"/>
          <w:rtl w:val="true"/>
          <w:lang w:bidi="fa-IR"/>
        </w:rPr>
        <w:t>السّعی فی إلقاء الشبهات فی أذهان المعتقدین بصدور الإعجاز وخوارق العادات عن الأنبیاء علیهم‌السلام، ومن حطّ رُتبتهم وقدرهم ومن سلب العصمة عنهم حتّی یمکنه دعوی التّساوی معهم أو التعالی علیهم کما تری ذلک من الفرقة الضّالّة البابیّة حیث أنّهم علی ما نقل عنهم أنکروا جمیع المعجزات ونسبوها إلی الکذب،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برهان علی صدق دعوی مدّعی النبوّة إلاّ نفوذ قوله وتأثیره فی النفوس وقبول الناس، وکما نری من أهل</w:t>
      </w:r>
    </w:p>
    <w:p>
      <w:pPr>
        <w:pStyle w:val="BookText"/>
        <w:rPr/>
      </w:pPr>
      <w:r>
        <w:rPr>
          <w:rFonts w:ascii="IRNazanin" w:hAnsi="IRNazanin" w:eastAsia="IRNazanin"/>
          <w:color w:val="111111"/>
          <w:sz w:val="28"/>
          <w:sz w:val="28"/>
          <w:szCs w:val="28"/>
          <w:rtl w:val="true"/>
          <w:lang w:bidi="fa-IR"/>
        </w:rPr>
        <w:t>السّنّة من القول بعدم لزوم عصمة الإمام حتّی یَتمشّی من الفرقة الأُولی دعوی النبوّة أو مرتبة فوقها، ومن الفرقة الثأنیّة دعوی إمامة أئمتهم مع اتّفاق المسلمین علی أنّهم کانوا</w:t>
      </w:r>
    </w:p>
    <w:p>
      <w:pPr>
        <w:pStyle w:val="BookText"/>
        <w:rPr/>
      </w:pPr>
      <w:r>
        <w:rPr>
          <w:rFonts w:ascii="IRNazanin" w:hAnsi="IRNazanin" w:eastAsia="IRNazanin"/>
          <w:color w:val="111111"/>
          <w:sz w:val="28"/>
          <w:sz w:val="28"/>
          <w:szCs w:val="28"/>
          <w:rtl w:val="true"/>
          <w:lang w:bidi="fa-IR"/>
        </w:rPr>
        <w:t>مشرکین فی المدّة المدیدة من عمرهم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رأینا أنّ نبیّنا صلی‌الله‌علیه‌و‌آله بالغ فی کتابه العزیز فی تعظیم سائر الأنبیاء أکثر من تعظیم أُممهم لهم، وأثبت لهم من المعجزات وخوارق العادات</w:t>
      </w:r>
    </w:p>
    <w:p>
      <w:pPr>
        <w:pStyle w:val="BookText"/>
        <w:rPr/>
      </w:pPr>
      <w:r>
        <w:rPr>
          <w:rFonts w:ascii="IRNazanin" w:hAnsi="IRNazanin" w:eastAsia="IRNazanin"/>
          <w:color w:val="111111"/>
          <w:sz w:val="28"/>
          <w:sz w:val="28"/>
          <w:szCs w:val="28"/>
          <w:rtl w:val="true"/>
          <w:lang w:bidi="fa-IR"/>
        </w:rPr>
        <w:t>أزید ممّا اعتقد بها المؤمنون بهم کتکلُّمِ عیسی علیه‌السلام فی المهد وعروجه حیّاً إلی السماء وإلقاءِ شبهه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ادّعی لنفسه النبوّة بل أدّعی أنّه أفضل وأعظم شأناً من الأنبیاء الذین هم ذوو</w:t>
      </w:r>
      <w:r>
        <w:rPr>
          <w:rStyle w:val="FootnoteAnchor"/>
          <w:rtl w:val="true"/>
        </w:rPr>
        <w:footnoteReference w:id="417"/>
      </w:r>
      <w:r>
        <w:rPr>
          <w:rFonts w:ascii="IRNazanin" w:hAnsi="IRNazanin" w:eastAsia="IRNazanin"/>
          <w:color w:val="111111"/>
          <w:sz w:val="28"/>
          <w:sz w:val="28"/>
          <w:szCs w:val="28"/>
          <w:rtl w:val="true"/>
          <w:lang w:bidi="fa-IR"/>
        </w:rPr>
        <w:t>المعاجز الباهرة، ثمّ علمنا أنّه آمن به کثیر من العقلاء وجمع من أُمم سائر الأنبیاء کالیهود والنصاری وغیرهم من مشرکی العرب مع نهایة افتتانهم بِآلهتهم وکمال</w:t>
      </w:r>
    </w:p>
    <w:p>
      <w:pPr>
        <w:pStyle w:val="BookText"/>
        <w:rPr/>
      </w:pPr>
      <w:r>
        <w:rPr>
          <w:rFonts w:ascii="IRNazanin" w:hAnsi="IRNazanin" w:eastAsia="IRNazanin"/>
          <w:color w:val="111111"/>
          <w:sz w:val="28"/>
          <w:sz w:val="28"/>
          <w:szCs w:val="28"/>
          <w:rtl w:val="true"/>
          <w:lang w:bidi="fa-IR"/>
        </w:rPr>
        <w:t>ثباتهم فی ملّتهم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علمنا أنّ هذا المدّعی للنبوّة کان قادراً علی ما کان سائر الأنبیاء قادرین علیه من المعجزات، وأتی بخارقِ عادة دالّ علی صدقه کما أتی غیره من الأنبیاء، وکان له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العلم ما کان لهم ومن الأخلاق والأعمال ما یشبه أخلاقهم وأعمالهم، وإلاّ لم یکد یمکن أن ینتظم أمره ویبهر نوره ویزداد علی الشمس ظهوره 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کتابه ناطق بأنّه لم یکن له معجزة من معجزات موسی بن عمران علیه‌السلام، حیث قال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جَاءَهُم الحَقُّ</w:t>
      </w:r>
    </w:p>
    <w:p>
      <w:pPr>
        <w:pStyle w:val="BookText"/>
        <w:rPr/>
      </w:pPr>
      <w:r>
        <w:rPr>
          <w:rFonts w:ascii="Amiri" w:hAnsi="Amiri" w:eastAsia="Amiri" w:cs="Amiri"/>
          <w:color w:val="111111"/>
          <w:sz w:val="28"/>
          <w:sz w:val="28"/>
          <w:szCs w:val="28"/>
          <w:rtl w:val="true"/>
          <w:lang w:bidi="ar-SA"/>
        </w:rPr>
        <w:t xml:space="preserve">مِنْ عِنْدِنا قَالُوا لَوْلاَ أُوتِیَ مِثْلَ مَا أُوتِیَ مُوسی </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بل فیه آیات دالّة علی أنّه لم یکن له معجزةٌ أصلاً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وَیَقُولُونَ لَوْلاَ أُنْزِلَ عَلَیْهِ آیَةٌ مِن رَبِّهِ فَقُلْ إنّما الغَیْب للّه‌ِِ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ثمّ لم‌یجبهم الرّسول بأنّی قد جئتکم بما جاء به موسی أو آتیکم بعد به، أو آتیتکم بمثل ما أتی به سائر الأنبیاء والرسل بل أجابهم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یَکْفُرُوا بِما أُوتِیَ مُوسی مِن قَبْل </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أو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إنّما الغَیْبُ للّه‌ِِ </w:t>
      </w:r>
      <w:r>
        <w:rPr>
          <w:rFonts w:eastAsia="Amiri" w:cs="Amiri" w:ascii="Amiri" w:hAnsi="Amiri"/>
          <w:color w:val="111111"/>
          <w:sz w:val="28"/>
          <w:szCs w:val="28"/>
          <w:rtl w:val="true"/>
          <w:lang w:bidi="ar-SA"/>
        </w:rPr>
        <w:t xml:space="preserve">» </w:t>
      </w:r>
      <w:r>
        <w:rPr>
          <w:rStyle w:val="FootnoteAnchor"/>
          <w:rtl w:val="true"/>
        </w:rPr>
        <w:footnoteReference w:id="421"/>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الآیَاتُ عِنْدَ اللّه‌ِ وَإنّما أنا نَذِیرٌ مُبِینٌ </w:t>
      </w:r>
      <w:r>
        <w:rPr>
          <w:rFonts w:eastAsia="Amiri" w:cs="Amiri" w:ascii="Amiri" w:hAnsi="Amiri"/>
          <w:color w:val="111111"/>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إثبات النبوّة إتیان أمر خارق للعادة، بحیث یکون إیجاد اللّه له بید ذلک‌النبیّتصدیقاً منه تعالی لدعواه وإن لم یکن من أنواع إعجاز سائر الأنبیاء، کما أ نّه کان لکلِّ واحد من أنبیاء بنی إسرائیلَ نوعٌ خاصٌّ مِن الإعجاز أو أنواعٌ مخصوصةٌ، ولم یکونوا</w:t>
      </w:r>
    </w:p>
    <w:p>
      <w:pPr>
        <w:pStyle w:val="BookText"/>
        <w:rPr/>
      </w:pPr>
      <w:r>
        <w:rPr>
          <w:rFonts w:ascii="IRNazanin" w:hAnsi="IRNazanin" w:eastAsia="IRNazanin"/>
          <w:color w:val="111111"/>
          <w:sz w:val="28"/>
          <w:sz w:val="28"/>
          <w:szCs w:val="28"/>
          <w:rtl w:val="true"/>
          <w:lang w:bidi="fa-IR"/>
        </w:rPr>
        <w:t>متوافقین علی نوع واحدٍ أو أنواعٌ خاصّةٍ، فإنّ موسی علیه‌السلام کان له معجزة العصاء والید البیضاء وفلق البحر وسائر الآیات التِّسع، لاقتضاء زمانه لها وعدم اقتضائه لغیرها، ولم‌یظهر من عیسی علیه‌السلامهذه الأنواع من المعجزات بل ظهر منه ما ناسب زمانه مِن إحیاءِ الأمواتِ وإبراءِ الأکمه والأبرص وغیر ذلک، فلازم النبوّة إتیان جنسِ المعجزةِ کی یکون</w:t>
      </w:r>
    </w:p>
    <w:p>
      <w:pPr>
        <w:pStyle w:val="BookText"/>
        <w:rPr/>
      </w:pPr>
      <w:r>
        <w:rPr>
          <w:rFonts w:ascii="IRNazanin" w:hAnsi="IRNazanin" w:eastAsia="IRNazanin"/>
          <w:color w:val="111111"/>
          <w:sz w:val="28"/>
          <w:sz w:val="28"/>
          <w:szCs w:val="28"/>
          <w:rtl w:val="true"/>
          <w:lang w:bidi="fa-IR"/>
        </w:rPr>
        <w:t>دلیلاً علی صدق الدّعوی، فاذا أتی مدّعی النبوّة بمعجزة دالّة علی صدق دعواه وجب الإیمان به والتصدیق بنبوّته واتّباع أحکامه ولو لم یکن من الأنواع التی کانت لغیره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توقّف هدایةُ شخصٍ علی الإتیان بمسؤوله، وکان سؤاله عن ارادة الاهتداء لا عن التّعَنُّتِ واللّجاج، کان علی‌النبیّ إجابة مسؤوله وازالة شبهته، وأمّا إذا کان السؤال عن تعنُّتٍ ولجاجٍ بعد وضوح الحقّ، فلم یحسن اجابة السائل المتعنِّت </w:t>
      </w:r>
      <w:r>
        <w:rPr>
          <w:rStyle w:val="FootnoteAnchor"/>
          <w:rtl w:val="true"/>
        </w:rPr>
        <w:footnoteReference w:id="423"/>
      </w:r>
      <w:r>
        <w:rPr>
          <w:rFonts w:ascii="Amiri" w:hAnsi="Amiri" w:eastAsia="Amiri" w:cs="Amiri"/>
          <w:color w:val="111111"/>
          <w:sz w:val="28"/>
          <w:sz w:val="28"/>
          <w:szCs w:val="28"/>
          <w:rtl w:val="true"/>
          <w:lang w:bidi="ar-SA"/>
        </w:rPr>
        <w:t>بل یجب جوابه بما یدلّ علی تعَنُّتهِ کما أجابهم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لَمْ یَکْفُرُوا بِما أُوتِیَ مُوسی مِن قَبْل </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والغرض من التقریر السابق هو علمنا أنّ الأمارة القاطعة بأنّه کان له علیه‌السلام معجزة ظاهرة دالّة علی</w:t>
      </w:r>
    </w:p>
    <w:p>
      <w:pPr>
        <w:pStyle w:val="BookText"/>
        <w:rPr/>
      </w:pPr>
      <w:r>
        <w:rPr>
          <w:rFonts w:ascii="IRNazanin" w:hAnsi="IRNazanin" w:eastAsia="IRNazanin"/>
          <w:color w:val="111111"/>
          <w:sz w:val="28"/>
          <w:sz w:val="28"/>
          <w:szCs w:val="28"/>
          <w:rtl w:val="true"/>
          <w:lang w:bidi="fa-IR"/>
        </w:rPr>
        <w:t>صدقه إجمالاً ولو لم یکن من أنواع معجزات سائر الأنبیاء علیهم‌السلام ، بل کان أقلّ کتحرّک الشجر من مکانه بأمره أو تسبیح الحصاة فی یده أو أعظم کانشقاق القمر وإحیاء الرّمم،</w:t>
      </w:r>
    </w:p>
    <w:p>
      <w:pPr>
        <w:pStyle w:val="BookText"/>
        <w:rPr/>
      </w:pPr>
      <w:r>
        <w:rPr>
          <w:rFonts w:ascii="IRNazanin" w:hAnsi="IRNazanin" w:eastAsia="IRNazanin"/>
          <w:color w:val="111111"/>
          <w:sz w:val="28"/>
          <w:sz w:val="28"/>
          <w:szCs w:val="28"/>
          <w:rtl w:val="true"/>
          <w:lang w:bidi="fa-IR"/>
        </w:rPr>
        <w:t>فبعد ثبوت إتیانه بما کان مشترکاً مع معجزات سائر الأنبیاء فی جنس الإعجاز وإن کان مغایراً لها بالنوع یظهر صدقه ویجب اتّباعه ولا ینافی هذه الآیات ما ادّعیناه، حیث أنّ</w:t>
      </w:r>
    </w:p>
    <w:p>
      <w:pPr>
        <w:pStyle w:val="BookText"/>
        <w:rPr/>
      </w:pPr>
      <w:r>
        <w:rPr>
          <w:rFonts w:ascii="Amiri" w:hAnsi="Amiri" w:eastAsia="Amiri" w:cs="Amiri"/>
          <w:color w:val="111111"/>
          <w:sz w:val="28"/>
          <w:sz w:val="28"/>
          <w:szCs w:val="28"/>
          <w:rtl w:val="true"/>
          <w:lang w:bidi="ar-SA"/>
        </w:rPr>
        <w:t>الظاهر أنّ الکفّار سألوا إتیان الأنواع المعهودة من سائر الأنبیاء کموسی وعیسی، لا أنّهم سألوا صدور جنس المعجزة منه صلی‌الله‌علیه‌و‌آله، بل الکتاب العزیز دالّ بالصّراحة علی أنّه کان له معجزةٌ وآیةٌ حیث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جَاءَتْهُم آیَةٌ قَالُوا لَنْ نُؤْمِنَ حَتّی نُؤْتی مِثْلَ مَا أُوتِیَ رُسُلُ اللّه‌ِ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وقال فی تقریع معارضته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یَرَوا آیَةً یُعْرِضُوا وَیَقُولُوا سِحْرٌ مُسْتَمِرّ </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وأمثال ذلک، ولما کان سؤالهم تعنُّتاً لم یحسن إجابة مسؤولهم، ولذا لم یجبهم إلاّ بالتقریع</w:t>
      </w:r>
    </w:p>
    <w:p>
      <w:pPr>
        <w:pStyle w:val="BookText"/>
        <w:rPr/>
      </w:pPr>
      <w:r>
        <w:rPr>
          <w:rFonts w:ascii="Amiri" w:hAnsi="Amiri" w:eastAsia="Amiri" w:cs="Amiri"/>
          <w:color w:val="111111"/>
          <w:sz w:val="28"/>
          <w:sz w:val="28"/>
          <w:szCs w:val="28"/>
          <w:rtl w:val="true"/>
          <w:lang w:bidi="ar-SA"/>
        </w:rPr>
        <w:t xml:space="preserve">والتبکیت کقوله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لَم یَکْفُرُوا بِما أُوتِیَ مُوسی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حَیْثُ یَجْعَلُ رِسَالَتَهُ </w:t>
      </w:r>
      <w:r>
        <w:rPr>
          <w:rFonts w:eastAsia="Amiri" w:cs="Amiri" w:ascii="Amiri" w:hAnsi="Amiri"/>
          <w:color w:val="111111"/>
          <w:sz w:val="28"/>
          <w:szCs w:val="28"/>
          <w:rtl w:val="true"/>
          <w:lang w:bidi="ar-SA"/>
        </w:rPr>
        <w:t xml:space="preserve">» </w:t>
      </w:r>
      <w:r>
        <w:rPr>
          <w:rStyle w:val="FootnoteAnchor"/>
          <w:rtl w:val="true"/>
        </w:rPr>
        <w:footnoteReference w:id="427"/>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قَادِرٌ عَلَی أن یُنَزِّلَ آیَةً وَلکِنَّ أَکْثَرَهُم لاَ یَعْلَمُون </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الآیاتُ عِنْدَ اللّه‌ِ وَإِنّما أَنَا نَذِیرٌ مُبِینٌ </w:t>
      </w:r>
      <w:r>
        <w:rPr>
          <w:rFonts w:eastAsia="Amiri" w:cs="Amiri" w:ascii="Amiri" w:hAnsi="Amiri"/>
          <w:color w:val="111111"/>
          <w:sz w:val="28"/>
          <w:szCs w:val="28"/>
          <w:rtl w:val="true"/>
          <w:lang w:bidi="ar-SA"/>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فی القرآن نصوص تدلّ علی أنّ المشرکین لیست سؤالاتهم لأجل الاهتداء، بل للتعنّت واللّجاج بعد وضوح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النبیّ صلی‌الله‌علیه‌و‌آله أنّهم لیسوا صادقین ولا ملتمسین للهدایة والتفکّر فی الآیات والأنوار الإلهیة، بل أنّهم فی دعاویهم وما سألوا النبیّ صلی‌الله‌علیه‌و‌آله، کانوا مستهزئین ومفترین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وإلیکم بعض تشبّثهم بعادات الجاهلیة ابتغاء الفتنة وابتغاء التفریق بین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إبلاغ کلامه تعالی للنبی صلی‌الله‌علیه‌و‌آله حول المشرکین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أحدٌ من المشرکین استجارک فأجره حتّی یسمع کلام‌اللّه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التوبة</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الامتناع عن استماع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لاتسمعوا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اللغو فی کلامه تعالی بدل أن یتدبّروا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الّذین کفروا لا تسمعوا لهذا القرآن والغوا فیه لعلّکم تغلبون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الاتِّهام للنبی صلی‌الله‌علیه‌و‌آله بأنّه نقل أساطیر المتقدّمین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أساطیرُ الأوّلین اکتتبها فهی تُملی علیه بکرةً وأصیلاً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 لمجنون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هو ساحر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الکافرون إنّ هذا لساحرٌ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یعلّمُه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عنی به المشرکون من کلمة بشر رجل یهودیّ اسمه حدّدا فی مکّة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وماهو مقصود المشرکین من هذه الاتِّهامات للنبیّ صلی‌الله‌علیه‌و‌آله ؟</w:t>
      </w:r>
    </w:p>
    <w:p>
      <w:pPr>
        <w:pStyle w:val="BookText"/>
        <w:rPr/>
      </w:pPr>
      <w:r>
        <w:rPr>
          <w:rFonts w:ascii="IRNazanin" w:hAnsi="IRNazanin" w:eastAsia="IRNazanin"/>
          <w:color w:val="111111"/>
          <w:sz w:val="28"/>
          <w:sz w:val="28"/>
          <w:szCs w:val="28"/>
          <w:rtl w:val="true"/>
          <w:lang w:bidi="fa-IR"/>
        </w:rPr>
        <w:t>من أهمّ أسباب تعرّضهم لشخص الأمین الکریم جهد المشرکین فی إسقاط شأن سماویّة کلام الرسول إلی دونه من قول البشر العادی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والتقابل الفکریّ والشخصیّ بینه وبین قومه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هذا إلاّ رجلٌ یرید أنّ یَصُدَّکُم عمّا کان یَعبُد آباءُکُم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استنکروا جعل النبوّة فیه وقالوا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علی بشرٍ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مرور الأیّام ومرافقة النبیّ صلی‌الله‌علیه‌و‌آله وأصحابه المنتجبین ومشاهدة العزّة والاستقامة فی دینه، لانت قلوب المشرکین وقلّ إدبارهم بید أنّهم ما فتنوا یتعرّضون للنبیّ صلی‌الله‌علیه‌و‌آله بالقول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ینزل القرآن دفعةً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نزّل علیه القرآن جملة واحدةً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 بقرآنٍ غیر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بدّله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أی سألواالنبیّأنّ یبدّل معجزته البیانیّة والقرآنیة بإتیان معجزة حسِّیة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لو نشاء لقلنا مثل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الأنفال</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لن نُؤمن لک حتّی تفجُرَ لنا من الأرض ینبوعا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سألوه عن خزائنه والأموال والمدّخرات المادیة الّتی تتفاخر بهاالأسیاد والملوک، وزعموا أنّ النبیّ صلی‌الله‌علیه‌و‌آلهکواحد منهم ونظیرٌ لهم 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أنزل علیه 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زعموا أنّ إله العالمین کالأرباب المتفرّقین والملوک المتحیِّرین الذین فی خلقهم وإبداعاتهم یحتاجون إلی الأمثال والشرکاء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أنزل علیه کنزٌ أو جاء معه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والنبیّ صلی‌الله‌علیه‌و‌آله لم یأت بما سألوا لأنّ أسئلتهم ترتکز علی النفاق والنکر والمکر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واستقام النبیّ صلی‌الله‌علیه‌و‌آلهوأصحابه علی القرآن وتبیین ما نزلَ إلیهم من الحقائق الدینیة والاجتماعیة، وصف اللّه تعالی حالهم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ربّنا اللّه ثمّ استقاموا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وقلیل منهم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نتّبع الهُدی معک نتخطّف مِن أرضنا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فزعهم من القوم أن یتخطّفوهم من مساکنهم مانعا لإظهار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نعی علیهم ضعف عقولهم واسترسالهم فی أهوائهم لم یکونوا یقصدون من کل هذه الحملات علی الرسول والقرآن إلاّ إنکار الرسالة وتکذیبهم للرسول، ثمّ البغی والعداوة والهجمة علیه وهو مبدءُ الجهاد فی الإسلام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العاقِلَ المنصفَ البصیرَ ببیانات الأنبیاءِ والمرسلین وکلماتِ الأولیاءِ المقرّبین والحُجَجِ المعصومین إذا تأمّل فی الکتاب العزیز ومطالبه وتدبّر فی مضامینه</w:t>
      </w:r>
    </w:p>
    <w:p>
      <w:pPr>
        <w:pStyle w:val="BookText"/>
        <w:rPr/>
      </w:pPr>
      <w:r>
        <w:rPr>
          <w:rFonts w:ascii="IRNazanin" w:hAnsi="IRNazanin" w:eastAsia="IRNazanin"/>
          <w:color w:val="111111"/>
          <w:sz w:val="28"/>
          <w:sz w:val="28"/>
          <w:szCs w:val="28"/>
          <w:rtl w:val="true"/>
          <w:lang w:bidi="fa-IR"/>
        </w:rPr>
        <w:t>وجوانبه، عَلِمَ أنّ هذه المطالب المهمّة الشّافیة بهذه البیانات اللطیفة العالیة الوافیة</w:t>
      </w:r>
    </w:p>
    <w:p>
      <w:pPr>
        <w:pStyle w:val="BookText"/>
        <w:rPr/>
      </w:pPr>
      <w:r>
        <w:rPr>
          <w:rFonts w:ascii="IRNazanin" w:hAnsi="IRNazanin" w:eastAsia="IRNazanin"/>
          <w:color w:val="111111"/>
          <w:sz w:val="28"/>
          <w:sz w:val="28"/>
          <w:szCs w:val="28"/>
          <w:rtl w:val="true"/>
          <w:lang w:bidi="fa-IR"/>
        </w:rPr>
        <w:t>لا یمکن أن تصدر إلاّ عن لسان النبوّة، وأنّ هذه الدّرر الثمینة لا تخرج إلاّ من معدن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الرّسالة، وهذه الأنوار الباهرة لا تشرق إلاّ من عالم الرّبوبیة حیث أنّه لیس فیه إلاّ بیان التوح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بأنواعه من الذاتی والصّفاتی والأفعالی، وبیان الصفات الجلالیة السلبیة والجمالیة الثبوتیة والحثّ علی القیام بالعبودیة والدّعوة إلی المحسَّنات العقلیّةِ کالعدل</w:t>
      </w:r>
    </w:p>
    <w:p>
      <w:pPr>
        <w:pStyle w:val="BookText"/>
        <w:rPr/>
      </w:pPr>
      <w:r>
        <w:rPr>
          <w:rFonts w:ascii="IRNazanin" w:hAnsi="IRNazanin" w:eastAsia="IRNazanin"/>
          <w:color w:val="111111"/>
          <w:sz w:val="28"/>
          <w:sz w:val="28"/>
          <w:szCs w:val="28"/>
          <w:rtl w:val="true"/>
          <w:lang w:bidi="fa-IR"/>
        </w:rPr>
        <w:t>والإحسان وایتاء ذی القربی والیتامی والمساکین والجارِ ذی القربی وابن السبیل وصلة الرّحم والوفاء بالعقود والعهود وغیر ذلک، والزّجر عن المنکر والفحشاء والبغی وبیان</w:t>
      </w:r>
    </w:p>
    <w:p>
      <w:pPr>
        <w:pStyle w:val="BookText"/>
        <w:rPr/>
      </w:pPr>
      <w:r>
        <w:rPr>
          <w:rFonts w:ascii="IRNazanin" w:hAnsi="IRNazanin" w:eastAsia="IRNazanin"/>
          <w:color w:val="111111"/>
          <w:sz w:val="28"/>
          <w:sz w:val="28"/>
          <w:szCs w:val="28"/>
          <w:rtl w:val="true"/>
          <w:lang w:bidi="fa-IR"/>
        </w:rPr>
        <w:t>أحکام العبادات والمعاملات وقوانین السّیاسات، والترغیب فی تهذیب الأخلاق والزّهد فی الدّنیا والتوجّه إلی الآخرة، وبیان العبر والمواعظ وذکر حکم بعض الأحکام وقصص الأنبیاء السّالفة وعظمة شأنهم وتفصیل معاجزهم وکیفیة دعوتهم وشرح معاملة أُممهم معهم واستئصال من خالفهم بالعذاب، وبیان المعاد وإقامة الأدلّة علیه، وکیفیة الحشر والصراط والمیزان والحساب والتّلطُّف والعتاب، وبیان الجنّة وکیفیة نعمها وبیان النار</w:t>
      </w:r>
    </w:p>
    <w:p>
      <w:pPr>
        <w:pStyle w:val="BookText"/>
        <w:rPr/>
      </w:pPr>
      <w:r>
        <w:rPr>
          <w:rFonts w:ascii="IRNazanin" w:hAnsi="IRNazanin" w:eastAsia="IRNazanin"/>
          <w:color w:val="111111"/>
          <w:sz w:val="28"/>
          <w:sz w:val="28"/>
          <w:szCs w:val="28"/>
          <w:rtl w:val="true"/>
          <w:lang w:bidi="fa-IR"/>
        </w:rPr>
        <w:t>وتفصیل شدائدها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العظیم قد اشتمل علی کلّ شیء، أما أنواع العلوم فلیس منها باب ولا مسألة هی أصلٌ إلاّ وفی القرآن ما یدلّ علیها ولا یعلمها إلاّ الراسخون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الأمر والنهی والوعد والوعید ووصف الجنّة والنار وتعلیم الإقرار باللّه وبصفاته وأفعاله وتعلیم</w:t>
      </w:r>
    </w:p>
    <w:p>
      <w:pPr>
        <w:pStyle w:val="BookText"/>
        <w:rPr/>
      </w:pPr>
      <w:r>
        <w:rPr>
          <w:rFonts w:ascii="IRNazanin" w:hAnsi="IRNazanin" w:eastAsia="IRNazanin"/>
          <w:color w:val="111111"/>
          <w:sz w:val="28"/>
          <w:sz w:val="28"/>
          <w:szCs w:val="28"/>
          <w:rtl w:val="true"/>
          <w:lang w:bidi="fa-IR"/>
        </w:rPr>
        <w:t>الاعتراف بأنعامه والشکر علیها والاحتجاج علی المخالفین والرّدّ علی الملحدین وبیان</w:t>
      </w:r>
    </w:p>
    <w:p>
      <w:pPr>
        <w:pStyle w:val="BookText"/>
        <w:rPr/>
      </w:pPr>
      <w:r>
        <w:rPr>
          <w:rFonts w:ascii="IRNazanin" w:hAnsi="IRNazanin" w:eastAsia="IRNazanin"/>
          <w:color w:val="111111"/>
          <w:sz w:val="28"/>
          <w:sz w:val="28"/>
          <w:szCs w:val="28"/>
          <w:rtl w:val="true"/>
          <w:lang w:bidi="fa-IR"/>
        </w:rPr>
        <w:t>الرّغبة والرّهبة والخیر والشّرّ والحسن والقبیح ونعت الحکمة وفضل المعرفة ومدح الأبرار</w:t>
      </w:r>
    </w:p>
    <w:p>
      <w:pPr>
        <w:pStyle w:val="BookText"/>
        <w:rPr/>
      </w:pPr>
      <w:r>
        <w:rPr>
          <w:rFonts w:ascii="IRNazanin" w:hAnsi="IRNazanin" w:eastAsia="IRNazanin"/>
          <w:color w:val="111111"/>
          <w:sz w:val="28"/>
          <w:sz w:val="28"/>
          <w:szCs w:val="28"/>
          <w:rtl w:val="true"/>
          <w:lang w:bidi="fa-IR"/>
        </w:rPr>
        <w:t>وذمّ الفُجّار والتسلیم والتحسین والتوکید والتقریع</w:t>
      </w:r>
      <w:r>
        <w:rPr>
          <w:rStyle w:val="FootnoteAnchor"/>
          <w:rtl w:val="true"/>
        </w:rPr>
        <w:footnoteReference w:id="430"/>
      </w:r>
      <w:r>
        <w:rPr>
          <w:rFonts w:ascii="IRNazanin" w:hAnsi="IRNazanin" w:eastAsia="IRNazanin"/>
          <w:color w:val="111111"/>
          <w:sz w:val="28"/>
          <w:sz w:val="28"/>
          <w:szCs w:val="28"/>
          <w:rtl w:val="true"/>
          <w:lang w:bidi="fa-IR"/>
        </w:rPr>
        <w:t>وبیان الأخلاق الذمیمة وشرف الآداب، وفیه عجائب المخلوقات وملکوت السماوات والأرض وما فی الأفق الأعلی وتحت الثّری وبدء الخلق وأسماء مشاهیر الأنبیاء والرّسل والملائکة وعیون أخبار الأُمم</w:t>
      </w:r>
    </w:p>
    <w:p>
      <w:pPr>
        <w:pStyle w:val="BookText"/>
        <w:rPr/>
      </w:pPr>
      <w:r>
        <w:rPr>
          <w:rFonts w:ascii="IRNazanin" w:hAnsi="IRNazanin" w:eastAsia="IRNazanin"/>
          <w:color w:val="111111"/>
          <w:sz w:val="28"/>
          <w:sz w:val="28"/>
          <w:szCs w:val="28"/>
          <w:rtl w:val="true"/>
          <w:lang w:bidi="fa-IR"/>
        </w:rPr>
        <w:t>السّالفة وقصّة آدمَ مع إبلیسَ فی إخراجه من الجنّةِ ورفع إدریس إلی السماء وإغراق قوم</w:t>
      </w:r>
    </w:p>
    <w:p>
      <w:pPr>
        <w:pStyle w:val="BookText"/>
        <w:rPr/>
      </w:pPr>
      <w:r>
        <w:rPr>
          <w:rFonts w:ascii="IRNazanin" w:hAnsi="IRNazanin" w:eastAsia="IRNazanin"/>
          <w:color w:val="111111"/>
          <w:sz w:val="28"/>
          <w:sz w:val="28"/>
          <w:szCs w:val="28"/>
          <w:rtl w:val="true"/>
          <w:lang w:bidi="fa-IR"/>
        </w:rPr>
        <w:t>نوح، وقصّة عادٍ الأُولی والثانیة وثمود والناقة وقوم یونس وقوم شعیب وقوم لوط وقوم</w:t>
      </w:r>
    </w:p>
    <w:p>
      <w:pPr>
        <w:pStyle w:val="BookText"/>
        <w:rPr/>
      </w:pPr>
      <w:r>
        <w:rPr>
          <w:rFonts w:ascii="IRNazanin" w:hAnsi="IRNazanin" w:eastAsia="IRNazanin"/>
          <w:color w:val="111111"/>
          <w:sz w:val="28"/>
          <w:sz w:val="28"/>
          <w:szCs w:val="28"/>
          <w:rtl w:val="true"/>
          <w:lang w:bidi="fa-IR"/>
        </w:rPr>
        <w:t>تبّع وأصحاب الرّسّ، وقصّة إبراهیم فی مجادلة قومه ومناظرته نمرود وصفة ابنه إسماعیل</w:t>
      </w:r>
    </w:p>
    <w:p>
      <w:pPr>
        <w:pStyle w:val="BookText"/>
        <w:rPr/>
      </w:pPr>
      <w:r>
        <w:rPr>
          <w:rFonts w:ascii="Amiri" w:hAnsi="Amiri" w:eastAsia="Amiri" w:cs="Amiri"/>
          <w:color w:val="111111"/>
          <w:sz w:val="28"/>
          <w:sz w:val="28"/>
          <w:szCs w:val="28"/>
          <w:rtl w:val="true"/>
          <w:lang w:bidi="ar-SA"/>
        </w:rPr>
        <w:t>مع أُمّه بمکّةَ وبنائه البیت وقصّة الذّبح وقصّةُ یوسفَ بطولها، وقصّة موسی فی ولادته</w:t>
      </w:r>
    </w:p>
    <w:p>
      <w:pPr>
        <w:pStyle w:val="BookText"/>
        <w:rPr/>
      </w:pPr>
      <w:r>
        <w:rPr>
          <w:rFonts w:ascii="IRNazanin" w:hAnsi="IRNazanin" w:eastAsia="IRNazanin"/>
          <w:color w:val="111111"/>
          <w:sz w:val="28"/>
          <w:sz w:val="28"/>
          <w:szCs w:val="28"/>
          <w:rtl w:val="true"/>
          <w:lang w:bidi="fa-IR"/>
        </w:rPr>
        <w:t>وإلقائه فی الیمّ وقتل القبطیّ ومسیره إلی مدین وتزوّجه بنت شعیب وکلامه تبارک وتعالی</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معه بجانب الطّور ومجیئه إلی فرعون وخروجه مع بنی إسرائیل من مصر وإغراق عدوّه</w:t>
      </w:r>
    </w:p>
    <w:p>
      <w:pPr>
        <w:pStyle w:val="BookText"/>
        <w:rPr/>
      </w:pPr>
      <w:r>
        <w:rPr>
          <w:rFonts w:ascii="IRNazanin" w:hAnsi="IRNazanin" w:eastAsia="IRNazanin"/>
          <w:color w:val="111111"/>
          <w:sz w:val="28"/>
          <w:sz w:val="28"/>
          <w:szCs w:val="28"/>
          <w:rtl w:val="true"/>
          <w:lang w:bidi="fa-IR"/>
        </w:rPr>
        <w:t>فرعون وجنوده، وقصّة العِجْل والقوم الذین خرج بهم إلی الطّور وأخذهم بالصّاعقة وقصّة القتیل من بنی إسرائیل وذبح البقرة، وقصّتُه مع الخضر وقصّته فی قتال الجبّارین، وقصّة</w:t>
      </w:r>
    </w:p>
    <w:p>
      <w:pPr>
        <w:pStyle w:val="BookText"/>
        <w:rPr/>
      </w:pPr>
      <w:r>
        <w:rPr>
          <w:rFonts w:ascii="IRNazanin" w:hAnsi="IRNazanin" w:eastAsia="IRNazanin"/>
          <w:color w:val="111111"/>
          <w:sz w:val="28"/>
          <w:sz w:val="28"/>
          <w:szCs w:val="28"/>
          <w:rtl w:val="true"/>
          <w:lang w:bidi="fa-IR"/>
        </w:rPr>
        <w:t>القوم الذین ساروا فی سرب من الأرض إلی الصّین، وقصّة طالوت وداود مع جالوت، وقصة سلیمان وفتنته وخبره مع ملکة سبأ وإتیان عرشه، وقصّة القوم الذین خرجوا فراراً</w:t>
      </w:r>
    </w:p>
    <w:p>
      <w:pPr>
        <w:pStyle w:val="BookText"/>
        <w:rPr/>
      </w:pPr>
      <w:r>
        <w:rPr>
          <w:rFonts w:ascii="IRNazanin" w:hAnsi="IRNazanin" w:eastAsia="IRNazanin"/>
          <w:color w:val="111111"/>
          <w:sz w:val="28"/>
          <w:sz w:val="28"/>
          <w:szCs w:val="28"/>
          <w:rtl w:val="true"/>
          <w:lang w:bidi="fa-IR"/>
        </w:rPr>
        <w:t>من الطاعون فأماتهم اللّه ثمّ أحیاهم، وقصّة ذی القرنین ومسیره إلی مغرب الشمس ومطلعها وبنائه السّدّ، وقصّة أیوب وذی الکفل وإلیاس، وقصّة أصحاب الرّقیم، وقصّة بُخت النّصّر، وقصّة الرّجلین الّذین لأحدهما الجنّة، وقصّة أصحاب الجنّة، وقصّة مؤمن آل یس، وقصّة أصحاب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من شأن النبیّ صلی‌الله‌علیه‌و‌آله ودعوة إبراهیم به وبشارة عیسی بمجیئه وبعثته وهجرته، ومن غزواته سریّة ابن الحضرمیّ فی سورة البقرة، وغزوة بدر فی سورة الأنفال، وغزوة أُحُد</w:t>
      </w:r>
    </w:p>
    <w:p>
      <w:pPr>
        <w:pStyle w:val="BookText"/>
        <w:rPr/>
      </w:pPr>
      <w:r>
        <w:rPr>
          <w:rFonts w:ascii="IRNazanin" w:hAnsi="IRNazanin" w:eastAsia="IRNazanin"/>
          <w:color w:val="111111"/>
          <w:sz w:val="28"/>
          <w:sz w:val="28"/>
          <w:szCs w:val="28"/>
          <w:rtl w:val="true"/>
          <w:lang w:bidi="fa-IR"/>
        </w:rPr>
        <w:t>فی سورة آل عمران، وقصة بدر الصغری فیها، وغزوة الخندق فی سورة الأحزاب، وقصة الحدیبیّة فی سورة الفتح، وقصّة بنی النّضیر فی سورة الحشر، وغزوة حنین وتبوک فی سورة البرائة، وحجّة الوداع فی سورة المائدة، ونکاحه زینب بنت جحش فی سورة الأحزاب، وتحریم سرّیّته، وتظاهر أزواجه علیه، وقصّة الإفک، وقصّة الإسراء وانشقاق القمر وسحر الیهود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بدءُ خَلْقِ إلانسان إلی موته، وکیفیة الموت وقبض الروح وما یفعل بها بعده وصعودها إلی السماء، وفتح باب السماء للرّوح المؤمنة وإلقاء الکافرة فی النار، وعذاب</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القبر والسؤال فیه، ومقرّ الأرواح، وأشراط 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اعة الکبری وهی نزول عیسی، وخروج الدّجّ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والیأجوج والمأجوج ودابّة الأرض والدّخان، ورفعُ القرآن والخسف، وطلوعُ الشمس من مغربها، وغلقُ باب التوبة، وأحوال البعث من النفخات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نفخةُ الفزع، ونفخة الصّعق، ونفخة القیام والحشر والنشر وأهوال الموقف، وشدّةُ حرّ الشمس، وظلّ العرش والمیزان، والحوض والصراط والحس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 لقوم ونجاة آخرین منه، وشهادة الأعضاء، وإیتاء الکتب بالأیم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والشمائل وخلف الظهر، والشفاعة والمقام المحمود، والجنّة وأبوابها وما فیها من الأنهار والأشجار والأثمار والحلیّ والأوانی والقصور والحور</w:t>
      </w:r>
    </w:p>
    <w:p>
      <w:pPr>
        <w:pStyle w:val="BookText"/>
        <w:rPr/>
      </w:pPr>
      <w:r>
        <w:rPr>
          <w:rFonts w:ascii="IRNazanin" w:hAnsi="IRNazanin" w:eastAsia="IRNazanin"/>
          <w:color w:val="111111"/>
          <w:sz w:val="28"/>
          <w:sz w:val="28"/>
          <w:szCs w:val="28"/>
          <w:rtl w:val="true"/>
          <w:lang w:bidi="fa-IR"/>
        </w:rPr>
        <w:t xml:space="preserve">والدرجات ومقام الرّضوان والتّجلّیات الإلهیة، والنار وأبوابها وما فیها من الأودیة والسلاسل والأغلال، وأنواع العقارب، وألوان العذاب والزّقّوم </w:t>
      </w:r>
      <w:r>
        <w:rPr>
          <w:rStyle w:val="FootnoteAnchor"/>
          <w:rtl w:val="true"/>
        </w:rPr>
        <w:footnoteReference w:id="431"/>
      </w:r>
      <w:r>
        <w:rPr>
          <w:rFonts w:ascii="Amiri" w:hAnsi="Amiri" w:eastAsia="Amiri" w:cs="Amiri"/>
          <w:color w:val="111111"/>
          <w:sz w:val="28"/>
          <w:sz w:val="28"/>
          <w:szCs w:val="28"/>
          <w:rtl w:val="true"/>
          <w:lang w:bidi="ar-SA"/>
        </w:rPr>
        <w:t xml:space="preserve">والضّریع </w:t>
      </w:r>
      <w:r>
        <w:rPr>
          <w:rStyle w:val="FootnoteAnchor"/>
          <w:rtl w:val="true"/>
        </w:rPr>
        <w:footnoteReference w:id="432"/>
      </w:r>
      <w:r>
        <w:rPr>
          <w:rFonts w:ascii="IRNazanin" w:hAnsi="IRNazanin" w:eastAsia="IRNazanin"/>
          <w:color w:val="111111"/>
          <w:sz w:val="28"/>
          <w:sz w:val="28"/>
          <w:szCs w:val="28"/>
          <w:rtl w:val="true"/>
          <w:lang w:bidi="fa-IR"/>
        </w:rPr>
        <w:t xml:space="preserve">والحمیم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وفیه جمیعُ أسمائهِ تعالی الحُسْنی کما ورد فی حدیث وجملة أسماء النبیّ صلی‌الله‌علیه‌و‌آله ، وفیه شُعب الإیمان ومقامات المتّقین، وشرائع الإسلام وأنواع الکبائر وکثیر من الصغائر وغیر</w:t>
      </w:r>
    </w:p>
    <w:p>
      <w:pPr>
        <w:pStyle w:val="BookText"/>
        <w:rPr/>
      </w:pPr>
      <w:r>
        <w:rPr>
          <w:rFonts w:ascii="IRNazanin" w:hAnsi="IRNazanin" w:eastAsia="IRNazanin"/>
          <w:color w:val="111111"/>
          <w:sz w:val="28"/>
          <w:sz w:val="28"/>
          <w:szCs w:val="28"/>
          <w:rtl w:val="true"/>
          <w:lang w:bidi="fa-IR"/>
        </w:rPr>
        <w:t>ذلک من العلوم، وقد أفرد جمع من العلماء کتباً فیما تضمّنه القرآن، والظاهرُ أنّ جمیعَ ما تضمّنه ظاهر الکتاب تحت ثلاثة 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ویدخل فیه معرفة اللّه بصفاته وأفعاله ومعرفة أنبیائه ومخلوقاته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والتّذکیر، وفیه قصص الأُمم الماض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یة والمعاد والوعد والوعید والجنّة والنّار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والأحکام، من العملیات والأخلاقیات،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ولذلک ورد أنّ الفاتحة أُمّ القرآن، لأنّ فیها الأقسام الثلاثة، وسورة الإخلاص ثُلْثُهُ، لأنّ فیها التوحید کلّه، فهل یأتی بمثل هذا الکتاب غیرالنبیّ؟ وهل یکون الغرض من بعث النبی إلاّ تکمیل النفوس بمعرفة المبدأ والمعاد والحکمة النظریة والحکمة العملیة من العبادات والمعاملات والسیاسات والأخلاق وتربیة النفوس بالقیام بها؟ وهل یُقاس القرآن بسائر الکتب السماویة التی لیس فیها عُشْرُ ما فی القرآن من العلوم والحکم ؟</w:t>
      </w:r>
      <w:r>
        <w:rPr>
          <w:rStyle w:val="FootnoteAnchor"/>
          <w:rtl w:val="true"/>
        </w:rPr>
        <w:footnoteReference w:id="43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مُرازم،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أنزل فی القرآن تبیان کلّ شیء، حتّی واللّه ما ترک اللّه شیئا یحتاج إلیه العباد، حتّی لا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أنزل فی القرآن ؟ إلاّ وقد أنزل اللّه فیه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عبداللّه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شیءٍ إلاّ وفیه کتابٌ أو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علیه‌السلام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أمرٍ یختلف فیه اثنان إلاّ وله أصلٌ فی کتاب اللّه عزّ وجلّ ولکن لا تبلغه عقول الرِّجال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أ 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أرسل إلیکم الرسول صلی‌الله‌علیه‌و‌آله وأنزل إلیه الکتاب بالحقّ وأنتم أُمّیُّون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أُصول الکافی للکلینیّ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سائر الکتب السماویة من عند اللّه ومنتسباً إلی اللّه، فهذا الکتاب الکریم أحقّ وأولی بالانتساب منها، فإنّ جمیع ما ذکرنا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ظاهره، وأمّا باطنه فبحر لا یُنزف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أَنَّ مَا فِی الأَرْضِ مِن شَجَرَةٍ أَقلاَمٌ وَالبَحْرُ یَمُدُّهُ مِن بَعْدِهِ سَبْعَةُ أَبْحُرٍ مَا نَفِدَت کَلِمَاتُ اللّه‌ِ </w:t>
      </w:r>
      <w:r>
        <w:rPr>
          <w:rFonts w:eastAsia="Amiri" w:cs="Amiri" w:ascii="Amiri" w:hAnsi="Amiri"/>
          <w:color w:val="111111"/>
          <w:sz w:val="28"/>
          <w:szCs w:val="28"/>
          <w:rtl w:val="true"/>
          <w:lang w:bidi="ar-SA"/>
        </w:rPr>
        <w:t xml:space="preserve">» </w:t>
      </w:r>
      <w:r>
        <w:rPr>
          <w:rStyle w:val="FootnoteAnchor"/>
          <w:rtl w:val="true"/>
        </w:rPr>
        <w:footnoteReference w:id="435"/>
      </w:r>
      <w:r>
        <w:rPr>
          <w:rFonts w:ascii="IRNazanin" w:hAnsi="IRNazanin" w:eastAsia="IRNazanin"/>
          <w:color w:val="111111"/>
          <w:sz w:val="28"/>
          <w:sz w:val="28"/>
          <w:szCs w:val="28"/>
          <w:rtl w:val="true"/>
          <w:lang w:bidi="fa-IR"/>
        </w:rPr>
        <w:t>، نقل أنّه قیل لموسی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موسی إنّما مَثَلُ کتاب أحمد فی الکتب بمنزلة وعاء فیه لبن، کلّما مخضته أخرجت زبدته</w:t>
      </w:r>
      <w:r>
        <w:rPr>
          <w:rFonts w:eastAsia="IRNazanin" w:cs="IRNazanin"/>
          <w:color w:val="111111"/>
          <w:sz w:val="28"/>
          <w:szCs w:val="28"/>
          <w:rtl w:val="true"/>
          <w:lang w:bidi="fa-IR"/>
        </w:rPr>
        <w:t>.</w:t>
      </w:r>
      <w:bookmarkStart w:id="413" w:name="pg4391_51133"/>
    </w:p>
    <w:p>
      <w:pPr>
        <w:pStyle w:val="Heading5"/>
        <w:numPr>
          <w:ilvl w:val="4"/>
          <w:numId w:val="1"/>
        </w:numPr>
        <w:rPr/>
      </w:pPr>
      <w:bookmarkStart w:id="414" w:name="__RefHeading___Toc1438899_1479056682"/>
      <w:bookmarkStart w:id="415" w:name="_Toc158"/>
      <w:bookmarkEnd w:id="413"/>
      <w:bookmarkEnd w:id="414"/>
      <w:r>
        <w:rPr>
          <w:rtl w:val="true"/>
        </w:rPr>
        <w:t>الطُّرفة الرابعة</w:t>
      </w:r>
      <w:r>
        <w:rPr>
          <w:rtl w:val="true"/>
        </w:rPr>
        <w:t xml:space="preserve">: </w:t>
      </w:r>
      <w:r>
        <w:rPr>
          <w:rtl w:val="true"/>
        </w:rPr>
        <w:t>فی بیان سرّ نزول القرآن جملةً إلی البیت المعمور فی لیلة القدر</w:t>
      </w:r>
      <w:bookmarkEnd w:id="415"/>
    </w:p>
    <w:p>
      <w:pPr>
        <w:pStyle w:val="BookText"/>
        <w:rPr/>
      </w:pPr>
      <w:r>
        <w:rPr>
          <w:rFonts w:ascii="IRNazanin" w:hAnsi="IRNazanin" w:eastAsia="IRNazanin"/>
          <w:color w:val="111111"/>
          <w:sz w:val="28"/>
          <w:sz w:val="28"/>
          <w:szCs w:val="28"/>
          <w:rtl w:val="true"/>
          <w:lang w:bidi="fa-IR"/>
        </w:rPr>
        <w:t xml:space="preserve">قد اتّفقت الأُمّة من الخاصّة والعامّة وتظافرت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تواترت نصوصهم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الکتاب العزیز نزل أوّلاً فی لیلة القدر مجموعاً من اللوح المحفوظ إلی البیت المعمور الّذی یکون فی السماء الرابعة أو إلی بیت العزّة فی السماء الدنیا إلی السفرة الکرام البررة، ثمّ نزل به جبرئیل نجوماً علی خاتم النبیّین صلی‌الله‌علیه‌و‌آله فی مدّة عشرین أو ثلاث وعشرین أو خمس وعشرین سنة علی حسب اختلاف العلماء فی مدّة إقامته صلی‌الله‌علیه‌و‌آله بمکّة بعد بعثته وقبل هجرته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فی سرّ إنزاله جملةً أوّلاً إلی السماء الدنیا، أو إلی البیت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تفخیم أمر القرآن وأمرالنبیّالّذی أنزل إلیه، وذلک لأنّ فیه إعلام سکّان السماوات السبع بأنّ هذا</w:t>
      </w:r>
    </w:p>
    <w:p>
      <w:pPr>
        <w:pStyle w:val="BookText"/>
        <w:rPr/>
      </w:pPr>
      <w:r>
        <w:rPr>
          <w:rFonts w:ascii="IRNazanin" w:hAnsi="IRNazanin" w:eastAsia="IRNazanin"/>
          <w:color w:val="111111"/>
          <w:sz w:val="28"/>
          <w:sz w:val="28"/>
          <w:szCs w:val="28"/>
          <w:rtl w:val="true"/>
          <w:lang w:bidi="fa-IR"/>
        </w:rPr>
        <w:t>الکتاب آخِرُ الکتبِ مُنْزَلٌ علی آخر الرسل وخاتمهم لأشرف الأُمم قد قرّبناه إلیهم لننزّله علیهم، ولولا أنّ الحکمة الإلهیة اقتضت وصوله إلیهم منجّماً بسبب الوقائع لنزّلناه إلی</w:t>
      </w:r>
    </w:p>
    <w:p>
      <w:pPr>
        <w:pStyle w:val="BookText"/>
        <w:rPr/>
      </w:pPr>
      <w:r>
        <w:rPr>
          <w:rFonts w:ascii="IRNazanin" w:hAnsi="IRNazanin" w:eastAsia="IRNazanin"/>
          <w:color w:val="111111"/>
          <w:sz w:val="28"/>
          <w:sz w:val="28"/>
          <w:szCs w:val="28"/>
          <w:rtl w:val="true"/>
          <w:lang w:bidi="fa-IR"/>
        </w:rPr>
        <w:t>الأرض جملةً کسائر الکتب المنزلة قبله، ولکن اللّه باین بینه وبینها، فجعل لهذاالنبیّ</w:t>
      </w:r>
    </w:p>
    <w:p>
      <w:pPr>
        <w:pStyle w:val="BookText"/>
        <w:rPr/>
      </w:pPr>
      <w:r>
        <w:rPr>
          <w:rFonts w:ascii="Amiri" w:hAnsi="Amiri" w:eastAsia="Amiri" w:cs="Amiri"/>
          <w:color w:val="111111"/>
          <w:sz w:val="28"/>
          <w:sz w:val="28"/>
          <w:szCs w:val="28"/>
          <w:rtl w:val="true"/>
          <w:lang w:bidi="ar-SA"/>
        </w:rPr>
        <w:t>الکریم الأمرین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إنزاله جملةً، ثمّ إنزاله مفرّقاً تشریفاً للمُنْزَلِ علیه</w:t>
      </w:r>
      <w:r>
        <w:rPr>
          <w:rStyle w:val="FootnoteAnchor"/>
          <w:rtl w:val="true"/>
        </w:rPr>
        <w:footnoteReference w:id="437"/>
      </w:r>
      <w:r>
        <w:rPr>
          <w:rFonts w:ascii="Amiri" w:hAnsi="Amiri" w:eastAsia="Amiri" w:cs="Amiri"/>
          <w:color w:val="111111"/>
          <w:sz w:val="28"/>
          <w:sz w:val="28"/>
          <w:szCs w:val="28"/>
          <w:rtl w:val="true"/>
          <w:lang w:bidi="ar-SA"/>
        </w:rPr>
        <w:t>، وقیل إنّ السّرَّ هو تسلیمه تبارک وتعالی لهذه الأُمّة ما کان أبرز لهم مِنَ الحظِّ مِنَ الرّحمةِ التی 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تحقّوها</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لأجل مبعث محمّد صلی‌الله‌علیه‌و‌آله، وذلک أنّ بعثة محمّد صلی‌الله‌علیه‌و‌آله کانت رحمةً، فلمّا خرجت الرّحمة وفتح بابها، جاءَت بمحمّدٍ وبالقرآن معاً، فوضع القرآن ببیت العِزّة فی السماء الدّنیا لیدخل فی</w:t>
      </w:r>
    </w:p>
    <w:p>
      <w:pPr>
        <w:pStyle w:val="BookText"/>
        <w:rPr/>
      </w:pPr>
      <w:r>
        <w:rPr>
          <w:rFonts w:ascii="Amiri" w:hAnsi="Amiri" w:eastAsia="Amiri" w:cs="Amiri"/>
          <w:color w:val="111111"/>
          <w:sz w:val="28"/>
          <w:sz w:val="28"/>
          <w:szCs w:val="28"/>
          <w:rtl w:val="true"/>
          <w:lang w:bidi="ar-SA"/>
        </w:rPr>
        <w:t xml:space="preserve">حدّ الدّنیا، ووضعت النبوّة فی قلب محمّد صلی‌الله‌علیه‌و‌آله ، وجاء جبرئیل علیه‌السلامبالرّسالة ثمّ بالوحی، کأنّه تعالی أراد أن یسلّم إلی الأُمّة الرّحمةَ التی کانت حظُّها من اللّه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4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السّرّ فی نزوله جملة إلی السماء الدّنیا تکریم بنی آدم وتعظیم شأنهم عند الملائکة وتعریفهم عنایة اللّه بهم ورحمته لهم، ولهذا المعنی أمر اللّه سبعین ألف ملک أن یشیّعوا سورة الأنعام، وزاد سبحانه فی هذا المعنی بأن أمر جبرئیل بإملائه علی السّفرة</w:t>
      </w:r>
    </w:p>
    <w:p>
      <w:pPr>
        <w:pStyle w:val="BookText"/>
        <w:rPr/>
      </w:pPr>
      <w:r>
        <w:rPr>
          <w:rFonts w:ascii="IRNazanin" w:hAnsi="IRNazanin" w:eastAsia="IRNazanin"/>
          <w:color w:val="111111"/>
          <w:sz w:val="28"/>
          <w:sz w:val="28"/>
          <w:szCs w:val="28"/>
          <w:rtl w:val="true"/>
          <w:lang w:bidi="fa-IR"/>
        </w:rPr>
        <w:t>الکرام ونسخهم</w:t>
      </w:r>
      <w:r>
        <w:rPr>
          <w:rStyle w:val="FootnoteAnchor"/>
          <w:rtl w:val="true"/>
        </w:rPr>
        <w:footnoteReference w:id="440"/>
      </w:r>
      <w:r>
        <w:rPr>
          <w:rFonts w:ascii="IRNazanin" w:hAnsi="IRNazanin" w:eastAsia="IRNazanin"/>
          <w:color w:val="111111"/>
          <w:sz w:val="28"/>
          <w:sz w:val="28"/>
          <w:szCs w:val="28"/>
          <w:rtl w:val="true"/>
          <w:lang w:bidi="fa-IR"/>
        </w:rPr>
        <w:t>إیّاه وتلاوتهم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أیضاً التسویة بین نبیّنا صلی‌الله‌علیه‌و‌آله وبین موسی بن عمران وعیسی ابن مریم علیهماالسلامفی إنزاله کتابه جملة کما أنزل کتابیهما جملة، والتفصیل لمحمّد صلی‌الله‌علیه‌و‌آله فی إنزاله علیه منجّماً لحکم کثیرة لا یعلمها إلاّ اللّه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السّرُّ تکمیل عالم الملکوت ووجود الروحانیین بإیجاد الکتاب الکریم فیهم، وتقریره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إنزاله إلی السماء الدّنیا وإلی البیت</w:t>
      </w:r>
    </w:p>
    <w:p>
      <w:pPr>
        <w:pStyle w:val="BookText"/>
        <w:rPr/>
      </w:pPr>
      <w:r>
        <w:rPr>
          <w:rFonts w:ascii="IRNazanin" w:hAnsi="IRNazanin" w:eastAsia="IRNazanin"/>
          <w:color w:val="111111"/>
          <w:sz w:val="28"/>
          <w:sz w:val="28"/>
          <w:szCs w:val="28"/>
          <w:rtl w:val="true"/>
          <w:lang w:bidi="fa-IR"/>
        </w:rPr>
        <w:t>المعمور هو إبداعه تعالی وإیجاد کتابه الکریم بوجوده الجوهریّ وصورته النوریّة فی ملکوت السماء، وعالم الأنوار بعد وجوده فی مکنون علمه المعبّر عنه بالعرش تارةً وباللّوح المحفوظ أُخری، ولمّا کان وجود خاتم النبیّین صلی‌الله‌علیه‌و‌آله رحمة للعالمین، حصل ببرکته استعداد الکمال لجمیع العوالم الملکیة والملکوتیة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وکما کان للکتاب العظیم تأثیر</w:t>
      </w:r>
    </w:p>
    <w:p>
      <w:pPr>
        <w:pStyle w:val="BookText"/>
        <w:rPr/>
      </w:pPr>
      <w:r>
        <w:rPr>
          <w:rFonts w:ascii="IRNazanin" w:hAnsi="IRNazanin" w:eastAsia="IRNazanin"/>
          <w:color w:val="111111"/>
          <w:sz w:val="28"/>
          <w:sz w:val="28"/>
          <w:szCs w:val="28"/>
          <w:rtl w:val="true"/>
          <w:lang w:bidi="fa-IR"/>
        </w:rPr>
        <w:t>عظیم بوجوده اللفظیّ</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وللکلام ثلاث حالات، نفسیّة ولفظیّة و کتبیّة، القول بالکلام النفسیّ قول الأشاعرة وحدهم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بین الأشاعرة اختصاص القدم بالکلام النفسیّ،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النوع من الکلام قائم بذاته وقدیم بقدیمه وهو إحدی الصفات الذاتیة والقدماء الثمانیة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وذهبت المعتزلة والشیعة إلی حدوث القرآن وإلی انحصار الکلام فی اللفظیّ وإلی أنّ التکلّم من الصفات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علماؤنا الإمامیة بأنّ ترکیب الکلام فی النفس هو تصوّره وإحضاره فیها، وهو الوجود الذهنیّ الّذی یعمّ الأفعال الاختیاریة کافّة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هذا فالقول بالکلام النفسیّ أمر خیالیّ بحت لا دلیل علی وجوده من وجدان أو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الصادق علیه‌السلام قولٌ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صفة محدثة لیست بأزلیّة، کان اللّه عزّ وجلّ ولا متکلّم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الکافی، باب صفات الذات،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الحنابلة أنّهم یقولون بقدم الکلام اللفظیّ وعن بعضهم القول بقدم الجلد وغلاف المصحف الشریف</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والکتبیّ فی تکمیل النفوس المستعدّة فی عالم الملک</w:t>
      </w:r>
    </w:p>
    <w:p>
      <w:pPr>
        <w:pStyle w:val="BookText"/>
        <w:rPr/>
      </w:pPr>
      <w:r>
        <w:rPr>
          <w:rFonts w:ascii="IRNazanin" w:hAnsi="IRNazanin" w:eastAsia="IRNazanin"/>
          <w:color w:val="111111"/>
          <w:sz w:val="28"/>
          <w:sz w:val="28"/>
          <w:szCs w:val="28"/>
          <w:rtl w:val="true"/>
          <w:lang w:bidi="fa-IR"/>
        </w:rPr>
        <w:t>کان لوجوده الجوهریّ النوریّ فی عالم الملکوت تأثیر فی تکمیل وجود الذّوات المستعدّة الملکوتیة، وبحصول مرتبة من الکمال الوجودیّ لعالم الوجود صار مستحقّاً لتزیینه بوجود خاتم النبیّین، وتکمیله ببعثته، فشملته هذه الرحمة العظیمة وبعثه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هذا الفیض حصل له استعداد قبول فیض آخر واستحقاق رحمة أتمّ من إنزال کتابه الکریم الّذی هو تجلّی صفاته التّامّة فی العوالم، وکان إیجاد الکتاب الکریم فی عالم الملکوت تکمیل الرّحمة علی جمیع الموجودات الملکیة والملکوتیة ببرکة وجود نبیّ الرحمة، وإرساله رحمة للعالمین، ولعلّ هذا الوجه الّذی ذکرناه أوجه فی الواقع، وأقرب</w:t>
      </w:r>
    </w:p>
    <w:p>
      <w:pPr>
        <w:pStyle w:val="BookText"/>
        <w:rPr/>
      </w:pPr>
      <w:r>
        <w:rPr>
          <w:rFonts w:ascii="Amiri" w:hAnsi="Amiri" w:eastAsia="Amiri" w:cs="Amiri"/>
          <w:color w:val="111111"/>
          <w:sz w:val="28"/>
          <w:sz w:val="28"/>
          <w:szCs w:val="28"/>
          <w:rtl w:val="true"/>
          <w:lang w:bidi="ar-SA"/>
        </w:rPr>
        <w:t>إلی الأذهان من الوجه الّذی ذکره الفیض رحمه‌الله فی مقدّمات الصّافی، فإنّه بعد نقل الروایات الدّالّة علی نزول القرآن جملة إلی البیت المعمور فی لیلة القدر،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کأنّه أرید به نزول معناه علی قلب النبیّ صلی‌الله‌علیه‌و‌آله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قَلْبِکَ</w:t>
      </w:r>
      <w:r>
        <w:rPr>
          <w:rFonts w:eastAsia="Amiri" w:cs="Amiri" w:ascii="Amiri" w:hAnsi="Amiri"/>
          <w:color w:val="111111"/>
          <w:sz w:val="28"/>
          <w:szCs w:val="28"/>
          <w:rtl w:val="true"/>
          <w:lang w:bidi="ar-SA"/>
        </w:rPr>
        <w:t>...»</w:t>
      </w:r>
      <w:r>
        <w:rPr>
          <w:rStyle w:val="FootnoteAnchor"/>
          <w:rtl w:val="true"/>
        </w:rPr>
        <w:footnoteReference w:id="443"/>
      </w:r>
      <w:r>
        <w:rPr>
          <w:rFonts w:ascii="IRNazanin" w:hAnsi="IRNazanin" w:eastAsia="IRNazanin"/>
          <w:color w:val="111111"/>
          <w:sz w:val="28"/>
          <w:sz w:val="28"/>
          <w:szCs w:val="28"/>
          <w:rtl w:val="true"/>
          <w:lang w:bidi="fa-IR"/>
        </w:rPr>
        <w:t>، ثمّ نزل فی طول عشرین سنة نجوماً من باطن قلبه إلی ظاهر لسانه، کلّما أتاه جبرئیل بالوحی</w:t>
      </w:r>
    </w:p>
    <w:p>
      <w:pPr>
        <w:pStyle w:val="BookText"/>
        <w:rPr/>
      </w:pPr>
      <w:r>
        <w:rPr>
          <w:rFonts w:ascii="IRNazanin" w:hAnsi="IRNazanin" w:eastAsia="IRNazanin"/>
          <w:color w:val="111111"/>
          <w:sz w:val="28"/>
          <w:sz w:val="28"/>
          <w:szCs w:val="28"/>
          <w:rtl w:val="true"/>
          <w:lang w:bidi="fa-IR"/>
        </w:rPr>
        <w:t xml:space="preserve">وقرأه علیه بألفاظه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التحقیق حصل التوفیق بین نزوله تدریجاً ودفعةً، واسترحنا من تکلّفات المفسِّرین</w:t>
      </w:r>
      <w:r>
        <w:rPr>
          <w:rFonts w:eastAsia="IRNazanin" w:cs="IRNazanin"/>
          <w:color w:val="111111"/>
          <w:sz w:val="28"/>
          <w:szCs w:val="28"/>
          <w:rtl w:val="true"/>
          <w:lang w:bidi="fa-IR"/>
        </w:rPr>
        <w:t xml:space="preserve">» </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اللبس فیما ذکرناه حمل الروایات علی خلاف ظاهرها، إذ من الواضح أنّه لیس المراد من‌القرآن الّذی نزل فیالبیت المعم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ورالأصوات المعتمدة علی‌المخارج المعبّر عنها بالحروف والکلمات، ولاالنّقوش المطبوعة فی الأوراق والصفحات، بل فانّ وجوده الجوهریّ له صورةٌ فیعالم الملکوت مغایرة لصورته فی هذا العالم، واستعمال لفظ الإنزال فی معنی الإیجاد غیر عزیز، کما قال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وَأَنْزَلَ لَکُم مِنَ الأَ نْعَامِ ثَمانِیَةَ أَزْواجٍ </w:t>
      </w:r>
      <w:r>
        <w:rPr>
          <w:rFonts w:eastAsia="IRNazanin" w:cs="IRNazanin"/>
          <w:color w:val="111111"/>
          <w:sz w:val="28"/>
          <w:szCs w:val="28"/>
          <w:rtl w:val="true"/>
          <w:lang w:bidi="fa-IR"/>
        </w:rPr>
        <w:t xml:space="preserve">» </w:t>
      </w:r>
      <w:r>
        <w:rPr>
          <w:rStyle w:val="FootnoteAnchor"/>
          <w:rtl w:val="true"/>
        </w:rPr>
        <w:footnoteReference w:id="445"/>
      </w:r>
      <w:r>
        <w:rPr>
          <w:rFonts w:ascii="Amiri" w:hAnsi="Amiri" w:eastAsia="Amiri" w:cs="Amiri"/>
          <w:color w:val="111111"/>
          <w:sz w:val="28"/>
          <w:sz w:val="28"/>
          <w:szCs w:val="28"/>
          <w:rtl w:val="true"/>
          <w:lang w:bidi="ar-SA"/>
        </w:rPr>
        <w:t>أی أوجد لکم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فی خبرالمفضّل إشعاربتوجیهه رحمه‌الله، حیث قال الصّادق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نزل فیثلاث وعشرین سنة، واللّه تعالی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رَمَضانَ الَّذِی أُنْزِلَ فِیهِ القُرْآن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فِی‌لَیْلَةٍ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کُلُ‌أَمْرٍ</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أَمْراًمِنْ‌عِنْدِناإِنّا کُنّامُرْسِلِین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نُزِّلَ هذا القُرْآنُ جُمْلَةً وَاحِدَةً کَذلِکَ‌لِنُثَبِّتَ بِهِ</w:t>
      </w:r>
    </w:p>
    <w:p>
      <w:pPr>
        <w:pStyle w:val="BookText"/>
        <w:rPr/>
      </w:pPr>
      <w:r>
        <w:rPr>
          <w:rFonts w:ascii="Amiri" w:hAnsi="Amiri" w:eastAsia="Amiri" w:cs="Amiri"/>
          <w:color w:val="111111"/>
          <w:sz w:val="28"/>
          <w:sz w:val="28"/>
          <w:szCs w:val="28"/>
          <w:rtl w:val="true"/>
          <w:lang w:bidi="ar-SA"/>
        </w:rPr>
        <w:t xml:space="preserve">فُؤادَکَ </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 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تنزیله‌الّذی ذکره اللّه فی کتابه، فکیف ظهر الوحی فی ثلاث وعشرین سنة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یا مفضّل، أعطاه اللّه القرآنَ فی شهر رمضان، وکان لا یبلِّغه إلاّ فی وقت استحقاق الخطاب ولا یؤدِّیه إلاّ فی وقت أمرٍ ونهیٍ، فهبط جبرئیل علیه‌السلامبالوحی، فبلّغ ما یؤمر به،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تُحَرِّک بِهِ لِسَانَکَ لِتَعْجَلَ بِه </w:t>
      </w:r>
      <w:r>
        <w:rPr>
          <w:rFonts w:eastAsia="Amiri" w:cs="Amiri" w:ascii="Amiri" w:hAnsi="Amiri"/>
          <w:color w:val="111111"/>
          <w:sz w:val="28"/>
          <w:szCs w:val="28"/>
          <w:rtl w:val="true"/>
          <w:lang w:bidi="ar-SA"/>
        </w:rPr>
        <w:t xml:space="preserve">» </w:t>
      </w:r>
      <w:r>
        <w:rPr>
          <w:rStyle w:val="FootnoteAnchor"/>
          <w:rtl w:val="true"/>
        </w:rPr>
        <w:footnoteReference w:id="449"/>
      </w:r>
      <w:r>
        <w:rPr>
          <w:rFonts w:ascii="IRNazanin" w:hAnsi="IRNazanin" w:eastAsia="IRNazanin"/>
          <w:color w:val="111111"/>
          <w:sz w:val="28"/>
          <w:sz w:val="28"/>
          <w:szCs w:val="28"/>
          <w:rtl w:val="true"/>
          <w:lang w:bidi="fa-IR"/>
        </w:rPr>
        <w:t>، فقال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انّکم من علم اللّه علمتم، وبقدرته قدرتم، وبحکمه نطقتم، وبأمره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حمله علی ما ذکرنا من الوجه، أو إبقائه علی ظاهره إن کان له ظهور فیما ذکره رحمه‌الله</w:t>
      </w:r>
    </w:p>
    <w:p>
      <w:pPr>
        <w:pStyle w:val="BookText"/>
        <w:rPr/>
      </w:pPr>
      <w:r>
        <w:rPr>
          <w:rFonts w:ascii="IRNazanin" w:hAnsi="IRNazanin" w:eastAsia="IRNazanin"/>
          <w:color w:val="111111"/>
          <w:sz w:val="28"/>
          <w:sz w:val="28"/>
          <w:szCs w:val="28"/>
          <w:rtl w:val="true"/>
          <w:lang w:bidi="fa-IR"/>
        </w:rPr>
        <w:t>من التوجیه، والقول بنزوله فی بیت المعمور وفی قلب النبیّ صلی‌الله‌علیه‌و‌آلهولا منافاة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سرّ نزوله نجوماً فکثیرٌ،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صلی‌الله‌علیه‌و‌آله بنزوله نجوماً کان یتحدّی بکلّ نجم من آیة أو سورة تنزل علیه، ومن الواضح أنّ عجزَ الفصحاء من الإتیان بمثل کلّ واحد من النجوم</w:t>
      </w:r>
    </w:p>
    <w:p>
      <w:pPr>
        <w:pStyle w:val="BookText"/>
        <w:rPr/>
      </w:pPr>
      <w:r>
        <w:rPr>
          <w:rFonts w:ascii="IRNazanin" w:hAnsi="IRNazanin" w:eastAsia="IRNazanin"/>
          <w:color w:val="111111"/>
          <w:sz w:val="28"/>
          <w:sz w:val="28"/>
          <w:szCs w:val="28"/>
          <w:rtl w:val="true"/>
          <w:lang w:bidi="fa-IR"/>
        </w:rPr>
        <w:t>أظهرُ فی الإعجاز من عجزهم من إتیان مثل المجموع إذا کان نزوله جملة واحدة إذا کان تحدّی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فی إنزاله نجوماً کان لطفاً علی المؤمنین، حیث أنّه کان بنزول نجم یزداد فرحهم ویَقینُهم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الَّذِینَ آمَنُوا فَزَادَتْهُم إِیمَاناً وَهُم یَسْتَبْشِرُون </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وأیضاً کان بنزول الآیات فی مواقع الجهاد یزداد نشاطهم ورغبتهم وجدّهم فیه، وإذا نزلت</w:t>
      </w:r>
    </w:p>
    <w:p>
      <w:pPr>
        <w:pStyle w:val="BookText"/>
        <w:rPr/>
      </w:pPr>
      <w:r>
        <w:rPr>
          <w:rFonts w:ascii="IRNazanin" w:hAnsi="IRNazanin" w:eastAsia="IRNazanin"/>
          <w:color w:val="111111"/>
          <w:sz w:val="28"/>
          <w:sz w:val="28"/>
          <w:szCs w:val="28"/>
          <w:rtl w:val="true"/>
          <w:lang w:bidi="fa-IR"/>
        </w:rPr>
        <w:t>بهم بلیّة، ثمّ نزلت فی شأنهم آیة کان یهون علیهم تلک البلیّة، وإذا وقعوا فی تَعَبٍ وعناءٍ کان نزول الآیات یزیل تعبهم وعنائهم بتکمیل بصیرتهم ویقینهم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مناسبة الوقائع، وخصوصیات المقامات، وانضمام القرائن الحالیة کانت موجبة لزیادة البلاغة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نزول بعض الآیات ردّاً علی الکفار فی مواقع معارضتهم أو إلقاء شبهاتهم، أو تهدیداً لهم عند صدور استهزاءاتهم والطّعون منهم علی الإسلام والمسلمین، أو زجراً لهم</w:t>
      </w:r>
    </w:p>
    <w:p>
      <w:pPr>
        <w:pStyle w:val="BookText"/>
        <w:rPr/>
      </w:pPr>
      <w:r>
        <w:rPr>
          <w:rFonts w:ascii="IRNazanin" w:hAnsi="IRNazanin" w:eastAsia="IRNazanin"/>
          <w:color w:val="111111"/>
          <w:sz w:val="28"/>
          <w:sz w:val="28"/>
          <w:szCs w:val="28"/>
          <w:rtl w:val="true"/>
          <w:lang w:bidi="fa-IR"/>
        </w:rPr>
        <w:t>عند إرادتهم الفساد فی الدِّین، کان أشدّ تأثیراً فی تبکیتهم وتقریعهم وردعهم وزجرهم</w:t>
      </w:r>
    </w:p>
    <w:p>
      <w:pPr>
        <w:pStyle w:val="BookText"/>
        <w:rPr/>
      </w:pPr>
      <w:r>
        <w:rPr>
          <w:rFonts w:ascii="IRNazanin" w:hAnsi="IRNazanin" w:eastAsia="IRNazanin"/>
          <w:color w:val="111111"/>
          <w:sz w:val="28"/>
          <w:sz w:val="28"/>
          <w:szCs w:val="28"/>
          <w:rtl w:val="true"/>
          <w:lang w:bidi="fa-IR"/>
        </w:rPr>
        <w:t>وهدایتهم وبعثهم إلی الإیمان والانقیاد للحقّ</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نزوله مفرّقاً أدعی لقبوله وتحمّل إطاعة أحکامه بخلاف لما لو نزل جملة واحدة، فانّه کان یثقل قبوله علی کثیر من الناس لکثرة ما فیه من الفرائض والمناهی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w:t>
      </w:r>
    </w:p>
    <w:p>
      <w:pPr>
        <w:pStyle w:val="BookText"/>
        <w:rPr/>
      </w:pP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 أوّل ما أنزل منه سور من المفصّل فیها ذکر الجنّة والنّار،</w:t>
      </w:r>
    </w:p>
    <w:p>
      <w:pPr>
        <w:pStyle w:val="BookText"/>
        <w:rPr/>
      </w:pPr>
      <w:r>
        <w:rPr>
          <w:rFonts w:ascii="IRNazanin" w:hAnsi="IRNazanin" w:eastAsia="IRNazanin"/>
          <w:color w:val="111111"/>
          <w:sz w:val="28"/>
          <w:sz w:val="28"/>
          <w:szCs w:val="28"/>
          <w:rtl w:val="true"/>
          <w:lang w:bidi="fa-IR"/>
        </w:rPr>
        <w:t>حتّی إذا ثاب الناس إلی الإسلام نزل الحلال والحرام، ولو نزل أوّل شیء لا تشربوا الخمر،</w:t>
      </w:r>
    </w:p>
    <w:p>
      <w:pPr>
        <w:pStyle w:val="BookText"/>
        <w:rPr/>
      </w:pP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ندع الخمر أبداً، ولو نزل لا تزنوا، 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ندع الزِّنی أبداً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أرفق من اللّه تعالی من رفقه تبارک وتعالی أنّه ینقلهم من خصلةٍ إلی خصلةٍ، ولو حمل علیهم جملةً واحدةً لَهلکوا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عنهم علیهم‌السلام أنّ اللّه تعالی إذا أراد أن یفرض فریضةً، أنزلها شیئاً بعد شیء حتی یوطّن الناس أنفسهم علیها،</w:t>
      </w:r>
    </w:p>
    <w:p>
      <w:pPr>
        <w:pStyle w:val="BookText"/>
        <w:rPr/>
      </w:pPr>
      <w:r>
        <w:rPr>
          <w:rFonts w:ascii="IRNazanin" w:hAnsi="IRNazanin" w:eastAsia="IRNazanin"/>
          <w:color w:val="111111"/>
          <w:sz w:val="28"/>
          <w:sz w:val="28"/>
          <w:szCs w:val="28"/>
          <w:rtl w:val="true"/>
          <w:lang w:bidi="fa-IR"/>
        </w:rPr>
        <w:t>ویسکنوا إلی أمر اللّه ونهیه، وکان ذلک من التّدبیر فیهم أصوب وأقرب لهم إلی الأخذ بها، وأقلّ لنفارهم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إلی جمیع الوجوه المذکورة أشار سبحانه وتعالی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وَنَزَّلْنَاهُ</w:t>
      </w:r>
    </w:p>
    <w:p>
      <w:pPr>
        <w:pStyle w:val="BookText"/>
        <w:rPr/>
      </w:pPr>
      <w:r>
        <w:rPr>
          <w:rFonts w:ascii="Amiri" w:hAnsi="Amiri" w:eastAsia="Amiri" w:cs="Amiri"/>
          <w:color w:val="111111"/>
          <w:sz w:val="28"/>
          <w:sz w:val="28"/>
          <w:szCs w:val="28"/>
          <w:rtl w:val="true"/>
          <w:lang w:bidi="ar-SA"/>
        </w:rPr>
        <w:t xml:space="preserve">تَنْزِیلاً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عن ابن عبّاس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موسی الألواح بعدما سکن عنه الغضب، فأمرهم بالذی أمر اللّه أن یبلّغهم من الوظائف، فثقلت علیهم، فأبوا أن یقرّوا بها حتّی نتق اللّه </w:t>
      </w:r>
      <w:r>
        <w:rPr>
          <w:rStyle w:val="FootnoteAnchor"/>
          <w:rtl w:val="true"/>
        </w:rPr>
        <w:footnoteReference w:id="453"/>
      </w:r>
      <w:r>
        <w:rPr>
          <w:rFonts w:ascii="Amiri" w:hAnsi="Amiri" w:eastAsia="Amiri" w:cs="Amiri"/>
          <w:color w:val="111111"/>
          <w:sz w:val="28"/>
          <w:sz w:val="28"/>
          <w:szCs w:val="28"/>
          <w:rtl w:val="true"/>
          <w:lang w:bidi="ar-SA"/>
        </w:rPr>
        <w:t>علیهم الجبل کأنّه 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لّة </w:t>
      </w:r>
      <w:r>
        <w:rPr>
          <w:rStyle w:val="FootnoteAnchor"/>
          <w:rtl w:val="true"/>
        </w:rPr>
        <w:footnoteReference w:id="454"/>
      </w:r>
      <w:r>
        <w:rPr>
          <w:rFonts w:ascii="IRNazanin" w:hAnsi="IRNazanin" w:eastAsia="IRNazanin"/>
          <w:color w:val="111111"/>
          <w:sz w:val="28"/>
          <w:sz w:val="28"/>
          <w:szCs w:val="28"/>
          <w:rtl w:val="true"/>
          <w:lang w:bidi="fa-IR"/>
        </w:rPr>
        <w:t>، ودنا منهم حتّی خافوا أن یقع علیهم، فأقرّوا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من الاُصُر التی کانت علی بنی إسرائیل انّه نزلت التوراة علی موسی دفعة، وحمّل علیهم جمیع التکالیف بدواً، فصار ثقیلاً علیهم، فأبوا عن قبولها</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لما کان عنوان هذه الطرفة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بیان سرّ نزول القرآن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إذن ینبغی أنْ یقول کلمةً موجزة تکملةً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تحت‌العناوین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ونزول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العامّة ونزول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الحضرات الکلّیّة ونزول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نزول القرآن منجّما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ونزول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أبو جعفر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فی شهر رمضان فی لیلة القدر جملةً واحدة إلی البیت المعمور ثمّ نزل من البیت المعمور فی مدّة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المفید ؛ الّذی ذهب إلیه أبو جعفر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حدیث واحدٌ لا یوجب علما وعملاً، ونزول القرآن علی</w:t>
      </w:r>
    </w:p>
    <w:p>
      <w:pPr>
        <w:pStyle w:val="BookText"/>
        <w:rPr/>
      </w:pPr>
      <w:r>
        <w:rPr>
          <w:rFonts w:ascii="IRNazanin" w:hAnsi="IRNazanin" w:eastAsia="IRNazanin"/>
          <w:color w:val="111111"/>
          <w:sz w:val="28"/>
          <w:sz w:val="28"/>
          <w:szCs w:val="28"/>
          <w:rtl w:val="true"/>
          <w:lang w:bidi="fa-IR"/>
        </w:rPr>
        <w:t>الأسباب الحادثة حالاً فحالاً یدلّ علی خلاف ما تضمّنه الحدیث، وذلک انّه قد تضمّن حکم ما حدث وذکر ما جری علی وجهه، وذلک لا یکون علی الحقیقة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بحدوثه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السبب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یجوز فی الخبر الوارد بنزول القرآن جملةً فی لیلة القدر، أنّه نزل جملة منه فی لیلة القدر ثمّ تلاه ما نزل منه إلی وفات النبیّ صلی‌الله‌علیه‌و‌آله ، فأمّا أن یکون نزل بأسرة وجمیعه فی لیلة القدر فهو بعید ممّا یقتضیه ظاهر القرآن والمتواتر من الأخبار واجماع العلماء علی اختلافهم فی الآراء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شرح عقاید الصدوق، ص</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الشریف المرتضی فی الطرابلسیات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إنزال القرآن علی النبیّ صلی‌الله‌علیه‌و‌آله فی وقت واحد أو فی أوقات مختلفة، فلا طریق إلی العلم به إلاّ السمع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البیانات العقلیة لا تدلّ علیه ولا تقتضیه، وإذا کان الغرض بانزال القرآن أن یکون علما للنبیّ صلی‌الله‌علیه‌و‌آله ومعجزا لنبوّته وحجّةً فی صدقه، فلا حجّة فی هذا الغرض بین أن ینزل مجتمعا أو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تضمّنه من الأحکام الشرعیة، فقد یجوز أن تکون مترتّبة فی أزمانٍ مختلفة، فیکون الاطّلاع علیها والإشعار بها مترتّبین فی الأوقات بترتیب العبادات، وکما أنّ ذلک جائز، فجائز أیضا أن ینزله اللّه تعالی جملة واحدة علی 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المرتضی لیس موافقا لقول الصدوق لأ نّه قال فی الطرابلسیات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ذهب إلیه أبو جعفر من القطع علی أنّه أنزل جملة واحدة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معتمدا علی الأخبار المرویة التی رواها، فتلک أخبار آحاد لا توجب علما ولا تقتضی قطعا وبإزائها أخبارٌ کثیرة أشهر منها وأکثر، تقتضی أنّه أنزل متفرّقا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 المرتضی بأنّ القرآن نفسه دالّ علی نزوله متفرّقا، وهو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الّذین کفروا لولا نزّل علیه القرآن جملةً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الفرقان</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فأمّا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 رمضان الّذی أُنزل فیه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لیس فیه دلالة علی أنّ نزول کلّ الآیات والسور کانت فی لیلة القدر، بل علی ما یعتقد المرتضی هذه الآیة تدلّ علی أنّ جنس القرآن نزل فی هذا الشهر ولا تدل علی نزول الجمیع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استدلّ المرتضی بآیة ثانیة فی إثبات عدم نزول القرآن جملةً وهی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تَعْجَلْ بالقُرْآنِ مِنْ قَبلِ أنْ یُقضی إلیک وَحْیُهُ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وقال فی کیفیة دلالته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الآیة تدلّ علی أنّه ما أنزل جملة واحدة، لأ نّه تعالی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أن یقضی إلیک وحیه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یقتضی أنّ فی القرآن منتظرا ما قضی الوحی به قرع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رسائل الشریف المرتضی </w:t>
      </w:r>
      <w:r>
        <w:rPr>
          <w:rFonts w:eastAsia="IRNazanin" w:cs="IRNazanin"/>
          <w:color w:val="111111"/>
          <w:sz w:val="28"/>
          <w:szCs w:val="28"/>
          <w:lang w:bidi="fa-IR"/>
        </w:rPr>
        <w:t>1/401</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ووافق الطوسیّ والطبرسیّ ما قال الصدوق، قال الطبرسیّ فی المجمع ما قال الرازیّ عن ابن عبّاس والشعبیّ وزاد علیه قول مقاتل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اللّه القرآن جملةً واحدة من اللوح المحفوظ إلی السفرة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الکتبة من الملائکة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السّماء، الدُّنیا وکان ینزل لیلة القدر من الوحی علی قدر ما ینزل به جبرائیل علیه‌السلام علی النبیّ صلی‌الله‌علیه‌و‌آله فی السنة کلّها إلی مثلها من القابل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مجمع‌البیان لعلوم القرآن </w:t>
      </w:r>
      <w:r>
        <w:rPr>
          <w:rFonts w:eastAsia="IRNazanin" w:cs="IRNazanin"/>
          <w:color w:val="111111"/>
          <w:sz w:val="28"/>
          <w:szCs w:val="28"/>
          <w:lang w:bidi="fa-IR"/>
        </w:rPr>
        <w:t>10/786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علیه قول سعید ابن جبیر والحسن وهو المرویّ عن أبی عبداللّه علیه‌السلاممثل ما قال الشعبیّ وابن عبّاس وقتادة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السدّیّ بسنده إلی ابن عبّاس وروی الثعلبیّ باسناده عن أبی ذر الغفّاری عن النبیّ صلی‌الله‌علیه‌و‌آله ما استفاد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أنزلت صحف إبراهیم والتوراة والإنجیل والزبور والفرقان فی شهر رمضان، وهذا بعینه رواه العیاشیّ عن أبی عبداللّه علیه‌السلام عن آبائه عن النبیّ صلی‌الله‌علیه‌و‌آله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نفس المصدر </w:t>
      </w:r>
      <w:r>
        <w:rPr>
          <w:rFonts w:eastAsia="IRNazanin" w:cs="IRNazanin"/>
          <w:color w:val="111111"/>
          <w:sz w:val="28"/>
          <w:szCs w:val="28"/>
          <w:lang w:bidi="fa-IR"/>
        </w:rPr>
        <w:t>2/497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وأیضا انظر التبیان فی تفسیر القرآن للطوسی </w:t>
      </w:r>
      <w:r>
        <w:rPr>
          <w:rFonts w:eastAsia="IRNazanin" w:cs="IRNazanin"/>
          <w:color w:val="111111"/>
          <w:sz w:val="28"/>
          <w:szCs w:val="28"/>
          <w:lang w:bidi="fa-IR"/>
        </w:rPr>
        <w:t>2/121</w:t>
      </w:r>
      <w:r>
        <w:rPr>
          <w:rFonts w:eastAsia="IRNazanin" w:cs="IRNazanin"/>
          <w:color w:val="111111"/>
          <w:sz w:val="28"/>
          <w:szCs w:val="28"/>
          <w:rtl w:val="true"/>
          <w:lang w:bidi="fa-IR"/>
        </w:rPr>
        <w:t xml:space="preserve"> - </w:t>
      </w:r>
      <w:r>
        <w:rPr>
          <w:rFonts w:eastAsia="IRNazanin" w:cs="IRNazanin"/>
          <w:color w:val="111111"/>
          <w:sz w:val="28"/>
          <w:szCs w:val="28"/>
          <w:lang w:bidi="fa-IR"/>
        </w:rPr>
        <w:t>10/385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العامّة ونزول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للقرآن نزولان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دفعیّ و تدریجیّ، و بذلک وافق مفسّری الشیعة و هذا نصّ قوله فی الکشّاف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أنزل جملةً واحدة فی لیلة القدر من اللوح المحفوظ إلی السّماء الدُّنیا وأملاه جبرئیل علی السفرة، ثمّ ینزل علی رسول اللّه صلی‌الله‌علیه‌و‌آلهنجوما فی ثلاث وعشرین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ذکر روایة الشعبیّ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الکشّاف </w:t>
      </w:r>
      <w:r>
        <w:rPr>
          <w:rFonts w:eastAsia="IRNazanin" w:cs="IRNazanin"/>
          <w:color w:val="111111"/>
          <w:sz w:val="28"/>
          <w:szCs w:val="28"/>
          <w:lang w:bidi="fa-IR"/>
        </w:rPr>
        <w:t>4/273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الفخر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معنی أنّه أنزل فی لیلة القدر مع العلم بأ نّه أنزل نجوما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الشعبیّ ابتدأ بإنزاله لیلة القدر لأنّ البعث کان فی رمضان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إلی السماء الدُّنیا جملة لیلة القدر ثمّ إلی الأرض نجوما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التفسیر الکبیر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قول ظریف فی اختیار قول الجمهور،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وإنزاله إلی السماء کإنزاله إلی الأرض، لأ نّه لم یکن لیشرع فی أمرٍ ثمّ لا یتمّه، والسماء لنا سقف وزینة وللملائکة مسکن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الجمهور أنّ اللّه تعالی أنزل القرآن فی رمضان، ودلیل تخصیص إنزاله برمضان وهو نزل فی مدّة ثلاث وعشرین سنة أنّ القرآن أنزل فی لیلة القدر جملةً إلی السّماء الدُّنیا ثمّ نزل إلی الأرض نجوما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تنزیله نجوما مصلحةٌ للملائکة، أو مصلحة للرسول صلی‌الله‌علیه‌و‌آله أو مصلحة لجبرئیل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والدلیل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منه أنّه ابتداء انزاله لیلة القدر من شهر رمضان، وهو قول محمّد بن إسحاق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التفسیر الکبیر </w:t>
      </w:r>
      <w:r>
        <w:rPr>
          <w:rFonts w:eastAsia="IRNazanin" w:cs="IRNazanin"/>
          <w:color w:val="111111"/>
          <w:sz w:val="28"/>
          <w:szCs w:val="28"/>
          <w:lang w:bidi="fa-IR"/>
        </w:rPr>
        <w:t>5/91</w:t>
      </w:r>
      <w:r>
        <w:rPr>
          <w:rFonts w:eastAsia="IRNazanin" w:cs="IRNazanin"/>
          <w:color w:val="111111"/>
          <w:sz w:val="28"/>
          <w:szCs w:val="28"/>
          <w:rtl w:val="true"/>
          <w:lang w:bidi="fa-IR"/>
        </w:rPr>
        <w:t xml:space="preserve"> - </w:t>
      </w:r>
      <w:r>
        <w:rPr>
          <w:rFonts w:eastAsia="IRNazanin" w:cs="IRNazanin"/>
          <w:color w:val="111111"/>
          <w:sz w:val="28"/>
          <w:szCs w:val="28"/>
          <w:lang w:bidi="fa-IR"/>
        </w:rPr>
        <w:t>93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الحضرات الکلِّیة ونزول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النهاوندیّ فی مقدّمة تفسیره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أن یکون السرّ تکمیل عالم الملکوت ووجود الروحانیین بإیجاد الکتاب الکریم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وتقریره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إنزاله إلی السماء الدُّنیا وإلی البیت المعمور هو إبداعه تعالی وإیجاد کتابه الکریم بوجوده الجوهریّ وصورته النوریة فی ملکوت السماء وعالم الأنوار بعد وجوده فی مکنون علمه، المعبّر عنه بالعرش تارةً وباللوح المحفوظ أُخری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للکتاب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تکمیل النفوس المستعدّة فی عالم الملک کما کان لوجوده الجوهریّ النوریّ فی عالم الملکوت فی تکمیل وجود الذوات المستعدة الملکوتیة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ایجاد الکتاب الکریم فی عالم الملکوت تکمیل الرحمة علی جمیع الموجودات الملکیة والملکوتیة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الطرفة الرابعة من نفحات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ینبغی أن نذکر أقوال العرفاء حول الحضرات الإلهیة علی ما قال القیصریّ ویتأثر به العرفاء التابعین ومنهم محمّد بن عبدالرحیم النهاوندیّ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العرفاء والحکماء المحقّقین والسالکین فی طریق الحق أنّ الحضرات الإلهیة الکلِّیة کانت خمسا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الحضرات الکلِّیة حضرة الغیب المطلق وعالَمُها عالَم الأعیان الثابتة فی الحضرة العلمیة، وفی مقابلتها حضرة الشهادة المطلقة وعالَمها عالم الملک، وحضرة الغیب المضاف وهی تنقسم إلی ما یکون أقرب من الغیب المطلق وعالمه عالم الأرواح الجبروتیة والملکوتیة، أعنی عالم العقول والنفوس المجرّدة وإلی ما یکون أقرب من الشهادة وعالمه عالم الأمثال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انقسم الغیب المضاف إلی قسمین، لأنّ الأرواح صور مثالیة مناسبة لعالم الشهادة المطلق وصور عقلیة مجرّدة مناسبة للغیب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الحضرة الجامعة للاربع المذکورة وعالمها العالم الانسانیّ الجامع لجمیع العوالم وما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فعالم الملک مظهر عالم الملکوت وهو العالم المثالیّ المطلق وهو مظهر عالم الجبروت أی عالم المجرّدات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مظهر عالم الأعیان الثابتة وهو الأسماء الإلهیة والحضرة الواحدیة وهی مظهر الحضرة الأحدیّة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القیصریّ علی فصوص الحکم الخامس، ذکرنا هذا الکلام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مقدمه قیصری بر فصوص الحکم، الّذی کان مؤلّفه جلال الدین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کبیر،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447</w:t>
      </w:r>
      <w:r>
        <w:rPr>
          <w:rFonts w:eastAsia="IRNazanin" w:cs="IRNazanin"/>
          <w:color w:val="111111"/>
          <w:sz w:val="28"/>
          <w:szCs w:val="28"/>
          <w:rtl w:val="true"/>
          <w:lang w:bidi="fa-IR"/>
        </w:rPr>
        <w:t>-</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حکمة نزول القرآن منجّما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ثبت لنا أنّ القرآن العظیم نزّل نزلتین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ومنجّما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سرّ نزوله منجّما ؟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تثبیت فؤاد النبیّ صلی‌الله‌علیه‌و‌آله وتقویة قلبه من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فی تجدّد الوحی وتکرار نزول الملک به من جانب الحقّ إلی رسوله صلی‌الله‌علیه‌و‌آله سرورا یملأ قلب الرسول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فی التنجیم تیسیرا علیه من اللّه‌فی حفظه وفهمه ومعرفة 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فی کلّ نزلة من الآیات أو السور معجزة جدیدة، وتحدّاهم کلّ مرّة أنْ یأتوا بمثله فظهر عجز المشرکین عن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التدرّج فی نزول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التدرّج تربیة نفوس هذه الأُمّة البدائیة علماً وعملاً وهذا من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تیسیر حفظ القرآن علی الأُمّة الأُمّیّة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تسهیل فهمه علی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لکمال تخلّیهم عن عقائدهم الباطلة وعباداتهم الفاسدة وعاداتهم الرذیلة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لکمال تحلّیهم بالعقائد الحقّة والعبادات الصحیحة والأخلاق الفاضلة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ومعلومٌ أنّ الأمر بالجهاد والخمس والزکاة وحرمة شرب الخمر وترک العادات الجاهلیة قبل التمهید المذکور لیس فیه تأثیر للکلام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تثبیت قلوب المؤمنین وتسلیحهم بعزیمة الصبر والیقین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مسایرة الحوادث والوقائع والمسبّبات الخارجیة فی تجدّدها وتفرّقها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العقل والحکمة یجب أن تنزل آیة حول الحوادث والسؤالات والوقائع وبیان ذلک من 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إجابة السائلین علی أسئلتهم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یسألونک عن الرّوح قُل الرّوح مِن أمر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مجاراة القضایا والوقائع فی حینها ببیان حکم اللّه فیها عند حدوثها ووقوعها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إرشاد المسلمین إلی تصحیح أغلاطهم وهدایتهم إلی شاکلة الصواب فی الوقت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حال أعداء اللّه المنافقین وأهل الکتاب وهتک أسرارهم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مناهل العرفان فی علوم القرآن للزرقانیّ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معلوم أنّ عرب الجاهلیة عاشوا فی بیئة الجاهلیة دون التزامٍ بالقواعد العقلیة ولا الشرعیة بل الاجتماعیة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کلّفتهم الشریعة بکلّ القواعد المدنیّة والأخلاقیة والاعتقادیة ونظائرها لم یقبلوها بل وقعوا فی حیرة وتولّوا عن التکالیف الدینیة وهو نقض غرضٍ فی إرسالِ‌النبیّوتنزیل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لرعایة الناسخ والمنسوخ من الآیات، لأنّ المنسوخ یجب أن ینزل قبل الناسخ بفترة زمانیةٍ دون تعیین النهایة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پژوهشی در تاریخ قرآن کریم، محمّد باقر حجتی،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eastAsia="IRNazanin" w:cs="IRNazanin"/>
          <w:color w:val="111111"/>
          <w:sz w:val="28"/>
          <w:szCs w:val="28"/>
          <w:rtl w:val="true"/>
          <w:lang w:bidi="fa-IR"/>
        </w:rPr>
        <w:t>]</w:t>
      </w:r>
      <w:bookmarkStart w:id="416" w:name="pg4391_51141"/>
    </w:p>
    <w:p>
      <w:pPr>
        <w:pStyle w:val="Heading5"/>
        <w:numPr>
          <w:ilvl w:val="4"/>
          <w:numId w:val="1"/>
        </w:numPr>
        <w:rPr/>
      </w:pPr>
      <w:bookmarkStart w:id="417" w:name="__RefHeading___Toc1438901_1479056682"/>
      <w:bookmarkStart w:id="418" w:name="_Toc159"/>
      <w:bookmarkEnd w:id="416"/>
      <w:bookmarkEnd w:id="417"/>
      <w:r>
        <w:rPr>
          <w:rtl w:val="true"/>
        </w:rPr>
        <w:t>الطُّرفة الخامسة</w:t>
      </w:r>
      <w:r>
        <w:rPr>
          <w:rtl w:val="true"/>
        </w:rPr>
        <w:t xml:space="preserve">: </w:t>
      </w:r>
      <w:r>
        <w:rPr>
          <w:rtl w:val="true"/>
        </w:rPr>
        <w:t>فی أنّ جمع القرآن کان فی عصرالنبیّ صلی‌الله‌علیه‌و‌آلهوبأمره</w:t>
      </w:r>
      <w:bookmarkEnd w:id="418"/>
    </w:p>
    <w:p>
      <w:pPr>
        <w:pStyle w:val="BookText"/>
        <w:rPr/>
      </w:pPr>
      <w:r>
        <w:rPr>
          <w:rFonts w:ascii="IRNazanin" w:hAnsi="IRNazanin" w:eastAsia="IRNazanin"/>
          <w:color w:val="111111"/>
          <w:sz w:val="28"/>
          <w:sz w:val="28"/>
          <w:szCs w:val="28"/>
          <w:rtl w:val="true"/>
          <w:lang w:bidi="fa-IR"/>
        </w:rPr>
        <w:t>الحقّ الّذی لا ینبغی أن یعرض عنه هو اّنّ جمع القرآن کان فی عصرالنبیّ صلی‌الله‌علیه‌و‌آلهوبأمره لشهادة الآثار وحکم العقل ومساعدة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الآثار فقد روی عن ابن عبّاس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حملکم أن عمدتم إلی الأنفال وهی من المثانی، وإلی براءة وهی من المئین، فقرنتم بینهما ولم تکتبوا بینهما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ووضعتموهما فی السّبع الطّوال ؟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صلی‌الله‌علیه‌و‌آله تنزل علیه ذات العدد </w:t>
      </w:r>
      <w:r>
        <w:rPr>
          <w:rStyle w:val="FootnoteAnchor"/>
          <w:rtl w:val="true"/>
        </w:rPr>
        <w:footnoteReference w:id="4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المستدرک علی الصحیحین للحاکم </w:t>
      </w:r>
      <w:r>
        <w:rPr>
          <w:rFonts w:eastAsia="IRNazanin" w:cs="IRNazanin"/>
          <w:color w:val="111111"/>
          <w:sz w:val="28"/>
          <w:szCs w:val="28"/>
          <w:lang w:bidi="fa-IR"/>
        </w:rPr>
        <w:t>2/221</w:t>
      </w:r>
      <w:r>
        <w:rPr>
          <w:rFonts w:ascii="IRNazanin" w:hAnsi="IRNazanin" w:eastAsia="IRNazanin"/>
          <w:color w:val="111111"/>
          <w:sz w:val="28"/>
          <w:sz w:val="28"/>
          <w:szCs w:val="28"/>
          <w:rtl w:val="true"/>
          <w:lang w:bidi="fa-IR"/>
        </w:rPr>
        <w:t xml:space="preserve">، کنز العمال للمتقیّ الهندیّ </w:t>
      </w:r>
      <w:r>
        <w:rPr>
          <w:rFonts w:eastAsia="IRNazanin" w:cs="IRNazanin"/>
          <w:color w:val="111111"/>
          <w:sz w:val="28"/>
          <w:szCs w:val="28"/>
          <w:lang w:bidi="fa-IR"/>
        </w:rPr>
        <w:t>2/579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فکان إذا نزل علیه الشیء، دعا بعض من کان یکتب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ضعوا هذه الآیات فی السورة التی یذکر فیها کذا وکذا، وکانت الأنفال من أوائل ما نزل بالمدینة، وکانت برائة من آخر القرآن نزولاً وکانت</w:t>
      </w:r>
    </w:p>
    <w:p>
      <w:pPr>
        <w:pStyle w:val="BookText"/>
        <w:rPr/>
      </w:pPr>
      <w:r>
        <w:rPr>
          <w:rFonts w:ascii="IRNazanin" w:hAnsi="IRNazanin" w:eastAsia="IRNazanin"/>
          <w:color w:val="111111"/>
          <w:sz w:val="28"/>
          <w:sz w:val="28"/>
          <w:szCs w:val="28"/>
          <w:rtl w:val="true"/>
          <w:lang w:bidi="fa-IR"/>
        </w:rPr>
        <w:t xml:space="preserve">قصّتها شبیهة بقصّتها، فظننت انّها منها </w:t>
      </w:r>
      <w:r>
        <w:rPr>
          <w:rStyle w:val="FootnoteAnchor"/>
          <w:rtl w:val="true"/>
        </w:rPr>
        <w:footnoteReference w:id="457"/>
      </w:r>
      <w:r>
        <w:rPr>
          <w:rFonts w:ascii="IRNazanin" w:hAnsi="IRNazanin" w:eastAsia="IRNazanin"/>
          <w:color w:val="111111"/>
          <w:sz w:val="28"/>
          <w:sz w:val="28"/>
          <w:szCs w:val="28"/>
          <w:rtl w:val="true"/>
          <w:lang w:bidi="fa-IR"/>
        </w:rPr>
        <w:t>، فقبض رسول اللّه صلی‌الله‌علیه‌و‌آله ولم یبیّن لنا انّها منها، فمن</w:t>
      </w:r>
    </w:p>
    <w:p>
      <w:pPr>
        <w:pStyle w:val="BookText"/>
        <w:rPr/>
      </w:pPr>
      <w:r>
        <w:rPr>
          <w:rFonts w:ascii="IRNazanin" w:hAnsi="IRNazanin" w:eastAsia="IRNazanin"/>
          <w:color w:val="111111"/>
          <w:sz w:val="28"/>
          <w:sz w:val="28"/>
          <w:szCs w:val="28"/>
          <w:rtl w:val="true"/>
          <w:lang w:bidi="fa-IR"/>
        </w:rPr>
        <w:t xml:space="preserve">أجل ذلک قرنت بینهما، ولم أکتب بینهما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ووضعتهما فی السّبع الطّوال، انتهی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فدلّت هذه الرّوایة علی أنّ کُتّاب الوحی کانوا یکتبون السّور والآیات فی عصر النبیّ صلی‌الله‌علیه‌و‌آلهمجموعة مرتّبة بأمره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أبی عبداللّه علیه‌السلام قال </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صلی‌الله‌علیه‌و‌آله قال لعلیّ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خلف فراشی فی الصّحف والحریر والقراطیس، فخذوه واجمعوه ولاتض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یِّعوه کما ضیّعت الیهود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علیّ علیه‌السلام فجمعه فی ثوب أصفر وختم </w:t>
      </w:r>
      <w:r>
        <w:rPr>
          <w:rStyle w:val="FootnoteAnchor"/>
          <w:rtl w:val="true"/>
        </w:rPr>
        <w:footnoteReference w:id="460"/>
      </w:r>
      <w:r>
        <w:rPr>
          <w:rFonts w:ascii="IRNazanin" w:hAnsi="IRNazanin" w:eastAsia="IRNazanin"/>
          <w:color w:val="111111"/>
          <w:sz w:val="28"/>
          <w:sz w:val="28"/>
          <w:szCs w:val="28"/>
          <w:rtl w:val="true"/>
          <w:lang w:bidi="fa-IR"/>
        </w:rPr>
        <w:t>علیه فی بیته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أرتدی حتّی أجمعه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الرّجل لیأتیه، فیخرج إلیه بغیر رداء</w:t>
      </w:r>
    </w:p>
    <w:p>
      <w:pPr>
        <w:pStyle w:val="BookText"/>
        <w:rPr/>
      </w:pPr>
      <w:r>
        <w:rPr>
          <w:rFonts w:ascii="IRNazanin" w:hAnsi="IRNazanin" w:eastAsia="IRNazanin"/>
          <w:color w:val="111111"/>
          <w:sz w:val="28"/>
          <w:sz w:val="28"/>
          <w:szCs w:val="28"/>
          <w:rtl w:val="true"/>
          <w:lang w:bidi="fa-IR"/>
        </w:rPr>
        <w:t>حتی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الناس قرأوا القرآن کما أُنزِل، ما اختلف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الظاهر منه عدم تأخیر أمیر المؤمنین علیه‌السلام فی امتثال أمر النبیّ صلی‌الله‌علیه‌و‌آلهوأ نّه جمعه فی حیاته</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وذلک یثبت أنّ کتابة الوحی کان میسورا لخواصّ الصحابة، والنبیّ صلی‌الله‌علیه‌و‌آلهأمرهم بالکتابة وعیّن مواضع الآیات والسور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هذه الأدوات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أنزلنا علیک کتابا فی قرطاسٍ فَلَمَسُوهُ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علّم بالقلم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لو کان البحر مدادا لکلمات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الکهف</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شاءَ ذکره فی صحف مکرّمة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عبس</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نطوی السّماءَ کطیّ السجل للکتب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الأنبیاء</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رقٍّ منشور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العسب واللخاف والأکتاف والأقتاب والرِّقاع والحریر موجودة فی عهد النبیّ، واستعمل الأصحاب غیر الأُمّیین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عبیداللّه بن عمر بن العاص قال </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سمعت‌النبیّ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القرآن من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عبداللّه بن مسعود </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عبداللّه بن مسعود بن غافل بن حبیب بن شمح بن فار بن مَخزُوم، حلیف بنی 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إسلامه قدیما أوّل الإسلام حین أسلم سعید بن زید وزوجته فاطمة بنت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أوّل من جهر بالقرآن 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أسلم عبداللّه أخذه رسول اللّه صلی‌الله‌علیه‌و‌آلهإلیه، وکان یخدمه، وقال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إذنک علیّ برفع الحجاب، وإن تستمع سوادی حتّی أنهاک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یلج علیه ویُلبِسُه نَعْلیه ویمشی معه وأمامه، ویستره إذا اغتسل ویوقظه إذا نام، وکان یعرف فی الصحابة بصاحب السواد والسواک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هاجر الهجرتین وصلّی القبلتین وشهد بدرا وأُحدا والخندق وبیعة الرضوان وسائر المشاهد مع رسول اللّه صلی‌الله‌علیه‌و‌آلهوأجهز علی أبی جهل وشهد له رسول اللّه صلی‌الله‌علیه‌و‌آله بالجنّة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إذا مرض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أمْرَضنی،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سمعت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قرأ الواقعة کلّ لیلة لم تُصبه فاقةُ أبدا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الکشّاف </w:t>
      </w:r>
      <w:r>
        <w:rPr>
          <w:rFonts w:eastAsia="IRNazanin" w:cs="IRNazanin"/>
          <w:color w:val="111111"/>
          <w:sz w:val="28"/>
          <w:szCs w:val="28"/>
          <w:lang w:bidi="fa-IR"/>
        </w:rPr>
        <w:t>4/375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ابن مسعود بالمدینة سنة اثنتین وثلاثین ودفن بالبقیع، وکان عمره یوم توفّی بضعا وستِّین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أُسد الغابة،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وسالم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أُسد الغابة فی معرفة الصحابة لابن الأثیر، </w:t>
      </w:r>
      <w:r>
        <w:rPr>
          <w:rFonts w:eastAsia="IRNazanin" w:cs="IRNazanin"/>
          <w:color w:val="111111"/>
          <w:sz w:val="28"/>
          <w:szCs w:val="28"/>
          <w:lang w:bidi="fa-IR"/>
        </w:rPr>
        <w:t>2/155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ومعاذ</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مُعاذ بن جَبَل بن عمرو بن أوس بن عائذ بن عَدِیّ الأنصاریّ الخزرجیّ وهو آخر صحابیّ من بنی أُدَیّ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معاذ یکنّی أبا عبدالرحمان، وهو أحد السبعین الذین شهدوا العقبة من الأنصار، وشهد بدرا وأُحدا والمشاهد کلّها مع رسول اللّه صلی‌الله‌علیه‌و‌آله وآخی رسول اللّه‌بینه وبین عبداللّه بن مسعود، وکان عمره لمّا أسلم ثمانی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أعلمهم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أُمّة محمّد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بالحلال والحرام معاذ بن 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وحدّثنا سلمان بن وردان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أتانی معاذ بن جبل من عند رسول اللّه صلی‌الله‌علیه‌و‌آله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أن لا إله إلاّ اللّه مخلصا بها قلبُه، دخل الجنّة، فذهبت إلی رسول اللّه صلی‌الله‌علیه‌و‌آلهفقلت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معاذ أنّک قلت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معاذ، صدق معاذ، صدق معاذ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معاذ بن جبل من أحسن الناس وجها، وأحسنه خلقا وأسمحه کفّا، فأدان دینا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معاذ بن جبل کان أُمّة قانتا للّه حنیفا ولم یکن من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معاذ بن جبل سنة ثمانی عشرة وکان عمره ثمانی وثلاثین سنة بمرض الطاعون بالشام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دفع الطاعون قال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أدخل علی آل معاذ نصیبهم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طُعِن معاذ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أُسد الغابة </w:t>
      </w:r>
      <w:r>
        <w:rPr>
          <w:rFonts w:eastAsia="IRNazanin" w:cs="IRNazanin"/>
          <w:color w:val="111111"/>
          <w:sz w:val="28"/>
          <w:szCs w:val="28"/>
          <w:lang w:bidi="fa-IR"/>
        </w:rPr>
        <w:t>4/418</w:t>
      </w:r>
      <w:r>
        <w:rPr>
          <w:rFonts w:eastAsia="IRNazanin" w:cs="IRNazanin"/>
          <w:color w:val="111111"/>
          <w:sz w:val="28"/>
          <w:szCs w:val="28"/>
          <w:rtl w:val="true"/>
          <w:lang w:bidi="fa-IR"/>
        </w:rPr>
        <w:t xml:space="preserve"> - </w:t>
      </w:r>
      <w:r>
        <w:rPr>
          <w:rFonts w:eastAsia="IRNazanin" w:cs="IRNazanin"/>
          <w:color w:val="111111"/>
          <w:sz w:val="28"/>
          <w:szCs w:val="28"/>
          <w:lang w:bidi="fa-IR"/>
        </w:rPr>
        <w:t>421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وأُبیّ بن کعب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له کنیتان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وأبو الطفیل من قبل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بدرا والعقبة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عبادة بن الصامت وابن عبّاس وعبداللّه بن جناب وابنه الطفیل بن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قتادة، عن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صلی‌الله‌علیه‌و‌آله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أقرؤهم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أُمّة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وأقضاهم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کتب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المدینة 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یحضر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الکاتب لعهوده صلی‌الله‌علیه‌و‌آله إذا عاهد، وصلحه إذا صالح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أُبیّ سنة ثلاثین فی خلافة عثمان، لأنّ زرّ بن حبیش لقیه فی ذلک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أُسد الغابة فی معرفة الصحابة لابن الأثیر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أنس ب مالک</w:t>
      </w:r>
      <w:r>
        <w:rPr>
          <w:rStyle w:val="FootnoteAnchor"/>
          <w:rtl w:val="true"/>
        </w:rPr>
        <w:footnoteReference w:id="464"/>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بن النضر بن ضمضم بن زید بن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تیم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رسول اللّه صلی‌الله‌علیه‌و‌آلهکان یتسمّی به ویفتخر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عمره لمّا قدم النبیّ صلی‌الله‌علیه‌و‌آله المدینة مهاجرا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المکثرین فی الروایة عن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سیرین وحمید الطویل وثابت البستانیّ، قتادة والحسن البصریّ، والزهریّ وخلق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عُصَیَّة لرسول اللّه صلی‌الله‌علیه‌و‌آله، فلمّا مات أمر أن تدفن معه، فدفنت معه بین جنبه وقمیصه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أُمّ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بیدی، فأتت بی رسول اللّه صلی‌الله‌علیه‌و‌آله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ابنی وهو غلام کاتب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فخدمته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ودعا له رسول اللّه صلی‌الله‌علیه‌و‌آله بکثرة المال والولد فولد من صلبه ثمانون ذکرا وابنتان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آخر من توفّی بالبصرة من الصحابة ودفن بقصرة الطفّ علی فرسخین من البصرة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أُسد الغابة </w:t>
      </w: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جمع القرآن علی عهد رسول اللّه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کلّهم من 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ومعاذ ابن جبل وزید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کنیته أبو سعید، کان عمره لمّا قدم النبیّ صلی‌الله‌علیه‌و‌آله المدینة إحدی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شهد الخندق أوّل مشاهدة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رایة بنی مالک بن النجّار یوم تبوک مع عمارة بن حزم، فأخذها رسول اللّه‌ودفعها إلی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بلغک عنِّی شیء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القرآن مقدّم، وزید أکثر أخذا للقرآن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زید یکتب لرسول اللّه صلی‌الله‌علیه‌و‌آلهالوحی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واستخلف عمر زید بن ثابت علی المدینة 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یوم الیمامة بسهم فلم یضرّه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أعلم الصحابة بالفرائض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کثیرٌ من الصحابة والتابعین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زید عثمانیا ولم یشهد مع علیّ شیئا من حروبه وکان یظهر فضل علیّ وتعظیمه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کتب القرآن فی عهد أبی بکر وعثمان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خمس وأربعین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أُسد الغابة فی معرفة الصحابة لابن الأثیر </w:t>
      </w:r>
      <w:r>
        <w:rPr>
          <w:rFonts w:eastAsia="IRNazanin" w:cs="IRNazanin"/>
          <w:color w:val="111111"/>
          <w:sz w:val="28"/>
          <w:szCs w:val="28"/>
          <w:lang w:bidi="fa-IR"/>
        </w:rPr>
        <w:t>2/126</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 زید ؟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عمومتی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ذکر ابن أبی داود فی من جمع القرآن قیس بن أبی صَعْصَعة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شهد العقبة وبدراً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عروة وابن شهاب وابن إسحاق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أبیه،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کم اقرأُ القرآن ؟ قال فی خمس عشرة 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أقوی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أجدنی أقوی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 کذلک یقرؤه زمانا حتی کَبِرَ وکان یُعصّب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رجع فکان یقرؤه فی کلّ خمس عشرة لیلة،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لیتنی قَبِلت رخصه‌النبیّ صلی‌الله‌علیه‌و‌آله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4/129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5/128</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ورُوی عن غیره أنّ أبا زید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هو أبو زَید سعدُ بن عُبَیْد بن النعمان بن قَیس بن عمرو الأنصاریّ الأوسیّ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إنّه أحد الّذین جمعوا القرآن علی عهد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قَتادة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الأوس بأنّ منّا غسیل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بن أبی عامر، ومنّا الّذی حَمَته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ثابت، ومنّا الّذی اهتزّ لموته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ومنّا من أجیزت شهادته بشهادة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 فقالت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أربعة جمعوا القرآن علی عهد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 ومعاذ بن جبل وزید بن ثابت وأبو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ابن عبید بن النعمان هو أبو زید الّذی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القارئ، یکنّی أبا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یوم القادسیة وهو ابن أربع وستِّین 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5/128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وشهد بدرا، لا عقب له،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سعید ویعرف بالقارئ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مندة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أبو زید سنة خمس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 أبو أحمد العسکریّ، أنّه أوّل من جمع القرآن من الأنصار ولم یجمع من الأوس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الأثیر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أستبعد أن یکون هذا، لأنّ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عمومتی أبو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وأنس کان من بنی عدیّ بن النجّار خزرجیّ، فکیف یکون هذا عمّا لأنس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بعیدٌ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أُسد الغابة فی معرفة الصحابة لابن الأثیر، </w:t>
      </w:r>
      <w:r>
        <w:rPr>
          <w:rFonts w:eastAsia="IRNazanin" w:cs="IRNazanin"/>
          <w:color w:val="111111"/>
          <w:sz w:val="28"/>
          <w:szCs w:val="28"/>
          <w:lang w:bidi="fa-IR"/>
        </w:rPr>
        <w:t>2/207</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جمع القرآن اسمه قیس بن السّکن،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ولم یدع عقباً ونحن ورثناه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أبی داود انّه مات قریباً من وفاة رسول‌اللّه صلی‌الله‌علیه‌و‌آله، فذهب علمه، ولم یؤخذ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أحمد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یجمع القرآن من الأوس غیر سعید بن عبید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محمّد بن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عبید أحد مَن جمع القرآن علی عهد النبیّ صلی‌الله‌علیه‌و‌آله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وعن قتادة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افتخر الحیّان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الأوس والخزرج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أربعة من اهتزّ العرش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معاذ، ومن عدلت شهادته شهادة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خزیمة بن ثابت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خزیمة بن ثابت بن الفاکه بن ثعلبة بن ساعدة بن عامر بن غیّان الأنصاریّ الأوسیّ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کبشة بنت أوس من بنی ساعدة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یکنّی أبا عمارة، وهو ذو الشهادتین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 رسول اللّه صلی‌الله‌علیه‌و‌آله شهادته بشهادة رجلین، وکان هو وعُمَیْر بن عدیّ بن خرشة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الاستیعاب </w:t>
      </w:r>
      <w:r>
        <w:rPr>
          <w:rFonts w:eastAsia="IRNazanin" w:cs="IRNazanin"/>
          <w:color w:val="111111"/>
          <w:sz w:val="28"/>
          <w:szCs w:val="28"/>
          <w:lang w:bidi="fa-IR"/>
        </w:rPr>
        <w:t>1217</w:t>
      </w:r>
      <w:r>
        <w:rPr>
          <w:rFonts w:ascii="IRNazanin" w:hAnsi="IRNazanin" w:eastAsia="IRNazanin"/>
          <w:color w:val="111111"/>
          <w:sz w:val="28"/>
          <w:sz w:val="28"/>
          <w:szCs w:val="28"/>
          <w:rtl w:val="true"/>
          <w:lang w:bidi="fa-IR"/>
        </w:rPr>
        <w:t xml:space="preserve">، والإصابة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یکسران أصنام بنی حظمة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 بدرا وما بعدها من المشاهد کلّها، وشهد مع علیّ علیه‌السلام الجمل وصفّین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قتل عمار بن یاسر بصفّین قال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سل سیفه وقاتل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صفّین سنة سبع وثلاثین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صلی‌الله‌علیه‌و‌آله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شهد له خزیمة أو علیه فحسبه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1/610</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ومن غسّلته الملائکة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حنظلة ابن أبی عامر، ومن حمته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w:t>
      </w:r>
    </w:p>
    <w:p>
      <w:pPr>
        <w:pStyle w:val="BookText"/>
        <w:rPr/>
      </w:pPr>
      <w:r>
        <w:rPr>
          <w:rFonts w:ascii="IRNazanin" w:hAnsi="IRNazanin" w:eastAsia="IRNazanin"/>
          <w:color w:val="111111"/>
          <w:sz w:val="28"/>
          <w:sz w:val="28"/>
          <w:szCs w:val="28"/>
          <w:rtl w:val="true"/>
          <w:lang w:bidi="fa-IR"/>
        </w:rPr>
        <w:t>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الخزرج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أربعة جمعوا القرآن لم یجمعه غیرهم</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أبو بکر بجمع القرآن، ائتمروا ما یسمُّونه،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تسمیة الیهود، فکرهوه،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مثله بالحبشة یسمّی المصحف، فاجتمع رأیهم علی أن یسمُّوه بالمصحفِ وسنده منقطع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الإتقان للسیوطیّ </w:t>
      </w:r>
      <w:r>
        <w:rPr>
          <w:rFonts w:eastAsia="IRNazanin" w:cs="IRNazanin"/>
          <w:color w:val="111111"/>
          <w:sz w:val="28"/>
          <w:szCs w:val="28"/>
          <w:lang w:bidi="fa-IR"/>
        </w:rPr>
        <w:t>1/100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وقع فی التاریخ، بل استعمل کلمة المصحف فی زمن النبیّ صلی‌الله‌علیه‌و‌آله، وأطلق علی بعض المکتوبات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فاطمة علیهاالسلام، ومصحف علیّ علیه‌السلاموالصحیفة الصادقة التی کتبها عبداللّه بن عمر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وصحیفة سعد بن عبادة الأنصاریّ وصحیفة جابر بن عبداللّه الأنصاریّ</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إذن لیس إطلاق عنوان المصحف علی القرآن رسما خاصّا ولا توقیفیّ والذین نسبوا هذه التسمیة إلی أبی بکر، غفلوا عن استعماله قدیما فی الحجاز والیمن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النبیّ صلی‌الله‌علیه‌و‌آلهقال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والمصاحف معلَّقةٌ فی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النظر إلی المصحف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أدامَ النظر فی المصحف مُتّعَ ببصره ما دام فی الدُّنیا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کنز العمال للمتّقیّ الهندیّ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أعطوا أعینکم حظّها من العبادة، النظر فی المصحفِ والتفکّر فیه والاعتبار عند عجائبه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1/510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وعنه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تغرّنّکم هذه المصاحف المعلّقةُ، إنّ اللّه تعالی لا یعذّب قلبا وعی القرآن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وروی البخاریّ 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رسول اللّه صلی‌الله‌علیه‌و‌آله ولم یجمع القرآن غیر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الدّرداء ومعاذبن جبل وزید بن ثابت وأبو زید </w:t>
      </w:r>
      <w:r>
        <w:rPr>
          <w:rStyle w:val="FootnoteAnchor"/>
          <w:rtl w:val="true"/>
        </w:rPr>
        <w:footnoteReference w:id="4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الفحول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استنکر جماعة</w:t>
      </w:r>
    </w:p>
    <w:p>
      <w:pPr>
        <w:pStyle w:val="BookText"/>
        <w:rPr/>
      </w:pPr>
      <w:r>
        <w:rPr>
          <w:rFonts w:ascii="IRNazanin" w:hAnsi="IRNazanin" w:eastAsia="IRNazanin"/>
          <w:color w:val="111111"/>
          <w:sz w:val="28"/>
          <w:sz w:val="28"/>
          <w:szCs w:val="28"/>
          <w:rtl w:val="true"/>
          <w:lang w:bidi="fa-IR"/>
        </w:rPr>
        <w:t>الحصر فی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المازنیّ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یلزم من قول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یجمعه غیرهم، أن یکون الواقع</w:t>
      </w:r>
    </w:p>
    <w:p>
      <w:pPr>
        <w:pStyle w:val="BookText"/>
        <w:rPr/>
      </w:pPr>
      <w:r>
        <w:rPr>
          <w:rFonts w:ascii="IRNazanin" w:hAnsi="IRNazanin" w:eastAsia="IRNazanin"/>
          <w:color w:val="111111"/>
          <w:sz w:val="28"/>
          <w:sz w:val="28"/>
          <w:szCs w:val="28"/>
          <w:rtl w:val="true"/>
          <w:lang w:bidi="fa-IR"/>
        </w:rPr>
        <w:t>فی نفس الأمر کذلک،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تمسّک بقول أنس هذا جماعة من الملاحدة ولا متمسّک لهم فیه، فإنّا لا نسلّم حمله علی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قتل یوم الیمامة سبعون من القرّاء، وقتل فی عهدالنبیّ صلی‌الله‌علیه‌و‌آله ببئر معونة مثل هذا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خصّ أنس الأربعة بالذّکر لشدّة تعلّقه 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القرّاء </w:t>
      </w:r>
      <w:r>
        <w:rPr>
          <w:rStyle w:val="FootnoteAnchor"/>
          <w:rtl w:val="true"/>
        </w:rPr>
        <w:footnoteReference w:id="469"/>
      </w:r>
      <w:r>
        <w:rPr>
          <w:rFonts w:ascii="IRNazanin" w:hAnsi="IRNazanin" w:eastAsia="IRNazanin"/>
          <w:color w:val="111111"/>
          <w:sz w:val="28"/>
          <w:sz w:val="28"/>
          <w:szCs w:val="28"/>
          <w:rtl w:val="true"/>
          <w:lang w:bidi="fa-IR"/>
        </w:rPr>
        <w:t>مع حفظهم لجمیع القرآن کان عندهم مکتوب جمیعه، فاذا طعَنَت الملاحدة علی القرآن، وأنکروا تواتره تمسّکاً بروایة أنس، فکیف لم یطعنوا ولا یطعنون علی من اعتقد أنّ القرآن لم یکن مجموعاً فی زمان النبیّ صلی‌الله‌علیه‌و‌آله؟ بل کانت آیاته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وسوره متفرّقة عند الناس، ثمّ تصدّی لجمعه بعد وفات النبیّ صلی‌الله‌علیه‌و‌آله أبو بکر وعمر مع عدم</w:t>
      </w:r>
    </w:p>
    <w:p>
      <w:pPr>
        <w:pStyle w:val="BookText"/>
        <w:rPr/>
      </w:pPr>
      <w:r>
        <w:rPr>
          <w:rFonts w:ascii="IRNazanin" w:hAnsi="IRNazanin" w:eastAsia="IRNazanin"/>
          <w:color w:val="111111"/>
          <w:sz w:val="28"/>
          <w:sz w:val="28"/>
          <w:szCs w:val="28"/>
          <w:rtl w:val="true"/>
          <w:lang w:bidi="fa-IR"/>
        </w:rPr>
        <w:t>علمهما بجمیع القرآن، حتی جمعوه علی ما قیل بشهادة 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النّسائیّ عن عبداللّه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 القرآنَ، فقرأتُ به کلّ لیلة، فبلغ النبیّ صلی‌الله‌علیه‌و‌آلهفقال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اقرأه فی شهر</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وعن محمّد بن کعب القُرطبیّ </w:t>
      </w:r>
      <w:r>
        <w:rPr>
          <w:rStyle w:val="FootnoteAnchor"/>
          <w:rtl w:val="true"/>
        </w:rPr>
        <w:footnoteReference w:id="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مناقب العلماء لابن شهرآشوب، الجزء الثانی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من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معجم رجال الحدیث </w:t>
      </w:r>
      <w:r>
        <w:rPr>
          <w:rFonts w:eastAsia="IRNazanin" w:cs="IRNazanin"/>
          <w:color w:val="111111"/>
          <w:sz w:val="28"/>
          <w:szCs w:val="28"/>
          <w:lang w:bidi="fa-IR"/>
        </w:rPr>
        <w:t>17/178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علی عهد رسول اللّه صلی‌الله‌علیه‌و‌آله خمسة من الأنصار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جبل وعبادة بن الصّامت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عبادة بن الصامت بن قیس بن أصْرَم بن فِهْر بن ثَعلَبة الأنصاریّ الخزرجیّ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کنیته أبوالولید و أُمُّه قرّة العین بنت عبادة بن نَضلة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شهد العقبة الأُولی والثانیة، و آخی رسول اللّه صلی‌الله‌علیه‌و‌آلهبینه و بین أبی مَرْثَد العدَوِیّ، و شهد بدرا و أُحدا والخندق والمشاهد کلّها مع رسول اللّه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یعلّم أهل الصفة القرآن، و لمّا فتح الشام أُرسل إلی الشام هو و معاذ بن جبل و أبو الدرداء لیعلّمواالناس و یفقّهوهم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عنه أنس بن مالک وجابر بن عبداللّه وشرحبیل بن حسنة وکثیرٌ من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الأوزاعیّ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ولّی قضاءَ فلسطین عبادة بن الصامت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 رسول اللّه صلی‌الله‌علیه‌و‌آله علی أن لا یخاف فی اللّه لومة لائم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عبادة سنة أربع وثلاثین بالرملة وهو ابن اثنتین وسبعین سنة وکان طویلاً جسیما جمیلاً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أُسد الغابة فی معرفة الصحابة </w:t>
      </w:r>
      <w:r>
        <w:rPr>
          <w:rFonts w:eastAsia="IRNazanin" w:cs="IRNazanin"/>
          <w:color w:val="111111"/>
          <w:sz w:val="28"/>
          <w:szCs w:val="28"/>
          <w:lang w:bidi="fa-IR"/>
        </w:rPr>
        <w:t>3/56</w:t>
      </w:r>
      <w:r>
        <w:rPr>
          <w:rFonts w:eastAsia="IRNazanin" w:cs="IRNazanin"/>
          <w:color w:val="111111"/>
          <w:sz w:val="28"/>
          <w:szCs w:val="28"/>
          <w:rtl w:val="true"/>
          <w:lang w:bidi="fa-IR"/>
        </w:rPr>
        <w:t xml:space="preserve"> -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وأُبیّ بن کعب، وأبی الدّرداء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هو عُوَیْمر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عامر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نقل فی الاستیعاب </w:t>
      </w:r>
      <w:r>
        <w:rPr>
          <w:rFonts w:eastAsia="IRNazanin" w:cs="IRNazanin"/>
          <w:color w:val="111111"/>
          <w:sz w:val="28"/>
          <w:szCs w:val="28"/>
          <w:lang w:bidi="fa-IR"/>
        </w:rPr>
        <w:t>4/1646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زید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الخزرج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محبّة بنت واقد بن عمرو بن الاطنابة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آخر أهل داره اسلاما وحسن إسلامه، کان فقیها عاقلاً حکیما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آخی رسول اللّه‌بینه وبین سلمان الفارسیّ وقال‌النبیّفی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عویمر حکیم 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ما بعد أحد من المشاهد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قضاء دمشق فی خلافة عثمان وتوفّی سنة ثلاث وثلاثین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أفاضل الصحابة وفقهائهم وحکمائهم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أنس بن مالک و فضالة بن عُبَیدُ أبو أمامة عبداللّه بن عمر وابن عبّاس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أبا الدرداء لمّا نزل به الموت جزَع جزعا شدیدا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 أُمّ الدرداء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تک تخبرنا أنّک تحبّ الموت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وعِزة ربّی، ولکن نفسی لما استیقنت الموت کَرِهته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آخر ساعاتی من الدُّنیا، لَقِّنونی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یزل یردّدها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قبل أن یقتل عثمان بسنتین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4/18</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وأبی أیوب</w:t>
      </w:r>
    </w:p>
    <w:p>
      <w:pPr>
        <w:pStyle w:val="BookText"/>
        <w:rPr/>
      </w:pPr>
      <w:r>
        <w:rPr>
          <w:rFonts w:ascii="Amiri" w:hAnsi="Amiri" w:eastAsia="Amiri" w:cs="Amiri"/>
          <w:color w:val="111111"/>
          <w:sz w:val="28"/>
          <w:sz w:val="28"/>
          <w:szCs w:val="28"/>
          <w:rtl w:val="true"/>
          <w:lang w:bidi="ar-SA"/>
        </w:rPr>
        <w:t>الأنصاریّ</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هو خالد بن زید بن کُلَیْب بن ثعلبة بن عبد بن عوف الأنصاریّ الخزرجیّ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العقبة وبدرا وأُحدا والخندق وسائر المشاهد مع رسول اللّه صلی‌الله‌علیه‌و‌آله، وکان من خاصّة علیّ بن أبی طالب علیه‌السلام وشهد معه الجمل وصفّین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الّذی نزل علیه رسول اللّه صلی‌الله‌علیه‌و‌آله لمّا قدم المدینة مهاجرا إلی أن بنی مسجده ومساکنه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أیوب سنة إحدی وخمسین عند مدینة القسطنطنیة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5/25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سیرین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علی عهد رسول اللّه صلی‌الله‌علیه‌و‌آله أربعة لا یختلف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جبل، وأُبیّ بن کعب، وأبو زید، واختلفوا فی رجلین من ثلاثة أبی الدّرداء وعثمان،</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وتمیم الدّاریّ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الشّعبیّ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فی عهد رسول اللّه‌ستة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وزید، ومعاذ، وأبو الدّرداء،</w:t>
      </w:r>
    </w:p>
    <w:p>
      <w:pPr>
        <w:pStyle w:val="BookText"/>
        <w:rPr/>
      </w:pPr>
      <w:r>
        <w:rPr>
          <w:rFonts w:ascii="IRNazanin" w:hAnsi="IRNazanin" w:eastAsia="IRNazanin"/>
          <w:color w:val="111111"/>
          <w:sz w:val="28"/>
          <w:sz w:val="28"/>
          <w:szCs w:val="28"/>
          <w:rtl w:val="true"/>
          <w:lang w:bidi="fa-IR"/>
        </w:rPr>
        <w:t xml:space="preserve">وسعید بن عبید، وأبو زید، ومجمع بن جاریة </w:t>
      </w:r>
      <w:r>
        <w:rPr>
          <w:rStyle w:val="FootnoteAnchor"/>
          <w:rtl w:val="true"/>
        </w:rPr>
        <w:footnoteReference w:id="473"/>
      </w:r>
    </w:p>
    <w:p>
      <w:pPr>
        <w:pStyle w:val="BookText"/>
        <w:rPr/>
      </w:pPr>
      <w:r>
        <w:rPr>
          <w:rFonts w:ascii="Amiri" w:hAnsi="Amiri" w:eastAsia="Amiri" w:cs="Amiri"/>
          <w:color w:val="111111"/>
          <w:sz w:val="28"/>
          <w:sz w:val="28"/>
          <w:szCs w:val="28"/>
          <w:rtl w:val="true"/>
          <w:lang w:bidi="ar-SA"/>
        </w:rPr>
        <w:t>هو مُجمّع بن جاریة بن عامر بن مُجَمِّع بن الغطاف الأنصاریّ الأوسی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بنی عمرو بن عوف، کان أبوه ممّن اتّخذ مسجد 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مُجمِّع غلاما حدثا قد جمع القرآن علی عهد رسول اللّه صلی‌الله‌علیه‌و‌آله إلاّ سورة أو سورتین وکان أبوه من المنافقین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القرآن علی عهد رسول اللّه‌ستّة کلّهم من الأنصار، ولم یذکر مجمّعا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بقی علی مجمّع بن جاریة سورة أو سورتان حین توفّی رسول اللّه صلی‌الله‌علیه‌و‌آله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أُسد الغابة </w:t>
      </w:r>
      <w:r>
        <w:rPr>
          <w:rFonts w:eastAsia="Amiri" w:cs="Amiri" w:ascii="Amiri" w:hAnsi="Amiri"/>
          <w:color w:val="111111"/>
          <w:sz w:val="28"/>
          <w:szCs w:val="28"/>
          <w:lang w:bidi="ar-SA"/>
        </w:rPr>
        <w:t>4/290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أخذه إلاّ سورتین أو ثلاثا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عبید فی کتاب القراءات أنّه ذکر القرّاء من أصحاب النبیّ صلی‌الله‌علیه‌و‌آله، فعدّ من المهاجرین الخلفاء الأربعة، وطلحة، وسعد، وابن مسعود، وحذیفة، وسالماً، وعدّ ابن أبی</w:t>
      </w:r>
    </w:p>
    <w:p>
      <w:pPr>
        <w:pStyle w:val="BookText"/>
        <w:rPr/>
      </w:pPr>
      <w:r>
        <w:rPr>
          <w:rFonts w:ascii="IRNazanin" w:hAnsi="IRNazanin" w:eastAsia="IRNazanin"/>
          <w:color w:val="111111"/>
          <w:sz w:val="28"/>
          <w:sz w:val="28"/>
          <w:szCs w:val="28"/>
          <w:rtl w:val="true"/>
          <w:lang w:bidi="fa-IR"/>
        </w:rPr>
        <w:t>داود من القرّاء تمیم الدّاریّ وعقبة بن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جمعه أیضاً أبو موسی الأشعریّ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فی الطّبقات أنّ امرأة من الصّحابیات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وقد ورد أنّ بعض النِّساء جمعن سور القرآن، أخرج ابن سعد فی الطبقات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أنبأنا فضل بن رکین، حدّثنا الولید بن عبداللّه بن جمیع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جدّتی عن أُمّ ورقة بنت عبداللّه بن الحارث، وکان رسول اللّه صلی‌الله‌علیه‌و‌آلهیزورها ویسمّیها الشهیدة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قد جمعت القرآن، أنّ رسول اللّه صلی‌الله‌علیه‌و‌آله حین غزا بدرا، 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أتأذن لی فأخرج معک أداوی جرحاکم وأمرّض مرضاکم، لعلّ اللّه یهدی لی الشهادة ؟</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مهدٍ لک الشهادة، وکان صلی‌الله‌علیه‌و‌آله قد أمرها أنْ تؤمّ أهل دارها وکان لها 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فغمّها غلامٌ لها وجاریة کانت قد دبّرتهما فقتلاها فی إمارة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الإتقان فی علوم القرآن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النِّساء بتعلّم القرآن ینتهی إلی جعل مهرها تعلیم سورة من القرآن أو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البیان فی تفسیر القرآن، ص </w:t>
      </w:r>
      <w:r>
        <w:rPr>
          <w:rFonts w:eastAsia="IRNazanin" w:cs="IRNazanin"/>
          <w:color w:val="111111"/>
          <w:sz w:val="28"/>
          <w:szCs w:val="28"/>
          <w:lang w:bidi="fa-IR"/>
        </w:rPr>
        <w:t>255</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وروی عن أُمّ ورقة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هی أُمّ ورقة بنت عبداللّه بن الحارث بن عُوَیمر الأنصاریّة،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ورقة بنت نوفل وهی مشهورة بکنیتها واختلفوا فی نسبها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غزا المسلمون بدرا، قالت أُمّ ورقة 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ائذن لی فأخرج معک فاُمَرِّضَ مرضاکم، لعلّ اللّه یرزقنی الشهادة،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 فی بیتک فإنّ اللّه یرزقک الشهادة، فکانت تسمّی الشهیدة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 عبدالوهّاب بن علیّ عن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قد قرأت القرآن، فأستأذنت النبیّ صلی‌الله‌علیه‌و‌آله فی أن تتّخذ فی دارها مؤذّنا، فأذن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قد دبّرت غلاما لها وجاریة، فقاما إلیها باللیل فغمّاها بقطیفةٍ لها حتّی ماتت وذهبا، فأصبح عمر فقام فی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عنده من هذین علم فلیجئ بهما، فأمر بهما فصُلِبا فکانا أوّل مصلوب بالمدینة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أُسد الغابة </w:t>
      </w: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بنت عبداللّه بن حارث أنّ رسول اللّه صلی‌الله‌علیه‌و‌آله یزورها ویسمّیها الشهیدة رحمها اللّه، وکانت قد جمعت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العجب کلّ العجب أنّ أحداً من هؤلاء لم یعدّوا فی من جمع القرآن علی عهد النبیّ صلی‌الله‌علیه‌و‌آلهأمیر المؤمنین علیه‌السلام، بل روی ابن حجر وغیره من علماء العامّة أنّ علیّاً علیه‌السلامجمع</w:t>
      </w:r>
    </w:p>
    <w:p>
      <w:pPr>
        <w:pStyle w:val="BookText"/>
        <w:rPr/>
      </w:pPr>
      <w:r>
        <w:rPr>
          <w:rFonts w:ascii="IRNazanin" w:hAnsi="IRNazanin" w:eastAsia="IRNazanin"/>
          <w:color w:val="111111"/>
          <w:sz w:val="28"/>
          <w:sz w:val="28"/>
          <w:szCs w:val="28"/>
          <w:rtl w:val="true"/>
          <w:lang w:bidi="fa-IR"/>
        </w:rPr>
        <w:t xml:space="preserve">القرآن علی ترتیب النّزول بعد وفات النبیّ </w:t>
      </w:r>
      <w:r>
        <w:rPr>
          <w:rStyle w:val="FootnoteAnchor"/>
          <w:rtl w:val="true"/>
        </w:rPr>
        <w:footnoteReference w:id="476"/>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من جمع القرآن فی الروایات السابقة هو حفظ جمیعه لا تدوینه فی القراطیس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الاحتمال فی غایة البعد، إذ لا یمکن عادةً أن ینحصر فی زمان‌النبیّ صلی‌الله‌علیه‌و‌آله حفّاظ جمیع القرآن فی أربعة أو خمسة من الصحابة مع وضوح اشتیاق المؤمنین إلی تلاوة القرآن، وکمال قوّة حفظهم، وکون تلاوة القرآن وتعلّمه من أهمّ مشاغلهم، وأفضل</w:t>
      </w:r>
    </w:p>
    <w:p>
      <w:pPr>
        <w:pStyle w:val="BookText"/>
        <w:rPr/>
      </w:pPr>
      <w:r>
        <w:rPr>
          <w:rFonts w:ascii="IRNazanin" w:hAnsi="IRNazanin" w:eastAsia="IRNazanin"/>
          <w:color w:val="111111"/>
          <w:sz w:val="28"/>
          <w:sz w:val="28"/>
          <w:szCs w:val="28"/>
          <w:rtl w:val="true"/>
          <w:lang w:bidi="fa-IR"/>
        </w:rPr>
        <w:t>عباداتهم، بل الظّاهر أنّ المراد من جمع القرآن هو تدوینه مع ما أفاده‌النبیّ صلی‌الله‌علیه‌و‌آلهمن تفسیر آیاته وبیان معضلاته وکیفیة قراءته وسائر العلوم الرّاجعة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النحو من الجمع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یحمل ما روته العامّة من أنّه لمّا بویع أبو بکر وتخلّف علیّ علیه‌السلام عن بیعته، وجلس فی بیته،</w:t>
      </w:r>
    </w:p>
    <w:p>
      <w:pPr>
        <w:pStyle w:val="BookText"/>
        <w:rPr/>
      </w:pPr>
      <w:r>
        <w:rPr>
          <w:rFonts w:ascii="IRNazanin" w:hAnsi="IRNazanin" w:eastAsia="IRNazanin"/>
          <w:color w:val="111111"/>
          <w:sz w:val="28"/>
          <w:sz w:val="28"/>
          <w:szCs w:val="28"/>
          <w:rtl w:val="true"/>
          <w:lang w:bidi="fa-IR"/>
        </w:rPr>
        <w:t>بعث إلیه أبو بکر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أبطأک عنّی، أکرهت إمارتی ؟ 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کرهت إمارتک، ولکن آلیتُ أن لا أرتدی بردائی إلاّ للصلاة حتّی أجمع القرآن</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 xml:space="preserve">وکذا ما روی فی الاحتجاج عن أبی ذرّ رضی‌الله‌عنه أنّه لمّا توفّی رسول اللّه صلی‌الله‌علیه‌و‌آله جمع علیّ علیه‌السلامالقرآن وجاء به إلی المهاجرین والأنصار وعرضه علیهم لما قد أوصاه بذلک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فتحه أبوبکر، خرج فی أوّل صفحة فتحها فضائح القوم، فوثب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اردده یا علیّ، فلا حاجة 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علیّ علیه‌السلام وانصرف</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فانّ خروج فضائح القوم فیما جمعه علیّ علیه‌السلام لذکره شأن نزول الآیات، فانّ کثیراً منها نزلت بسبب عصیان أصحابه، کما روت العامّة أنّه</w:t>
      </w:r>
    </w:p>
    <w:p>
      <w:pPr>
        <w:pStyle w:val="BookText"/>
        <w:rPr/>
      </w:pPr>
      <w:r>
        <w:rPr>
          <w:rFonts w:ascii="Amiri" w:hAnsi="Amiri" w:eastAsia="Amiri" w:cs="Amiri"/>
          <w:color w:val="111111"/>
          <w:sz w:val="28"/>
          <w:sz w:val="28"/>
          <w:szCs w:val="28"/>
          <w:rtl w:val="true"/>
          <w:lang w:bidi="ar-SA"/>
        </w:rPr>
        <w:t>بعدما أجبر عمر زوجته علی المواقعة فی لیلة الصّیام حراماً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لَیْلَةَ الصِّیَامِ الرَّفَثُ إِلی نِسَائِکُم </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وأنّه بعدما أبی أبو بکر وعبدالرحمن بن عوف وجمع من الصّحابة قبول آیة محاسبة ما فی النفس، نزل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480"/>
      </w:r>
      <w:r>
        <w:rPr>
          <w:rFonts w:ascii="Amiri" w:hAnsi="Amiri" w:eastAsia="Amiri" w:cs="Amiri"/>
          <w:color w:val="111111"/>
          <w:sz w:val="28"/>
          <w:sz w:val="28"/>
          <w:szCs w:val="28"/>
          <w:rtl w:val="true"/>
          <w:lang w:bidi="ar-SA"/>
        </w:rPr>
        <w:t xml:space="preserve">، وأنّه بعدما شرب جمع من الصحابة الخمر، وتکلّم فی حال السُّکر بالکفر، نزلتْ آیةُ تحریم الخمر، وأنّه بعدما قتل أُسامة مسلماً، ألقی إلیه السّلام بطمع الغنیمة، نزلت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 یُّها الَّذِینَ آمَنُوا إِذَا ضَرَبْتُم فِی سَبِیلِ اللّه‌ِ فَتَبَیَّنُوا وَلاَ تَقُولُوا لِمَن أَلْقَی إِلَیْکُم السَّلاَمَ لَسْتَ مُؤْمِناً تَبْتَغُونَ عَرَضَ الحَیاةِ الدُّنْیا </w:t>
      </w:r>
      <w:r>
        <w:rPr>
          <w:rFonts w:eastAsia="Amiri" w:cs="Amiri" w:ascii="Amiri" w:hAnsi="Amiri"/>
          <w:color w:val="111111"/>
          <w:sz w:val="28"/>
          <w:szCs w:val="28"/>
          <w:rtl w:val="true"/>
          <w:lang w:bidi="ar-SA"/>
        </w:rPr>
        <w:t xml:space="preserve">» </w:t>
      </w:r>
      <w:r>
        <w:rPr>
          <w:rStyle w:val="FootnoteAnchor"/>
          <w:rtl w:val="true"/>
        </w:rPr>
        <w:footnoteReference w:id="481"/>
      </w:r>
      <w:r>
        <w:rPr>
          <w:rFonts w:ascii="IRNazanin" w:hAnsi="IRNazanin" w:eastAsia="IRNazanin"/>
          <w:color w:val="111111"/>
          <w:sz w:val="28"/>
          <w:sz w:val="28"/>
          <w:szCs w:val="28"/>
          <w:rtl w:val="true"/>
          <w:lang w:bidi="fa-IR"/>
        </w:rPr>
        <w:t>إلی غیر ذلک ممّا ذکر فی مواقعه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الّذی جمعه أمیر المؤمنین علیه‌السلام کان فیه بیان شأن نزول الآیات وأسماء الّذین نزلت فیهم وأوقات نزولها وتأویل متشابهها وتعیین ناسخها ومنسوخها، وذکر عامّها وخاصّها وبیان العلوم المرتبطة بها وکیفیة قراءتها ویؤیّد ذلک أنّه نقل عن ابن سیرین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کتبه علی تنزیله، ولو أجیب إلی ذلک الکتاب لوجد فیه علم</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عنه أیضاً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 علیه‌السلام فی مصحفه النّاسخ والمنسوخ، بل یشهد لذلک</w:t>
      </w:r>
    </w:p>
    <w:p>
      <w:pPr>
        <w:pStyle w:val="BookText"/>
        <w:rPr/>
      </w:pPr>
      <w:r>
        <w:rPr>
          <w:rFonts w:ascii="IRNazanin" w:hAnsi="IRNazanin" w:eastAsia="IRNazanin"/>
          <w:color w:val="111111"/>
          <w:sz w:val="28"/>
          <w:sz w:val="28"/>
          <w:szCs w:val="28"/>
          <w:rtl w:val="true"/>
          <w:lang w:bidi="fa-IR"/>
        </w:rPr>
        <w:t>ما رواه الطّبرسیّ فی الاحتجاج فی جملة احتجاج أمیر المؤمنین علیه‌السلامعلی جماعة من المهاجرین والأنصار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طلحة قال له فی جملة مسائله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الحسن </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أرید أن أسألک عن مسألة ، رأیتک خرجتَ بثوبٍ مختومٍ،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لم أزل مشتغلاً</w:t>
      </w:r>
    </w:p>
    <w:p>
      <w:pPr>
        <w:pStyle w:val="BookText"/>
        <w:rPr/>
      </w:pPr>
      <w:r>
        <w:rPr>
          <w:rFonts w:ascii="Amiri" w:hAnsi="Amiri" w:eastAsia="Amiri" w:cs="Amiri"/>
          <w:color w:val="111111"/>
          <w:sz w:val="28"/>
          <w:sz w:val="28"/>
          <w:szCs w:val="28"/>
          <w:rtl w:val="true"/>
          <w:lang w:bidi="ar-SA"/>
        </w:rPr>
        <w:t>برسول اللّه صلی‌الله‌علیه‌و‌آلهبِغُسله، وکفنه، ودفنه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اشتغلتُ بکتاب اللّه حتّی جمعته، فهذا کتاب اللّه عندی مجموعاً لم یسقط عنِّی </w:t>
      </w:r>
      <w:r>
        <w:rPr>
          <w:rStyle w:val="FootnoteAnchor"/>
          <w:rtl w:val="true"/>
        </w:rPr>
        <w:footnoteReference w:id="483"/>
      </w:r>
      <w:r>
        <w:rPr>
          <w:rFonts w:ascii="IRNazanin" w:hAnsi="IRNazanin" w:eastAsia="IRNazanin"/>
          <w:color w:val="111111"/>
          <w:sz w:val="28"/>
          <w:sz w:val="28"/>
          <w:szCs w:val="28"/>
          <w:rtl w:val="true"/>
          <w:lang w:bidi="fa-IR"/>
        </w:rPr>
        <w:t xml:space="preserve">حرف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یمنعک </w:t>
      </w:r>
      <w:r>
        <w:rPr>
          <w:rStyle w:val="FootnoteAnchor"/>
          <w:rtl w:val="true"/>
        </w:rPr>
        <w:footnoteReference w:id="484"/>
      </w:r>
      <w:r>
        <w:rPr>
          <w:rFonts w:ascii="IRNazanin" w:hAnsi="IRNazanin" w:eastAsia="IRNazanin"/>
          <w:color w:val="111111"/>
          <w:sz w:val="28"/>
          <w:sz w:val="28"/>
          <w:szCs w:val="28"/>
          <w:rtl w:val="true"/>
          <w:lang w:bidi="fa-IR"/>
        </w:rPr>
        <w:t>أن تخرج کتاب</w:t>
      </w:r>
    </w:p>
    <w:p>
      <w:pPr>
        <w:pStyle w:val="BookText"/>
        <w:rPr/>
      </w:pPr>
      <w:r>
        <w:rPr>
          <w:rFonts w:ascii="Amiri" w:hAnsi="Amiri" w:eastAsia="Amiri" w:cs="Amiri"/>
          <w:color w:val="111111"/>
          <w:sz w:val="28"/>
          <w:sz w:val="28"/>
          <w:szCs w:val="28"/>
          <w:rtl w:val="true"/>
          <w:lang w:bidi="ar-SA"/>
        </w:rPr>
        <w:t xml:space="preserve">اللّه الی </w:t>
      </w:r>
      <w:r>
        <w:rPr>
          <w:rStyle w:val="FootnoteAnchor"/>
          <w:rtl w:val="true"/>
        </w:rPr>
        <w:footnoteReference w:id="485"/>
      </w:r>
      <w:r>
        <w:rPr>
          <w:rFonts w:ascii="IRNazanin" w:hAnsi="IRNazanin" w:eastAsia="IRNazanin"/>
          <w:color w:val="111111"/>
          <w:sz w:val="28"/>
          <w:sz w:val="28"/>
          <w:szCs w:val="28"/>
          <w:rtl w:val="true"/>
          <w:lang w:bidi="fa-IR"/>
        </w:rPr>
        <w:t xml:space="preserve">الناس، وقد عمد </w:t>
      </w:r>
      <w:r>
        <w:rPr>
          <w:rStyle w:val="FootnoteAnchor"/>
          <w:rtl w:val="true"/>
        </w:rPr>
        <w:footnoteReference w:id="486"/>
      </w:r>
      <w:r>
        <w:rPr>
          <w:rFonts w:ascii="IRNazanin" w:hAnsi="IRNazanin" w:eastAsia="IRNazanin"/>
          <w:color w:val="111111"/>
          <w:sz w:val="28"/>
          <w:sz w:val="28"/>
          <w:szCs w:val="28"/>
          <w:rtl w:val="true"/>
          <w:lang w:bidi="fa-IR"/>
        </w:rPr>
        <w:t>عثمان حین أخذ ما أ لّف عمر، فجمع له الکتاب وحمل النّاس علی قراءة واحدة، فمزّق مصحفَ أُبیّ بن کعب وابن مسعود وأحرقهما بالنّار ؟ فقال له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آیة أنزلها اللّه عزّ وجلّ</w:t>
      </w:r>
      <w:r>
        <w:rPr>
          <w:rStyle w:val="FootnoteAnchor"/>
          <w:rtl w:val="true"/>
        </w:rPr>
        <w:footnoteReference w:id="487"/>
      </w:r>
      <w:r>
        <w:rPr>
          <w:rFonts w:ascii="Amiri" w:hAnsi="Amiri" w:eastAsia="Amiri" w:cs="Amiri"/>
          <w:color w:val="111111"/>
          <w:sz w:val="28"/>
          <w:sz w:val="28"/>
          <w:szCs w:val="28"/>
          <w:rtl w:val="true"/>
          <w:lang w:bidi="ar-SA"/>
        </w:rPr>
        <w:t>علی محمّد</w:t>
      </w:r>
      <w:r>
        <w:rPr>
          <w:rStyle w:val="FootnoteAnchor"/>
          <w:rtl w:val="true"/>
        </w:rPr>
        <w:footnoteReference w:id="488"/>
      </w:r>
      <w:r>
        <w:rPr>
          <w:rFonts w:ascii="IRNazanin" w:hAnsi="IRNazanin" w:eastAsia="IRNazanin"/>
          <w:color w:val="111111"/>
          <w:sz w:val="28"/>
          <w:sz w:val="28"/>
          <w:szCs w:val="28"/>
          <w:rtl w:val="true"/>
          <w:lang w:bidi="fa-IR"/>
        </w:rPr>
        <w:t>صلی‌الله‌علیه‌و‌آلهباملاء رسول اللّه صلی‌الله‌علیه‌و‌آله</w:t>
      </w:r>
    </w:p>
    <w:p>
      <w:pPr>
        <w:pStyle w:val="BookText"/>
        <w:rPr/>
      </w:pPr>
      <w:r>
        <w:rPr>
          <w:rFonts w:ascii="Amiri" w:hAnsi="Amiri" w:eastAsia="Amiri" w:cs="Amiri"/>
          <w:color w:val="111111"/>
          <w:sz w:val="28"/>
          <w:sz w:val="28"/>
          <w:szCs w:val="28"/>
          <w:rtl w:val="true"/>
          <w:lang w:bidi="ar-SA"/>
        </w:rPr>
        <w:t xml:space="preserve">وخطّ یدی </w:t>
      </w:r>
      <w:r>
        <w:rPr>
          <w:rStyle w:val="FootnoteAnchor"/>
          <w:rtl w:val="true"/>
        </w:rPr>
        <w:footnoteReference w:id="489"/>
      </w:r>
      <w:r>
        <w:rPr>
          <w:rFonts w:ascii="IRNazanin" w:hAnsi="IRNazanin" w:eastAsia="IRNazanin"/>
          <w:color w:val="111111"/>
          <w:sz w:val="28"/>
          <w:sz w:val="28"/>
          <w:szCs w:val="28"/>
          <w:rtl w:val="true"/>
          <w:lang w:bidi="fa-IR"/>
        </w:rPr>
        <w:t>حتّی أرش الخدش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من صغیر وکبیر، أو خاص أو عام کان أو یکون إلی یوم القیامة، فهو عندک مکتوب؟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وسوی ذلک أ نّ رسول اللّه صلی‌الله‌علیه‌و‌آله</w:t>
      </w:r>
    </w:p>
    <w:p>
      <w:pPr>
        <w:pStyle w:val="BookText"/>
        <w:rPr/>
      </w:pPr>
      <w:r>
        <w:rPr>
          <w:rFonts w:ascii="Amiri" w:hAnsi="Amiri" w:eastAsia="Amiri" w:cs="Amiri"/>
          <w:color w:val="111111"/>
          <w:sz w:val="28"/>
          <w:sz w:val="28"/>
          <w:szCs w:val="28"/>
          <w:rtl w:val="true"/>
          <w:lang w:bidi="ar-SA"/>
        </w:rPr>
        <w:t xml:space="preserve">أسرّ إلیَّ فی مرضه مفتاح ألف باب </w:t>
      </w:r>
      <w:r>
        <w:rPr>
          <w:rStyle w:val="FootnoteAnchor"/>
          <w:rtl w:val="true"/>
        </w:rPr>
        <w:footnoteReference w:id="490"/>
      </w:r>
      <w:r>
        <w:rPr>
          <w:rFonts w:ascii="IRNazanin" w:hAnsi="IRNazanin" w:eastAsia="IRNazanin"/>
          <w:color w:val="111111"/>
          <w:sz w:val="28"/>
          <w:sz w:val="28"/>
          <w:szCs w:val="28"/>
          <w:rtl w:val="true"/>
          <w:lang w:bidi="fa-IR"/>
        </w:rPr>
        <w:t>، ولو أنّ الأُمّة منذ قبض رسول اللّه صلی‌الله‌علیه‌و‌آلهاتّبعونی</w:t>
      </w:r>
    </w:p>
    <w:p>
      <w:pPr>
        <w:pStyle w:val="BookText"/>
        <w:rPr/>
      </w:pPr>
      <w:r>
        <w:rPr>
          <w:rFonts w:ascii="IRNazanin" w:hAnsi="IRNazanin" w:eastAsia="IRNazanin"/>
          <w:color w:val="111111"/>
          <w:sz w:val="28"/>
          <w:sz w:val="28"/>
          <w:szCs w:val="28"/>
          <w:rtl w:val="true"/>
          <w:lang w:bidi="fa-IR"/>
        </w:rPr>
        <w:t xml:space="preserve">وأطاعونی، لأکلوا من فوقهم، ومن تحت أرجلهم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 یا</w:t>
      </w:r>
    </w:p>
    <w:p>
      <w:pPr>
        <w:pStyle w:val="BookText"/>
        <w:rPr/>
      </w:pPr>
      <w:r>
        <w:rPr>
          <w:rFonts w:ascii="IRNazanin" w:hAnsi="IRNazanin" w:eastAsia="IRNazanin"/>
          <w:color w:val="111111"/>
          <w:sz w:val="28"/>
          <w:sz w:val="28"/>
          <w:szCs w:val="28"/>
          <w:rtl w:val="true"/>
          <w:lang w:bidi="fa-IR"/>
        </w:rPr>
        <w:t>أبا الحسن أجبتنی عمّا سألتک عنه من أمر القرآن ألاّ تظهره للناس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طلحة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عمداً</w:t>
      </w:r>
    </w:p>
    <w:p>
      <w:pPr>
        <w:pStyle w:val="BookText"/>
        <w:rPr/>
      </w:pPr>
      <w:r>
        <w:rPr>
          <w:rFonts w:ascii="IRNazanin" w:hAnsi="IRNazanin" w:eastAsia="IRNazanin"/>
          <w:color w:val="111111"/>
          <w:sz w:val="28"/>
          <w:sz w:val="28"/>
          <w:szCs w:val="28"/>
          <w:rtl w:val="true"/>
          <w:lang w:bidi="fa-IR"/>
        </w:rPr>
        <w:t>کففت عن جوابک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فأخبرنی </w:t>
      </w:r>
      <w:r>
        <w:rPr>
          <w:rStyle w:val="FootnoteAnchor"/>
          <w:rtl w:val="true"/>
        </w:rPr>
        <w:footnoteReference w:id="491"/>
      </w:r>
      <w:r>
        <w:rPr>
          <w:rFonts w:ascii="IRNazanin" w:hAnsi="IRNazanin" w:eastAsia="IRNazanin"/>
          <w:color w:val="111111"/>
          <w:sz w:val="28"/>
          <w:sz w:val="28"/>
          <w:szCs w:val="28"/>
          <w:rtl w:val="true"/>
          <w:lang w:bidi="fa-IR"/>
        </w:rPr>
        <w:t>عمّا کتب عمر و عثمان أقرانٌ کلّه، أم فیه ما لیس بقرآن؟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قرآن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أخذتم بما فیه، نجوتم من النار ودخلتم الجنّةَ،</w:t>
      </w:r>
    </w:p>
    <w:p>
      <w:pPr>
        <w:pStyle w:val="BookText"/>
        <w:rPr/>
      </w:pPr>
      <w:r>
        <w:rPr>
          <w:rFonts w:ascii="Amiri" w:hAnsi="Amiri" w:eastAsia="Amiri" w:cs="Amiri"/>
          <w:color w:val="111111"/>
          <w:sz w:val="28"/>
          <w:sz w:val="28"/>
          <w:szCs w:val="28"/>
          <w:rtl w:val="true"/>
          <w:lang w:bidi="ar-SA"/>
        </w:rPr>
        <w:t>فانّ فیه حجّتَنا وبیانَ حقِّنا، وفرضَ 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حسبی </w:t>
      </w:r>
      <w:r>
        <w:rPr>
          <w:rStyle w:val="FootnoteAnchor"/>
          <w:rtl w:val="true"/>
        </w:rPr>
        <w:footnoteReference w:id="492"/>
      </w:r>
      <w:r>
        <w:rPr>
          <w:rFonts w:ascii="IRNazanin" w:hAnsi="IRNazanin" w:eastAsia="IRNazanin"/>
          <w:color w:val="111111"/>
          <w:sz w:val="28"/>
          <w:sz w:val="28"/>
          <w:szCs w:val="28"/>
          <w:rtl w:val="true"/>
          <w:lang w:bidi="fa-IR"/>
        </w:rPr>
        <w:t>إذا کان قرآناً فحسبی</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طلحة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فأخبرنی</w:t>
      </w:r>
      <w:r>
        <w:rPr>
          <w:rStyle w:val="FootnoteAnchor"/>
          <w:rtl w:val="true"/>
        </w:rPr>
        <w:footnoteReference w:id="493"/>
      </w:r>
      <w:r>
        <w:rPr>
          <w:rFonts w:ascii="IRNazanin" w:hAnsi="IRNazanin" w:eastAsia="IRNazanin"/>
          <w:color w:val="111111"/>
          <w:sz w:val="28"/>
          <w:sz w:val="28"/>
          <w:szCs w:val="28"/>
          <w:rtl w:val="true"/>
          <w:lang w:bidi="fa-IR"/>
        </w:rPr>
        <w:t>ممّا فی یدیک من القرآن وتأویله، وعلم الحلال والحرام إلی مَن</w:t>
      </w:r>
    </w:p>
    <w:p>
      <w:pPr>
        <w:pStyle w:val="BookText"/>
        <w:rPr/>
      </w:pPr>
      <w:r>
        <w:rPr>
          <w:rFonts w:ascii="IRNazanin" w:hAnsi="IRNazanin" w:eastAsia="IRNazanin"/>
          <w:color w:val="111111"/>
          <w:sz w:val="28"/>
          <w:sz w:val="28"/>
          <w:szCs w:val="28"/>
          <w:rtl w:val="true"/>
          <w:lang w:bidi="fa-IR"/>
        </w:rPr>
        <w:t>تَدفعه ومَن صاحبُه بَعدک ؟ قال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أمرنی رسول اللّه صلی‌الله‌علیه‌و‌آله أن أدفعه إلیه وصیّ، وأولی الناس بعدی بالناس ابنی الحسن، ثمّ یدفعه ابنی الحسن إلی ابنی الحسین، ثمّ یصیر</w:t>
      </w:r>
    </w:p>
    <w:p>
      <w:pPr>
        <w:pStyle w:val="BookText"/>
        <w:rPr/>
      </w:pPr>
      <w:r>
        <w:rPr>
          <w:rFonts w:ascii="IRNazanin" w:hAnsi="IRNazanin" w:eastAsia="IRNazanin"/>
          <w:color w:val="111111"/>
          <w:sz w:val="28"/>
          <w:sz w:val="28"/>
          <w:szCs w:val="28"/>
          <w:rtl w:val="true"/>
          <w:lang w:bidi="fa-IR"/>
        </w:rPr>
        <w:t>إلی واحدٍ بعد واحدٍ حتّی یرد آخرُهم علی رسول اللّه صلی‌الله‌علیه‌و‌آلهحوضه</w:t>
      </w:r>
      <w:r>
        <w:rPr>
          <w:rStyle w:val="FootnoteAnchor"/>
          <w:rtl w:val="true"/>
        </w:rPr>
        <w:footnoteReference w:id="494"/>
      </w:r>
      <w:r>
        <w:rPr>
          <w:rFonts w:ascii="IRNazanin" w:hAnsi="IRNazanin" w:eastAsia="IRNazanin"/>
          <w:color w:val="111111"/>
          <w:sz w:val="28"/>
          <w:sz w:val="28"/>
          <w:szCs w:val="28"/>
          <w:rtl w:val="true"/>
          <w:lang w:bidi="fa-IR"/>
        </w:rPr>
        <w:t>لا یفارقونه، والقرآن معهم لا یفارقهم</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وعن جابر </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هو جابر بن عبداللّه بن عمرو بن حرام بن کعب بن 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نُسَیْبَة بنت عقبة بن عدیّ بن سنان بن نابی ابن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یکنّی أبا عبداللّه، شهد العقبة الثانیة مع أبیه وهو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أبوالفضل المنصور المخزومیّ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سمع جابرا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غزوت مع رسول اللّه صلی‌الله‌علیه‌و‌آله سبع عشرة غزوة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أشهد بدرا ولا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منعنی أبی، فلمّا قتل یوم أُحد، لم‌أتخلّف عن رسول اللّه صلی‌الله‌علیه‌و‌آله فی غزوة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من المکثرین فی الحدیث، الحافظین للسنن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محمّد بن علیّ بن الحسین علیهم‌السلامودینار وأبو الزبیر المکّیّ وعطاء ومجاهد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جابر سنة أربع وسبعین، وکان عمره أربعا وتسعین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أُسد الغابة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محسن الأمین نقلاً عن ابن الأثیر فی أُسد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آخر من مات بالمدینة ممّن شهد العقبة، وهذا هو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عمی فی آخر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أجلاّء المفسِّرین، وشهد صفّین مع علیّ علیه‌السلام وعدّه ابن عبدالبرّ فی الاستیعاب ممّن فضّل علیّا علی غیره، وهو أوّل زائر للحسین علیه‌السلام، وذکره الشیخ فی رجاله فی أصحاب الرسول صلی‌الله‌علیه‌و‌آله وعلیّ علیه‌السلاموالحسن والحسین علیهماالسلاموأیضا ذکره فی أصحاب علیّ بن الحسین و محمّد بن علیّ علیهماالسلام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نقلاً عن 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فی أیّام عبدالملک بالمدینة سنة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نیّف وتسعین 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أعیان الشیعة للسیِّد محسن الأمین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یستطیع أحد أن یدّعی أنّه جمع القرآن کلّه ظاهره وباطنه غیر الأوصیاء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من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جمعت القرآن کلّه کما أنزل اللّه، إلاّ کذّاب، وما جمعه وما حفظه کما أنزل اللّه إلاّ علیّ ابن أبی طالب والأئمة من بعده علیهم‌السلام، وممّا یؤیِّد ما ذکرنا من کون القرآن مجموعاً علی عهدالنبیّ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یدلّ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 الکتابِ لا یَصحُّ إطلاقهُ عُرفاً إلاّ علی المطالب المجتمعة المرتّبة المدوّنة فی أوراق منضودة لغرض واحد، فاذا کانت مطالب</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متفرّقة غیر مدوّنة أو مدوّنة فی أوراق متشتّتة لا یسمّی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شبهة أنّ اللّه تعالی بعد هجرة النبیّ صلی‌الله‌علیه‌و‌آلهسمّی جمیع ما أنزله علی‌النبیّ صلی‌الله‌علیه‌و‌آله کتاباً بقوله فی سورة البقرة التی هی</w:t>
      </w:r>
    </w:p>
    <w:p>
      <w:pPr>
        <w:pStyle w:val="BookText"/>
        <w:rPr/>
      </w:pPr>
      <w:r>
        <w:rPr>
          <w:rFonts w:ascii="Amiri" w:hAnsi="Amiri" w:eastAsia="Amiri" w:cs="Amiri"/>
          <w:color w:val="111111"/>
          <w:sz w:val="28"/>
          <w:sz w:val="28"/>
          <w:szCs w:val="28"/>
          <w:rtl w:val="true"/>
          <w:lang w:bidi="ar-SA"/>
        </w:rPr>
        <w:t>أوّل ما نزلت فی المدینة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لاَ رَیْبَ فِیهِ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وکذاالنبیّ صلی‌الله‌علیه‌و‌آله أطلق علی ما أنزل علیه لفظ الکتاب علی ما فی کثیر من الروایات المعتبرة، بل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الروایة المتّفق علیها بین الخاصّة والعامّة من قوله صلی‌الله‌علیه‌و‌آله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مُخلّفٌ فیکم الثقَلَیْنَ ما إن تمسّکتم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اللّه‌ِ وعِتْرَتی أهلَ بیتی </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التبیان فی تفسیر القرآن للطوسیّ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ابن حنبل </w:t>
      </w:r>
      <w:r>
        <w:rPr>
          <w:rFonts w:eastAsia="IRNazanin" w:cs="IRNazanin"/>
          <w:color w:val="111111"/>
          <w:sz w:val="28"/>
          <w:szCs w:val="28"/>
          <w:lang w:bidi="fa-IR"/>
        </w:rPr>
        <w:t>3/14</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4/366</w:t>
      </w:r>
      <w:r>
        <w:rPr>
          <w:rFonts w:eastAsia="IRNazanin" w:cs="IRNazanin"/>
          <w:color w:val="111111"/>
          <w:sz w:val="28"/>
          <w:szCs w:val="28"/>
          <w:rtl w:val="true"/>
          <w:lang w:bidi="fa-IR"/>
        </w:rPr>
        <w:t xml:space="preserve"> -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lang w:bidi="fa-IR"/>
        </w:rPr>
        <w:t>5/182</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للحاکم </w:t>
      </w:r>
      <w:r>
        <w:rPr>
          <w:rFonts w:eastAsia="IRNazanin" w:cs="IRNazanin"/>
          <w:color w:val="111111"/>
          <w:sz w:val="28"/>
          <w:szCs w:val="28"/>
          <w:lang w:bidi="fa-IR"/>
        </w:rPr>
        <w:t>3/109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أرقم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للسیوطیّ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الطبرانی عن زید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للمتّقیّ الهندیّ </w:t>
      </w:r>
      <w:r>
        <w:rPr>
          <w:rFonts w:eastAsia="IRNazanin" w:cs="IRNazanin"/>
          <w:color w:val="111111"/>
          <w:sz w:val="28"/>
          <w:szCs w:val="28"/>
          <w:lang w:bidi="fa-IR"/>
        </w:rPr>
        <w:t>1/185</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تفسیر العیّاشیّ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lang w:bidi="ar-SA"/>
        </w:rPr>
        <w:t>3/539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القدیمة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فرات الکوفیّ،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مسلم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الصبیح </w:t>
      </w:r>
      <w:r>
        <w:rPr>
          <w:rFonts w:eastAsia="IRNazanin" w:cs="IRNazanin"/>
          <w:color w:val="111111"/>
          <w:sz w:val="28"/>
          <w:szCs w:val="28"/>
          <w:lang w:bidi="fa-IR"/>
        </w:rPr>
        <w:t>7/122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فإنّه نصٌّ فی أنّه کان فی ذلک الوقت آیات وسُوَرٌ مدوّنة مستحقّة لإطلاق اسم الکتاب علیها، ولا یمکن القول بأنّ هذا الإطلاق کان من باب المشارفة، حیث أنّه کان یعلم أنّ بعد وفاته صلی‌الله‌علیه‌و‌آله یجمع ما أنزل علیه، ویکون کتاباً، نعلم أنّ التّسمیة کانت بعد تدوین مقدار من السّور والآیات المنزلة وتحقّق مصداق</w:t>
      </w:r>
    </w:p>
    <w:p>
      <w:pPr>
        <w:pStyle w:val="BookText"/>
        <w:rPr/>
      </w:pPr>
      <w:r>
        <w:rPr>
          <w:rFonts w:ascii="IRNazanin" w:hAnsi="IRNazanin" w:eastAsia="IRNazanin"/>
          <w:color w:val="111111"/>
          <w:sz w:val="28"/>
          <w:sz w:val="28"/>
          <w:szCs w:val="28"/>
          <w:rtl w:val="true"/>
          <w:lang w:bidi="fa-IR"/>
        </w:rPr>
        <w:t>الکتاب، ولذا لم یذکر فی السّور القصار المکّیّة الّتی کانت من أوائل ما نزل لفظ الکتاب</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لفظ الکتاب بعد ثبوت کونه حقیقة عرفیّة فی مطالب مرتّبة مجموعة مدوّنة ظاهر فی أنّ کلّ آیة تضمّنته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ذلِکَ الکِتَابُ </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تَنْزِیلُ الکِتَابِ </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 عَلَیْکَ الکِتَابَ </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تِلْکَ آیَاتُ الکِتَابِ </w:t>
      </w:r>
      <w:r>
        <w:rPr>
          <w:rFonts w:eastAsia="Amiri" w:cs="Amiri" w:ascii="Amiri" w:hAnsi="Amiri"/>
          <w:color w:val="111111"/>
          <w:sz w:val="28"/>
          <w:szCs w:val="28"/>
          <w:rtl w:val="true"/>
          <w:lang w:bidi="ar-SA"/>
        </w:rPr>
        <w:t xml:space="preserve">» </w:t>
      </w:r>
      <w:r>
        <w:rPr>
          <w:rStyle w:val="FootnoteAnchor"/>
          <w:rtl w:val="true"/>
        </w:rPr>
        <w:footnoteReference w:id="501"/>
      </w:r>
      <w:r>
        <w:rPr>
          <w:rFonts w:ascii="IRNazanin" w:hAnsi="IRNazanin" w:eastAsia="IRNazanin"/>
          <w:color w:val="111111"/>
          <w:sz w:val="28"/>
          <w:sz w:val="28"/>
          <w:szCs w:val="28"/>
          <w:rtl w:val="true"/>
          <w:lang w:bidi="fa-IR"/>
        </w:rPr>
        <w:t>، نزلت بعد تحقّق مصداقه وتدوین سور وآیات مرتّبة مجموعة فی أوراق وصفحات أو أکتاف أو عسب مجتمعة، ولا یلزم الالتزام بنزول جمیع الآیات والسّور قبل هذا الإطلاق حتّی یعترض علیه بأ نّه خلاف الإجماع</w:t>
      </w:r>
    </w:p>
    <w:p>
      <w:pPr>
        <w:pStyle w:val="BookText"/>
        <w:rPr/>
      </w:pPr>
      <w:r>
        <w:rPr>
          <w:rFonts w:ascii="IRNazanin" w:hAnsi="IRNazanin" w:eastAsia="IRNazanin"/>
          <w:color w:val="111111"/>
          <w:sz w:val="28"/>
          <w:sz w:val="28"/>
          <w:szCs w:val="28"/>
          <w:rtl w:val="true"/>
          <w:lang w:bidi="fa-IR"/>
        </w:rPr>
        <w:t>والمتواتر من الأخبار من أنّ القرآن نزل متدرّجاً إلی قُبَیْلِ وفاته بأیّام أو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یلزم القوم بتغییر مصداق الکتاب صغراً وکبراً بسبب انضمام ما ینزل فیما بعد التّدوین إلیه تدریجاً، فیرجع الکلام إلی أنّ جمیع القرآن فی کلّ زمان وکتاب اللّه فی کلّ وقت کان</w:t>
      </w:r>
    </w:p>
    <w:p>
      <w:pPr>
        <w:pStyle w:val="BookText"/>
        <w:rPr/>
      </w:pPr>
      <w:r>
        <w:rPr>
          <w:rFonts w:ascii="IRNazanin" w:hAnsi="IRNazanin" w:eastAsia="IRNazanin"/>
          <w:color w:val="111111"/>
          <w:sz w:val="28"/>
          <w:sz w:val="28"/>
          <w:szCs w:val="28"/>
          <w:rtl w:val="true"/>
          <w:lang w:bidi="fa-IR"/>
        </w:rPr>
        <w:t>مقداراً من هذا المجموع الّذی بأیدینا وبضمّ الآیات شیئاً فشیئاً بلغ ما بلغ، فما ذکره</w:t>
      </w:r>
    </w:p>
    <w:p>
      <w:pPr>
        <w:pStyle w:val="BookText"/>
        <w:rPr/>
      </w:pPr>
      <w:r>
        <w:rPr>
          <w:rFonts w:ascii="IRNazanin" w:hAnsi="IRNazanin" w:eastAsia="IRNazanin"/>
          <w:color w:val="111111"/>
          <w:sz w:val="28"/>
          <w:sz w:val="28"/>
          <w:szCs w:val="28"/>
          <w:rtl w:val="true"/>
          <w:lang w:bidi="fa-IR"/>
        </w:rPr>
        <w:t xml:space="preserve">المرتضی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 xml:space="preserve">هو علیّ بن الحسین بن موسی بن محمّد بن موسی بن إبراهیم بن موسی بن جعفر بن محمّد بن علیّ بن الحسین بن علیّ بن أبی طالب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أبوالقاسم، لقبه عَلَم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متوحّد فی علوم کثیرة، مجمع علی فضله، مقدّم فی العلوم،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الکلام والفقه وأُصول الفقه والأدب والنحو والشعر ومعانی الشعر واللغة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دیوان شعر یزید علی عشرین ألف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الشافی فی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نقض کتاب المغنی للقاضی عبدالجبّار المعتزلیّ الهمدانیّ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کتاب لم یصنّف مثله فی الإمامة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الذخیرة فی الأُصول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جمل العلم والعمل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التنزیه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الموصلیّة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الوعید وإبطال القیاس ومسألة فی الاعتماد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فی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الصرفة فی إعجاز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المصباح فی الفقه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المسائل الطرابلسیّة الأوّلیّة والمسائل الحلبیّة الأوّلیّة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الشیب والشباب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النقض علی ابن جنّی فی الحکایة والمحکیّ وتفسیر قصیدة السیِّد الحمیریّ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مولد السیِّد المرتضی فی رجب سنة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الشیخ یومئذ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ثمانون سنة وثمانیة أشهر وأیّام، نضّر اللّه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یحصل من هذا الکلام أنّ السیِّد والشیخ کانا معاصرین 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هذه الکتب أی کتب السیِّد المرتضی أکثرها علیه وسمعت سائرها یُقرأ علیه دفعات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الفهرست للشیخ الطوسیّ ص</w:t>
      </w: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الرقم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أبوالقاسم علیّ بن الطاهر ذی المناقب أبی أحمد الحسین بن موسی بن محمّد بن موسی ابن إبراهیم بن موسی الکاظم بن جعفر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نقیب الطالبین وإماما فی علم الکلام والأدب والشعر، وهو أخو الشریف الرضیّ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بسّام الأندلسیّ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الشریف المرتضی إمام أئمّة العراق بین الاختلاف والاتّفاق، إلیه فزع علماؤها وعنه أخذ غطارفتها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ولادته فی سنة خمس وخمسین وثلاثمائة، وتوفّی یوم الأحد الخامس والعشرین من شهر ربیع الأوّل سنة ستّ وثلاثین وأربعمائة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وفیات الأعیان لابن خلّکان، </w:t>
      </w:r>
      <w:r>
        <w:rPr>
          <w:rFonts w:eastAsia="IRNazanin" w:cs="IRNazanin"/>
          <w:color w:val="111111"/>
          <w:sz w:val="28"/>
          <w:szCs w:val="28"/>
          <w:lang w:bidi="fa-IR"/>
        </w:rPr>
        <w:t>3/313</w:t>
      </w:r>
      <w:r>
        <w:rPr>
          <w:rFonts w:eastAsia="IRNazanin" w:cs="IRNazanin"/>
          <w:color w:val="111111"/>
          <w:sz w:val="28"/>
          <w:szCs w:val="28"/>
          <w:rtl w:val="true"/>
          <w:lang w:bidi="fa-IR"/>
        </w:rPr>
        <w:t xml:space="preserve"> -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بلغت تصانیفه علی ما نقل فی الذریعة للشیخ آغابزرگ سبعة عشر ومائة مجلّدا،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إبطال القیاس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أحکام أهل الآخرة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فی التفسیر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2/312</w:t>
      </w:r>
      <w:r>
        <w:rPr>
          <w:rFonts w:eastAsia="IRNazanin" w:cs="IRNazanin"/>
          <w:color w:val="111111"/>
          <w:sz w:val="28"/>
          <w:szCs w:val="28"/>
          <w:rtl w:val="true"/>
          <w:lang w:bidi="fa-IR"/>
        </w:rPr>
        <w:t xml:space="preserve"> - </w:t>
      </w:r>
      <w:r>
        <w:rPr>
          <w:rFonts w:eastAsia="IRNazanin" w:cs="IRNazanin"/>
          <w:color w:val="111111"/>
          <w:sz w:val="28"/>
          <w:szCs w:val="28"/>
          <w:lang w:bidi="fa-IR"/>
        </w:rPr>
        <w:t>8/140</w:t>
      </w:r>
      <w:r>
        <w:rPr>
          <w:rFonts w:eastAsia="IRNazanin" w:cs="IRNazanin"/>
          <w:color w:val="111111"/>
          <w:sz w:val="28"/>
          <w:szCs w:val="28"/>
          <w:rtl w:val="true"/>
          <w:lang w:bidi="fa-IR"/>
        </w:rPr>
        <w:t xml:space="preserve"> - </w:t>
      </w:r>
      <w:r>
        <w:rPr>
          <w:rFonts w:eastAsia="IRNazanin" w:cs="IRNazanin"/>
          <w:color w:val="111111"/>
          <w:sz w:val="28"/>
          <w:szCs w:val="28"/>
          <w:lang w:bidi="fa-IR"/>
        </w:rPr>
        <w:t>16/42</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الانتصار فی انفرادات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2/360</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تنزیه الأنبیاء والأئمّة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4/456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جواب شبهات بعض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5/185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ورسالات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الذخیرة فی علم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وشرحه تلمیذه الحلبیّ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li,vd hsbld hdvhk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13/277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إلی أُصول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متعدّدة حول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الرّد علی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والمتشابه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20/154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کتب متعدّدة حول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مسألة فی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المعرفة فی اعجاز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 فی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وغیرها</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عن الشریف المرتضی جماعة کثیرة من العامّة والخاصّة ومنهم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الطائفة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أبو الفتح محمّد بن علیّ الکراجکیّ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عزّالدین الطرابلسیّ القاضی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القاضی ابن قدامة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أبوالفتح عثمان بن جنّی</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رضی‌الله‌عنه من أنّ القرآن کان علی عهد رسول اللّه صلی‌الله‌علیه‌و‌آله مجموعاً مؤلّفاً علی ما هو علیه</w:t>
      </w:r>
    </w:p>
    <w:p>
      <w:pPr>
        <w:pStyle w:val="BookText"/>
        <w:rPr/>
      </w:pPr>
      <w:r>
        <w:rPr>
          <w:rFonts w:ascii="IRNazanin" w:hAnsi="IRNazanin" w:eastAsia="IRNazanin"/>
          <w:color w:val="111111"/>
          <w:sz w:val="28"/>
          <w:sz w:val="28"/>
          <w:szCs w:val="28"/>
          <w:rtl w:val="true"/>
          <w:lang w:bidi="fa-IR"/>
        </w:rPr>
        <w:t>الآن، وأنّ جماعة من الصحابة مثل عبداللّه بن مسعود وأُبیّ بن کعب وغیرهما ختموا القرآن علی‌النبیّ صلی‌الله‌علیه‌و‌آلهعدّةَ ختماتٍ حقّ غیر مخدوش، فإنّ المراد جمعه وختمه بمقدار المنزل فی وقت الختم والجمع، فإنّ تمام القرآن کان فی وقت الختم ذلک المقدار، والّذی</w:t>
      </w:r>
    </w:p>
    <w:p>
      <w:pPr>
        <w:pStyle w:val="BookText"/>
        <w:rPr/>
      </w:pPr>
      <w:r>
        <w:rPr>
          <w:rFonts w:ascii="IRNazanin" w:hAnsi="IRNazanin" w:eastAsia="IRNazanin"/>
          <w:color w:val="111111"/>
          <w:sz w:val="28"/>
          <w:sz w:val="28"/>
          <w:szCs w:val="28"/>
          <w:rtl w:val="true"/>
          <w:lang w:bidi="fa-IR"/>
        </w:rPr>
        <w:t>ختموه، ولیس مراده ختم جمیع ما أنزل إلیه إلی حین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ولیت شعری کیف قال عمر فی مرض‌النبیّ صلی‌الله‌علیه‌و‌آله بعد أمره بإحضار الدّواة والکتف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لیهجر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کتاب‌اللّه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آیات الکتاب متفرِّقة بین الأصحاب وعدم علم أحد غیر أمیرالمؤمنین بجمعها، وعدم معرفة مثل زید بن ثابت بها، حتّی نقل عنه أنّه جمعها بشهادة</w:t>
      </w:r>
    </w:p>
    <w:p>
      <w:pPr>
        <w:pStyle w:val="BookText"/>
        <w:rPr/>
      </w:pPr>
      <w:r>
        <w:rPr>
          <w:rFonts w:ascii="IRNazanin" w:hAnsi="IRNazanin" w:eastAsia="IRNazanin"/>
          <w:color w:val="111111"/>
          <w:sz w:val="28"/>
          <w:sz w:val="28"/>
          <w:szCs w:val="28"/>
          <w:rtl w:val="true"/>
          <w:lang w:bidi="fa-IR"/>
        </w:rPr>
        <w:t>الشهود إلاّ آیة من سورة الأحزاب، فانّه لم یجدها إلاّ عند خزیمة بن ثابت، فأدخلها فی</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القرآن بشهادته وحده ولم یکن غیره مطّلعاً علیها، وکیف لم یعترض أحد علی عمر بأنّک لا تدری أین آیات الکتاب، وعند من تکون؟ فعلم أنّ الکتاب کان جمیعه مُعیَّناً، معلوماً،</w:t>
      </w:r>
    </w:p>
    <w:p>
      <w:pPr>
        <w:pStyle w:val="BookText"/>
        <w:rPr/>
      </w:pPr>
      <w:r>
        <w:rPr>
          <w:rFonts w:ascii="IRNazanin" w:hAnsi="IRNazanin" w:eastAsia="IRNazanin"/>
          <w:color w:val="111111"/>
          <w:sz w:val="28"/>
          <w:sz w:val="28"/>
          <w:szCs w:val="28"/>
          <w:rtl w:val="true"/>
          <w:lang w:bidi="fa-IR"/>
        </w:rPr>
        <w:t>مشهوداً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حکم العقل فبیانه أنّه لا شبهةَ أنّ جَمْعَ الآیات کان مِن أهمّ الواجبات، لأنّ فیه حفظ أصلها من الضِّیاع وحفظ ترتیبها ونظمها من الاختلال، مع أنّ علیها مدار شرع الاسلام وأساس الدِّین والأحکام، ولم یکن للنبیّ صلی‌الله‌علیه‌و‌آله والمسلمین شغل واجب أهم منه إلاّ الجهاد، ولم یکن مزاحماً به فی أغلب الأوقات، مع کون أمیر المؤمنین علیه‌السلام وکثیر من الصحابة المخلصین غالب الحضور عنده صلی‌الله‌علیه‌و‌آله، وکان جمع القرآن وترتیبه فی غایة السهولة علیهم، فکیف یمکن القول بالتّسامح والتّساهل والتّسویف </w:t>
      </w:r>
      <w:r>
        <w:rPr>
          <w:rStyle w:val="FootnoteAnchor"/>
          <w:rtl w:val="true"/>
        </w:rPr>
        <w:footnoteReference w:id="503"/>
      </w:r>
      <w:r>
        <w:rPr>
          <w:rFonts w:ascii="IRNazanin" w:hAnsi="IRNazanin" w:eastAsia="IRNazanin"/>
          <w:color w:val="111111"/>
          <w:sz w:val="28"/>
          <w:sz w:val="28"/>
          <w:szCs w:val="28"/>
          <w:rtl w:val="true"/>
          <w:lang w:bidi="fa-IR"/>
        </w:rPr>
        <w:t>من‌النبیّ صلی‌الله‌علیه‌و‌آله وأمیر المؤمنین علیه‌السلام والمخلّصین من الصحابة فی مُدّةِ عشرین سنة، وتأخیر أمیر المؤمنین علیه‌السلام هذا الواجب إلی بعد وفاه‌النبیّ صلی‌الله‌علیه‌و‌آله حتّی یقع کثیر من الآیات مَعرضاً</w:t>
      </w:r>
    </w:p>
    <w:p>
      <w:pPr>
        <w:pStyle w:val="BookText"/>
        <w:rPr/>
      </w:pPr>
      <w:r>
        <w:rPr>
          <w:rFonts w:ascii="Amiri" w:hAnsi="Amiri" w:eastAsia="Amiri" w:cs="Amiri"/>
          <w:color w:val="111111"/>
          <w:sz w:val="28"/>
          <w:sz w:val="28"/>
          <w:szCs w:val="28"/>
          <w:rtl w:val="true"/>
          <w:lang w:bidi="ar-SA"/>
        </w:rPr>
        <w:t>لِلتّغییر والضِّیاع؟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جمعَ الکتاب وترتیبَ کلِّ ما نزل منه فی کلِّ وقت وتدوینه ونشره کان من أوجب الواجبات وأهمّ الأُمور، لوضوح أنّه کان من أعظم معجزات‌النبیّ صلی‌الله‌علیه‌و‌آلهوأتمّ الدّلائل علی صدق النبوّة، وأساس الشّریعة، ومأخذ الأحکام الإلهیة، ولم یکن مزاحماً</w:t>
      </w:r>
    </w:p>
    <w:p>
      <w:pPr>
        <w:pStyle w:val="BookText"/>
        <w:rPr/>
      </w:pPr>
      <w:r>
        <w:rPr>
          <w:rFonts w:ascii="IRNazanin" w:hAnsi="IRNazanin" w:eastAsia="IRNazanin"/>
          <w:color w:val="111111"/>
          <w:sz w:val="28"/>
          <w:sz w:val="28"/>
          <w:szCs w:val="28"/>
          <w:rtl w:val="true"/>
          <w:lang w:bidi="fa-IR"/>
        </w:rPr>
        <w:t>بأهمّ منه فی أغلب الأوقات، مع أنّا نعلم أنّه کان أغلب أوقات‌النبیّ صلی‌الله‌علیه‌و‌آلهوالمؤمنین الصّادقین مصروفاً فی العبادات، وأیُّ عبادةٍ کان أهمَّ مِن جمعِ القرآن الّذی کان بجمعِه</w:t>
      </w:r>
    </w:p>
    <w:p>
      <w:pPr>
        <w:pStyle w:val="BookText"/>
        <w:rPr/>
      </w:pPr>
      <w:r>
        <w:rPr>
          <w:rFonts w:ascii="IRNazanin" w:hAnsi="IRNazanin" w:eastAsia="IRNazanin"/>
          <w:color w:val="111111"/>
          <w:sz w:val="28"/>
          <w:sz w:val="28"/>
          <w:szCs w:val="28"/>
          <w:rtl w:val="true"/>
          <w:lang w:bidi="fa-IR"/>
        </w:rPr>
        <w:t>وحفظِه حفظُ الاسلام، مع علمهم بکثرة المنافقین والمعاندین للدین مع إقدامهم فی مشاقّ</w:t>
      </w:r>
    </w:p>
    <w:p>
      <w:pPr>
        <w:pStyle w:val="BookText"/>
        <w:rPr/>
      </w:pPr>
      <w:r>
        <w:rPr>
          <w:rFonts w:ascii="IRNazanin" w:hAnsi="IRNazanin" w:eastAsia="IRNazanin"/>
          <w:color w:val="111111"/>
          <w:sz w:val="28"/>
          <w:sz w:val="28"/>
          <w:szCs w:val="28"/>
          <w:rtl w:val="true"/>
          <w:lang w:bidi="fa-IR"/>
        </w:rPr>
        <w:t>الأُمور لحفظ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جمع القرآن علیهم فی غایة السّهولةِ، خصوصاً علی النبیّ</w:t>
      </w:r>
    </w:p>
    <w:p>
      <w:pPr>
        <w:pStyle w:val="BookText"/>
        <w:rPr/>
      </w:pPr>
      <w:r>
        <w:rPr>
          <w:rFonts w:ascii="IRNazanin" w:hAnsi="IRNazanin" w:eastAsia="IRNazanin"/>
          <w:color w:val="111111"/>
          <w:sz w:val="28"/>
          <w:sz w:val="28"/>
          <w:szCs w:val="28"/>
          <w:rtl w:val="true"/>
          <w:lang w:bidi="fa-IR"/>
        </w:rPr>
        <w:t>صلی‌الله‌علیه‌و‌آله مع ملازمة أمیر المؤمنین علیه‌السلاملخدمته فی اللّیل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فالمتأمِّل المُنصِف یقطع بوقوع الجمع متدرّجاً بتدرّج النّزول بأمرالنبیّ صلی‌الله‌علیه‌و‌آلهوخطّ أمیر المؤمنین</w:t>
      </w:r>
    </w:p>
    <w:p>
      <w:pPr>
        <w:pStyle w:val="BookText"/>
        <w:rPr/>
      </w:pPr>
      <w:r>
        <w:rPr>
          <w:rFonts w:ascii="IRNazanin" w:hAnsi="IRNazanin" w:eastAsia="IRNazanin"/>
          <w:color w:val="111111"/>
          <w:sz w:val="28"/>
          <w:sz w:val="28"/>
          <w:szCs w:val="28"/>
          <w:rtl w:val="true"/>
          <w:lang w:bidi="fa-IR"/>
        </w:rPr>
        <w:t>علیه‌السلام بل یقطع بجمع</w:t>
      </w:r>
    </w:p>
    <w:p>
      <w:pPr>
        <w:pStyle w:val="BookText"/>
        <w:rPr/>
      </w:pPr>
      <w:r>
        <w:rPr>
          <w:rFonts w:ascii="IRNazanin" w:hAnsi="IRNazanin" w:eastAsia="IRNazanin"/>
          <w:color w:val="111111"/>
          <w:sz w:val="28"/>
          <w:sz w:val="28"/>
          <w:szCs w:val="28"/>
          <w:rtl w:val="true"/>
          <w:lang w:bidi="fa-IR"/>
        </w:rPr>
        <w:t>کثیر من المؤمنین له، وتألیف نسخ کثیرة منه، وعرضها علی‌النبیّ صلی‌الله‌علیه‌و‌آله وعدم تساهل کثیر</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 فیه، حیث لم یکن فی زمان‌النبیّ صلی‌الله‌علیه‌و‌آلهعلمٌ غیرَ علم القرآن، ولم یکن للصحابة حظٌّ</w:t>
      </w:r>
    </w:p>
    <w:p>
      <w:pPr>
        <w:pStyle w:val="BookText"/>
        <w:rPr/>
      </w:pPr>
      <w:r>
        <w:rPr>
          <w:rFonts w:ascii="Amiri" w:hAnsi="Amiri" w:eastAsia="Amiri" w:cs="Amiri"/>
          <w:color w:val="111111"/>
          <w:sz w:val="28"/>
          <w:sz w:val="28"/>
          <w:szCs w:val="28"/>
          <w:rtl w:val="true"/>
          <w:lang w:bidi="ar-SA"/>
        </w:rPr>
        <w:t>وعبادةٌ أکثرَ مِن تلاوة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العادة والاعتبار فبیانه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لعدّة من أصحاب‌النبیّ صلی‌الله‌علیه‌و‌آله منصبُ کتابة الوحی فلا بدّ لهم بحسب العادة تهیئة لوازم الکتابة من القلم والمداد والأوراق أو غیر ذلک من الأشیاء القابلة للکتابة، حتّی لا یکون لهم تعطیلٌ فی موقع الحاجة والقیام بالوظیفة وحفظ التّرتیب وإیراد کلّ سورة أو آیة فی مَحلِّها وموردها حتّی لا یحصل لهم تحیّرٌ</w:t>
      </w:r>
    </w:p>
    <w:p>
      <w:pPr>
        <w:pStyle w:val="BookText"/>
        <w:rPr/>
      </w:pPr>
      <w:r>
        <w:rPr>
          <w:rFonts w:ascii="IRNazanin" w:hAnsi="IRNazanin" w:eastAsia="IRNazanin"/>
          <w:color w:val="111111"/>
          <w:sz w:val="28"/>
          <w:sz w:val="28"/>
          <w:szCs w:val="28"/>
          <w:rtl w:val="true"/>
          <w:lang w:bidi="fa-IR"/>
        </w:rPr>
        <w:t>وکلفةٌ فی الکتابة، وبعید غایته أنّهم کانوا یکتبون الآیات فی أوراقٍ مُتفرِّقةٍ غیر مُنتظمة، بحیث إذا أمرهم‌النبیّ صلی‌الله‌علیه‌و‌آلهأنْ یضعوا آیة کذا فی موضع کذا، کانوا یُدوِّرون تلک الأوراق، ویفتِّشون الصحائفَ المتش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تِّتةَ حتّی یجدوا موقعها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التأمّلَ الصّادقَ قاض بأنّ الکُتّاب الّذین کان منهم أمیر المؤمنین علیه‌السلام کانوا قد جمعوا جمیع الآیات المنزلة علی الترتیب الّذی کان یأمرهم به‌النبیّ صلی‌الله‌علیه‌و‌آله ولم‌یکونوا غیر معتنین بجمعه وترتیبه، ولا یمکن القول بأ نّهم کتبوا الآیات فی أشیاء</w:t>
      </w:r>
    </w:p>
    <w:p>
      <w:pPr>
        <w:pStyle w:val="BookText"/>
        <w:rPr/>
      </w:pPr>
      <w:r>
        <w:rPr>
          <w:rFonts w:ascii="IRNazanin" w:hAnsi="IRNazanin" w:eastAsia="IRNazanin"/>
          <w:color w:val="111111"/>
          <w:sz w:val="28"/>
          <w:sz w:val="28"/>
          <w:szCs w:val="28"/>
          <w:rtl w:val="true"/>
          <w:lang w:bidi="fa-IR"/>
        </w:rPr>
        <w:t>متفرّقة من غیر ترتیب ونظم إلی أن دعا اللّه‌ُ نبیَّه إلی جواره وتقمّص أبو بکر خلافته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واتّفق قتل کثیر من القرّاء بالیمامة، ولم یکن فی جمیع المدّة نسخةٌ مجموعةٌ من الکتاب العزیز</w:t>
      </w:r>
    </w:p>
    <w:p>
      <w:pPr>
        <w:pStyle w:val="BookText"/>
        <w:rPr/>
      </w:pPr>
      <w:r>
        <w:rPr>
          <w:rFonts w:ascii="IRNazanin" w:hAnsi="IRNazanin" w:eastAsia="IRNazanin"/>
          <w:color w:val="111111"/>
          <w:sz w:val="28"/>
          <w:sz w:val="28"/>
          <w:szCs w:val="28"/>
          <w:rtl w:val="true"/>
          <w:lang w:bidi="fa-IR"/>
        </w:rPr>
        <w:t>بین المسلمین، وکان أربعة أو خمسة من الصحابة حافظین لجمیع القرآن وتالین له عن ظهر القلب، وغیرهم لم یکونوا مطّلعین إلاّ بقلیل من آیاته، وکان عند کلٍّ منهم جزءاً قلیلاً منه حتّی صمّم أبو بکر وعمر لخوف ذهاب القرآن علی جمعه وترتیبه وکتابة نسخة منه کما رواه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البخاریّ</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 xml:space="preserve">البخاریّ هو أبو عبداللّه محمّد بن إسماعیل البخاریّ، ولد ببخاری سنة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وارتحل لطلب الحدیث وتنقّل فی البلاد، وابتدأ فی تراجم أبواب کتابه بالحرم الشریف، ولبث فی تصنیفه ستّ عشرة سنة بالبصرة وغیرها حتّی أتمّه ببخاری، ومات بخرنتک قرب سمرقند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الحافظ ابن حجر فی مقدّمة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حرّک همّة البخاریّ لجمع الحدیث الصحیح وقوّی عزمه علی ذلک أستاذه إسحاق بن راهویه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جمعتم کتابا مختصرا لصحیح سنّة رسول اللّه ؛ فوقع ذلک فی قلبی، فأخذت فی جمع الجامع الصحیح، وخرّجت الصحیح من ستّمائة ألف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حرّر ابن حجر أنّ عدّة ما فی البخاریّ من المتون الموصولة بلا تکرار </w:t>
      </w:r>
      <w:r>
        <w:rPr>
          <w:rFonts w:eastAsia="IRNazanin" w:cs="IRNazanin"/>
          <w:color w:val="111111"/>
          <w:sz w:val="28"/>
          <w:szCs w:val="28"/>
          <w:lang w:bidi="fa-IR"/>
        </w:rPr>
        <w:t>2602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المتون المعلّقة المدفوعة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فمجموع ذلک </w:t>
      </w:r>
      <w:r>
        <w:rPr>
          <w:rFonts w:eastAsia="IRNazanin" w:cs="IRNazanin"/>
          <w:color w:val="111111"/>
          <w:sz w:val="28"/>
          <w:szCs w:val="28"/>
          <w:lang w:bidi="fa-IR"/>
        </w:rPr>
        <w:t>2761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شرح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عدّته علی التحریر </w:t>
      </w:r>
      <w:r>
        <w:rPr>
          <w:rFonts w:eastAsia="IRNazanin" w:cs="IRNazanin"/>
          <w:color w:val="111111"/>
          <w:sz w:val="28"/>
          <w:szCs w:val="28"/>
          <w:lang w:bidi="fa-IR"/>
        </w:rPr>
        <w:t>2513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أبو 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البخاریّ یروی بالمعنی، وذکر قول الخطیب البغدادی، فی تاریخ بغداد أنّه قال یوما عن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حدیث سمعته بالبصرة کتبته بالشام، وربّ حدیث سمعته بالشام کتبته بمصر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بکماله ؟ فسکت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بغداد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حجر العسقلانیّ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البخاریّ یخرج الحدیث تامّا بإسنادٍ واحد بلفظین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أبو 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إنّ البخاریّ مات قبل أن یتمّ تبییض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أحمد 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الرِّجال الذین روی البخاریّ لهم غیر ثقات، وقد ضعّف الحفّاظ من رجال البخاریّ نحو ثمانین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ضحی الاسلام </w:t>
      </w:r>
      <w:r>
        <w:rPr>
          <w:rFonts w:eastAsia="IRNazanin" w:cs="IRNazanin"/>
          <w:color w:val="111111"/>
          <w:sz w:val="28"/>
          <w:szCs w:val="28"/>
          <w:lang w:bidi="fa-IR"/>
        </w:rPr>
        <w:t>2/117</w:t>
      </w:r>
      <w:r>
        <w:rPr>
          <w:rFonts w:eastAsia="IRNazanin" w:cs="IRNazanin"/>
          <w:color w:val="111111"/>
          <w:sz w:val="28"/>
          <w:szCs w:val="28"/>
          <w:rtl w:val="true"/>
          <w:lang w:bidi="fa-IR"/>
        </w:rPr>
        <w:t xml:space="preserve"> -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أضواء علی السنّة المحمّدیة ص</w:t>
      </w:r>
      <w:r>
        <w:rPr>
          <w:rFonts w:eastAsia="IRNazanin" w:cs="IRNazanin"/>
          <w:color w:val="111111"/>
          <w:sz w:val="28"/>
          <w:szCs w:val="28"/>
          <w:lang w:bidi="fa-IR"/>
        </w:rPr>
        <w:t>299</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زید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ذکر النهاوندیّ هذا الخبر من الإتقان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لکنّ أصل الخبر فی الصحیح للبخاریّ مع الإصلاحات التالیة</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 إلیَّ أبو بکر بعد</w:t>
      </w:r>
    </w:p>
    <w:p>
      <w:pPr>
        <w:pStyle w:val="BookText"/>
        <w:rPr/>
      </w:pPr>
      <w:r>
        <w:rPr>
          <w:rFonts w:ascii="IRNazanin" w:hAnsi="IRNazanin" w:eastAsia="IRNazanin"/>
          <w:color w:val="111111"/>
          <w:sz w:val="28"/>
          <w:sz w:val="28"/>
          <w:szCs w:val="28"/>
          <w:rtl w:val="true"/>
          <w:lang w:bidi="fa-IR"/>
        </w:rPr>
        <w:t>مقتل أهل الیمامة فإذا عمر بن الخطّاب عنده، فقال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عمرَ أتانی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القتل قد استحرّ یوم الیمامة بقرّاء القرآن، وإنِّی أخشی أن یستحرّ </w:t>
      </w:r>
      <w:r>
        <w:rPr>
          <w:rStyle w:val="FootnoteAnchor"/>
          <w:rtl w:val="true"/>
        </w:rPr>
        <w:footnoteReference w:id="505"/>
      </w:r>
      <w:r>
        <w:rPr>
          <w:rFonts w:ascii="Amiri" w:hAnsi="Amiri" w:eastAsia="Amiri" w:cs="Amiri"/>
          <w:color w:val="111111"/>
          <w:sz w:val="28"/>
          <w:sz w:val="28"/>
          <w:szCs w:val="28"/>
          <w:rtl w:val="true"/>
          <w:lang w:bidi="ar-SA"/>
        </w:rPr>
        <w:t xml:space="preserve">بالقرّاء فی </w:t>
      </w:r>
      <w:r>
        <w:rPr>
          <w:rStyle w:val="FootnoteAnchor"/>
          <w:rtl w:val="true"/>
        </w:rPr>
        <w:footnoteReference w:id="506"/>
      </w:r>
      <w:r>
        <w:rPr>
          <w:rFonts w:ascii="IRNazanin" w:hAnsi="IRNazanin" w:eastAsia="IRNazanin"/>
          <w:color w:val="111111"/>
          <w:sz w:val="28"/>
          <w:sz w:val="28"/>
          <w:szCs w:val="28"/>
          <w:rtl w:val="true"/>
          <w:lang w:bidi="fa-IR"/>
        </w:rPr>
        <w:t>المواطن، فیذهب کثیر من القرآن، وإنِّی أری أن تأمر بجمع القرآن، فقلت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w:t>
      </w:r>
      <w:r>
        <w:rPr>
          <w:rStyle w:val="FootnoteAnchor"/>
          <w:rtl w:val="true"/>
        </w:rPr>
        <w:footnoteReference w:id="507"/>
      </w:r>
      <w:r>
        <w:rPr>
          <w:rFonts w:ascii="IRNazanin" w:hAnsi="IRNazanin" w:eastAsia="IRNazanin"/>
          <w:color w:val="111111"/>
          <w:sz w:val="28"/>
          <w:sz w:val="28"/>
          <w:szCs w:val="28"/>
          <w:rtl w:val="true"/>
          <w:lang w:bidi="fa-IR"/>
        </w:rPr>
        <w:t xml:space="preserve">نفعل شیئاً لم یفعله رسول‌اللّه صلی‌الله‌علیه‌و‌آله؟ قال عمر </w:t>
      </w:r>
      <w:r>
        <w:rPr>
          <w:rStyle w:val="FootnoteAnchor"/>
          <w:rtl w:val="true"/>
        </w:rPr>
        <w:footnoteReference w:id="5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یزل </w:t>
      </w:r>
      <w:r>
        <w:rPr>
          <w:rStyle w:val="FootnoteAnchor"/>
          <w:rtl w:val="true"/>
        </w:rPr>
        <w:footnoteReference w:id="509"/>
      </w:r>
      <w:r>
        <w:rPr>
          <w:rFonts w:ascii="IRNazanin" w:hAnsi="IRNazanin" w:eastAsia="IRNazanin"/>
          <w:color w:val="111111"/>
          <w:sz w:val="28"/>
          <w:sz w:val="28"/>
          <w:szCs w:val="28"/>
          <w:rtl w:val="true"/>
          <w:lang w:bidi="fa-IR"/>
        </w:rPr>
        <w:t xml:space="preserve">یراجعنی حتّی شرح اللّه صدری لذلک، ورأیت </w:t>
      </w:r>
      <w:r>
        <w:rPr>
          <w:rStyle w:val="FootnoteAnchor"/>
          <w:rtl w:val="true"/>
        </w:rPr>
        <w:footnoteReference w:id="510"/>
      </w:r>
      <w:r>
        <w:rPr>
          <w:rFonts w:ascii="IRNazanin" w:hAnsi="IRNazanin" w:eastAsia="IRNazanin"/>
          <w:color w:val="111111"/>
          <w:sz w:val="28"/>
          <w:sz w:val="28"/>
          <w:szCs w:val="28"/>
          <w:rtl w:val="true"/>
          <w:lang w:bidi="fa-IR"/>
        </w:rPr>
        <w:t>الّذی رأی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w:t>
      </w:r>
      <w:r>
        <w:rPr>
          <w:rStyle w:val="FootnoteAnchor"/>
          <w:rtl w:val="true"/>
        </w:rPr>
        <w:footnoteReference w:id="511"/>
      </w:r>
      <w:r>
        <w:rPr>
          <w:rFonts w:ascii="Amiri" w:hAnsi="Amiri" w:eastAsia="Amiri" w:cs="Amiri"/>
          <w:color w:val="111111"/>
          <w:sz w:val="28"/>
          <w:sz w:val="28"/>
          <w:szCs w:val="28"/>
          <w:rtl w:val="true"/>
          <w:lang w:bidi="ar-SA"/>
        </w:rPr>
        <w:t>شابّ عاقل لا نَتَّهِمُّک، وقد کنت تکتب الوحی لرسول اللّه</w:t>
      </w:r>
    </w:p>
    <w:p>
      <w:pPr>
        <w:pStyle w:val="BookText"/>
        <w:rPr/>
      </w:pPr>
      <w:r>
        <w:rPr>
          <w:rFonts w:ascii="Amiri" w:hAnsi="Amiri" w:eastAsia="Amiri" w:cs="Amiri"/>
          <w:color w:val="111111"/>
          <w:sz w:val="28"/>
          <w:sz w:val="28"/>
          <w:szCs w:val="28"/>
          <w:rtl w:val="true"/>
          <w:lang w:bidi="ar-SA"/>
        </w:rPr>
        <w:t xml:space="preserve">صلی‌الله‌علیه‌و‌آله، فتتبَّع القرآنَ واجْمعهُ </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لو کلّفونی نَقل جبلٍ من الجبال، ما کان أثقل علیّ ممّا أمرنی به من جمع القرآن،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تفعلان </w:t>
      </w:r>
      <w:r>
        <w:rPr>
          <w:rStyle w:val="FootnoteAnchor"/>
          <w:rtl w:val="true"/>
        </w:rPr>
        <w:footnoteReference w:id="513"/>
      </w:r>
      <w:r>
        <w:rPr>
          <w:rFonts w:ascii="IRNazanin" w:hAnsi="IRNazanin" w:eastAsia="IRNazanin"/>
          <w:color w:val="111111"/>
          <w:sz w:val="28"/>
          <w:sz w:val="28"/>
          <w:szCs w:val="28"/>
          <w:rtl w:val="true"/>
          <w:lang w:bidi="fa-IR"/>
        </w:rPr>
        <w:t>شیئاً لم‌یفعله رسول اللّه صلی‌الله‌علیه‌و‌آله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واللّه خیر، فلم یزل أبو بکر یراجعنی حتّی شرح اللّه صدری للّذی شرح </w:t>
      </w:r>
      <w:r>
        <w:rPr>
          <w:rStyle w:val="FootnoteAnchor"/>
          <w:rtl w:val="true"/>
        </w:rPr>
        <w:footnoteReference w:id="514"/>
      </w:r>
      <w:r>
        <w:rPr>
          <w:rFonts w:ascii="Amiri" w:hAnsi="Amiri" w:eastAsia="Amiri" w:cs="Amiri"/>
          <w:color w:val="111111"/>
          <w:sz w:val="28"/>
          <w:sz w:val="28"/>
          <w:szCs w:val="28"/>
          <w:rtl w:val="true"/>
          <w:lang w:bidi="ar-SA"/>
        </w:rPr>
        <w:t>اللّه له صدر</w:t>
      </w:r>
    </w:p>
    <w:p>
      <w:pPr>
        <w:pStyle w:val="BookText"/>
        <w:rPr/>
      </w:pPr>
      <w:r>
        <w:rPr>
          <w:rFonts w:ascii="Amiri" w:hAnsi="Amiri" w:eastAsia="Amiri" w:cs="Amiri"/>
          <w:color w:val="111111"/>
          <w:sz w:val="28"/>
          <w:sz w:val="28"/>
          <w:szCs w:val="28"/>
          <w:rtl w:val="true"/>
          <w:lang w:bidi="ar-SA"/>
        </w:rPr>
        <w:t>أبی بکر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فتتبَّعتُ القرآن أجمعُهُ من العُسُبِ واللخاف وصدور الرّجال، حتّی وجدت</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 سورة التوبة مع أبی خزیمة الأنصاریّ لم أجدها مع </w:t>
      </w:r>
      <w:r>
        <w:rPr>
          <w:rStyle w:val="FootnoteAnchor"/>
          <w:rtl w:val="true"/>
        </w:rPr>
        <w:footnoteReference w:id="515"/>
      </w:r>
      <w:r>
        <w:rPr>
          <w:rFonts w:ascii="Amiri" w:hAnsi="Amiri" w:eastAsia="Amiri" w:cs="Amiri"/>
          <w:color w:val="111111"/>
          <w:sz w:val="28"/>
          <w:sz w:val="28"/>
          <w:szCs w:val="28"/>
          <w:rtl w:val="true"/>
          <w:lang w:bidi="ar-SA"/>
        </w:rPr>
        <w:t xml:space="preserve">غیره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جَاءَکُم رَسُولٌ مِنْ أَنْفُسِکُم </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حتّی خاتمة براءة، فکانت الصحف عند أبی بکر حتّی توفّاه اللّه، ثمّ عند عمر</w:t>
      </w:r>
    </w:p>
    <w:p>
      <w:pPr>
        <w:pStyle w:val="BookText"/>
        <w:rPr/>
      </w:pPr>
      <w:r>
        <w:rPr>
          <w:rFonts w:ascii="IRNazanin" w:hAnsi="IRNazanin" w:eastAsia="IRNazanin"/>
          <w:color w:val="111111"/>
          <w:sz w:val="28"/>
          <w:sz w:val="28"/>
          <w:szCs w:val="28"/>
          <w:rtl w:val="true"/>
          <w:lang w:bidi="fa-IR"/>
        </w:rPr>
        <w:t>حیاته، ثمّ عند حفصة بنت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اللّیث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جمع القرآن أبو بکر وکتبه زید، وکان الناس یأتون زید ابن ثابت، فکان لایکتب آیة إلاّ بشهادة عدلین</w:t>
      </w:r>
      <w:r>
        <w:rPr>
          <w:rStyle w:val="FootnoteAnchor"/>
          <w:rtl w:val="true"/>
        </w:rPr>
        <w:footnoteReference w:id="517"/>
      </w:r>
      <w:r>
        <w:rPr>
          <w:rFonts w:ascii="Amiri" w:hAnsi="Amiri" w:eastAsia="Amiri" w:cs="Amiri"/>
          <w:color w:val="111111"/>
          <w:sz w:val="28"/>
          <w:sz w:val="28"/>
          <w:szCs w:val="28"/>
          <w:rtl w:val="true"/>
          <w:lang w:bidi="ar-SA"/>
        </w:rPr>
        <w:t xml:space="preserve">، وإنّ عمر أتی بآیة 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الشّیخُ</w:t>
      </w:r>
    </w:p>
    <w:p>
      <w:pPr>
        <w:pStyle w:val="BookText"/>
        <w:rPr/>
      </w:pPr>
      <w:r>
        <w:rPr>
          <w:rFonts w:ascii="Amiri" w:hAnsi="Amiri" w:eastAsia="Amiri" w:cs="Amiri"/>
          <w:color w:val="111111"/>
          <w:sz w:val="28"/>
          <w:sz w:val="28"/>
          <w:szCs w:val="28"/>
          <w:rtl w:val="true"/>
          <w:lang w:bidi="ar-SA"/>
        </w:rPr>
        <w:t>والشّیخَةُ، إذا زَنیا فَارْجُمُ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وهما بِما قَضیا مِنَ اللَّذَةِ نَکالاً مِنَ اللّه‌ِ وَاللّه‌ُ عَزِیزٌ حَکِیمٌ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فلم‌یکتبها لأ نّه کان وحده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أبی داود </w:t>
      </w:r>
      <w:r>
        <w:rPr>
          <w:rStyle w:val="FootnoteAnchor"/>
          <w:rtl w:val="true"/>
        </w:rPr>
        <w:footnoteReference w:id="519"/>
      </w:r>
      <w:r>
        <w:rPr>
          <w:rFonts w:ascii="IRNazanin" w:hAnsi="IRNazanin" w:eastAsia="IRNazanin"/>
          <w:color w:val="111111"/>
          <w:sz w:val="28"/>
          <w:sz w:val="28"/>
          <w:szCs w:val="28"/>
          <w:rtl w:val="true"/>
          <w:lang w:bidi="fa-IR"/>
        </w:rPr>
        <w:t xml:space="preserve">قال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هو عبداللّه بن سلیمان بن الأشعث، صاحب التصانیف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سنة ثلاثین ومائتین ومات سنة ثمانی عشرة وثلاثمائة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المسند والسنن، والتفسیر والقراءات والناسخ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 أهل العراق وکان فی وقته مشایخ أسند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عالما فقیها حافظا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زرعة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 علیّ حدیثا غریبا من حدیث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فألقی علیّ حدیث وهب بن کیس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عن أسماء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تحصی فیحصی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لی عن عبدالرحمان بن شَیبة وهو ضعیف،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تکتبه عنِّی، عن أحمد بن صالح، عن عبداللّه بن نافع، عن مالک، فغضب وشکانی إلی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ترجمته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اصبهان لأبی نعیم الأصفهانیّ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تاریخ بغداد للخطیب البغدادیّ </w:t>
      </w:r>
      <w:r>
        <w:rPr>
          <w:rFonts w:eastAsia="IRNazanin" w:cs="IRNazanin"/>
          <w:color w:val="111111"/>
          <w:sz w:val="28"/>
          <w:szCs w:val="28"/>
          <w:lang w:bidi="fa-IR"/>
        </w:rPr>
        <w:t>9/464</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2/273</w:t>
      </w:r>
      <w:r>
        <w:rPr>
          <w:rFonts w:ascii="IRNazanin" w:hAnsi="IRNazanin" w:eastAsia="IRNazanin"/>
          <w:color w:val="111111"/>
          <w:sz w:val="28"/>
          <w:sz w:val="28"/>
          <w:szCs w:val="28"/>
          <w:rtl w:val="true"/>
          <w:lang w:bidi="fa-IR"/>
        </w:rPr>
        <w:t xml:space="preserve">، الفهرست لابن الندیم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لسان المیزان </w:t>
      </w:r>
      <w:r>
        <w:rPr>
          <w:rFonts w:eastAsia="IRNazanin" w:cs="IRNazanin"/>
          <w:color w:val="111111"/>
          <w:sz w:val="28"/>
          <w:szCs w:val="28"/>
          <w:lang w:bidi="fa-IR"/>
        </w:rPr>
        <w:t>3/293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تذکرة الحفّاظ للسیوطیّ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عمر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تلقّی شیئاً من القرآن من‌رسول‌اللّه صلی‌الله‌علیه‌و‌آله</w:t>
      </w:r>
    </w:p>
    <w:p>
      <w:pPr>
        <w:pStyle w:val="BookText"/>
        <w:rPr/>
      </w:pPr>
      <w:r>
        <w:rPr>
          <w:rFonts w:ascii="IRNazanin" w:hAnsi="IRNazanin" w:eastAsia="IRNazanin"/>
          <w:color w:val="111111"/>
          <w:sz w:val="28"/>
          <w:sz w:val="28"/>
          <w:szCs w:val="28"/>
          <w:rtl w:val="true"/>
          <w:lang w:bidi="fa-IR"/>
        </w:rPr>
        <w:t>فلیأت به، وکانوا یکتبون ذلک فی الصحف والألواح والعُسُب، وکان لا یقبل من أحد شیئاً</w:t>
      </w:r>
    </w:p>
    <w:p>
      <w:pPr>
        <w:pStyle w:val="BookText"/>
        <w:rPr/>
      </w:pPr>
      <w:r>
        <w:rPr>
          <w:rFonts w:ascii="IRNazanin" w:hAnsi="IRNazanin" w:eastAsia="IRNazanin"/>
          <w:color w:val="111111"/>
          <w:sz w:val="28"/>
          <w:sz w:val="28"/>
          <w:szCs w:val="28"/>
          <w:rtl w:val="true"/>
          <w:lang w:bidi="fa-IR"/>
        </w:rPr>
        <w:t xml:space="preserve">حتّی یشهد شهیدان </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داود أنّ عمرَ سأل عن آیة من کتاب اللّه،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مع فلانٍ قُتل یوم الیمامة،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بجمع القرآن، فکان أوّل من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لعمری إنّ فی هذه الأخبار تضعیف الثقل الأکبر وتوهین نبوّة خاتم النبیّین صلی‌الله‌علیه‌و‌آله، وتخریب أساس الدِّین، وتلقین الملحدین الحجّة فی إنکار تواتر الکتاب المبین، ولیس ببعیدٍ من المستضعفین للثقل الأصغر، والمنکرین لإمامة أمیر المؤمنین علیه‌السلام، والمعرضین عن أهل الذّکر وحُجَجِ المعصومین، ولیتَ شعری ما ألجأ عمر وأبا بکر إلی التوسّل بزید بن</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الشّاب الحدث، فی جمع الکتاب الکریم مع عدم علمه بجمیع الآیات، و أمیر المؤمنین علیه‌السلام بین أظهرهم، وهو باتف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 الأُمّة، أعلم الناس بکتاب اللّه بعد رسول</w:t>
      </w:r>
    </w:p>
    <w:p>
      <w:pPr>
        <w:pStyle w:val="BookText"/>
        <w:rPr/>
      </w:pPr>
      <w:r>
        <w:rPr>
          <w:rFonts w:ascii="IRNazanin" w:hAnsi="IRNazanin" w:eastAsia="IRNazanin"/>
          <w:color w:val="111111"/>
          <w:sz w:val="28"/>
          <w:sz w:val="28"/>
          <w:szCs w:val="28"/>
          <w:rtl w:val="true"/>
          <w:lang w:bidi="fa-IR"/>
        </w:rPr>
        <w:t>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السبب فی اعتمادهم بشهادة شاهدین فی کون شیء من کتاب اللّه إلاّ فی آیتین مِن آخِر براءة، فاکتفوا فیه بشهادة خزیمة ولم یرجعوا إلی علیّ بن أبی طالب علیه‌السلام فی شیء، مع أنّه کان عنده جمیع القرآن، وکان أصدقَ وأوثقَ من خزیمة وسائر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قال عمر بعد سؤاله عن آیة من الکتاب واطّلاعه علی کونها عند قتیل الیمامة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w:t>
      </w:r>
    </w:p>
    <w:p>
      <w:pPr>
        <w:pStyle w:val="BookText"/>
        <w:rPr/>
      </w:pPr>
      <w:r>
        <w:rPr>
          <w:rFonts w:ascii="IRNazanin" w:hAnsi="IRNazanin" w:eastAsia="IRNazanin"/>
          <w:color w:val="111111"/>
          <w:sz w:val="28"/>
          <w:sz w:val="28"/>
          <w:szCs w:val="28"/>
          <w:rtl w:val="true"/>
          <w:lang w:bidi="fa-IR"/>
        </w:rPr>
        <w:t>للّه ؟ مع علمه بأ نّه لم یفت عن أمیر المؤمنین علیه‌السلام شیء من الآیات، وإنّه لم یکن یکتم آیات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الکتاب من البرّ والفاجر ؟</w:t>
      </w:r>
      <w:r>
        <w:rPr>
          <w:rFonts w:eastAsia="IRNazanin" w:cs="IRNazanin"/>
          <w:color w:val="111111"/>
          <w:sz w:val="28"/>
          <w:szCs w:val="28"/>
          <w:rtl w:val="true"/>
          <w:lang w:bidi="fa-IR"/>
        </w:rPr>
        <w:t>.</w:t>
      </w:r>
      <w:bookmarkStart w:id="419" w:name="pg4391_51161"/>
    </w:p>
    <w:p>
      <w:pPr>
        <w:pStyle w:val="Heading5"/>
        <w:numPr>
          <w:ilvl w:val="4"/>
          <w:numId w:val="1"/>
        </w:numPr>
        <w:rPr/>
      </w:pPr>
      <w:bookmarkStart w:id="420" w:name="__RefHeading___Toc1438903_1479056682"/>
      <w:bookmarkStart w:id="421" w:name="_Toc160"/>
      <w:bookmarkEnd w:id="419"/>
      <w:bookmarkEnd w:id="420"/>
      <w:r>
        <w:rPr>
          <w:rtl w:val="true"/>
        </w:rPr>
        <w:t>الطُّرفة السادسة</w:t>
      </w:r>
      <w:r>
        <w:rPr>
          <w:rtl w:val="true"/>
        </w:rPr>
        <w:t xml:space="preserve">: </w:t>
      </w:r>
      <w:r>
        <w:rPr>
          <w:rtl w:val="true"/>
        </w:rPr>
        <w:t>فی أنّ القرآن العظیم جُمِعَ ثلاث مرّات إحداها کان بحضره‌النبیّ صلی‌الله‌علیه‌و‌آله</w:t>
      </w:r>
      <w:bookmarkEnd w:id="421"/>
    </w:p>
    <w:p>
      <w:pPr>
        <w:pStyle w:val="BookText"/>
        <w:rPr/>
      </w:pPr>
      <w:r>
        <w:rPr>
          <w:rFonts w:ascii="IRNazanin" w:hAnsi="IRNazanin" w:eastAsia="IRNazanin"/>
          <w:color w:val="111111"/>
          <w:sz w:val="28"/>
          <w:sz w:val="28"/>
          <w:szCs w:val="28"/>
          <w:rtl w:val="true"/>
          <w:lang w:bidi="fa-IR"/>
        </w:rPr>
        <w:t>قال الحاکم فی المس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تدرک</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بیان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جمعَ القرآن لم یکن مرّة واحدةً، فقد جمع بعضه بحضرة الرسول صلی‌الله‌علیه‌و‌آله ثمّ جَمَعَه بعضه بحضرة أبی بکر، والجمع الثالث هو فی ترتیب السورة کان فی خلافة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المستدرک علی الصحیحین للحاکم </w:t>
      </w:r>
      <w:r>
        <w:rPr>
          <w:rFonts w:eastAsia="IRNazanin" w:cs="IRNazanin"/>
          <w:color w:val="111111"/>
          <w:sz w:val="28"/>
          <w:szCs w:val="28"/>
          <w:lang w:bidi="fa-IR"/>
        </w:rPr>
        <w:t>2/229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خلاف ما قاله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القرآن ثلاث مرّات، إحداها بحضره‌النبیّ صلی‌الله‌علیه‌و‌آله ، واستدلّ بحدیث زید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 رسول اللّه صلی‌الله‌علیه‌و‌آله نؤلِّف القرآن من الرّقاع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p>
    <w:p>
      <w:pPr>
        <w:pStyle w:val="BookText"/>
        <w:rPr/>
      </w:pPr>
      <w:r>
        <w:rPr>
          <w:rFonts w:ascii="IRNazanin" w:hAnsi="IRNazanin" w:eastAsia="IRNazanin"/>
          <w:color w:val="111111"/>
          <w:sz w:val="28"/>
          <w:sz w:val="28"/>
          <w:szCs w:val="28"/>
          <w:rtl w:val="true"/>
          <w:lang w:bidi="fa-IR"/>
        </w:rPr>
        <w:t xml:space="preserve">بحضرة أبی بکر، واستدلّ بروایة البخاریّ </w:t>
      </w:r>
      <w:r>
        <w:rPr>
          <w:rStyle w:val="FootnoteAnchor"/>
          <w:rtl w:val="true"/>
        </w:rPr>
        <w:footnoteReference w:id="523"/>
      </w:r>
      <w:r>
        <w:rPr>
          <w:rFonts w:ascii="IRNazanin" w:hAnsi="IRNazanin" w:eastAsia="IRNazanin"/>
          <w:color w:val="111111"/>
          <w:sz w:val="28"/>
          <w:sz w:val="28"/>
          <w:szCs w:val="28"/>
          <w:rtl w:val="true"/>
          <w:lang w:bidi="fa-IR"/>
        </w:rPr>
        <w:t>عن زید بن ثابت من بلوغ خبر مقتل أهل الیمامة، وقول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القتل قد استحرّ بقُرّاء القرآن یوم الیمامة إلخ، وقد مرّ ذکره فی الطُّرفة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حارث المحاسبیّ فی کتاب فهم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کتابة القرآن لیست بمحدَثة، فإنّه صلی‌الله‌علیه‌و‌آله کان یأمر بکتابته، ولکنّه کان مُفرَّقاً فی الرّقاع والأکتاف والعُسُب، فإنّما أمر الصدّیق</w:t>
      </w:r>
    </w:p>
    <w:p>
      <w:pPr>
        <w:pStyle w:val="BookText"/>
        <w:rPr/>
      </w:pPr>
      <w:r>
        <w:rPr>
          <w:rFonts w:ascii="IRNazanin" w:hAnsi="IRNazanin" w:eastAsia="IRNazanin"/>
          <w:color w:val="111111"/>
          <w:sz w:val="28"/>
          <w:sz w:val="28"/>
          <w:szCs w:val="28"/>
          <w:rtl w:val="true"/>
          <w:lang w:bidi="fa-IR"/>
        </w:rPr>
        <w:t>بنسخها من مکان إلی مکان مجتمعاً، وکان ذلک بمنزلة أوراق وجدت فی بیت رسول‌اللّه صلی‌الله‌علیه‌و‌آلهفیها القرآن منتشر، فجمعها جامع، وربطها بخیط حتّی لا یضیع منها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وقعت الثقة بأصحاب الرّقاع وصدور الرجال ؟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نّهم کانوا یبدون عن تألیفٍ معجزٍ ونظمٍ معروفٍ قد شاهدوا تلاوته من‌النبیّ صلی‌الله‌علیه‌و‌آله عشرین سنة، فکان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تزویر ما لیس منه مأموناً، وإنّما الخوف من ذهاب شیء من صحفه، وقد تقدّم فی حدیث</w:t>
      </w:r>
    </w:p>
    <w:p>
      <w:pPr>
        <w:pStyle w:val="BookText"/>
        <w:rPr/>
      </w:pPr>
      <w:r>
        <w:rPr>
          <w:rFonts w:ascii="Amiri" w:hAnsi="Amiri" w:eastAsia="Amiri" w:cs="Amiri"/>
          <w:color w:val="111111"/>
          <w:sz w:val="28"/>
          <w:sz w:val="28"/>
          <w:szCs w:val="28"/>
          <w:rtl w:val="true"/>
          <w:lang w:bidi="ar-SA"/>
        </w:rPr>
        <w:t>أنّه جمع القرآن من العُسُب واللخاف</w:t>
      </w:r>
      <w:r>
        <w:rPr>
          <w:rFonts w:eastAsia="Amiri" w:cs="Amiri" w:ascii="Amiri" w:hAnsi="Amiri"/>
          <w:color w:val="111111"/>
          <w:sz w:val="28"/>
          <w:szCs w:val="28"/>
          <w:rtl w:val="true"/>
          <w:lang w:bidi="ar-SA"/>
        </w:rPr>
        <w:t>.</w:t>
      </w:r>
      <w:r>
        <w:rPr>
          <w:rStyle w:val="FootnoteAnchor"/>
          <w:rtl w:val="true"/>
        </w:rPr>
        <w:footnoteReference w:id="524"/>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الرّقاع، 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الأدیم، 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والأکتاف، وفی أُخری والأضلاع، وفی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والأقتاب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والجمع الثالث هو ترتیب السّور فی زمن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البخاریّ </w:t>
      </w:r>
      <w:r>
        <w:rPr>
          <w:rStyle w:val="FootnoteAnchor"/>
          <w:rtl w:val="true"/>
        </w:rPr>
        <w:footnoteReference w:id="525"/>
      </w:r>
      <w:r>
        <w:rPr>
          <w:rFonts w:ascii="IRNazanin" w:hAnsi="IRNazanin" w:eastAsia="IRNazanin"/>
          <w:color w:val="111111"/>
          <w:sz w:val="28"/>
          <w:sz w:val="28"/>
          <w:szCs w:val="28"/>
          <w:rtl w:val="true"/>
          <w:lang w:bidi="fa-IR"/>
        </w:rPr>
        <w:t>عن أنس أنّ حذیفة بن الیمان قَدِمَ علی عثمان وکان یغازی أهل الشام فی فتح أرمنیة وآذربیجان مع أهل العراق، فأفرغ حذیفة اختلافهم فی القراءة، فقال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أدرِکِ الأُمّةَ </w:t>
      </w:r>
      <w:r>
        <w:rPr>
          <w:rStyle w:val="FootnoteAnchor"/>
          <w:rtl w:val="true"/>
        </w:rPr>
        <w:footnoteReference w:id="526"/>
      </w:r>
      <w:r>
        <w:rPr>
          <w:rFonts w:ascii="IRNazanin" w:hAnsi="IRNazanin" w:eastAsia="IRNazanin"/>
          <w:color w:val="111111"/>
          <w:sz w:val="28"/>
          <w:sz w:val="28"/>
          <w:szCs w:val="28"/>
          <w:rtl w:val="true"/>
          <w:lang w:bidi="fa-IR"/>
        </w:rPr>
        <w:t xml:space="preserve">قبل أن یختلفوا </w:t>
      </w:r>
      <w:r>
        <w:rPr>
          <w:rStyle w:val="FootnoteAnchor"/>
          <w:rtl w:val="true"/>
        </w:rPr>
        <w:footnoteReference w:id="527"/>
      </w:r>
      <w:r>
        <w:rPr>
          <w:rFonts w:ascii="IRNazanin" w:hAnsi="IRNazanin" w:eastAsia="IRNazanin"/>
          <w:color w:val="111111"/>
          <w:sz w:val="28"/>
          <w:sz w:val="28"/>
          <w:szCs w:val="28"/>
          <w:rtl w:val="true"/>
          <w:lang w:bidi="fa-IR"/>
        </w:rPr>
        <w:t>اختلاف الیهود والنصاری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w:t>
      </w:r>
      <w:r>
        <w:rPr>
          <w:rStyle w:val="FootnoteAnchor"/>
          <w:rtl w:val="true"/>
        </w:rPr>
        <w:footnoteReference w:id="528"/>
      </w:r>
      <w:r>
        <w:rPr>
          <w:rFonts w:ascii="IRNazanin" w:hAnsi="IRNazanin" w:eastAsia="IRNazanin"/>
          <w:color w:val="111111"/>
          <w:sz w:val="28"/>
          <w:sz w:val="28"/>
          <w:szCs w:val="28"/>
          <w:rtl w:val="true"/>
          <w:lang w:bidi="fa-IR"/>
        </w:rPr>
        <w:t>إلی حفصة أن أرسلی إلینا الصحف ننسخها فی المصاحف، ثمّ نردّها إلیکِ، فأرسلت بها حفصةُ إلی عثمان، فأمر زیدَ بن ثابتِ</w:t>
      </w:r>
    </w:p>
    <w:p>
      <w:pPr>
        <w:pStyle w:val="BookText"/>
        <w:rPr/>
      </w:pPr>
      <w:r>
        <w:rPr>
          <w:rFonts w:ascii="IRNazanin" w:hAnsi="IRNazanin" w:eastAsia="IRNazanin"/>
          <w:color w:val="111111"/>
          <w:sz w:val="28"/>
          <w:sz w:val="28"/>
          <w:szCs w:val="28"/>
          <w:rtl w:val="true"/>
          <w:lang w:bidi="fa-IR"/>
        </w:rPr>
        <w:t>وعبدَاللّه بنَ الزبیر وسعیدَ بن العاص وعبدَالرّحمان بن الحارث بن هشام، فنسخوها فی</w:t>
      </w:r>
    </w:p>
    <w:p>
      <w:pPr>
        <w:pStyle w:val="BookText"/>
        <w:rPr/>
      </w:pPr>
      <w:r>
        <w:rPr>
          <w:rFonts w:ascii="IRNazanin" w:hAnsi="IRNazanin" w:eastAsia="IRNazanin"/>
          <w:color w:val="111111"/>
          <w:sz w:val="28"/>
          <w:sz w:val="28"/>
          <w:szCs w:val="28"/>
          <w:rtl w:val="true"/>
          <w:lang w:bidi="fa-IR"/>
        </w:rPr>
        <w:t xml:space="preserve">المصاحف، وقال عثمان للرّهط </w:t>
      </w:r>
      <w:r>
        <w:rPr>
          <w:rStyle w:val="FootnoteAnchor"/>
          <w:rtl w:val="true"/>
        </w:rPr>
        <w:footnoteReference w:id="529"/>
      </w:r>
      <w:r>
        <w:rPr>
          <w:rFonts w:ascii="IRNazanin" w:hAnsi="IRNazanin" w:eastAsia="IRNazanin"/>
          <w:color w:val="111111"/>
          <w:sz w:val="28"/>
          <w:sz w:val="28"/>
          <w:szCs w:val="28"/>
          <w:rtl w:val="true"/>
          <w:lang w:bidi="fa-IR"/>
        </w:rPr>
        <w:t>القرشیّین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اختلفتم أنتم وزیدُ بن ثابت فی شیء من القرآن، فاکتبوه بلسان قریش، فإنّه إنّما نزل</w:t>
      </w:r>
      <w:r>
        <w:rPr>
          <w:rStyle w:val="FootnoteAnchor"/>
          <w:rtl w:val="true"/>
        </w:rPr>
        <w:footnoteReference w:id="530"/>
      </w:r>
      <w:r>
        <w:rPr>
          <w:rFonts w:ascii="Amiri" w:hAnsi="Amiri" w:eastAsia="Amiri" w:cs="Amiri"/>
          <w:color w:val="111111"/>
          <w:sz w:val="28"/>
          <w:sz w:val="28"/>
          <w:szCs w:val="28"/>
          <w:rtl w:val="true"/>
          <w:lang w:bidi="ar-SA"/>
        </w:rPr>
        <w:t>بلسانهم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ففعلوا حتّی إذا نسخوا الصحف فی المصاحف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عثمان الصحف إلی حفصة وأرسل إلی کلّ أُفق بمصحف ممّا نسخوا، وأمر بما سواه من القرآن فی کلّ صحیفة أو مصحف أن یُحرق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ففقدت آیةٌ من الأحزاب حین نسخنا المصحف قد کنت أسمع رسول اللّه صلی‌الله‌علیه‌و‌آلهیقرأ بها، فالتمسناها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فوجدناها مع خزیمة بن ثابت الأنصاریّ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المُؤْمِنِینَ رِجَالٌ صَدَقُوا مَا عَاهَدُوا اللّه‌َ عَلَیْهِ </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الآیة، فألحقناها فی سورتها فی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جمع من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جمعَ عثمان کان لمّا کثُر الاختلاف فی وجوه القراءة حتّی قرأوه بلغات علی اتّساع اللّغات، فأدّی ذلک بعضهم إلی تخطئة بعضٍ، فخشی من تفاقم الأمر فی ذلک، فنسخ تلک الصحف فی مُصحف واحدٍ مرتّباً لسوره، واقتصر من سائر اللّغات علی لغة قریش، محتجّاً</w:t>
      </w:r>
    </w:p>
    <w:p>
      <w:pPr>
        <w:pStyle w:val="BookText"/>
        <w:rPr/>
      </w:pPr>
      <w:r>
        <w:rPr>
          <w:rFonts w:ascii="IRNazanin" w:hAnsi="IRNazanin" w:eastAsia="IRNazanin"/>
          <w:color w:val="111111"/>
          <w:sz w:val="28"/>
          <w:sz w:val="28"/>
          <w:szCs w:val="28"/>
          <w:rtl w:val="true"/>
          <w:lang w:bidi="fa-IR"/>
        </w:rPr>
        <w:t>بأ نّه نزل بلغتهم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الحارث المحاسبیّ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المشهور إنّ جامع القرآن عثمان، ولیس کذلک،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حمل عثمان الناس علی القراءة بوجه واحدٍ علی اختیار وقع بینه وبین مَن شهد مِن</w:t>
      </w:r>
    </w:p>
    <w:p>
      <w:pPr>
        <w:pStyle w:val="BookText"/>
        <w:rPr/>
      </w:pPr>
      <w:r>
        <w:rPr>
          <w:rFonts w:ascii="IRNazanin" w:hAnsi="IRNazanin" w:eastAsia="IRNazanin"/>
          <w:color w:val="111111"/>
          <w:sz w:val="28"/>
          <w:sz w:val="28"/>
          <w:szCs w:val="28"/>
          <w:rtl w:val="true"/>
          <w:lang w:bidi="fa-IR"/>
        </w:rPr>
        <w:t>المهاجرین والأنصار لمّا خشی الفتنة عند اختلاف أهل العراق والشام فی حروف القراءات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بعض الروایات وجمع من العلماء أنّ الجمع الّذی وقع فی زمان النبیّ صلی‌الله‌علیه‌و‌آلهکان مشتملاً علی العلوم المرتبطة بالقرآن من بیان شأن نزول الآیات، ومن التفسیرات والتأویلات المأخوذة من‌النبیّ صلی‌الله‌علیه‌و‌آله ووجوه القراءات، کما نقل عن ابن سیرین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أنّه کتبه علیّ علیه‌السلام علی تنزیله، ولو أُجیب إلی ذلک الکتاب، لوجد فیه علم کثیر،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 فی مصحفه الناسخ والمنسوخ</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البیان فی تفسیر القرآن للخوئیّ، ص</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وخلاصة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الآیات والسور القرآنیة قد کتبت فی المصاحف المتفرّقة والقراطیس والأکتاف والعسب واللخاف والأقتاب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المؤلِّفین والمدوِّنین منهم علیّ بن أبی طالب علیه‌السلام قد أ لّفوها فی المصحف الموحّد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علیّ علیه‌السلامفی أطراف مصحفه وحواشیه تفسیر وتأویل الآیات الکریمة، وأهداه إلی ابنه الحسن علیه‌السلام ثمّ الحسین علیه‌السلام نسلاً بعد النسل، وصار عندئذ مصحف علیّ علیه‌السلام عند الحجّة الثانی عشر مولانا المهدیّعج، وهو خزانة الإمامة، وعند ظهوره یعلنه ویعمل به ویعتمد علیه،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کان بعض الصحابة یدخلون فی قراءتهم شیئاً من التفس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 إیضاحاً، لأ نّهم محقّقون فیما تلقّوه من رسول اللّه‌قرآناً، فهم آمنون من أنْ یلبس بعض ذلک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کان یکتبه بعضهم کقراءة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لَیْسَ عَلَیْکُم جُنَاحٌ أَنْ تَبْتَغُوا فَضْلاً مِنْ رَبِّکُمْ </w:t>
      </w:r>
      <w:r>
        <w:rPr>
          <w:rFonts w:eastAsia="Amiri" w:cs="Amiri" w:ascii="Amiri" w:hAnsi="Amiri"/>
          <w:color w:val="111111"/>
          <w:sz w:val="28"/>
          <w:szCs w:val="28"/>
          <w:rtl w:val="true"/>
          <w:lang w:bidi="ar-SA"/>
        </w:rPr>
        <w:t xml:space="preserve">» </w:t>
      </w:r>
      <w:r>
        <w:rPr>
          <w:rStyle w:val="FootnoteAnchor"/>
          <w:rtl w:val="true"/>
        </w:rPr>
        <w:footnoteReference w:id="533"/>
      </w:r>
      <w:r>
        <w:rPr>
          <w:rFonts w:ascii="Amiri" w:hAnsi="Amiri" w:eastAsia="Amiri" w:cs="Amiri"/>
          <w:color w:val="111111"/>
          <w:sz w:val="28"/>
          <w:sz w:val="28"/>
          <w:szCs w:val="28"/>
          <w:rtl w:val="true"/>
          <w:lang w:bidi="ar-SA"/>
        </w:rPr>
        <w:t>ثمّ یزید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مواسم الحجّ</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قراءةَ بعض الآیات المنسوبة إلی عبداللّه بن مسعود من هذا القبیل، کقراءته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کانَ النَّاسُ أُمّةً وَاحِدَةً فَاخْتَلَفُوا فَبَعَثَ اللّه‌ُ النَّبِیِّینَ مُبَشِّرینَ وَمُنْذِرِینَ </w:t>
      </w:r>
      <w:r>
        <w:rPr>
          <w:rFonts w:eastAsia="Amiri" w:cs="Amiri" w:ascii="Amiri" w:hAnsi="Amiri"/>
          <w:color w:val="111111"/>
          <w:sz w:val="28"/>
          <w:szCs w:val="28"/>
          <w:rtl w:val="true"/>
          <w:lang w:bidi="ar-SA"/>
        </w:rPr>
        <w:t xml:space="preserve">» </w:t>
      </w:r>
      <w:r>
        <w:rPr>
          <w:rStyle w:val="FootnoteAnchor"/>
          <w:rtl w:val="true"/>
        </w:rPr>
        <w:footnoteReference w:id="534"/>
      </w:r>
      <w:r>
        <w:rPr>
          <w:rFonts w:ascii="IRNazanin" w:hAnsi="IRNazanin" w:eastAsia="IRNazanin"/>
          <w:color w:val="111111"/>
          <w:sz w:val="28"/>
          <w:sz w:val="28"/>
          <w:szCs w:val="28"/>
          <w:rtl w:val="true"/>
          <w:lang w:bidi="fa-IR"/>
        </w:rPr>
        <w:t>، ثمّ إنّه لمّا کان فی هذا الجمع فضائح القوم، أسقط أبو بکر شأن نزول الآیات وتفسیرها</w:t>
      </w:r>
    </w:p>
    <w:p>
      <w:pPr>
        <w:pStyle w:val="BookText"/>
        <w:rPr/>
      </w:pPr>
      <w:r>
        <w:rPr>
          <w:rFonts w:ascii="IRNazanin" w:hAnsi="IRNazanin" w:eastAsia="IRNazanin"/>
          <w:color w:val="111111"/>
          <w:sz w:val="28"/>
          <w:sz w:val="28"/>
          <w:szCs w:val="28"/>
          <w:rtl w:val="true"/>
          <w:lang w:bidi="fa-IR"/>
        </w:rPr>
        <w:t>وتأویلها، وجَمَعَهُ ثانیاً مع إثبات وجوه القراءات، ثمّ فی زمان عثمان لمّا کثر الاختلاف جمعه ثالثاً علی قراءة زید بن ثابت وحمل النّاس علی قراءته، وأسقط سائر القراءات، وأحرق مصاحف المکُمَّلین من قرّاء الصحابة کعبداللّه بن مسعود وأُبیّ بن کعب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عن ابن مسعود ما یقرب من هذا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لی مثل ما لهم، لفعلت بصحفهم مثل ما فعلوا بصحیفتی، ولقد قرأت علی رسول اللّه صلی‌الله‌علیه‌و‌آله سبعین سورة، وکان زید بن ثابت فی صلب أبیه الکافر،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یلعب مع الصّبیان</w:t>
      </w:r>
      <w:r>
        <w:rPr>
          <w:rFonts w:eastAsia="IRNazanin" w:cs="IRNazanin"/>
          <w:color w:val="111111"/>
          <w:sz w:val="28"/>
          <w:szCs w:val="28"/>
          <w:rtl w:val="true"/>
          <w:lang w:bidi="fa-IR"/>
        </w:rPr>
        <w:t>.</w:t>
      </w:r>
      <w:r>
        <w:rPr>
          <w:rStyle w:val="FootnoteAnchor"/>
          <w:rtl w:val="true"/>
        </w:rPr>
        <w:footnoteReference w:id="535"/>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سعید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عبداللّه بن مسعود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اقرأنی رسول اللّه صلی‌الله‌علیه‌و‌آله سبعین سورة أحکمتها قبل أن یُسلم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حمزة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قرأت من فی رسول اللّه‌سبعین سورة وزید بن ثابت ذو ذؤابتین، یلعب مع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الإسناد ولم یخرجاه</w:t>
      </w:r>
      <w:r>
        <w:rPr>
          <w:rFonts w:eastAsia="IRNazanin" w:cs="IRNazanin"/>
          <w:color w:val="111111"/>
          <w:sz w:val="28"/>
          <w:szCs w:val="28"/>
          <w:rtl w:val="true"/>
          <w:lang w:bidi="fa-IR"/>
        </w:rPr>
        <w:t>.</w:t>
      </w:r>
      <w:bookmarkStart w:id="422" w:name="pg4391_51165"/>
    </w:p>
    <w:p>
      <w:pPr>
        <w:pStyle w:val="Heading5"/>
        <w:numPr>
          <w:ilvl w:val="4"/>
          <w:numId w:val="1"/>
        </w:numPr>
        <w:rPr/>
      </w:pPr>
      <w:bookmarkStart w:id="423" w:name="__RefHeading___Toc1438905_1479056682"/>
      <w:bookmarkStart w:id="424" w:name="_Toc161"/>
      <w:bookmarkEnd w:id="422"/>
      <w:bookmarkEnd w:id="423"/>
      <w:r>
        <w:rPr>
          <w:rtl w:val="true"/>
        </w:rPr>
        <w:t>الطُّرفة السابعة</w:t>
      </w:r>
      <w:r>
        <w:rPr>
          <w:rtl w:val="true"/>
        </w:rPr>
        <w:t xml:space="preserve">: </w:t>
      </w:r>
      <w:r>
        <w:rPr>
          <w:rtl w:val="true"/>
        </w:rPr>
        <w:t>فی أنّ ترتیب سورالقرآن وآیاته کان بأمر اللّه ووحیه</w:t>
      </w:r>
      <w:bookmarkEnd w:id="424"/>
    </w:p>
    <w:p>
      <w:pPr>
        <w:pStyle w:val="BookText"/>
        <w:rPr/>
      </w:pPr>
      <w:r>
        <w:rPr>
          <w:rFonts w:ascii="IRNazanin" w:hAnsi="IRNazanin" w:eastAsia="IRNazanin"/>
          <w:color w:val="111111"/>
          <w:sz w:val="28"/>
          <w:sz w:val="28"/>
          <w:szCs w:val="28"/>
          <w:rtl w:val="true"/>
          <w:lang w:bidi="fa-IR"/>
        </w:rPr>
        <w:t xml:space="preserve">لا ریب فی أنّ لآیات الکتاب العزیز وسوره ترتیباً مرضیاً عند اللّه، ثابتاً فی اللّوح المحفوظ، منزّلاً علی‌النبیّ صلی‌الله‌علیه‌و‌آله بواسطة جبرئیل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حسن الترتیب والنظم ممّا له مدخلٌ تامٌّ فی حسن الکتاب، وفی القرآن المجید الّذی هو أحسن الکتب، ومطالبه أحسن الحدیث، والعلوم المنطویة فیه أشرف العلوم وأعلاها، وبیانه فی الفصاحة والبلاغة فوق</w:t>
      </w:r>
    </w:p>
    <w:p>
      <w:pPr>
        <w:pStyle w:val="BookText"/>
        <w:rPr/>
      </w:pPr>
      <w:r>
        <w:rPr>
          <w:rFonts w:ascii="IRNazanin" w:hAnsi="IRNazanin" w:eastAsia="IRNazanin"/>
          <w:color w:val="111111"/>
          <w:sz w:val="28"/>
          <w:sz w:val="28"/>
          <w:szCs w:val="28"/>
          <w:rtl w:val="true"/>
          <w:lang w:bidi="fa-IR"/>
        </w:rPr>
        <w:t>طوق البشر، لا بدّ من أن یکون ترتیبُه علی أحسن الوجوه، ونظمُه أحسن 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w:t>
      </w:r>
    </w:p>
    <w:p>
      <w:pPr>
        <w:pStyle w:val="BookText"/>
        <w:rPr/>
      </w:pPr>
      <w:r>
        <w:rPr>
          <w:rFonts w:ascii="IRNazanin" w:hAnsi="IRNazanin" w:eastAsia="IRNazanin"/>
          <w:color w:val="111111"/>
          <w:sz w:val="28"/>
          <w:sz w:val="28"/>
          <w:szCs w:val="28"/>
          <w:rtl w:val="true"/>
          <w:lang w:bidi="fa-IR"/>
        </w:rPr>
        <w:t>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حُسن نظم آیات القرآن وسوره من وجوه إعجازه، ومن بدائع أسلوبه، وعلی هذا لا بدّ أن یکون نظمه وترتیبه من قبل اللّه تعالی ولا یکون من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ویؤیِّد ذلک أنّ اللّه تعالی أضاف الکتاب الکریم إلی ذاته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الکتاب اسم</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لمجموع المطالب المرتّبة المنظّمة، فاذا أ لّف أحد الأحادیث النبویّة وبوّبها ورتّبها فی دفتر، أو جمع شخص خطب أمیر المؤمنین علیه‌السلام فی دیوان منظّماً ومرتّباً، لا ینسب ذلک الدفتر والدّیوان إلی‌النبیّوأمیر المؤمنین علیه‌السلام بل یضاف إلی المؤلّف والجامع، وعلی هذا یدلّ اطلاق کتاب اللّه فی الآیات الکریمة والروایات المتواترة علی هذه المجموعة المرتّبة المنظّمة علی أنّ علومها وعباراتها ونظمَها وترتیبَها وتألیفَها من اللّه تعالی، لاشریک له فیها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ویدلّ علی ذلک ما روی عن عثمان بن أبی العاص،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جالساً عند رسول‌اللّه صلی‌الله‌علیه‌و‌آله إذ شخص ببصره، ثمّ صوّبه،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أتانی جبرئیل، فأمرنی أن أضع هذه الآیة فی هذا الموضع من هذه السورة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یَأْمُرُ بِالْعَدْلِ وَالإِحْسَانِ وَإِیْتَاءِ ذِی</w:t>
      </w:r>
    </w:p>
    <w:p>
      <w:pPr>
        <w:pStyle w:val="BookText"/>
        <w:rPr/>
      </w:pPr>
      <w:r>
        <w:rPr>
          <w:rFonts w:ascii="Amiri" w:hAnsi="Amiri" w:eastAsia="Amiri" w:cs="Amiri"/>
          <w:color w:val="111111"/>
          <w:sz w:val="28"/>
          <w:sz w:val="28"/>
          <w:szCs w:val="28"/>
          <w:rtl w:val="true"/>
          <w:lang w:bidi="ar-SA"/>
        </w:rPr>
        <w:t xml:space="preserve">القُرْبی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إلی آخرها، وما روی من أنّ جبرئیل علیه‌السلام لما أتی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وَاتَّقُوا یَوْماً تُرْجَعُونَ فِیهِ إِلَی اللّه‌ِ </w:t>
      </w:r>
      <w:r>
        <w:rPr>
          <w:rFonts w:eastAsia="Amiri" w:cs="Amiri" w:ascii="Amiri" w:hAnsi="Amiri"/>
          <w:color w:val="111111"/>
          <w:sz w:val="28"/>
          <w:szCs w:val="28"/>
          <w:rtl w:val="true"/>
          <w:lang w:bidi="ar-SA"/>
        </w:rPr>
        <w:t xml:space="preserve">» </w:t>
      </w:r>
      <w:r>
        <w:rPr>
          <w:rStyle w:val="FootnoteAnchor"/>
          <w:rtl w:val="true"/>
        </w:rPr>
        <w:footnoteReference w:id="537"/>
      </w:r>
      <w:r>
        <w:rPr>
          <w:rFonts w:ascii="IRNazanin" w:hAnsi="IRNazanin" w:eastAsia="IRNazanin"/>
          <w:color w:val="111111"/>
          <w:sz w:val="28"/>
          <w:sz w:val="28"/>
          <w:szCs w:val="28"/>
          <w:rtl w:val="true"/>
          <w:lang w:bidi="fa-IR"/>
        </w:rPr>
        <w:t>قال ضعها بین آیتی الرِّبا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ضعها بعد مائتین وثمانین آیة من سورة البقرة، وما روی عن‌النبیّ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أُعطیتُ مکان التوراةِ السّبعُ الطّوالُ، وغیر ذلک من الروایات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وممّا ذکرنا ظهر أنّه بعدما ثبت أنّ جمع الکتاب الکریم کان فی زمان‌النبیّ صلی‌الله‌علیه‌و‌آلهوبأمره لابدّ من القول بکون ترتیب جمیع آیاته وسوره مطابقاً للترتیب الّذی أوحی اللّه به إلی</w:t>
      </w:r>
    </w:p>
    <w:p>
      <w:pPr>
        <w:pStyle w:val="BookText"/>
        <w:rPr/>
      </w:pPr>
      <w:r>
        <w:rPr>
          <w:rFonts w:ascii="IRNazanin" w:hAnsi="IRNazanin" w:eastAsia="IRNazanin"/>
          <w:color w:val="111111"/>
          <w:sz w:val="28"/>
          <w:sz w:val="28"/>
          <w:szCs w:val="28"/>
          <w:rtl w:val="true"/>
          <w:lang w:bidi="fa-IR"/>
        </w:rPr>
        <w:t xml:space="preserve">نبیّه، وموافقاً لما نزل به جبرئیل علیه‌السلام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نزل من الآیات والسّور، کان یأمرالنبیّ صلی‌الله‌علیه‌و‌آله</w:t>
      </w:r>
    </w:p>
    <w:p>
      <w:pPr>
        <w:pStyle w:val="BookText"/>
        <w:rPr/>
      </w:pPr>
      <w:r>
        <w:rPr>
          <w:rFonts w:ascii="IRNazanin" w:hAnsi="IRNazanin" w:eastAsia="IRNazanin"/>
          <w:color w:val="111111"/>
          <w:sz w:val="28"/>
          <w:sz w:val="28"/>
          <w:szCs w:val="28"/>
          <w:rtl w:val="true"/>
          <w:lang w:bidi="fa-IR"/>
        </w:rPr>
        <w:t>کتّاب الوحی بکتابته فی موضعها الّذی یأمر جبرئیل بوضعها فی ذلک الموضع، مع أنَّ النبیّ صلی‌الله‌علیه‌و‌آلهکما کان مأموراً بتبلیغ أصل الآیات والسّور إلی الأُمّة، کان مأموراً بتبلیغ نظمها وترتیبها إلیهم، ولا یمکن منه التقصیر فی التبلیغ وأداء وظیفة الرسالة، فکلّ من کان</w:t>
      </w:r>
    </w:p>
    <w:p>
      <w:pPr>
        <w:pStyle w:val="BookText"/>
        <w:rPr/>
      </w:pPr>
      <w:r>
        <w:rPr>
          <w:rFonts w:ascii="IRNazanin" w:hAnsi="IRNazanin" w:eastAsia="IRNazanin"/>
          <w:color w:val="111111"/>
          <w:sz w:val="28"/>
          <w:sz w:val="28"/>
          <w:szCs w:val="28"/>
          <w:rtl w:val="true"/>
          <w:lang w:bidi="fa-IR"/>
        </w:rPr>
        <w:t>حافظاً للآیات والسّور، کان عالماً بترتیبها ونظمها، وکلّ من جمع القرآن فی عصره صلی‌الله‌علیه‌و‌آله ، کان جمعه علی الترتیب المأمور به، مع أنّ کثیراً من الصحابة کانوا یعرضون علی‌النبیّ صلی‌الله‌علیه‌و‌آله کلّما حفظوه من القرآن، أو جمعوه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علی الترتیب المنزل لکان‌النبیّ صلی‌الله‌علیه‌و‌آله یغیّره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فتحصّل من جمیع ذلک أنّ کلّما کتبه کتّاب الوحی، وکلّما جمعه الصّحابة من القرآن فی عصرالنبیّ صلی‌الله‌علیه‌و‌آلهلا جرم کان موافقاً فی النظم والترتیب لما کان له من النظم فی اللوح المحفوظ، ویؤید ذلک ما روی عن ابن الزبیر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یُتَوَفَّوْنَ مِنْکُم وَیَذَرُونَ أَزْوَاجاً وَصِیَّةً لِأَزْوَاجِهِم مَتَاعاً إِلَی الحَوْلِ </w:t>
      </w:r>
      <w:r>
        <w:rPr>
          <w:rFonts w:eastAsia="Amiri" w:cs="Amiri" w:ascii="Amiri" w:hAnsi="Amiri"/>
          <w:color w:val="111111"/>
          <w:sz w:val="28"/>
          <w:szCs w:val="28"/>
          <w:rtl w:val="true"/>
          <w:lang w:bidi="ar-SA"/>
        </w:rPr>
        <w:t xml:space="preserve">» </w:t>
      </w:r>
      <w:r>
        <w:rPr>
          <w:rStyle w:val="FootnoteAnchor"/>
          <w:rtl w:val="true"/>
        </w:rPr>
        <w:footnoteReference w:id="540"/>
      </w:r>
      <w:r>
        <w:rPr>
          <w:rFonts w:ascii="IRNazanin" w:hAnsi="IRNazanin" w:eastAsia="IRNazanin"/>
          <w:color w:val="111111"/>
          <w:sz w:val="28"/>
          <w:sz w:val="28"/>
          <w:szCs w:val="28"/>
          <w:rtl w:val="true"/>
          <w:lang w:bidi="fa-IR"/>
        </w:rPr>
        <w:t>قد نسختها الآیةُ الأُخری، فلم تکتبها</w:t>
      </w:r>
    </w:p>
    <w:p>
      <w:pPr>
        <w:pStyle w:val="BookText"/>
        <w:rPr/>
      </w:pPr>
      <w:r>
        <w:rPr>
          <w:rFonts w:ascii="IRNazanin" w:hAnsi="IRNazanin" w:eastAsia="IRNazanin"/>
          <w:color w:val="111111"/>
          <w:sz w:val="28"/>
          <w:sz w:val="28"/>
          <w:szCs w:val="28"/>
          <w:rtl w:val="true"/>
          <w:lang w:bidi="fa-IR"/>
        </w:rPr>
        <w:t>أو تدعها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یاابن أخی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أُغیِّر شیئاً منه من مکانه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رواه مسلم عن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سألت‌النبیّ صلی‌الله‌علیه‌و‌آله عن شیء أکثر ممّا سألته عن الکلالة، حتّی طعن بأصبعه فی صدری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آیة الصّیف الّتی فی آخر سورة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روته عائشة من أنّ النبیّ صلی‌الله‌علیه‌و‌آله کان یقرأ فی اللّیل سورة البقرة وآل عمران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p>
    <w:p>
      <w:pPr>
        <w:pStyle w:val="BookText"/>
        <w:rPr/>
      </w:pPr>
      <w:r>
        <w:rPr>
          <w:rFonts w:ascii="IRNazanin" w:hAnsi="IRNazanin" w:eastAsia="IRNazanin"/>
          <w:color w:val="111111"/>
          <w:sz w:val="28"/>
          <w:sz w:val="28"/>
          <w:szCs w:val="28"/>
          <w:rtl w:val="true"/>
          <w:lang w:bidi="fa-IR"/>
        </w:rPr>
        <w:t xml:space="preserve">السّید المرتضی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کان یدرس ویحفظ جمیعه 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عصرالنبیّ صلی‌الله‌علیه‌و‌آله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جماعةً من الصحابة مثل عبداللّه بن مسعود وأُبیّ بن کعب وغیرهما ختموا القرآن علی‌النبیّ صلی‌الله‌علیه‌و‌آله عدّةَ ختماتٍ، وکلّ ذلک یدلّ بأدنی تأمّلٍ علی أنّه کان مجموعاً مرتّباً غیر مبتورٍ ولا مبثوثٍ </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یورث القطع بأنّ ترتیب الآیات والسّور لم یکن بأهواء الصحابة وسُلُقهم، بل کان بوحی اللّه وأمر رسوله صلی‌الله‌علیه‌و‌آله</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اعتقد کثیرٌ من العلماء أنّ النظم الموجود فی المصحف الشائع بین یدی المسلمین من زمن‌النبیّ إلی الآن، توقیفیّ وکان نظمه و ترتیبه بأمر جبرئیل علیه‌السلام، والصحابة لیس لهم اجتهادٌ وتصرّف فی ترتیب السور والآیات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والنصوص المترادفة علی أنّ ترتیب الآیات توقیفیّ لا شبهة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الأنباریّ والکرمانیّ والطیّبیّ والزرکشیّ وأبو جعفر النحّاس وابن الحصار وابن حجر وولیّ الدین الملویّ وأحمد بن حنبل وأبو داود، عن أوس بن أبی أوس، عن حذیفة الثقفیّ، والسیوطیّ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الإتقان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النوع الثامن عشر، </w:t>
      </w:r>
      <w:r>
        <w:rPr>
          <w:rFonts w:eastAsia="IRNazanin" w:cs="IRNazanin"/>
          <w:color w:val="111111"/>
          <w:sz w:val="28"/>
          <w:szCs w:val="28"/>
          <w:lang w:bidi="fa-IR"/>
        </w:rPr>
        <w:t>2/183</w:t>
      </w:r>
      <w:r>
        <w:rPr>
          <w:rFonts w:eastAsia="IRNazanin" w:cs="IRNazanin"/>
          <w:color w:val="111111"/>
          <w:sz w:val="28"/>
          <w:szCs w:val="28"/>
          <w:rtl w:val="true"/>
          <w:lang w:bidi="fa-IR"/>
        </w:rPr>
        <w:t>]</w:t>
      </w:r>
      <w:bookmarkStart w:id="425" w:name="pg4391_51168"/>
    </w:p>
    <w:p>
      <w:pPr>
        <w:pStyle w:val="Heading5"/>
        <w:numPr>
          <w:ilvl w:val="4"/>
          <w:numId w:val="1"/>
        </w:numPr>
        <w:rPr/>
      </w:pPr>
      <w:bookmarkStart w:id="426" w:name="__RefHeading___Toc1438907_1479056682"/>
      <w:bookmarkStart w:id="427" w:name="_Toc162"/>
      <w:bookmarkEnd w:id="425"/>
      <w:bookmarkEnd w:id="426"/>
      <w:r>
        <w:rPr>
          <w:rtl w:val="true"/>
        </w:rPr>
        <w:t>الطُّرفة الثامنة</w:t>
      </w:r>
      <w:r>
        <w:rPr>
          <w:rtl w:val="true"/>
        </w:rPr>
        <w:t xml:space="preserve">: </w:t>
      </w:r>
      <w:r>
        <w:rPr>
          <w:rtl w:val="true"/>
        </w:rPr>
        <w:t>فی أنّ ترتیب القرآن لیس بترتیب النّزول بل لمناسبات لطیفة</w:t>
      </w:r>
      <w:bookmarkEnd w:id="427"/>
    </w:p>
    <w:p>
      <w:pPr>
        <w:pStyle w:val="BookText"/>
        <w:rPr/>
      </w:pPr>
      <w:r>
        <w:rPr>
          <w:rFonts w:ascii="IRNazanin" w:hAnsi="IRNazanin" w:eastAsia="IRNazanin"/>
          <w:color w:val="111111"/>
          <w:sz w:val="28"/>
          <w:sz w:val="28"/>
          <w:szCs w:val="28"/>
          <w:rtl w:val="true"/>
          <w:lang w:bidi="fa-IR"/>
        </w:rPr>
        <w:t>لا شبهة فی أنّ الترتیب المقرّر عند اللّه، المنزّل علی‌النبیّ صلی‌الله‌علیه‌و‌آله بین الآیات والسّور لمناسبات لطیفة، وروابط منیفة، ونکت بدیعة، وحکم بلیغة لا یعلم جمیعها إلاّ اللّه والرّاسخون فی العلم، ولا یدرکها إلاّ من نَوَّر اللّه قلبَه، وخصّ بالانقیاد والطّاعة ربّه، ووهب له فهم القرآن، وباشر روحه روح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لطائف القرآن مودعة فی الترتیبات والرّوابط، 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تأمّل فی لطائف نظم السّور، وفی بدائع ترتیبها، عَلِمَ أنّ القرآن کما أنّه معجز بحسب</w:t>
      </w:r>
    </w:p>
    <w:p>
      <w:pPr>
        <w:pStyle w:val="BookText"/>
        <w:rPr/>
      </w:pPr>
      <w:r>
        <w:rPr>
          <w:rFonts w:ascii="IRNazanin" w:hAnsi="IRNazanin" w:eastAsia="IRNazanin"/>
          <w:color w:val="111111"/>
          <w:sz w:val="28"/>
          <w:sz w:val="28"/>
          <w:szCs w:val="28"/>
          <w:rtl w:val="true"/>
          <w:lang w:bidi="fa-IR"/>
        </w:rPr>
        <w:t>فصاحة ألفاظه وشرف معانیه، فهو أیضاً معجز بسبب ترتیبه ونظم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آی القرآن بعضها ببعض حتّی یکون کالکلمة الواحدة متّسقة المعانی، منتظمة المبانی، علم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ولعمری إنّ ما ذکرته بالنّظر إلی حکمة اللّه البالغة، وعدم إمکان وضعه الشیء فی غیر موضعه وترجیحه أمراً بلا مُرجّح من أوضح الواضحات وأبین البیِّنات، غنیّ عن الاستدلال والتأیید بأقوال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مع ذلک من بعض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المناسبة علمٌ حَسَنٌ، لکن یشترط فی حسن ارتباط الکلام أن یقع فی أمر متّحد</w:t>
      </w:r>
    </w:p>
    <w:p>
      <w:pPr>
        <w:pStyle w:val="BookText"/>
        <w:rPr/>
      </w:pPr>
      <w:r>
        <w:rPr>
          <w:rFonts w:ascii="IRNazanin" w:hAnsi="IRNazanin" w:eastAsia="IRNazanin"/>
          <w:color w:val="111111"/>
          <w:sz w:val="28"/>
          <w:sz w:val="28"/>
          <w:szCs w:val="28"/>
          <w:rtl w:val="true"/>
          <w:lang w:bidi="fa-IR"/>
        </w:rPr>
        <w:t>مرتبط أوّله بآخره، فان وقع علی أسباب مختلفة، لم یقع فیه ارتباط ومَن ربط ذلک فهو متکلِّف بما لا یقدر علیه إلاّ بربط رکیک یُصان عن مثله حَسَن الحدیث فضلاً عن أحسنه،</w:t>
      </w:r>
    </w:p>
    <w:p>
      <w:pPr>
        <w:pStyle w:val="BookText"/>
        <w:rPr/>
      </w:pPr>
      <w:r>
        <w:rPr>
          <w:rFonts w:ascii="IRNazanin" w:hAnsi="IRNazanin" w:eastAsia="IRNazanin"/>
          <w:color w:val="111111"/>
          <w:sz w:val="28"/>
          <w:sz w:val="28"/>
          <w:szCs w:val="28"/>
          <w:rtl w:val="true"/>
          <w:lang w:bidi="fa-IR"/>
        </w:rPr>
        <w:t>فإنّ القرآن نزل فی نیِّف وعشرین سنة فی أحکام مختلفة شرّعت لأسباب مختلفة، وما کان کذلک لا یتأتّی ربط بعضه ببعض، انتهی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مثل هذا الکلام فی ترتیب کلام اللّه لا ینبغی صدوره عن عاقل، فضلاً عن فاضل،</w:t>
      </w:r>
    </w:p>
    <w:p>
      <w:pPr>
        <w:pStyle w:val="BookText"/>
        <w:rPr/>
      </w:pPr>
      <w:r>
        <w:rPr>
          <w:rFonts w:ascii="Amiri" w:hAnsi="Amiri" w:eastAsia="Amiri" w:cs="Amiri"/>
          <w:color w:val="111111"/>
          <w:sz w:val="28"/>
          <w:sz w:val="28"/>
          <w:szCs w:val="28"/>
          <w:rtl w:val="true"/>
          <w:lang w:bidi="ar-SA"/>
        </w:rPr>
        <w:t>إذ من الواضح أنّ کلَّ من أ لّف کتاباً مشتملاً علی مطالب متفرِّقةٍ وقضایا متشتِّتةٍ یلاحظ</w:t>
      </w:r>
    </w:p>
    <w:p>
      <w:pPr>
        <w:pStyle w:val="BookText"/>
        <w:rPr/>
      </w:pPr>
      <w:r>
        <w:rPr>
          <w:rFonts w:ascii="IRNazanin" w:hAnsi="IRNazanin" w:eastAsia="IRNazanin"/>
          <w:color w:val="111111"/>
          <w:sz w:val="28"/>
          <w:sz w:val="28"/>
          <w:szCs w:val="28"/>
          <w:rtl w:val="true"/>
          <w:lang w:bidi="fa-IR"/>
        </w:rPr>
        <w:t>البتّة فی ترتیبها مناسبةً وارتباطاً، فکیف بالحکیم المتعال، فإنّ المناسبات بین القضایا</w:t>
      </w:r>
    </w:p>
    <w:p>
      <w:pPr>
        <w:pStyle w:val="BookText"/>
        <w:rPr/>
      </w:pPr>
      <w:r>
        <w:rPr>
          <w:rFonts w:ascii="IRNazanin" w:hAnsi="IRNazanin" w:eastAsia="IRNazanin"/>
          <w:color w:val="111111"/>
          <w:sz w:val="28"/>
          <w:sz w:val="28"/>
          <w:szCs w:val="28"/>
          <w:rtl w:val="true"/>
          <w:lang w:bidi="fa-IR"/>
        </w:rPr>
        <w:t>المتفرِّقة والأحکام المختلفة کثیرة جدّاً، خصوصاً فی نظر مَن کان عالماً بحقائق الأشیاء</w:t>
      </w:r>
    </w:p>
    <w:p>
      <w:pPr>
        <w:pStyle w:val="BookText"/>
        <w:rPr/>
      </w:pPr>
      <w:r>
        <w:rPr>
          <w:rFonts w:ascii="IRNazanin" w:hAnsi="IRNazanin" w:eastAsia="IRNazanin"/>
          <w:color w:val="111111"/>
          <w:sz w:val="28"/>
          <w:sz w:val="28"/>
          <w:szCs w:val="28"/>
          <w:rtl w:val="true"/>
          <w:lang w:bidi="fa-IR"/>
        </w:rPr>
        <w:t>وجهات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فهم غیر العلماء الرّاسخین الرّبّانیّین قاصر عن درک جمیع المناسبات اللّطیفة المنظورة، اللّطیف الخبیر، ولذا لم یحم حوله المفسِّرون ولم یخض فیه المتبحّرون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تکلّف قلیل من علماء العامّة لبیانها، وأجالوا الفکر فی هذه العرصة مع عدم کونهم من</w:t>
      </w:r>
    </w:p>
    <w:p>
      <w:pPr>
        <w:pStyle w:val="BookText"/>
        <w:rPr/>
      </w:pPr>
      <w:r>
        <w:rPr>
          <w:rFonts w:ascii="IRNazanin" w:hAnsi="IRNazanin" w:eastAsia="IRNazanin"/>
          <w:color w:val="111111"/>
          <w:sz w:val="28"/>
          <w:sz w:val="28"/>
          <w:szCs w:val="28"/>
          <w:rtl w:val="true"/>
          <w:lang w:bidi="fa-IR"/>
        </w:rPr>
        <w:t>فرسانها، وأین لهم التمکّن فی هذا القصر المشیّد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وأنّی لهم التّناوش من مکان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حیث إنّهم ما ثقفوا بحبل اللّه المتین ؟ وما اتّخذوا سبیلاً مع الهداة الراسخین، وإنّی وإن سلکت فی هذا الطریق الزّلیق، وغصت فی هذا البحر العمیق، وخضت کالّذی خاضوا وأفضت من حیث أفاضوا، غیر أنّی لمعرفتی بقصوری ما عضَضْت علی ما نلت بضرسٍ قاطعٍ، وما حکمت فیما قلت علی أنّه هو الحقّ الواقع، بل أبدیت ما یلیق بالظّنّ والاحتمال، لئلاّ یتوهّم فی ترتیب الکتاب العزیز ما توهّمه هذا البعض من الأمر المحال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الشیخ ولیّ الدّین الملویّ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وَهَمَ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یطلب للآی الکریمة مناسبة، لأ نّها</w:t>
      </w:r>
    </w:p>
    <w:p>
      <w:pPr>
        <w:pStyle w:val="BookText"/>
        <w:rPr/>
      </w:pPr>
      <w:r>
        <w:rPr>
          <w:rFonts w:ascii="IRNazanin" w:hAnsi="IRNazanin" w:eastAsia="IRNazanin"/>
          <w:color w:val="111111"/>
          <w:sz w:val="28"/>
          <w:sz w:val="28"/>
          <w:szCs w:val="28"/>
          <w:rtl w:val="true"/>
          <w:lang w:bidi="fa-IR"/>
        </w:rPr>
        <w:t>علی حسب الوقائع المتفرّقة وفصل الخطاب، أنّها علی حسب الوقائع تنزیلاً، وعلی حسب الحکمة ترتیباً وتأصیلاً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فالمصحف علی وفق ما فی اللّوح المحفوظ مرتّبة سوره کلّها وآیاته بالتوقیف، کما أُنزل جملة إلی بیت العزّة، ومن المعجز البیّن أسلوبه ونظمه</w:t>
      </w:r>
    </w:p>
    <w:p>
      <w:pPr>
        <w:pStyle w:val="BookText"/>
        <w:rPr/>
      </w:pPr>
      <w:r>
        <w:rPr>
          <w:rFonts w:ascii="IRNazanin" w:hAnsi="IRNazanin" w:eastAsia="IRNazanin"/>
          <w:color w:val="111111"/>
          <w:sz w:val="28"/>
          <w:sz w:val="28"/>
          <w:szCs w:val="28"/>
          <w:rtl w:val="true"/>
          <w:lang w:bidi="fa-IR"/>
        </w:rPr>
        <w:t>الباهر، والّذی ینبغی فی کلّ آیة أن یبحث أوّل کلّ شیء عن کونها مکمّلة لما قبلها أو</w:t>
      </w:r>
    </w:p>
    <w:p>
      <w:pPr>
        <w:pStyle w:val="BookText"/>
        <w:rPr/>
      </w:pP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تقلّة، ثمّ المستقلّة ما وجه مناس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 لما 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ذلک علمٌ جمٌّ، وهکذا فی السور</w:t>
      </w:r>
    </w:p>
    <w:p>
      <w:pPr>
        <w:pStyle w:val="BookText"/>
        <w:rPr/>
      </w:pPr>
      <w:r>
        <w:rPr>
          <w:rFonts w:ascii="IRNazanin" w:hAnsi="IRNazanin" w:eastAsia="IRNazanin"/>
          <w:color w:val="111111"/>
          <w:sz w:val="28"/>
          <w:sz w:val="28"/>
          <w:szCs w:val="28"/>
          <w:rtl w:val="true"/>
          <w:lang w:bidi="fa-IR"/>
        </w:rPr>
        <w:t>یطلب وجه اتّصالها لما قبلها وما سبقت له</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 xml:space="preserve">قال بعض العلماء </w:t>
      </w:r>
      <w:r>
        <w:rPr>
          <w:rStyle w:val="FootnoteAnchor"/>
          <w:rtl w:val="true"/>
        </w:rPr>
        <w:footnoteReference w:id="5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البرهان فی مناسبة ترتیب سور القرآن لأبی جعفر بن الزبیر شیخ أبی حیان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الدرر فی تناسب الآی والسور لبرهان الدین البقاعیّ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التنزیل للسیوطیّ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الغیب أو التفسیر الکبیر، فیه مباحث عمیقة حول المناسبات بین الآیات والسور للرازیّ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 المریدین لابن العربیّ، قال فی موض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آی الق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رآن بعضها ببعض حتّی تکون کالکلمة الواحدة متّسقة المعانی، منتظمة المبانی، علم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بکر النیسابوریّ، وکان یزری علی علماء بغداد لعدم علمهم بالمناسبة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عزّالدین عبدالسلام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المناسبة علم حسن، لکن یشترط فی حسن ارتباط الکلام أن یقع فی أمرٍ متّحدٍ مرتبط أوّله بآخره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الدین الملویّ، قال فی کلامٍ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المعجز البیّن أسلوب القرآن ونظمه الباهر، والّذی ینبغی فی کلّ آیة أن یبحث أوّل کلِّ شیءٍ عن کونها مکمّلةً لما قبلها أو مستقلّةٌ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 فی السور</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الفاتحة تضمّنت الإقرارَ بالرّبوبیة والالتجاءَ إلیه فی دین</w:t>
      </w:r>
    </w:p>
    <w:p>
      <w:pPr>
        <w:pStyle w:val="BookText"/>
        <w:rPr/>
      </w:pPr>
      <w:r>
        <w:rPr>
          <w:rFonts w:ascii="IRNazanin" w:hAnsi="IRNazanin" w:eastAsia="IRNazanin"/>
          <w:color w:val="111111"/>
          <w:sz w:val="28"/>
          <w:sz w:val="28"/>
          <w:szCs w:val="28"/>
          <w:rtl w:val="true"/>
          <w:lang w:bidi="fa-IR"/>
        </w:rPr>
        <w:t>الإسلام، والصیانةَ عن دین الیهودیة والنصرانیة، وسورة البقرة تضمّنت قواعد الدِّین وإقامة الدلیل علیه، وآل عمران مکمّلةٌ لمقصودها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فالبقرة بمنزلة إقامة الدّلیل علی الحکم، وآل عمران بمنزلة الجواب عن شبهات الخصوم، ولهذا ورد فیها ذکر المتشابه لما تمسّک به النّصاری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البقرة ذکر أنّ الحجّ مشروع وأمر بإتمامه بعد الشروع، وأوجب</w:t>
      </w:r>
    </w:p>
    <w:p>
      <w:pPr>
        <w:pStyle w:val="BookText"/>
        <w:rPr/>
      </w:pPr>
      <w:r>
        <w:rPr>
          <w:rFonts w:ascii="IRNazanin" w:hAnsi="IRNazanin" w:eastAsia="IRNazanin"/>
          <w:color w:val="111111"/>
          <w:sz w:val="28"/>
          <w:sz w:val="28"/>
          <w:szCs w:val="28"/>
          <w:rtl w:val="true"/>
          <w:lang w:bidi="fa-IR"/>
        </w:rPr>
        <w:t>الشّروع فیه فی آل عمران، وکان خطاب النصاری فی آل عمران أکثر، کما أنّ خطاب الیهود فی البقرة أکثر، لأنّ التوراة أصلٌ والانجیلُ فرعٌ لها، والنبیّ صلی‌الله‌علیه‌و‌آله لما هاجر إلی المدینة دعا الیهود وجاهدهم، وکان جهاده للنصاری فی آخر الأمر کما کان دعائه لأهل الشِّرک قبل أهل الکتاب، ولهذا کانت السور المکّیة فیها الدِّین الّذی اتّفق علیه الأنبیاء، فخوطب به جمیع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والسّور المدنیة فیها خطاب من أقرّ بالأنبیاء من أهل الکتاب والمؤمنین،</w:t>
      </w:r>
    </w:p>
    <w:p>
      <w:pPr>
        <w:pStyle w:val="BookText"/>
        <w:rPr/>
      </w:pPr>
      <w:r>
        <w:rPr>
          <w:rFonts w:ascii="Amiri" w:hAnsi="Amiri" w:eastAsia="Amiri" w:cs="Amiri"/>
          <w:color w:val="111111"/>
          <w:sz w:val="28"/>
          <w:sz w:val="28"/>
          <w:szCs w:val="28"/>
          <w:rtl w:val="true"/>
          <w:lang w:bidi="ar-SA"/>
        </w:rPr>
        <w:t xml:space="preserve">فخوطبوا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 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أَهْلَ 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إِسْرَائِیلَ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سورة النِّساء فتضمّنت أحکام الأسباب الّتی بین الناس، وهی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للّه ومقدورةٌ لهم</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کالنسب والصّهر، ولذا افتتحت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رَبَّکُم الَّذِی خَلَقَکُم مِنْ نَفْسٍ وَاحِدَةٍ وَخَلَقَ مِنْها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اللّه‌َ الَّذِی تَسَاءَلُونَ بِهِ وَالأَرْحامَ </w:t>
      </w:r>
      <w:r>
        <w:rPr>
          <w:rFonts w:eastAsia="Amiri" w:cs="Amiri" w:ascii="Amiri" w:hAnsi="Amiri"/>
          <w:color w:val="111111"/>
          <w:sz w:val="28"/>
          <w:szCs w:val="28"/>
          <w:rtl w:val="true"/>
          <w:lang w:bidi="ar-SA"/>
        </w:rPr>
        <w:t xml:space="preserve">» </w:t>
      </w:r>
      <w:r>
        <w:rPr>
          <w:rStyle w:val="FootnoteAnchor"/>
          <w:rtl w:val="true"/>
        </w:rPr>
        <w:footnoteReference w:id="545"/>
      </w:r>
      <w:r>
        <w:rPr>
          <w:rFonts w:ascii="IRNazanin" w:hAnsi="IRNazanin" w:eastAsia="IRNazanin"/>
          <w:color w:val="111111"/>
          <w:sz w:val="28"/>
          <w:sz w:val="28"/>
          <w:szCs w:val="28"/>
          <w:rtl w:val="true"/>
          <w:lang w:bidi="fa-IR"/>
        </w:rPr>
        <w:t xml:space="preserve">فانظر هذه المناسبة العجیبة فی الافتتاح وبراعة الاستهلال </w:t>
      </w:r>
      <w:r>
        <w:rPr>
          <w:rStyle w:val="FootnoteAnchor"/>
          <w:rtl w:val="true"/>
        </w:rPr>
        <w:footnoteReference w:id="546"/>
      </w:r>
      <w:r>
        <w:rPr>
          <w:rFonts w:ascii="IRNazanin" w:hAnsi="IRNazanin" w:eastAsia="IRNazanin"/>
          <w:color w:val="111111"/>
          <w:sz w:val="28"/>
          <w:sz w:val="28"/>
          <w:szCs w:val="28"/>
          <w:rtl w:val="true"/>
          <w:lang w:bidi="fa-IR"/>
        </w:rPr>
        <w:t>حیث تضمّنت الآیة المفتتح بها ما أکثر السورة فی</w:t>
      </w:r>
    </w:p>
    <w:p>
      <w:pPr>
        <w:pStyle w:val="BookText"/>
        <w:rPr/>
      </w:pPr>
      <w:r>
        <w:rPr>
          <w:rFonts w:ascii="Amiri" w:hAnsi="Amiri" w:eastAsia="Amiri" w:cs="Amiri"/>
          <w:color w:val="111111"/>
          <w:sz w:val="28"/>
          <w:sz w:val="28"/>
          <w:szCs w:val="28"/>
          <w:rtl w:val="true"/>
          <w:lang w:bidi="ar-SA"/>
        </w:rPr>
        <w:t>أحکامه من نکاح النِّساء ومحرّماته والمواریث المتعلِّقة بالأرحام، فإنّ ابتداء هذا الأمر کان بِخَلْق آدم، ثمّ خَلْقِ زوجته منه، ثمّ بثّ منهما رجالاً کثیراً ونساء کثیرة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المائدة فسورة العقود، وتضمّنت بیان تمام الشرائع ومکمّلات الدِّین والوفاء بِعُهُود الرّسل وما أخذ علی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وبها تمّ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سورة التّکمیل، لأنّ فیها تحریم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علی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الّذی هو تمام الإحرام، وتحریم الخمر الّذی هو تمام حفظ العقل</w:t>
      </w:r>
    </w:p>
    <w:p>
      <w:pPr>
        <w:pStyle w:val="BookText"/>
        <w:rPr/>
      </w:pPr>
      <w:r>
        <w:rPr>
          <w:rFonts w:ascii="IRNazanin" w:hAnsi="IRNazanin" w:eastAsia="IRNazanin"/>
          <w:color w:val="111111"/>
          <w:sz w:val="28"/>
          <w:sz w:val="28"/>
          <w:szCs w:val="28"/>
          <w:rtl w:val="true"/>
          <w:lang w:bidi="fa-IR"/>
        </w:rPr>
        <w:t>والدِّین وعقوبة المعتدین من السّرّاق والمحاربین الّذی هو من تمام حفظ الدّماء والأموال، وإحلال الطّیِّبات الّذی هو من تمام عبادة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ذکر فیها ما یختصّ بشریعة محمّد صلی‌الله‌علیه‌و‌آلهکالوضوء والتیمّم والحکم بالقرآن علی کلّ ذی دین، ولهذا أکثر فیها من ذکر الإکمال والإتمام، وذکر فیها أنّ من ارتدّ عَوَّض اللّه بخیر منه ولا یزال هذا الدِّین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ورد انّها آخر سورة نزلت، وفیها من إشارات الختم والت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 وهذا الترتیب بین هذه السّور الأربع </w:t>
      </w:r>
      <w:r>
        <w:rPr>
          <w:rStyle w:val="FootnoteAnchor"/>
          <w:rtl w:val="true"/>
        </w:rPr>
        <w:footnoteReference w:id="547"/>
      </w:r>
      <w:r>
        <w:rPr>
          <w:rFonts w:ascii="IRNazanin" w:hAnsi="IRNazanin" w:eastAsia="IRNazanin"/>
          <w:color w:val="111111"/>
          <w:sz w:val="28"/>
          <w:sz w:val="28"/>
          <w:szCs w:val="28"/>
          <w:rtl w:val="true"/>
          <w:lang w:bidi="fa-IR"/>
        </w:rPr>
        <w:t>المدنیّات أحسن التّرتیب</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وقال بعض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اعتبرتَ افتتاح کلّ سورة وجدتَه فی غایة المناسبة، لما ختم به السورة قبلها، ثمّ هو یخفی تارة ویظهر أُخری، کافتتاح سورة الأنعام بالحمد، فإنّه مناسب</w:t>
      </w:r>
    </w:p>
    <w:p>
      <w:pPr>
        <w:pStyle w:val="BookText"/>
        <w:rPr/>
      </w:pPr>
      <w:r>
        <w:rPr>
          <w:rFonts w:ascii="Amiri" w:hAnsi="Amiri" w:eastAsia="Amiri" w:cs="Amiri"/>
          <w:color w:val="111111"/>
          <w:sz w:val="28"/>
          <w:sz w:val="28"/>
          <w:szCs w:val="28"/>
          <w:rtl w:val="true"/>
          <w:lang w:bidi="ar-SA"/>
        </w:rPr>
        <w:t>لختام المائدة من فضل القضاء، کما قال تع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وَقُضِیَ بَیْنَهُم بِالحَقِّ وَقِیلَ 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549"/>
      </w:r>
      <w:r>
        <w:rPr>
          <w:rFonts w:ascii="IRNazanin" w:hAnsi="IRNazanin" w:eastAsia="IRNazanin"/>
          <w:color w:val="111111"/>
          <w:sz w:val="28"/>
          <w:sz w:val="28"/>
          <w:szCs w:val="28"/>
          <w:rtl w:val="true"/>
          <w:lang w:bidi="fa-IR"/>
        </w:rPr>
        <w:t>وکافتتاح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ورة فاطر بالحمد، فإنّه مناسب لختام ما قبلها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وَحِیلَ</w:t>
      </w:r>
    </w:p>
    <w:p>
      <w:pPr>
        <w:pStyle w:val="BookText"/>
        <w:rPr/>
      </w:pPr>
      <w:r>
        <w:rPr>
          <w:rFonts w:ascii="Amiri" w:hAnsi="Amiri" w:eastAsia="Amiri" w:cs="Amiri"/>
          <w:color w:val="111111"/>
          <w:sz w:val="28"/>
          <w:sz w:val="28"/>
          <w:szCs w:val="28"/>
          <w:rtl w:val="true"/>
          <w:lang w:bidi="ar-SA"/>
        </w:rPr>
        <w:t xml:space="preserve">بَیْنَهُم وَبَیْنَ مَا یَشْتَهُونَ کَما فُعِلَ بِأَشْیَاعِهِم مِن قَبْلُ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فَقُطِعَ دَابِرُ القَوْمِ الَّذِینَ ظَلَمُوا وَالْحَمْدُ للّه‌ِِ رَبِّ العَالَمِین </w:t>
      </w:r>
      <w:r>
        <w:rPr>
          <w:rFonts w:eastAsia="Amiri" w:cs="Amiri" w:ascii="Amiri" w:hAnsi="Amiri"/>
          <w:color w:val="111111"/>
          <w:sz w:val="28"/>
          <w:szCs w:val="28"/>
          <w:rtl w:val="true"/>
          <w:lang w:bidi="ar-SA"/>
        </w:rPr>
        <w:t xml:space="preserve">»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الغرض من نقل هذه العبائر والوجوه هو التأیید،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المدّعی لوضوحه غنیّ عنه</w:t>
      </w:r>
      <w:r>
        <w:rPr>
          <w:rFonts w:eastAsia="IRNazanin" w:cs="IRNazanin"/>
          <w:color w:val="111111"/>
          <w:sz w:val="28"/>
          <w:szCs w:val="28"/>
          <w:rtl w:val="true"/>
          <w:lang w:bidi="fa-IR"/>
        </w:rPr>
        <w:t>.</w:t>
      </w:r>
      <w:bookmarkStart w:id="428" w:name="pg4391_51172"/>
    </w:p>
    <w:p>
      <w:pPr>
        <w:pStyle w:val="Heading5"/>
        <w:numPr>
          <w:ilvl w:val="4"/>
          <w:numId w:val="1"/>
        </w:numPr>
        <w:rPr/>
      </w:pPr>
      <w:bookmarkStart w:id="429" w:name="__RefHeading___Toc1438909_1479056682"/>
      <w:bookmarkStart w:id="430" w:name="_Toc163"/>
      <w:bookmarkEnd w:id="428"/>
      <w:bookmarkEnd w:id="429"/>
      <w:r>
        <w:rPr>
          <w:rtl w:val="true"/>
        </w:rPr>
        <w:t>الطُّرفة التاسعة</w:t>
      </w:r>
      <w:r>
        <w:rPr>
          <w:rtl w:val="true"/>
        </w:rPr>
        <w:t xml:space="preserve">: </w:t>
      </w:r>
      <w:r>
        <w:rPr>
          <w:rtl w:val="true"/>
        </w:rPr>
        <w:t>فی أسامی الکتاب العزیز ووجه مناسبة تسمیته بالقرآن</w:t>
      </w:r>
      <w:bookmarkEnd w:id="430"/>
    </w:p>
    <w:p>
      <w:pPr>
        <w:pStyle w:val="BookText"/>
        <w:rPr/>
      </w:pPr>
      <w:r>
        <w:rPr>
          <w:rFonts w:ascii="Amiri" w:hAnsi="Amiri" w:eastAsia="Amiri" w:cs="Amiri"/>
          <w:color w:val="111111"/>
          <w:sz w:val="28"/>
          <w:sz w:val="28"/>
          <w:szCs w:val="28"/>
          <w:rtl w:val="true"/>
          <w:lang w:bidi="ar-SA"/>
        </w:rPr>
        <w:t xml:space="preserve">قال بعضٌ </w:t>
      </w:r>
      <w:r>
        <w:rPr>
          <w:rStyle w:val="FootnoteAnchor"/>
          <w:rtl w:val="true"/>
        </w:rPr>
        <w:footnoteReference w:id="5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تعالی سمّی کتابه العزیز بخمسة وخمسین اسماً، کالقرآن، والذّکر، وأحسن الحدیث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جمیعها ألقاب وأوصاف له إلاّ القرآن، فإنّ الأقوی</w:t>
      </w:r>
    </w:p>
    <w:p>
      <w:pPr>
        <w:pStyle w:val="BookText"/>
        <w:rPr/>
      </w:pPr>
      <w:r>
        <w:rPr>
          <w:rFonts w:ascii="IRNazanin" w:hAnsi="IRNazanin" w:eastAsia="IRNazanin"/>
          <w:color w:val="111111"/>
          <w:sz w:val="28"/>
          <w:sz w:val="28"/>
          <w:szCs w:val="28"/>
          <w:rtl w:val="true"/>
          <w:lang w:bidi="fa-IR"/>
        </w:rPr>
        <w:t>والأظهر أن یکون علماً له بوضع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ذکروا فی اشتقاقه ووجه مناسبته وجوهاً،</w:t>
      </w:r>
    </w:p>
    <w:p>
      <w:pPr>
        <w:pStyle w:val="BookText"/>
        <w:rPr/>
      </w:pPr>
      <w:r>
        <w:rPr>
          <w:rFonts w:ascii="IRNazanin" w:hAnsi="IRNazanin" w:eastAsia="IRNazanin"/>
          <w:color w:val="111111"/>
          <w:sz w:val="28"/>
          <w:sz w:val="28"/>
          <w:szCs w:val="28"/>
          <w:rtl w:val="true"/>
          <w:lang w:bidi="fa-IR"/>
        </w:rPr>
        <w:t>والأظهر الأشهر أن یکون القرآن مهموزاً من القرء بمعنی الجمع،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الماءَ فی</w:t>
      </w:r>
    </w:p>
    <w:p>
      <w:pPr>
        <w:pStyle w:val="BookText"/>
        <w:rPr/>
      </w:pPr>
      <w:r>
        <w:rPr>
          <w:rFonts w:ascii="IRNazanin" w:hAnsi="IRNazanin" w:eastAsia="IRNazanin"/>
          <w:color w:val="111111"/>
          <w:sz w:val="28"/>
          <w:sz w:val="28"/>
          <w:szCs w:val="28"/>
          <w:rtl w:val="true"/>
          <w:lang w:bidi="fa-IR"/>
        </w:rPr>
        <w:t>الحوض، أی جَمعته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یکون وجه مناسبة التسمیة کونه جامعاً لثمرات جمیع الکتب السالفة المنزلة،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جمع جمیع الکتب السماویة فی التوراة والإنجیل،</w:t>
      </w:r>
    </w:p>
    <w:p>
      <w:pPr>
        <w:pStyle w:val="BookText"/>
        <w:rPr/>
      </w:pPr>
      <w:r>
        <w:rPr>
          <w:rFonts w:ascii="IRNazanin" w:hAnsi="IRNazanin" w:eastAsia="IRNazanin"/>
          <w:color w:val="111111"/>
          <w:sz w:val="28"/>
          <w:sz w:val="28"/>
          <w:szCs w:val="28"/>
          <w:rtl w:val="true"/>
          <w:lang w:bidi="fa-IR"/>
        </w:rPr>
        <w:t>وجمع جمیع ما فی التوراة والإنجیل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له ما روی عن‌النبیّ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السّورُ الطوالُ مکانَ التوراة، وأعطیتُ المئین مکانَ الانج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 وأعطیتُ المثانی</w:t>
      </w:r>
    </w:p>
    <w:p>
      <w:pPr>
        <w:pStyle w:val="BookText"/>
        <w:rPr/>
      </w:pPr>
      <w:r>
        <w:rPr>
          <w:rFonts w:ascii="Amiri" w:hAnsi="Amiri" w:eastAsia="Amiri" w:cs="Amiri"/>
          <w:color w:val="111111"/>
          <w:sz w:val="28"/>
          <w:sz w:val="28"/>
          <w:szCs w:val="28"/>
          <w:rtl w:val="true"/>
          <w:lang w:bidi="ar-SA"/>
        </w:rPr>
        <w:t>مکانَ الزّبور، وفُضِّلتُ بالمفصَّ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وستّون سورة </w:t>
      </w:r>
      <w:r>
        <w:rPr>
          <w:rStyle w:val="FootnoteAnchor"/>
          <w:rtl w:val="true"/>
        </w:rPr>
        <w:footnoteReference w:id="553"/>
      </w:r>
      <w:r>
        <w:rPr>
          <w:rFonts w:ascii="Amiri" w:hAnsi="Amiri" w:eastAsia="Amiri" w:cs="Amiri"/>
          <w:color w:val="111111"/>
          <w:sz w:val="28"/>
          <w:sz w:val="28"/>
          <w:szCs w:val="28"/>
          <w:rtl w:val="true"/>
          <w:lang w:bidi="ar-SA"/>
        </w:rPr>
        <w:t>، والأولی والأنسب کونه جامعاً لجمیع أنواع العلوم کلّها،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عَلَیْکَ الکِتَابَ تِبْیَاناً لِکُلِّ شَیْ‌ءٍ </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فِی الکِتَابِ مِن شَیْ‌ءٍ</w:t>
      </w:r>
      <w:r>
        <w:rPr>
          <w:rFonts w:eastAsia="Amiri" w:cs="Amiri" w:ascii="Amiri" w:hAnsi="Amiri"/>
          <w:color w:val="111111"/>
          <w:sz w:val="28"/>
          <w:szCs w:val="28"/>
          <w:rtl w:val="true"/>
          <w:lang w:bidi="ar-SA"/>
        </w:rPr>
        <w:t>»</w:t>
      </w:r>
      <w:r>
        <w:rPr>
          <w:rStyle w:val="FootnoteAnchor"/>
          <w:rtl w:val="true"/>
        </w:rPr>
        <w:footnoteReference w:id="555"/>
      </w:r>
      <w:r>
        <w:rPr>
          <w:rFonts w:ascii="IRNazanin" w:hAnsi="IRNazanin" w:eastAsia="IRNazanin"/>
          <w:color w:val="111111"/>
          <w:sz w:val="28"/>
          <w:sz w:val="28"/>
          <w:szCs w:val="28"/>
          <w:rtl w:val="true"/>
          <w:lang w:bidi="fa-IR"/>
        </w:rPr>
        <w:t>وعنه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 القرآن فسّر جمل العلم، وقال علیه‌السلام فی وصف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ظاهره حکم وباطنه علم، ظاهره أنیق وباطنه عمیق، له تخوم وعلی تخومه تخوم، لا تحصی عجائبه، ولا تبلی غرائبه، فیه مصابیح الهدی ومنار</w:t>
      </w:r>
    </w:p>
    <w:p>
      <w:pPr>
        <w:pStyle w:val="BookText"/>
        <w:rPr/>
      </w:pP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علیّ بن إبراهیم عن أبیه،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إنّکم فی دار هدنة،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التبست علیکم الفتن کقطع اللیل المظلم، فعلیکم بالقرآن، فانّه شافع مُشفِّع وماحل مُصدِّق، ومَن جعله أمامه قاده الی الجنّة، ومَن جعله خلفه ساقه إلی النار، وهو دلیلٌ یدلّ علی خیر سبیل، وهو کتاب فیه تفصیل وبیان وتحصیل لیس بالهزل، وله ظهر وبطن، فظاهره حکم وباطنه علم،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الصادق علیه‌السلام قال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محمّد بن یحیی، عن محمّد بن الحسین، عن محمّد بن عیسی، عن أبی عبداللّه المؤمن، عن عبدالأعلی مولی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عبداللّه علیه‌السلام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إنِّی لَأعْلَمُ کتاب اللّه عن أوّله إلی آخره کأ نّه فی کفّی، فیه خبر السماء وخبر الأرض وخبر ما کان، وخبر ما هو کائن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نَزَّلْنَا عَلَیْکَ الْکِتَابَ تِبْیَانا لِکُلِّ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 نّه فی کفّی، مبالغة فی الإحاطة بعلوم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ولدنی رسول اللّه صلی‌الله‌علیه‌و‌آله وأنا أعلم کتاب اللّه، وفیه بدء الخلق، وما هو کائن إلی یوم القیامة، وفیه خبر السماء وخبر الأرض وخبر الجنّة والنّار، وخبر ما کان وما هو کائن، أعلم ذلک کما أنظر إلی کفّی، إنّ اللّه تعالی 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ضلّ منّا عقال کنّا نجده بالقرآن، إلی غیر ذلک من الأخبار</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431" w:name="pg4391_51174"/>
    </w:p>
    <w:p>
      <w:pPr>
        <w:pStyle w:val="Heading5"/>
        <w:numPr>
          <w:ilvl w:val="4"/>
          <w:numId w:val="1"/>
        </w:numPr>
        <w:rPr/>
      </w:pPr>
      <w:bookmarkStart w:id="432" w:name="__RefHeading___Toc1438911_1479056682"/>
      <w:bookmarkStart w:id="433" w:name="_Toc164"/>
      <w:bookmarkEnd w:id="431"/>
      <w:bookmarkEnd w:id="432"/>
      <w:r>
        <w:rPr>
          <w:rtl w:val="true"/>
        </w:rPr>
        <w:t>الطُّرفة العاشرة</w:t>
      </w:r>
      <w:r>
        <w:rPr>
          <w:rtl w:val="true"/>
        </w:rPr>
        <w:t xml:space="preserve">: </w:t>
      </w:r>
      <w:r>
        <w:rPr>
          <w:rtl w:val="true"/>
        </w:rPr>
        <w:t>فی أنّ الکتاب الّذی بأیدینا هو الکتاب المنزل المجموع بأمر النبیّ صلی‌الله‌علیه‌و‌آله</w:t>
      </w:r>
      <w:bookmarkEnd w:id="433"/>
    </w:p>
    <w:p>
      <w:pPr>
        <w:pStyle w:val="BookText"/>
        <w:rPr/>
      </w:pPr>
      <w:r>
        <w:rPr>
          <w:rFonts w:ascii="Amiri" w:hAnsi="Amiri" w:eastAsia="Amiri" w:cs="Amiri"/>
          <w:color w:val="111111"/>
          <w:sz w:val="28"/>
          <w:sz w:val="28"/>
          <w:szCs w:val="28"/>
          <w:rtl w:val="true"/>
          <w:lang w:bidi="ar-SA"/>
        </w:rPr>
        <w:t>بلا تحریفٍ وتغییرٍ وزیادةٍ ونقصانٍ</w:t>
      </w:r>
    </w:p>
    <w:p>
      <w:pPr>
        <w:pStyle w:val="BookText"/>
        <w:rPr/>
      </w:pPr>
      <w:r>
        <w:rPr>
          <w:rFonts w:ascii="IRNazanin" w:hAnsi="IRNazanin" w:eastAsia="IRNazanin"/>
          <w:color w:val="111111"/>
          <w:sz w:val="28"/>
          <w:sz w:val="28"/>
          <w:szCs w:val="28"/>
          <w:rtl w:val="true"/>
          <w:lang w:bidi="fa-IR"/>
        </w:rPr>
        <w:t>الحقّ أنّ الکتاب العزیز الّذی بأیدینا هو ذلک الکتاب المنزل المجموع المرتّب بأمرالنبیّ صلی‌الله‌علیه‌و‌آلهفی عصره بلا تحریف وتغییر وزیادة ونقصان، لتواتره بین المسلمین کلاًّ وأبعاضاً وترتیباً وقراءةً ونهایة اهتمام المسلمین کافّةً، خصوصاً علماءهم وقُرّاءهم فی حفظه وتلاوته والبحث عنه، لأ نّه أساس الإسلام وأعظم معجزات سیِّد الأنام صلی‌الله‌علیه‌و‌آله ومأخذ الأحکام، ومنشور اللّه إلی خلقه، ونوره المبین فی 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السیِّد المرتضی علی ما</w:t>
      </w:r>
    </w:p>
    <w:p>
      <w:pPr>
        <w:pStyle w:val="BookText"/>
        <w:rPr/>
      </w:pPr>
      <w:r>
        <w:rPr>
          <w:rFonts w:ascii="IRNazanin" w:hAnsi="IRNazanin" w:eastAsia="IRNazanin"/>
          <w:color w:val="111111"/>
          <w:sz w:val="28"/>
          <w:sz w:val="28"/>
          <w:szCs w:val="28"/>
          <w:rtl w:val="true"/>
          <w:lang w:bidi="fa-IR"/>
        </w:rPr>
        <w:t>حکی عنه فی جواب مسائل الطّرابلسیّات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العلم بصحّة نقل القرآن کالعلم بالبلدان والحوادث الکبار والوقائع العظام، والکتب المشهورة، وأشعار العرب المسطورة، فإنّ العنایة اشتدّت، والدّواعی توفّرت علی نقله وحراسته، وبلغت حدّاً لم تبلغه فیما ذکرنا، لأنّ القرآن معجز النبوّة، ومأخذ العلوم</w:t>
      </w:r>
    </w:p>
    <w:p>
      <w:pPr>
        <w:pStyle w:val="BookText"/>
        <w:rPr/>
      </w:pPr>
      <w:r>
        <w:rPr>
          <w:rFonts w:ascii="IRNazanin" w:hAnsi="IRNazanin" w:eastAsia="IRNazanin"/>
          <w:color w:val="111111"/>
          <w:sz w:val="28"/>
          <w:sz w:val="28"/>
          <w:szCs w:val="28"/>
          <w:rtl w:val="true"/>
          <w:lang w:bidi="fa-IR"/>
        </w:rPr>
        <w:t>الشرعیة، والأحکام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وعلماء المسلمین قد بلغوا فی حفظه وحمایته الغایة، حتّی</w:t>
      </w:r>
    </w:p>
    <w:p>
      <w:pPr>
        <w:pStyle w:val="BookText"/>
        <w:rPr/>
      </w:pPr>
      <w:r>
        <w:rPr>
          <w:rFonts w:ascii="IRNazanin" w:hAnsi="IRNazanin" w:eastAsia="IRNazanin"/>
          <w:color w:val="111111"/>
          <w:sz w:val="28"/>
          <w:sz w:val="28"/>
          <w:szCs w:val="28"/>
          <w:rtl w:val="true"/>
          <w:lang w:bidi="fa-IR"/>
        </w:rPr>
        <w:t>عرّفوا کلّ شیء اختلف فیه من إعرابه وقراءته وحروفه وآیاته، فکیف یجوز أن یکون مغیّراً أو منقوصاً مع العنایة الصادقة، والضبط الشدید</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قدس‌سره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بنفس </w:t>
      </w:r>
      <w:r>
        <w:rPr>
          <w:rStyle w:val="FootnoteAnchor"/>
          <w:rtl w:val="true"/>
        </w:rPr>
        <w:footnoteReference w:id="559"/>
      </w:r>
      <w:r>
        <w:rPr>
          <w:rFonts w:ascii="IRNazanin" w:hAnsi="IRNazanin" w:eastAsia="IRNazanin"/>
          <w:color w:val="111111"/>
          <w:sz w:val="28"/>
          <w:sz w:val="28"/>
          <w:szCs w:val="28"/>
          <w:rtl w:val="true"/>
          <w:lang w:bidi="fa-IR"/>
        </w:rPr>
        <w:t>القرآن وأبعاضه فی صحّة نقله کالعلم بجملته، وجری</w:t>
      </w:r>
    </w:p>
    <w:p>
      <w:pPr>
        <w:pStyle w:val="BookText"/>
        <w:rPr/>
      </w:pPr>
      <w:r>
        <w:rPr>
          <w:rFonts w:ascii="IRNazanin" w:hAnsi="IRNazanin" w:eastAsia="IRNazanin"/>
          <w:color w:val="111111"/>
          <w:sz w:val="28"/>
          <w:sz w:val="28"/>
          <w:szCs w:val="28"/>
          <w:rtl w:val="true"/>
          <w:lang w:bidi="fa-IR"/>
        </w:rPr>
        <w:t>ذلک مجری ما علم ضرورة من الکتب المصنّفة، ککتاب سیبویه والمزنیّ من أهل العنایة بهذا الشأن یعلمون من تفصیلها ما یعلمونه من جملتها، حتّی لو أنّ مدخلاً أدخل فی کتاب</w:t>
      </w:r>
    </w:p>
    <w:p>
      <w:pPr>
        <w:pStyle w:val="BookText"/>
        <w:rPr/>
      </w:pPr>
      <w:r>
        <w:rPr>
          <w:rFonts w:ascii="IRNazanin" w:hAnsi="IRNazanin" w:eastAsia="IRNazanin"/>
          <w:color w:val="111111"/>
          <w:sz w:val="28"/>
          <w:sz w:val="28"/>
          <w:szCs w:val="28"/>
          <w:rtl w:val="true"/>
          <w:lang w:bidi="fa-IR"/>
        </w:rPr>
        <w:t xml:space="preserve">سیبویه باباً فی النحو لیس من الکتاب لعرف ومیّز، وعلم أنّه ملحق ولیس من أصل الکتاب، وکذلک القول فی کتاب المزنیّ </w:t>
      </w:r>
      <w:r>
        <w:rPr>
          <w:rStyle w:val="FootnoteAnchor"/>
          <w:rtl w:val="true"/>
        </w:rPr>
        <w:footnoteReference w:id="560"/>
      </w:r>
      <w:r>
        <w:rPr>
          <w:rFonts w:ascii="IRNazanin" w:hAnsi="IRNazanin" w:eastAsia="IRNazanin"/>
          <w:color w:val="111111"/>
          <w:sz w:val="28"/>
          <w:sz w:val="28"/>
          <w:szCs w:val="28"/>
          <w:rtl w:val="true"/>
          <w:lang w:bidi="fa-IR"/>
        </w:rPr>
        <w:t>ومعلوم أنّ العنایة بنقل القرآن وضبطه أصدق من العنایة بضبط کتاب سیبویه ودواوین الشّعراء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أیضاً أنّ القرآن کان علی عهد رسول اللّه صلی‌الله‌علیه‌و‌آله مجموعاً مؤلّفاً علی ما هو علیه الآن واستدلّ علی ذلک بأنّ القرآن کان یدرس ویحفظ جمیعه فی ذلک الزمان، حتی عیّن علی جماعة من الصحابة فی حفظهم له، وأنّه کان یعرض علی‌النبیّ صلی‌الله‌علیه‌و‌آله ویتلی علیه، وأنّ جماعة من الصحابة مثل عبداللّه بن مسعود وأبیّ بن کعب وغیرهما ختموا القرآن علی‌النبیّ صلی‌الله‌علیه‌و‌آلهعدّة ختمات، وکلّ ذلک یدلّ بأدنی تأمّل علی أنّه کان مجموعاً مرتّباً غیر مبتور ولا مبثوث ، وذکر أنّ من خالف فی ذلک من الإمامیة والحشویّة </w:t>
      </w:r>
      <w:r>
        <w:rPr>
          <w:rStyle w:val="FootnoteAnchor"/>
          <w:rtl w:val="true"/>
        </w:rPr>
        <w:footnoteReference w:id="5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دائرة المعارف الإسلامیة </w:t>
      </w:r>
      <w:r>
        <w:rPr>
          <w:rFonts w:eastAsia="IRNazanin" w:cs="IRNazanin"/>
          <w:color w:val="111111"/>
          <w:sz w:val="28"/>
          <w:szCs w:val="28"/>
          <w:lang w:bidi="fa-IR"/>
        </w:rPr>
        <w:t>7/439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یعتدّ بخلافهم فإنّ الخلاف فی ذلک مضاف إلی قوم من أصحاب الحدیث نقلوا أخباراً ضعیفة ظنّوا صحّتها لا یرجع بمثلها من العلوم المقطوع علی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ولعمری إنّه رضی‌الله‌عنه أبان الحقّ وأجاد وأتی بما فوق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قال الفیض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هو محمّد بن محسن بن مرتضی المعروف بملاّ محسن الکاشیّ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الخوئیّ فی معجمه عن الشیخ الحرفیّ فی تذکرة المتبحّرین </w:t>
      </w:r>
      <w:r>
        <w:rPr>
          <w:rFonts w:eastAsia="IRNazanin" w:cs="IRNazanin"/>
          <w:color w:val="111111"/>
          <w:sz w:val="28"/>
          <w:szCs w:val="28"/>
          <w:rtl w:val="true"/>
          <w:lang w:bidi="fa-IR"/>
        </w:rPr>
        <w:t>(</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المولی الجلیل محمّد بن مرتضی المدعوّ بمحسن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فاضلاً، عالما، ماهرا، حکیما، متکلّما، محدّثا، فقیها، محقّقا، شاعرا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الوافی، جمع الکتب الأربعة مع شرح أحادیثها المشکلة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سفینة النجاة فی طریق العمل، وتفاسیر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وصغیرٌ ومتوسّط، وکتاب عین الیقین، وکتاب حقّ الیقینو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متعدّدة فی أبواب الفقه والأخلاق والحدیث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له رسالة فی فهرست مؤلّفاته، وذکر فیها أربعا وعشرین کتابا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معجم رجال الحدیث للخوئیّ </w:t>
      </w:r>
      <w:r>
        <w:rPr>
          <w:rFonts w:eastAsia="IRNazanin" w:cs="IRNazanin"/>
          <w:color w:val="111111"/>
          <w:sz w:val="28"/>
          <w:szCs w:val="28"/>
          <w:lang w:bidi="fa-IR"/>
        </w:rPr>
        <w:t>17/214</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رحمه‌الله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الدّواعی کانت متوفّرةً علی نقل</w:t>
      </w:r>
    </w:p>
    <w:p>
      <w:pPr>
        <w:pStyle w:val="BookText"/>
        <w:rPr/>
      </w:pPr>
      <w:r>
        <w:rPr>
          <w:rFonts w:ascii="IRNazanin" w:hAnsi="IRNazanin" w:eastAsia="IRNazanin"/>
          <w:color w:val="111111"/>
          <w:sz w:val="28"/>
          <w:sz w:val="28"/>
          <w:szCs w:val="28"/>
          <w:rtl w:val="true"/>
          <w:lang w:bidi="fa-IR"/>
        </w:rPr>
        <w:t xml:space="preserve">القرآن وحراسته من المؤمنین کذلک کانت متوفّرةً علی تغییره من المنافقین المبدّلین للوصیّة، المغیِّرین للخلافة، لتضمّنه ما یُضادّ رأیهم وهواهم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ولکن کان توفَّر دواعیهم علی التغییر کتوفّر دواعیهم علی إطفاء نورالنبیّ صلی‌الله‌علیه‌و‌آلهوإبطال أمره، فکما لم ینالوا بمقصودهم فی أمر النبوّة لحفظ اللّه وتأییده وقوّة المسلمین وکثرتهم، بحیث صار المنافقون بینهم کالشامة السوداء فی الثور الأبیض، لم‌ینالوا من القرآن ما کان فی قلوبهم من الغرض، بل کان دون نیلهم إلیه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الفیض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والتغییر فیه انْ وقع، فانّما وقع قبل انتشاره فی البلدان واستقراره علی ما هو علیه الآن، والضبط الشدید إنّما کان بعد ذلک، فلا تنافی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ثبت أنّ القرآن کان مجموعاً فی زمان‌النبیّ صلی‌الله‌علیه‌و‌آله وکان شدّة اهتمام المسلمین</w:t>
      </w:r>
    </w:p>
    <w:p>
      <w:pPr>
        <w:pStyle w:val="BookText"/>
        <w:rPr/>
      </w:pPr>
      <w:r>
        <w:rPr>
          <w:rFonts w:ascii="IRNazanin" w:hAnsi="IRNazanin" w:eastAsia="IRNazanin"/>
          <w:color w:val="111111"/>
          <w:sz w:val="28"/>
          <w:sz w:val="28"/>
          <w:szCs w:val="28"/>
          <w:rtl w:val="true"/>
          <w:lang w:bidi="fa-IR"/>
        </w:rPr>
        <w:t>فی حفظ ذلک المجموع بعدالنبیّ صلی‌الله‌علیه‌و‌آله وفی زمان احتمل بعض وقوع التحریف فیه کاهتمامهم فی حفظ أنفسهم وأعراضهم، ومن الواضح أنّه لم ینتشر الإسلام فی بقاع الأرض وأقطارها إلاّ بانتشار الکتاب المجید فیها، حیث أنّ إعجازَ القرآن دعا الناس إلی</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 والإیمان بخاتم النبیّین صلی‌الله‌علیه‌و‌آله، بل کان نشر الکتاب وشیوعه بین الناس أکثر من نشر الإسلام، إذ الکفّار المعاندین للدین بشدّة إعجابهم بآیات اللّه وسور القرآن کانوا یحفظونها ویتلونها أکثر من حفظهم وقراءتهم من قصائد شعراء العرب کامرئ القیس وأضرابه، وخطب الفصحاء، مع 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یوع قوّة الحافظة فی أهل ذلک العصر بحیث کان کثیر منهم یحفظون الخطب الطّوال بسماعها مرّةً واحدةً، ولذا کانت العادة مقتضیة لأنْ یکون کلّ آیة وسورة فی حفظ جمع کثیر کان عددهم فوق حدّ التواتر، مع أنّه کان حفظ القرآن وتلاوته من أعظم عبادات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فالعادة تقتضی أن یکون جمع کثیر منهم حافظین لجمیع القرآن، ومن الواضح أنّه کان اهتمامهم بحفظ القرآن من التغییر وصیانتهم له من التحریف</w:t>
      </w:r>
    </w:p>
    <w:p>
      <w:pPr>
        <w:pStyle w:val="BookText"/>
        <w:rPr/>
      </w:pPr>
      <w:r>
        <w:rPr>
          <w:rFonts w:ascii="IRNazanin" w:hAnsi="IRNazanin" w:eastAsia="IRNazanin"/>
          <w:color w:val="111111"/>
          <w:sz w:val="28"/>
          <w:sz w:val="28"/>
          <w:szCs w:val="28"/>
          <w:rtl w:val="true"/>
          <w:lang w:bidi="fa-IR"/>
        </w:rPr>
        <w:t>کاهتمامهم بحفظ الإسلام وحفظ‌النبیّ صلی‌الله‌علیه‌و‌آله مِن أن تصیبه آفةٌ وجراحةٌ، حیث أنّهم کانوا یفدون أنفسهم وأولادهم وأعراضهم وأموالهم دون نفسه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الغرائب قوله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لقائلٍ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إنّما لا یتغیّر فی نفسه وإنّما التغییر فی کتابتهم إیّاه وتلفّظهم به، فإنّهم ما حرّفوا إلاّ عند نسخهم من الأصل، وبقی الأصل علی ما هو علیه عند أهله وهم العلماء به، فما هو عند العلماء به لیس بمحرّف، وإنّما المحرّف ما أظهروه لأتباعهم،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الاحتمال مبنیّ علی فرض کون القرآن الموجود فی عصرالنبیّ صلی‌الله‌علیه‌و‌آله وبعده نسخة واحدة أو نسختین عند واحد من الصحابة أو اثنین، ثمّ استنسخه جماعةٌ من المنافقین مع عدم اطّلاع أکثر المسلمین به وبآیاته، ثمّ خفی الأصل عن الأنظار وانتشر</w:t>
      </w:r>
    </w:p>
    <w:p>
      <w:pPr>
        <w:pStyle w:val="BookText"/>
        <w:rPr/>
      </w:pPr>
      <w:r>
        <w:rPr>
          <w:rFonts w:ascii="IRNazanin" w:hAnsi="IRNazanin" w:eastAsia="IRNazanin"/>
          <w:color w:val="111111"/>
          <w:sz w:val="28"/>
          <w:sz w:val="28"/>
          <w:szCs w:val="28"/>
          <w:rtl w:val="true"/>
          <w:lang w:bidi="fa-IR"/>
        </w:rPr>
        <w:t>المحرَّف فی الأقطار، وهذا الاحتمال ممّا لا ینبغی انقداحه فی ذهن أحدٍ حیث أنّ القرآن</w:t>
      </w:r>
    </w:p>
    <w:p>
      <w:pPr>
        <w:pStyle w:val="BookText"/>
        <w:rPr/>
      </w:pPr>
      <w:r>
        <w:rPr>
          <w:rFonts w:ascii="IRNazanin" w:hAnsi="IRNazanin" w:eastAsia="IRNazanin"/>
          <w:color w:val="111111"/>
          <w:sz w:val="28"/>
          <w:sz w:val="28"/>
          <w:szCs w:val="28"/>
          <w:rtl w:val="true"/>
          <w:lang w:bidi="fa-IR"/>
        </w:rPr>
        <w:t xml:space="preserve">کان بآیاته وسوره أظهر من الشمس عند المسلمین، ولم یکن بینهم علم غیر علم القرآن، فکیف یمکن عدم اطّلاع أغلبهم بآیاته وسوره ومحلّ آیاته وکیفیة قراءته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شیخ الطائفة محمّد بن الحسن الطّوسیّ</w:t>
      </w:r>
      <w:r>
        <w:rPr>
          <w:rStyle w:val="FootnoteAnchor"/>
          <w:rtl w:val="true"/>
        </w:rPr>
        <w:footnoteReference w:id="564"/>
      </w:r>
    </w:p>
    <w:p>
      <w:pPr>
        <w:pStyle w:val="BookText"/>
        <w:rPr/>
      </w:pPr>
      <w:r>
        <w:rPr>
          <w:rFonts w:ascii="IRNazanin" w:hAnsi="IRNazanin" w:eastAsia="IRNazanin"/>
          <w:color w:val="111111"/>
          <w:sz w:val="28"/>
          <w:sz w:val="28"/>
          <w:szCs w:val="28"/>
          <w:rtl w:val="true"/>
          <w:lang w:bidi="fa-IR"/>
        </w:rPr>
        <w:t>هو أبو جعفر محمّد بن الحسن بن علیّ بن الحسن الطوسیّ المعروف بشیخ الطائفة والشهیر بالشیخ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طوس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وهاجر إلی بغداد سنة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وهو ابن ثلاثة وعشرین عاما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لقی محمّد بن محمّد بن النعمان الشهیر بالشیخ المفید وتلمّذ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مرجعیة الشیعة بعد علم الهدی السیِّد المرتضی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تلامیذه ثلاثمائة من مجتهدی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رأی الشیخ الخطر محدقا به هاجر بنفسه إلی النجف الأشرف سنة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بجوار أمیر المؤمنین علیه‌السلام، وصیّرها مرکزا للعلم وجامعة کبری للشیعة الإمامیة، وأخذت تشدّ إلیها الرِّحال وتعلّق بها الآمال، وأصبحت مهبط رجال العلم ومهوی أفئدتهم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هی جامعة النجف الّتی شیّد الطوسیّ رکنها الأساسیّ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مشایخه هؤلاء أساطین العلم والإیمان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المفید، الحسین بن عبیداللّه أحمد بن عبدون، أحمد بن محمّد الأهوازیّ، محمّد بن علیّ بن بابویه، جعفر بن محمّد بن قولویه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فی الفقه، العدّة فی الأُصول، التبیان فی تفسیر القرآن، المصباح فی الأدعیة، التهذیب والاستبصار فی الأخبار والأحادیث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الرجال والفهرست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الشیخ الطوسیّ کان أوّل باحث نقد الأحادیث وحاول الجمع بین مختلفاتها ومتعارضاتها لم یسبقه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وبرع فیها براعةً لا تتأتّی لمثله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محسن الأمین فی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ستّ أربعون کتابا فی المسائل الکلامیّة والفقهیّة والرجالیّة والتفسیر والحدیث وغیر ذلک وذکرها کلّها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أعیان الشیعة </w:t>
      </w:r>
      <w:r>
        <w:rPr>
          <w:rFonts w:eastAsia="IRNazanin" w:cs="IRNazanin"/>
          <w:color w:val="111111"/>
          <w:sz w:val="28"/>
          <w:szCs w:val="28"/>
          <w:lang w:bidi="fa-IR"/>
        </w:rPr>
        <w:t>9/159</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 هو جلیل من أصحابنا، ثقةٌ، عینٌ، من تلامذة شیخنا أبی عبداللّه، له 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العلاّمة فی القسم الأوّل من الخلاصة، 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الإمامیة ورئیس الطائفة، جلیل القدر، عظیم المنزلة، ثقةٌ، عینٌ، صدوق، عارفٌ بالأخبار والرجال والفقه والأُصول والکلام والأدب، وجمیع الفضائل تنسب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آقابزرگ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تصانیفه فی الرجال کتصانیفه فی الحدیث من أُصول الشیعة المعوّل علیها فی جمیع الأعصار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مصفی المقال، ص</w:t>
      </w:r>
      <w:r>
        <w:rPr>
          <w:rFonts w:eastAsia="IRNazanin" w:cs="IRNazanin"/>
          <w:color w:val="111111"/>
          <w:sz w:val="28"/>
          <w:szCs w:val="28"/>
          <w:lang w:bidi="fa-IR"/>
        </w:rPr>
        <w:t>402</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الکلام</w:t>
      </w:r>
    </w:p>
    <w:p>
      <w:pPr>
        <w:pStyle w:val="BookText"/>
        <w:rPr/>
      </w:pPr>
      <w:r>
        <w:rPr>
          <w:rFonts w:ascii="IRNazanin" w:hAnsi="IRNazanin" w:eastAsia="IRNazanin"/>
          <w:color w:val="111111"/>
          <w:sz w:val="28"/>
          <w:sz w:val="28"/>
          <w:szCs w:val="28"/>
          <w:rtl w:val="true"/>
          <w:lang w:bidi="fa-IR"/>
        </w:rPr>
        <w:t>فی زیادته ونقصانه فممّا لا یلیق به، لأنّ الزیادة فیه مجمع علی بطلانه والنقصان منه فالظاهر أیضاً من مذهب المسلمین خلافه، وهو الألیق بالصحیح من مذهبنا، وهو الّذی نصره المرتضی، وهو الظاهر فی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أنّه رویت روایات کثیرة من جهة الخاصّة والعامّة بنقصان کثیر من آی القرآن ونقل شیء منه من موضعٍ إلی موضعٍ، طریقها الآحاد</w:t>
      </w:r>
    </w:p>
    <w:p>
      <w:pPr>
        <w:pStyle w:val="BookText"/>
        <w:rPr/>
      </w:pPr>
      <w:r>
        <w:rPr>
          <w:rFonts w:ascii="IRNazanin" w:hAnsi="IRNazanin" w:eastAsia="IRNazanin"/>
          <w:color w:val="111111"/>
          <w:sz w:val="28"/>
          <w:sz w:val="28"/>
          <w:szCs w:val="28"/>
          <w:rtl w:val="true"/>
          <w:lang w:bidi="fa-IR"/>
        </w:rPr>
        <w:t>الّتی لاتوجد</w:t>
      </w:r>
      <w:r>
        <w:rPr>
          <w:rStyle w:val="FootnoteAnchor"/>
          <w:rtl w:val="true"/>
        </w:rPr>
        <w:footnoteReference w:id="565"/>
      </w:r>
      <w:r>
        <w:rPr>
          <w:rFonts w:ascii="IRNazanin" w:hAnsi="IRNazanin" w:eastAsia="IRNazanin"/>
          <w:color w:val="111111"/>
          <w:sz w:val="28"/>
          <w:sz w:val="28"/>
          <w:szCs w:val="28"/>
          <w:rtl w:val="true"/>
          <w:lang w:bidi="fa-IR"/>
        </w:rPr>
        <w:t>علماً، فالأُولی الإعراض عنها وترک التشاغل بها، لأ نّه یمکن تأویلها</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وقال شیخنا الصّدوق</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هو محمّد بن علیّ بن الحسن بن موسی بن بابویه القمّیّ، جلیل القدر یکنّی أبا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جلیلاً، حافظا للأحادیث، بصیرا بالرجال، ناقدا للأخبار، لم یَرَ فی القمّیّین مثله فی حفظه وکثرة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نحو من ثلاثمائة مصنّف وفهرست کتبه معروف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التفسیر، لم یتمّه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الرجال ولم یتمّه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 وعقاب الأعمال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الغیبة المعروف بإکمال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أخبار الرضا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من الکتب والرسائل الصغار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وروایاته جماعة من أصحابنا منهم الشیخ المفید والحسین بن عبیداللّه وأبو الحسین جعفر بن الحسن وغیرهم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الفهرست، ص</w:t>
      </w: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الصدوق بالری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وقبره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بین العلماء والمحدِّثین أنّ الشیخ وُلِدَ بدعاء الإمام الحجّة علیه‌السلام، ووصفه علیه‌السلام فی التوقیع بأ نّه فقیه خیر مبارک ینفع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وکتاب من لا یحضره الفقیه أحد الکتب الأربعة التی علیها المدار فی استنباط أحکام الدِّین بعد کتاب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جعفر نزیل الری، شیخنا وفقیهنا ووجه الطائفة بخراسان، وکان ورد بغداد سنة خمس وخمسین وثلاثمائة، وسمع منه شیوخ الطائفة وهو حدث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بجمیع کتبه وقرأت بعضها علی والدی علیّ بن أحمد بن العبّاس النجاشیّ رحمه‌الله، وقال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أجازنی جمیع کتبه لما سمعنا منه ببغداد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2/311</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رحمه‌الله فی اعتقاداته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اعتقادنا أنّ القرآن الّذی أنزله اللّه علی نبیّه</w:t>
      </w:r>
    </w:p>
    <w:p>
      <w:pPr>
        <w:pStyle w:val="BookText"/>
        <w:rPr/>
      </w:pPr>
      <w:r>
        <w:rPr>
          <w:rFonts w:ascii="IRNazanin" w:hAnsi="IRNazanin" w:eastAsia="IRNazanin"/>
          <w:color w:val="111111"/>
          <w:sz w:val="28"/>
          <w:sz w:val="28"/>
          <w:szCs w:val="28"/>
          <w:rtl w:val="true"/>
          <w:lang w:bidi="fa-IR"/>
        </w:rPr>
        <w:t>هو ما بین الدّفّتین، وما فی أیدی الناس لیس بأکثر من ذلک، ومن نسب إلینا أ 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أکثر من ذلک فهو کاذب علینا، انتهی</w:t>
      </w:r>
      <w:r>
        <w:rPr>
          <w:rStyle w:val="FootnoteAnchor"/>
          <w:rtl w:val="true"/>
        </w:rPr>
        <w:footnoteReference w:id="5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مع هذا الکلام من الصّدوق أنّه نسب إلی الکلینیّ</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هو محمّد بن یعقوب بن إسحاق أبو جعفر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شیخ أصحابنا فی وقته بالری ووجههم، وکان أوثق الناس فی الحدیث وأثبتهم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الکتاب الکبیر المعروف بالکلینیّ ویسمّی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کتاب فضل العلم، کتاب التوحید، کتاب الحجّة، کتاب الإیمان والکفر،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الروضة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غیر کتاب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الردّ علی القرامطة، کتاب رسائل الأئمّة علیهم‌السلام، کتاب تعبیر الرؤیا، کتاب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رحمه‌الله ببغداد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سنة تناثر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یحتمل أن یکون سنة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وصلّی علیه محمّد بن جعفر الحسنیّ أبو قیراط ودفن بباب الکوفة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مجدِّدی المذهب الجعفریّ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بتحریف القرآن مستنداً إلی نقله بعض الروایات التی ورد فی هذا المعنی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العلاّمة الطباطبائیّ فی شرح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عنده القرآن،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کانت ظاهرة فی لفظ القرآن ومشعرة بوقوع التحریف فیه، لکن تقییدها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ظاهره وباطنه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یفید أنّ المراد هو العلم بجمیع القرآن من حیث معانیه الظاهرة علی فهم العادی ومعانیه المستنبطة علی الفهم العادی، وکذا قوله فی الروایة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ادّعی أحدٌ من الناس أنّه جمع القرآن کلّه کما أُنزل إلاّ کذّاب، وما جمعه وحفظه کما أنزل اللّه تعالی إلاّ علیّ بن أبی طالب علیه‌السلاموالأئمّة من بعده علیهم‌السلام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أُصول الکافی للکلینیّ،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یجمع القرآن کلّه</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تعرّضه للقدح فیها، مع ذکره فی أوّل الکافی أنّه کان یثق بما رواه فیه، فإنّه لا دلالة لنقل الروایات والوثوق بصدورها علی</w:t>
      </w:r>
    </w:p>
    <w:p>
      <w:pPr>
        <w:pStyle w:val="BookText"/>
        <w:rPr/>
      </w:pPr>
      <w:r>
        <w:rPr>
          <w:rFonts w:ascii="IRNazanin" w:hAnsi="IRNazanin" w:eastAsia="IRNazanin"/>
          <w:color w:val="111111"/>
          <w:sz w:val="28"/>
          <w:sz w:val="28"/>
          <w:szCs w:val="28"/>
          <w:rtl w:val="true"/>
          <w:lang w:bidi="fa-IR"/>
        </w:rPr>
        <w:t>اعتقاد النّاقل بمضمونها أو إفتائه به، لإمکان حملها علی محامل کالتقیّة أو غیرها، أو ردّ النّاقل علمها إلی الراسخین فی العلم مع أنّ الصّدوق رحمه‌الله کان أعرف بمذهب الکلینیّ رحمه‌الله من غیره، وکیف یمکن تکذیبه ونسبة التحریف إلی الإمامیة مع قول شیخه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الصدوق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لعلمه بإجماع الإمامیة ودلالة روایات کثیرة، بل الکتاب المجید علی عدم تحریفه وملاحظة لزوم الوهن من القول به فی أساس إلاسلام وتواتر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أعرَضَ عن الروایات الکثیرة الدالّة علی وقوع التحریف فیه، مع أنّه لغایة تعبّده بظواهر الأخبار</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القول بجواز السّهو علی‌النبیّ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نسب السّید المرتضی رحمه‌الله الخلاف فی</w:t>
      </w:r>
    </w:p>
    <w:p>
      <w:pPr>
        <w:pStyle w:val="BookText"/>
        <w:rPr/>
      </w:pPr>
      <w:r>
        <w:rPr>
          <w:rFonts w:ascii="IRNazanin" w:hAnsi="IRNazanin" w:eastAsia="IRNazanin"/>
          <w:color w:val="111111"/>
          <w:sz w:val="28"/>
          <w:sz w:val="28"/>
          <w:szCs w:val="28"/>
          <w:rtl w:val="true"/>
          <w:lang w:bidi="fa-IR"/>
        </w:rPr>
        <w:t>ذلک إلی قومٍ من أصحاب الحدیث من الإمامیة مع تخطئة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خالف فی ذلک من الإمامیة والحشویّة لا یعتدّ بخلافهم، فإنّ الخلاف فی ذلک مضاف إلی قومٍ من أصحاب</w:t>
      </w:r>
    </w:p>
    <w:p>
      <w:pPr>
        <w:pStyle w:val="BookText"/>
        <w:rPr/>
      </w:pPr>
      <w:r>
        <w:rPr>
          <w:rFonts w:ascii="IRNazanin" w:hAnsi="IRNazanin" w:eastAsia="IRNazanin"/>
          <w:color w:val="111111"/>
          <w:sz w:val="28"/>
          <w:sz w:val="28"/>
          <w:szCs w:val="28"/>
          <w:rtl w:val="true"/>
          <w:lang w:bidi="fa-IR"/>
        </w:rPr>
        <w:t>الحدیث نقلوا أخباراً ضعیفة ظنّوا صحّتها، لا یرجع بمثلها عن العلم المقطوع علی صحّته،</w:t>
      </w:r>
    </w:p>
    <w:p>
      <w:pPr>
        <w:pStyle w:val="BookText"/>
        <w:rPr/>
      </w:pPr>
      <w:r>
        <w:rPr>
          <w:rFonts w:ascii="IRNazanin" w:hAnsi="IRNazanin" w:eastAsia="IRNazanin"/>
          <w:color w:val="111111"/>
          <w:sz w:val="28"/>
          <w:sz w:val="28"/>
          <w:szCs w:val="28"/>
          <w:rtl w:val="true"/>
          <w:lang w:bidi="fa-IR"/>
        </w:rPr>
        <w:t>ولعلّ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إلی قوم، دلالة علی عدم ثبوت النسبة عنده، والمراد من أصحاب الحدیث علیّ بن إبراهیم القمّیّ رحمه‌الله ومن حذا حذوه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القمّیّ رحمه‌الله فی تفسیره </w:t>
      </w:r>
      <w:r>
        <w:rPr>
          <w:rStyle w:val="FootnoteAnchor"/>
          <w:rtl w:val="true"/>
        </w:rPr>
        <w:footnoteReference w:id="5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کان </w:t>
      </w:r>
      <w:r>
        <w:rPr>
          <w:rStyle w:val="FootnoteAnchor"/>
          <w:rtl w:val="true"/>
        </w:rPr>
        <w:footnoteReference w:id="571"/>
      </w:r>
      <w:r>
        <w:rPr>
          <w:rFonts w:ascii="Amiri" w:hAnsi="Amiri" w:eastAsia="Amiri" w:cs="Amiri"/>
          <w:color w:val="111111"/>
          <w:sz w:val="28"/>
          <w:sz w:val="28"/>
          <w:szCs w:val="28"/>
          <w:rtl w:val="true"/>
          <w:lang w:bidi="ar-SA"/>
        </w:rPr>
        <w:t>خلاف ما أنزل اللّه، فقوله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کُنْتُم خَیْرَ أُمَّةٍ أُخْرِجَت لِلنَّاسِ تَأْمُرُونَ بِالْمَعْرُوفِ وَتَنْهونَ عَنِ المُنْکَرِ وَتُؤْمِنُونَ بِاللّه‌ِ </w:t>
      </w:r>
      <w:r>
        <w:rPr>
          <w:rFonts w:eastAsia="Amiri" w:cs="Amiri" w:ascii="Amiri" w:hAnsi="Amiri"/>
          <w:color w:val="111111"/>
          <w:sz w:val="28"/>
          <w:szCs w:val="28"/>
          <w:rtl w:val="true"/>
          <w:lang w:bidi="ar-SA"/>
        </w:rPr>
        <w:t xml:space="preserve">» </w:t>
      </w:r>
      <w:r>
        <w:rPr>
          <w:rStyle w:val="FootnoteAnchor"/>
          <w:rtl w:val="true"/>
        </w:rPr>
        <w:footnoteReference w:id="5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لقارئ هذه الآیة </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یقتلون أمیر المؤمنین والحسین </w:t>
      </w:r>
      <w:r>
        <w:rPr>
          <w:rStyle w:val="FootnoteAnchor"/>
          <w:rtl w:val="true"/>
        </w:rPr>
        <w:footnoteReference w:id="574"/>
      </w:r>
      <w:r>
        <w:rPr>
          <w:rFonts w:ascii="Amiri" w:hAnsi="Amiri" w:eastAsia="Amiri" w:cs="Amiri"/>
          <w:color w:val="111111"/>
          <w:sz w:val="28"/>
          <w:sz w:val="28"/>
          <w:szCs w:val="28"/>
          <w:rtl w:val="true"/>
          <w:lang w:bidi="ar-SA"/>
        </w:rPr>
        <w:t xml:space="preserve">بن علیّ علیهم‌السلام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نزلت یا ابن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کُنْتُم خَیْرَ أَئمَّةٍ أُخْرِجَت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تری مدح اللّه لهم فی آخر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تَأْمُرُونَ بِالْمَعْرُوفِ وَتَنْهَونَ عَنِ المُنْکَرِ وَتُؤْمِنُ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أنّه قرئ علی أبی عبداللّه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یَقُولُونَ رَبَّنا هَبْ لَنَا مِن أَزْوَاجِنا وَذُرِّیَّاتِنا قُرَّةَ أَعْیُنٍ وَاجْعَلْنا لِلْمُتَّقِینَ</w:t>
      </w:r>
    </w:p>
    <w:p>
      <w:pPr>
        <w:pStyle w:val="BookText"/>
        <w:rPr/>
      </w:pPr>
      <w:r>
        <w:rPr>
          <w:rFonts w:ascii="Amiri" w:hAnsi="Amiri" w:eastAsia="Amiri" w:cs="Amiri"/>
          <w:color w:val="111111"/>
          <w:sz w:val="28"/>
          <w:sz w:val="28"/>
          <w:szCs w:val="28"/>
          <w:rtl w:val="true"/>
          <w:lang w:bidi="ar-SA"/>
        </w:rPr>
        <w:t xml:space="preserve">إِمَاماً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سألوا </w:t>
      </w:r>
      <w:r>
        <w:rPr>
          <w:rStyle w:val="FootnoteAnchor"/>
          <w:rtl w:val="true"/>
        </w:rPr>
        <w:footnoteReference w:id="576"/>
      </w:r>
      <w:r>
        <w:rPr>
          <w:rFonts w:ascii="IRNazanin" w:hAnsi="IRNazanin" w:eastAsia="IRNazanin"/>
          <w:color w:val="111111"/>
          <w:sz w:val="28"/>
          <w:sz w:val="28"/>
          <w:szCs w:val="28"/>
          <w:rtl w:val="true"/>
          <w:lang w:bidi="fa-IR"/>
        </w:rPr>
        <w:t xml:space="preserve">عظیماً أن یجعلهم للمتّقین </w:t>
      </w:r>
      <w:r>
        <w:rPr>
          <w:rStyle w:val="FootnoteAnchor"/>
          <w:rtl w:val="true"/>
        </w:rPr>
        <w:footnoteReference w:id="577"/>
      </w:r>
      <w:r>
        <w:rPr>
          <w:rFonts w:ascii="Amiri" w:hAnsi="Amiri" w:eastAsia="Amiri" w:cs="Amiri"/>
          <w:color w:val="111111"/>
          <w:sz w:val="28"/>
          <w:sz w:val="28"/>
          <w:szCs w:val="28"/>
          <w:rtl w:val="true"/>
          <w:lang w:bidi="ar-SA"/>
        </w:rPr>
        <w:t>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یاابن رسول اللّه‌کیف نزلت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لَنَا مِنَ 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تَّقِینَ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مُعَقِّباتٌ مِن بَیْنِ یَدَیْهِ وَمِن خَلْفِهِ یَحْفَظُونَهُ مِن أَمْرِ اللّه‌ِ </w:t>
      </w:r>
      <w:r>
        <w:rPr>
          <w:rFonts w:eastAsia="Amiri" w:cs="Amiri" w:ascii="Amiri" w:hAnsi="Amiri"/>
          <w:color w:val="111111"/>
          <w:sz w:val="28"/>
          <w:szCs w:val="28"/>
          <w:rtl w:val="true"/>
          <w:lang w:bidi="ar-SA"/>
        </w:rPr>
        <w:t xml:space="preserve">» </w:t>
      </w:r>
      <w:r>
        <w:rPr>
          <w:rStyle w:val="FootnoteAnchor"/>
          <w:rtl w:val="true"/>
        </w:rPr>
        <w:footnoteReference w:id="578"/>
      </w:r>
      <w:r>
        <w:rPr>
          <w:rFonts w:ascii="Amiri" w:hAnsi="Amiri" w:eastAsia="Amiri" w:cs="Amiri"/>
          <w:color w:val="111111"/>
          <w:sz w:val="28"/>
          <w:sz w:val="28"/>
          <w:szCs w:val="28"/>
          <w:rtl w:val="true"/>
          <w:lang w:bidi="ar-SA"/>
        </w:rPr>
        <w:t xml:space="preserve">فقال أبو عبداللّه علیه‌السلام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یحفظ الشیء من أمر اللّه، وکیف یکون المعقّب من بین یدیه ؟ 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ذلک یاابن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مُعَقِّباتٌ مِن خَلْفِهِ وَرَقِیبٌ مِن بَینِ یَدَیهِ یَحْفَظُونَهُ بِأَمْرِ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ومثله کثیر</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هو محذوف </w:t>
      </w:r>
      <w:r>
        <w:rPr>
          <w:rStyle w:val="FootnoteAnchor"/>
          <w:rtl w:val="true"/>
        </w:rPr>
        <w:footnoteReference w:id="579"/>
      </w:r>
      <w:r>
        <w:rPr>
          <w:rFonts w:ascii="Amiri" w:hAnsi="Amiri" w:eastAsia="Amiri" w:cs="Amiri"/>
          <w:color w:val="111111"/>
          <w:sz w:val="28"/>
          <w:sz w:val="28"/>
          <w:szCs w:val="28"/>
          <w:rtl w:val="true"/>
          <w:lang w:bidi="ar-SA"/>
        </w:rPr>
        <w:t>عنه فهو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لکِن اللّه‌ُ یَشْهَدُ بِما أنْزَلَ إِلَیْکَ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کذا </w:t>
      </w:r>
      <w:r>
        <w:rPr>
          <w:rStyle w:val="FootnoteAnchor"/>
          <w:rtl w:val="true"/>
        </w:rPr>
        <w:footnoteReference w:id="580"/>
      </w:r>
      <w:r>
        <w:rPr>
          <w:rFonts w:ascii="Amiri" w:hAnsi="Amiri" w:eastAsia="Amiri" w:cs="Amiri"/>
          <w:color w:val="111111"/>
          <w:sz w:val="28"/>
          <w:sz w:val="28"/>
          <w:szCs w:val="28"/>
          <w:rtl w:val="true"/>
          <w:lang w:bidi="ar-SA"/>
        </w:rPr>
        <w:t>نزلت، أنزله بعلمه والملائکة یشهدون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الرَّسُولُ بَلِّغْ مَا أُنْزِلَ إِلَیْکَ مِن</w:t>
      </w:r>
    </w:p>
    <w:p>
      <w:pPr>
        <w:pStyle w:val="BookText"/>
        <w:rPr/>
      </w:pPr>
      <w:r>
        <w:rPr>
          <w:rFonts w:ascii="Amiri" w:hAnsi="Amiri" w:eastAsia="Amiri" w:cs="Amiri"/>
          <w:color w:val="111111"/>
          <w:sz w:val="28"/>
          <w:sz w:val="28"/>
          <w:szCs w:val="28"/>
          <w:rtl w:val="true"/>
          <w:lang w:bidi="ar-SA"/>
        </w:rPr>
        <w:t>رَبِّکَ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تَفْعَلْ فَما بَلَّغْتَ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وَظَلَمُوا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صلی‌الله‌علیه‌و‌آلهحَقَّهُم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یَکُنِ اللّه‌ُ لِیَغْفِرَ لَهُم </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وَسَیَعْلَمُ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أَیَّ مُنْقَلَبٍ یَنْقَلِبُونَ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تَرَی الّذِینَ 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غَمَرَاتِ المَوْتِ </w:t>
      </w:r>
      <w:r>
        <w:rPr>
          <w:rFonts w:eastAsia="Amiri" w:cs="Amiri" w:ascii="Amiri" w:hAnsi="Amiri"/>
          <w:color w:val="111111"/>
          <w:sz w:val="28"/>
          <w:szCs w:val="28"/>
          <w:rtl w:val="true"/>
          <w:lang w:bidi="ar-SA"/>
        </w:rPr>
        <w:t>».</w:t>
      </w:r>
      <w:r>
        <w:rPr>
          <w:rStyle w:val="FootnoteAnchor"/>
          <w:rtl w:val="true"/>
        </w:rPr>
        <w:footnoteReference w:id="584"/>
      </w:r>
      <w:r>
        <w:rPr>
          <w:rFonts w:ascii="IRNazanin" w:hAnsi="IRNazanin" w:eastAsia="IRNazanin"/>
          <w:color w:val="111111"/>
          <w:sz w:val="28"/>
          <w:sz w:val="28"/>
          <w:szCs w:val="28"/>
          <w:rtl w:val="true"/>
          <w:lang w:bidi="fa-IR"/>
        </w:rPr>
        <w:t>ومثله کثیر نذکره فی مواضعه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التقدیمُ والتأخیرُ، فإنّ آیةَ عدّةِ النِّساءِ الناسخة التی هی أربعة أشهر وعشراً</w:t>
      </w:r>
    </w:p>
    <w:p>
      <w:pPr>
        <w:pStyle w:val="BookText"/>
        <w:rPr/>
      </w:pPr>
      <w:r>
        <w:rPr>
          <w:rFonts w:ascii="Amiri" w:hAnsi="Amiri" w:eastAsia="Amiri" w:cs="Amiri"/>
          <w:color w:val="111111"/>
          <w:sz w:val="28"/>
          <w:sz w:val="28"/>
          <w:szCs w:val="28"/>
          <w:rtl w:val="true"/>
          <w:lang w:bidi="ar-SA"/>
        </w:rPr>
        <w:t>قدّمت علی المنسوخة التی هی سنّةٌ، وکان یجب أن یقرأ المنسوخة التی نزلت قبل، ثمّ الناسخة التی نزلت بعد،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أَفَمَن کانَ عَلی بَیِّنَةٍ مِن رَبِّهِ وَیَتْلُوهُ شَاهِدٌ مِنْهُ وَمِن قَبْلِهِ کِتابُ مُوسی إِمَاماً وَرَحْمَةً </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 وإنّما هو ویتلوه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شاهدٌ مِنْهُ إمَاماً ورَحْمةً وَمِنْ قَبْلِهِ کِتابُ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هِیَ إِلاَّ حَیَاتُنا الدُّنْیا نَمُوتُ وَنَحْیَی وَمَا نَحْنُ بِمَبْعُوثِینَ </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وإنّما 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نحیی ونموت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الدهریّةَ لم یُقِرُّوا بالبعث بعد الموت، وإنّما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نحیی ونموت،</w:t>
      </w:r>
    </w:p>
    <w:p>
      <w:pPr>
        <w:pStyle w:val="BookText"/>
        <w:rPr/>
      </w:pPr>
      <w:r>
        <w:rPr>
          <w:rFonts w:ascii="IRNazanin" w:hAnsi="IRNazanin" w:eastAsia="IRNazanin"/>
          <w:color w:val="111111"/>
          <w:sz w:val="28"/>
          <w:sz w:val="28"/>
          <w:szCs w:val="28"/>
          <w:rtl w:val="true"/>
          <w:lang w:bidi="fa-IR"/>
        </w:rPr>
        <w:t>فقدّموا حرفاً علی حرف، ومثله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الآیات التی هی فی سورة وتمامها فی سورة أُخری </w:t>
      </w:r>
      <w:r>
        <w:rPr>
          <w:rStyle w:val="FootnoteAnchor"/>
          <w:rtl w:val="true"/>
        </w:rPr>
        <w:footnoteReference w:id="587"/>
      </w:r>
      <w:r>
        <w:rPr>
          <w:rFonts w:ascii="Amiri" w:hAnsi="Amiri" w:eastAsia="Amiri" w:cs="Amiri"/>
          <w:color w:val="111111"/>
          <w:sz w:val="28"/>
          <w:sz w:val="28"/>
          <w:szCs w:val="28"/>
          <w:rtl w:val="true"/>
          <w:lang w:bidi="ar-SA"/>
        </w:rPr>
        <w:t>فقول موسی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أَتَسْتَبْدِلُونَ الَّذِی هُوَ أَدْنی بِالَّذِی هُوَ خَیْرٌ اهْبِطُوا مِصْراً فَإنَّ لَکُم مَا سَأَ 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مُوسَی إِنَّ فِیهَا قَوْماً جَبَّارِینَ وَإِنَّا لَنْ نَدْخُلَها حَتَّی یَخْرُجُوا مِنْها فَإِنْ یَخْرُجُوا مِنْهَا فَإِنَّا دَاخِلُونَ </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ونصف الآیة فی سورة البقرة ونصفها فی سورة المائدة،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اکْتَتَبَها فَهِیَ تُمْلَی عَلَیْهِ بُکْرَةً وَأَصِیلاً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89"/>
      </w:r>
      <w:r>
        <w:rPr>
          <w:rFonts w:ascii="Amiri" w:hAnsi="Amiri" w:eastAsia="Amiri" w:cs="Amiri"/>
          <w:color w:val="111111"/>
          <w:sz w:val="28"/>
          <w:sz w:val="28"/>
          <w:szCs w:val="28"/>
          <w:rtl w:val="true"/>
          <w:lang w:bidi="ar-SA"/>
        </w:rPr>
        <w:t xml:space="preserve">فردّ اللّه علیهم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کُنْتَ تَتْلُوا مِنْ قَبْلِهِ مِنْ کِتَابٍ وَلاَ تَخُطُّهُ بِیَمِینِکَ إِذاً لاَرْتَابَ المُبْطِلُون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فنصف الآیة فی سورة الفرقان ونصفها فی سورة العنکبوت، ومثله کثیرٌ، انتهی کلامه رفع مقامُه</w:t>
      </w:r>
      <w:r>
        <w:rPr>
          <w:rFonts w:eastAsia="Amiri" w:cs="Amiri" w:ascii="Amiri" w:hAnsi="Amiri"/>
          <w:color w:val="111111"/>
          <w:sz w:val="28"/>
          <w:szCs w:val="28"/>
          <w:rtl w:val="true"/>
          <w:lang w:bidi="ar-SA"/>
        </w:rPr>
        <w:t>.</w:t>
      </w:r>
      <w:r>
        <w:rPr>
          <w:rStyle w:val="FootnoteAnchor"/>
          <w:rtl w:val="true"/>
        </w:rPr>
        <w:footnoteReference w:id="59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 هذه الأخبار الضّعاف أشار الشیخ </w:t>
      </w:r>
      <w:r>
        <w:rPr>
          <w:rStyle w:val="FootnoteAnchor"/>
          <w:rtl w:val="true"/>
        </w:rPr>
        <w:footnoteReference w:id="591"/>
      </w:r>
      <w:r>
        <w:rPr>
          <w:rFonts w:ascii="IRNazanin" w:hAnsi="IRNazanin" w:eastAsia="IRNazanin"/>
          <w:color w:val="111111"/>
          <w:sz w:val="28"/>
          <w:sz w:val="28"/>
          <w:szCs w:val="28"/>
          <w:rtl w:val="true"/>
          <w:lang w:bidi="fa-IR"/>
        </w:rPr>
        <w:t>قدس‌سره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وردت أخبار کثیرة من جهة الخاصّة والعامّة بنقصان کثیر من آی القرآن، ونقل شیء منه من موضع إلی موضع</w:t>
      </w:r>
    </w:p>
    <w:p>
      <w:pPr>
        <w:pStyle w:val="BookText"/>
        <w:rPr/>
      </w:pPr>
      <w:r>
        <w:rPr>
          <w:rFonts w:ascii="IRNazanin" w:hAnsi="IRNazanin" w:eastAsia="IRNazanin"/>
          <w:color w:val="111111"/>
          <w:sz w:val="28"/>
          <w:sz w:val="28"/>
          <w:szCs w:val="28"/>
          <w:rtl w:val="true"/>
          <w:lang w:bidi="fa-IR"/>
        </w:rPr>
        <w:t xml:space="preserve">طریقها الآحاد التی لا یوجب علماً </w:t>
      </w:r>
      <w:r>
        <w:rPr>
          <w:rStyle w:val="FootnoteAnchor"/>
          <w:rtl w:val="true"/>
        </w:rPr>
        <w:footnoteReference w:id="592"/>
      </w:r>
      <w:r>
        <w:rPr>
          <w:rFonts w:ascii="IRNazanin" w:hAnsi="IRNazanin" w:eastAsia="IRNazanin"/>
          <w:color w:val="111111"/>
          <w:sz w:val="28"/>
          <w:sz w:val="28"/>
          <w:szCs w:val="28"/>
          <w:rtl w:val="true"/>
          <w:lang w:bidi="fa-IR"/>
        </w:rPr>
        <w:t xml:space="preserve">، فالأولی الأعراض عنها وترک التشاغل بها، لأ نّه یمکن تأویلها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وروایاتنا متناصرةٌ بالحثِّ علی قراءتها والتمسّک بما فیه،</w:t>
      </w:r>
    </w:p>
    <w:p>
      <w:pPr>
        <w:pStyle w:val="BookText"/>
        <w:rPr/>
      </w:pPr>
      <w:r>
        <w:rPr>
          <w:rFonts w:ascii="IRNazanin" w:hAnsi="IRNazanin" w:eastAsia="IRNazanin"/>
          <w:color w:val="111111"/>
          <w:sz w:val="28"/>
          <w:sz w:val="28"/>
          <w:szCs w:val="28"/>
          <w:rtl w:val="true"/>
          <w:lang w:bidi="fa-IR"/>
        </w:rPr>
        <w:t>وردّ ما یرد من اختلاف الأخبار فی الفروع إلیه، وعرضها علیه صلی‌الله‌علیه‌و‌آله ما وافقه عمل علیه، وما خالفه یجتنب ولم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العرض علی الکتاب متظافرةٌ </w:t>
      </w:r>
      <w:r>
        <w:rPr>
          <w:rStyle w:val="FootnoteAnchor"/>
          <w:rtl w:val="true"/>
        </w:rPr>
        <w:footnoteReference w:id="59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إلی کتاب اللّه والسنّة، وکلّ حدیث لا یوافق کتاب اللّه فهو زخرف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1/121</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یعفور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اختلاف الحدیث یرویه مَن نثق به ومنهم من لا نثق به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علیکم حدیث، فوجدتم له شاهدا من کتاب اللّه عزّ وجلّ أو من قول رسول اللّه صلی‌الله‌علیه‌و‌آله ، وإلاّ فالّذی جاءکم به أولی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1/121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أیّوب بن راشد،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یوافق من الحدیث القرآن فهو زخرف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الهشام بن الحکم وغیره،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خطب‌النبیّ صلی‌الله‌علیه‌و‌آله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یُّها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جاءکم عنِّی یوافق کتاب اللّه فأنا قلته، وما جاءکم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کتاب اللّه فلم أقله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1/122</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أبی زیاد السکونیّ، عن جعفر، 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الشبهة خیرٌ من الاقتحام فی الهلکة، وترکک حدیثنا لم تروه خیر من روایتک حدیثا لم تحصه، إنّ علی کلّ حقّ حقیقةً وعلی کلّ صواب نورا، فما وافق کتاب اللّه فخذوا به وما خالف کتاب اللّه فدعوه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کلیب الأسدیّ،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أتاکم عنّا من حدیث لا یصدّقه کتاب اللّه فهو باطل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سدیر،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جعفر علیه‌السلام وأبو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علینا إلاّ بما یوافق کتاب اللّه وسنّة نبیّه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البرهان فی تفسیر القرآن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عن أبیه، عن النوفلیّ، عن السکونیّ،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 کلّ حقٍّ حقیقةً وعلی کلّ صواب نورا، فما وافق کتاب اللّه فخذوه وما خالف کتاب اللّه فدعوه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بل متواترةٌ معنیً أو اجمالاً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الرعایة فی علم الدرایة، ص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وینقسم إلی المعنویّ واللفظیّ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فالمتواتر اللفظیّ ما إذا اتّحد ألفاظ المخبرین فی خبرهم، والمعنویّ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تعدّدت ألفاظهم، ولکن اشتمل کلّ منها علی معنی مشترکٍ بینها بالتضمّن والالتزام، وحصل العلم بذلک القدر المشترک بسبب کثرة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تلخیص مقباس الهدایة للممقانیّ، ملخّص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الغفاریّ، ص</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وأخبارُ وقوع التحریفِ والتغییرِ مخالفةٌ للکتاب العزیز، فیشملها قولهم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خالف کتاب اللّه فهو زخرف، أو باطل، أو فاضربه علی الجدار، أو لم نقله، فانّ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w:t>
      </w:r>
    </w:p>
    <w:p>
      <w:pPr>
        <w:pStyle w:val="BookText"/>
        <w:rPr/>
      </w:pPr>
      <w:r>
        <w:rPr>
          <w:rFonts w:ascii="Amiri" w:hAnsi="Amiri" w:eastAsia="Amiri" w:cs="Amiri"/>
          <w:color w:val="111111"/>
          <w:sz w:val="28"/>
          <w:sz w:val="28"/>
          <w:szCs w:val="28"/>
          <w:rtl w:val="true"/>
          <w:lang w:bidi="ar-SA"/>
        </w:rPr>
        <w:t xml:space="preserve">الذِّکْرَ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594"/>
      </w:r>
      <w:r>
        <w:rPr>
          <w:rFonts w:ascii="IRNazanin" w:hAnsi="IRNazanin" w:eastAsia="IRNazanin"/>
          <w:color w:val="111111"/>
          <w:sz w:val="28"/>
          <w:sz w:val="28"/>
          <w:szCs w:val="28"/>
          <w:rtl w:val="true"/>
          <w:lang w:bidi="fa-IR"/>
        </w:rPr>
        <w:t xml:space="preserve">دالّ علی تشریف القرآن وتفضیله علی سائر الکتب السماویة بضمانه تعالی بحفظه من الاندراس والانطماس </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الاندراس والانمحاء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وتعهّده علی صیانته من التحریف</w:t>
      </w:r>
    </w:p>
    <w:p>
      <w:pPr>
        <w:pStyle w:val="BookText"/>
        <w:rPr/>
      </w:pPr>
      <w:r>
        <w:rPr>
          <w:rFonts w:ascii="IRNazanin" w:hAnsi="IRNazanin" w:eastAsia="IRNazanin"/>
          <w:color w:val="111111"/>
          <w:sz w:val="28"/>
          <w:sz w:val="28"/>
          <w:szCs w:val="28"/>
          <w:rtl w:val="true"/>
          <w:lang w:bidi="fa-IR"/>
        </w:rPr>
        <w:t>والتغییر إلی یوم القیامة، فکما أنّ ذهاب جمیع القرآن ومحوه من بین الناس وجعل کتاب</w:t>
      </w:r>
    </w:p>
    <w:p>
      <w:pPr>
        <w:pStyle w:val="BookText"/>
        <w:rPr/>
      </w:pPr>
      <w:r>
        <w:rPr>
          <w:rFonts w:ascii="IRNazanin" w:hAnsi="IRNazanin" w:eastAsia="IRNazanin"/>
          <w:color w:val="111111"/>
          <w:sz w:val="28"/>
          <w:sz w:val="28"/>
          <w:szCs w:val="28"/>
          <w:rtl w:val="true"/>
          <w:lang w:bidi="fa-IR"/>
        </w:rPr>
        <w:t>آخر فیهم ینافی ضمانه تعالی لحفظه، کذلک إسقاط آیةٍ أو سورةٍ أو تغییر کلمةٍ منه أو</w:t>
      </w:r>
    </w:p>
    <w:p>
      <w:pPr>
        <w:pStyle w:val="BookText"/>
        <w:rPr/>
      </w:pPr>
      <w:r>
        <w:rPr>
          <w:rFonts w:ascii="IRNazanin" w:hAnsi="IRNazanin" w:eastAsia="IRNazanin"/>
          <w:color w:val="111111"/>
          <w:sz w:val="28"/>
          <w:sz w:val="28"/>
          <w:szCs w:val="28"/>
          <w:rtl w:val="true"/>
          <w:lang w:bidi="fa-IR"/>
        </w:rPr>
        <w:t>هیئته المنزلة ینافی ضمانه تعالی لحفظه، لأن کلّ آیة منه قرآن، ومحو شیء منه مادّةً أو</w:t>
      </w:r>
    </w:p>
    <w:p>
      <w:pPr>
        <w:pStyle w:val="BookText"/>
        <w:rPr/>
      </w:pPr>
      <w:r>
        <w:rPr>
          <w:rFonts w:ascii="IRNazanin" w:hAnsi="IRNazanin" w:eastAsia="IRNazanin"/>
          <w:color w:val="111111"/>
          <w:sz w:val="28"/>
          <w:sz w:val="28"/>
          <w:szCs w:val="28"/>
          <w:rtl w:val="true"/>
          <w:lang w:bidi="fa-IR"/>
        </w:rPr>
        <w:t>کیفیةً محوٌ للقرآن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وتقریبه ببیان أوضح أنّ اللّه تعالی فضّل دین الإسلام علی سائر</w:t>
      </w:r>
    </w:p>
    <w:p>
      <w:pPr>
        <w:pStyle w:val="BookText"/>
        <w:rPr/>
      </w:pPr>
      <w:r>
        <w:rPr>
          <w:rFonts w:ascii="IRNazanin" w:hAnsi="IRNazanin" w:eastAsia="IRNazanin"/>
          <w:color w:val="111111"/>
          <w:sz w:val="28"/>
          <w:sz w:val="28"/>
          <w:szCs w:val="28"/>
          <w:rtl w:val="true"/>
          <w:lang w:bidi="fa-IR"/>
        </w:rPr>
        <w:t>الأدیان بوعده بظهوره علی الدِّین کلّه، ومن الواضح أنّ ظهور هذا الدِّین المتین، بظهور</w:t>
      </w:r>
    </w:p>
    <w:p>
      <w:pPr>
        <w:pStyle w:val="BookText"/>
        <w:rPr/>
      </w:pPr>
      <w:r>
        <w:rPr>
          <w:rFonts w:ascii="IRNazanin" w:hAnsi="IRNazanin" w:eastAsia="IRNazanin"/>
          <w:color w:val="111111"/>
          <w:sz w:val="28"/>
          <w:sz w:val="28"/>
          <w:szCs w:val="28"/>
          <w:rtl w:val="true"/>
          <w:lang w:bidi="fa-IR"/>
        </w:rPr>
        <w:t>القرآن المبین وهو ببق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ائه بین الناس محفوظاً من التغییر والتحریف والاندراس والانطماس، فلذا تعهّد سبحانه وتعالی بحفظه من جمیع ذلک، وفضّله علی سائر الکتب السماویة بضمان صیانته من کید المعاندین ودسّ </w:t>
      </w:r>
      <w:r>
        <w:rPr>
          <w:rStyle w:val="FootnoteAnchor"/>
          <w:rtl w:val="true"/>
        </w:rPr>
        <w:footnoteReference w:id="596"/>
      </w:r>
      <w:r>
        <w:rPr>
          <w:rFonts w:ascii="IRNazanin" w:hAnsi="IRNazanin" w:eastAsia="IRNazanin"/>
          <w:color w:val="111111"/>
          <w:sz w:val="28"/>
          <w:sz w:val="28"/>
          <w:szCs w:val="28"/>
          <w:rtl w:val="true"/>
          <w:lang w:bidi="fa-IR"/>
        </w:rPr>
        <w:t>الملحدین، ولم یکن منه تعالی هذا</w:t>
      </w:r>
    </w:p>
    <w:p>
      <w:pPr>
        <w:pStyle w:val="BookText"/>
        <w:rPr/>
      </w:pPr>
      <w:r>
        <w:rPr>
          <w:rFonts w:ascii="IRNazanin" w:hAnsi="IRNazanin" w:eastAsia="IRNazanin"/>
          <w:color w:val="111111"/>
          <w:sz w:val="28"/>
          <w:sz w:val="28"/>
          <w:szCs w:val="28"/>
          <w:rtl w:val="true"/>
          <w:lang w:bidi="fa-IR"/>
        </w:rPr>
        <w:t>التعهّد والضمان فی سائر الکتب، ولذا وقع فیها التحریف والتغییر، وسَقَطت عن الحجّیة</w:t>
      </w:r>
    </w:p>
    <w:p>
      <w:pPr>
        <w:pStyle w:val="BookText"/>
        <w:rPr/>
      </w:pPr>
      <w:r>
        <w:rPr>
          <w:rFonts w:ascii="IRNazanin" w:hAnsi="IRNazanin" w:eastAsia="IRNazanin"/>
          <w:color w:val="111111"/>
          <w:sz w:val="28"/>
          <w:sz w:val="28"/>
          <w:szCs w:val="28"/>
          <w:rtl w:val="true"/>
          <w:lang w:bidi="fa-IR"/>
        </w:rPr>
        <w:t>والاعتبار کسائر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قلنا بوقوع التحریف فی القرآن ولو من جهة الترتیب، لنافی</w:t>
      </w:r>
    </w:p>
    <w:p>
      <w:pPr>
        <w:pStyle w:val="BookText"/>
        <w:rPr/>
      </w:pPr>
      <w:r>
        <w:rPr>
          <w:rFonts w:ascii="IRNazanin" w:hAnsi="IRNazanin" w:eastAsia="IRNazanin"/>
          <w:color w:val="111111"/>
          <w:sz w:val="28"/>
          <w:sz w:val="28"/>
          <w:szCs w:val="28"/>
          <w:rtl w:val="true"/>
          <w:lang w:bidi="fa-IR"/>
        </w:rPr>
        <w:t>الضمان منه تعالی وارتفعت مزیّته علی الکتابین وفضیلتُهُ من هذه الجهة من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تعالی النسخة التی جمعها وکتبها أمیر المؤمنین علیه‌السلام وأودعها عند أوصیاؤه المعصومین صلوات اللّه علیهم أجمعین وبقاؤا عند خاتمهم إلی الآن وإلی آخر</w:t>
      </w:r>
    </w:p>
    <w:p>
      <w:pPr>
        <w:pStyle w:val="BookText"/>
        <w:rPr/>
      </w:pPr>
      <w:r>
        <w:rPr>
          <w:rFonts w:ascii="IRNazanin" w:hAnsi="IRNazanin" w:eastAsia="IRNazanin"/>
          <w:color w:val="111111"/>
          <w:sz w:val="28"/>
          <w:sz w:val="28"/>
          <w:szCs w:val="28"/>
          <w:rtl w:val="true"/>
          <w:lang w:bidi="fa-IR"/>
        </w:rPr>
        <w:t>الزمان کاف فی الوفاء بالعهد وأداء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هذه الدرجة من الحفظ مزیّة وفضیلة له، لکونها مشترکة بین القرآن وسائر الکتب السماویة، حیث أنّ من المقطوع أنّه کانت نسخةٌ واحدةٌ غیر مُحرَّفةٍ من سائر الکتب محفوظةً عند الأنبیاء والأوصیاء، ولعلَّها من مواریثهم الموجودة الآن عند خاتم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الوصیین ووارث علوم الأنبیاء والمرسلین عجّل اللّه فرجه، فلا یکون وجود هذه النسخة الصحیحة الغیر المحرّفة منها، الّذی یکون کوجودها فی اللوح المحفوظ مزیّة وفضیلة للکتاب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کشف الغطاء </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هو الشیخ جعفر بن خضر بن الشیخ یحیی، حلّیّ جناجیّ الأصل نجفیّ المسکن والمدفن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بالشیخ الأکبر وشیخ النجف، من أکابر علماء الإمامیة وأعاظم فقهائهم وکان 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مهدی بحر العلوم والسیِّد صادق الفحّام والوحید البهبهانیّ، ومن 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الجواهر والرشتیّ والشیخ محمّد تقیّ صاحب هدایة المسترشدین والسیِّد صدرالدین الموسویّ العاملیّ والسیِّد جواد صاحب مفتاح الکرامة، ومن مؤلّفاته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إثبات الفرقة الناجیة من بین الفرق الإسلامیة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الحق المبین فی تصویب المجتهدین وتخطئة جهّال الأخباریّین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العقائد الجعفریة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الغطاء عن مبهمات الشریعة الغراء و هو من أهمّ وأعظم مؤلّفاته وأشهرها ولم یؤلّف مثله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عنک اسمه جعفر بن خضر، إلاّ أنّه اشتهر بسبب کتابه الأخیر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کثیرٌ من أولاده وأحفاده من أکابر علماء الإمامیة ومصادر العلوم العالیة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لاحظ ریحانة الأدب للمحقّق الأردبیلیّ </w:t>
      </w:r>
      <w:r>
        <w:rPr>
          <w:rFonts w:eastAsia="IRNazanin" w:cs="IRNazanin"/>
          <w:color w:val="111111"/>
          <w:sz w:val="28"/>
          <w:szCs w:val="28"/>
          <w:lang w:bidi="fa-IR"/>
        </w:rPr>
        <w:t>3/341</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کتاب القرآن المبحث الثامن فی نقصه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أنّه محفوظ من النقصان بحفظ الملک الدیّان، کما دلّ علیه صریح القرآن وإجماع العلماء فی کلّ زمان</w:t>
      </w:r>
    </w:p>
    <w:p>
      <w:pPr>
        <w:pStyle w:val="BookText"/>
        <w:rPr/>
      </w:pPr>
      <w:r>
        <w:rPr>
          <w:rFonts w:ascii="IRNazanin" w:hAnsi="IRNazanin" w:eastAsia="IRNazanin"/>
          <w:color w:val="111111"/>
          <w:sz w:val="28"/>
          <w:sz w:val="28"/>
          <w:szCs w:val="28"/>
          <w:rtl w:val="true"/>
          <w:lang w:bidi="fa-IR"/>
        </w:rPr>
        <w:t xml:space="preserve">ولا عبرة بالنادر، وما ورد من أخبار النقص تمنع البدیهة من العمل بظاهرها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فلابدّ من تأویلها بأحد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الشیخ البهائیّ </w:t>
      </w:r>
      <w:r>
        <w:rPr>
          <w:rStyle w:val="FootnoteAnchor"/>
          <w:rtl w:val="true"/>
        </w:rPr>
        <w:footnoteReference w:id="598"/>
      </w:r>
      <w:r>
        <w:rPr>
          <w:rFonts w:ascii="Amiri" w:hAnsi="Amiri" w:eastAsia="Amiri" w:cs="Amiri"/>
          <w:color w:val="111111"/>
          <w:sz w:val="28"/>
          <w:sz w:val="28"/>
          <w:szCs w:val="28"/>
          <w:rtl w:val="true"/>
          <w:lang w:bidi="ar-SA"/>
        </w:rPr>
        <w:t>رحمه‌الله فی تغییر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والصحیح أنّ القرآن العظیم محفوظ عن ذلک زیادةً کان أو نقصاناً، ویدلّ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اشتهر بین الناس من إسقاط اسم أمیر المؤمنین علیه‌السلاممنه فی بعض المواضع، مثل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 یُّها الرَّسُولُ بَلِّغْ مَا أُنْزِلَ إِلَیْکَ </w:t>
      </w:r>
      <w:r>
        <w:rPr>
          <w:rFonts w:eastAsia="Amiri" w:cs="Amiri" w:ascii="Amiri" w:hAnsi="Amiri"/>
          <w:color w:val="111111"/>
          <w:sz w:val="28"/>
          <w:szCs w:val="28"/>
          <w:rtl w:val="true"/>
          <w:lang w:bidi="ar-SA"/>
        </w:rPr>
        <w:t xml:space="preserve">» </w:t>
      </w:r>
      <w:r>
        <w:rPr>
          <w:rStyle w:val="FootnoteAnchor"/>
          <w:rtl w:val="true"/>
        </w:rPr>
        <w:footnoteReference w:id="599"/>
      </w:r>
      <w:r>
        <w:rPr>
          <w:rFonts w:ascii="IRNazanin" w:hAnsi="IRNazanin" w:eastAsia="IRNazanin"/>
          <w:color w:val="111111"/>
          <w:sz w:val="28"/>
          <w:sz w:val="28"/>
          <w:szCs w:val="28"/>
          <w:rtl w:val="true"/>
          <w:lang w:bidi="fa-IR"/>
        </w:rPr>
        <w:t>فی علیّ وغیر ذلک، فهو غیر معتبر عند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الشیخ علیّ بن عبدالعال رحمه‌الله أنّه صنّف فی نفی النقیصة فی القرآن رسالة مستقلّة، وذکر کلام الصّدوق المتقدّم، ثمّ اعترض بما یدلّ علی النقیصة من الأحادیث، فأجابه عنها بأنّ الحدیث إذا جاء علی خلاف الدلیل من الکتاب والسنّة المتواترة أو الإجماع ولم‌یمکن تأویله ولا حمله علی بعض الوجوه، وجب طرحه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وبالجملة أخبار التحریف مع مخالفتها للکتاب الکریم ووهن سند کثیر منها، وإعراض</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أعیان الأصحاب عنها ومخالفتها لحکم العقل والعادة والاعتبار، غیر قابلٍ لأنْ یعتدّ بها</w:t>
      </w:r>
    </w:p>
    <w:p>
      <w:pPr>
        <w:pStyle w:val="BookText"/>
        <w:rPr/>
      </w:pPr>
      <w:r>
        <w:rPr>
          <w:rFonts w:ascii="IRNazanin" w:hAnsi="IRNazanin" w:eastAsia="IRNazanin"/>
          <w:color w:val="111111"/>
          <w:sz w:val="28"/>
          <w:sz w:val="28"/>
          <w:szCs w:val="28"/>
          <w:rtl w:val="true"/>
          <w:lang w:bidi="fa-IR"/>
        </w:rPr>
        <w:t>عاقلٌ فضلاً عن فاضلٍ، بل نقل کثیر من الأصحاب الإجماع علی خلافها کما ظهر من کاشف الغطاء والشیخ البهائیّ وغیرهما قدّس اللّه أسرارهم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القاضی نور اللّه </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 xml:space="preserve">قال الشیخ الحر فی تذکرة المتبحّرین </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نقل فی 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القاضی نور اللّه الشوشتریّ فاضل عالم محقّق علاّمة 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إحقاق الحقّ، الصوارم المهرقة فی جواب الصواعق المحرقة، کتاب مصائب النواصب، حاشیة علی تفسیر البیضاویّ، کتاب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معاصرا للشیخ البهائیّ وقتل فی الهند بسبب تألیف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معجم رجال الحدیث للخوئیّ </w:t>
      </w:r>
      <w:r>
        <w:rPr>
          <w:rFonts w:eastAsia="IRNazanin" w:cs="IRNazanin"/>
          <w:color w:val="111111"/>
          <w:sz w:val="28"/>
          <w:szCs w:val="28"/>
          <w:lang w:bidi="fa-IR"/>
        </w:rPr>
        <w:t>19/184</w:t>
      </w:r>
      <w:r>
        <w:rPr>
          <w:rFonts w:eastAsia="IRNazanin" w:cs="IRNazanin"/>
          <w:color w:val="111111"/>
          <w:sz w:val="28"/>
          <w:szCs w:val="28"/>
          <w:rtl w:val="true"/>
          <w:lang w:bidi="fa-IR"/>
        </w:rPr>
        <w:t xml:space="preserve"> -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ریحانة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أعاظم علماء العهد الصفویّ، کان متبحّرا فی الفقه والأُصول والحدیث والأدب والریاضیات وفنون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أمر القضاء فی لاهور وکان مرجعا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تآلیفه أکثر من ثمانین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بأکبرآباد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الحاکم صاحب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أطلق بعض الناس علیه الشهید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یعلم سنة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ریحانة الأدب للمحقّق الأردبیلیّ </w:t>
      </w:r>
      <w:r>
        <w:rPr>
          <w:rFonts w:eastAsia="IRNazanin" w:cs="IRNazanin"/>
          <w:color w:val="111111"/>
          <w:sz w:val="28"/>
          <w:szCs w:val="28"/>
          <w:lang w:bidi="fa-IR"/>
        </w:rPr>
        <w:t>3/436</w:t>
      </w:r>
      <w:r>
        <w:rPr>
          <w:rFonts w:eastAsia="IRNazanin" w:cs="IRNazanin"/>
          <w:color w:val="111111"/>
          <w:sz w:val="28"/>
          <w:szCs w:val="28"/>
          <w:rtl w:val="true"/>
          <w:lang w:bidi="fa-IR"/>
        </w:rPr>
        <w:t xml:space="preserve"> -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بالرقم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رحمه‌الله فی کتاب مصائب النواصب ما نسب إلی الشیعة الإمامیة من وقوع التغییر فی القرآن لیس ممّا قال به جمهور الإمامیة، إنّما قال به شِرْذمة قلیلة منهُم لا اعتداد بهم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المفید </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هو محمّد بن النعمان بن عبدالسلام بن جابر بن النعمان بن سعید بن جبیر بن وهیب بن هلال بن أوس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یعرب بن قحطان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هو شیخنا وأُستاذنا، فضله أشهر من أن یوصف فی الفقه والکلام والروایة والثقة والعلم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رحمه‌الله لیلة الجمعة لثلاث لیال خلون من شهر رمضان سنة ثلاث عشرة وأربع مائة، وکان مولده یوم الحادی عشر من ذی القعدة سنة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علیه الشریف المرتضی أبوالقاسم علیّ بن الحسین بمیدان الأشنان وضاق علی الناس مع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ودفن فی داره سنین ونقل إلی مقابر قریش بالقرب من السیِّد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 له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الأرکان فی دعائم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الإیضاح فی الإمامة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الإفصاح 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اعجاز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جوابات الفارقین فی الغیبة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العیون والمحاسن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الاستبصار فیما جمعه الشافعی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علی الجاحظ 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مقابیس الأنوار فی الردّ علی أهل الأخبار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الانتصار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الرّد علی ابن الأخشید فی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2/327</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الطوسیّ فی الفهرس، الرقم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الشیخ المفید أبا عبداللّه المعروف بابن المعلّم، من جملة متکلّمی الإمامیة، انتهت إلیه الرئاسة الإمامیة فی وقته وکان مقدّما فی العلم وصناعة الکلام، وکان فقیها متقدّما فیه حسن الخاطر، دقیق الفطنة، حاضر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یوم وفاته یوما لم یر أعظم منه من کثرة الناس للصّلاة علیه وکثرة البکاء من المخالف والموافق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الفهرس للشیخ الطوسیّ، الرقم </w:t>
      </w:r>
      <w:r>
        <w:rPr>
          <w:rFonts w:eastAsia="IRNazanin" w:cs="IRNazanin"/>
          <w:color w:val="111111"/>
          <w:sz w:val="28"/>
          <w:szCs w:val="28"/>
          <w:lang w:bidi="fa-IR"/>
        </w:rPr>
        <w:t>710</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قدس‌سره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جماعةٌ من أهل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ینقص من کلمة ولا من</w:t>
      </w:r>
    </w:p>
    <w:p>
      <w:pPr>
        <w:pStyle w:val="BookText"/>
        <w:rPr/>
      </w:pPr>
      <w:r>
        <w:rPr>
          <w:rFonts w:ascii="IRNazanin" w:hAnsi="IRNazanin" w:eastAsia="IRNazanin"/>
          <w:color w:val="111111"/>
          <w:sz w:val="28"/>
          <w:sz w:val="28"/>
          <w:szCs w:val="28"/>
          <w:rtl w:val="true"/>
          <w:lang w:bidi="fa-IR"/>
        </w:rPr>
        <w:t>آیة ولا من سورة، ولکن حذف ما کان مثبتاً فی مصحف أمیر المؤمنین علیه‌السلام من تأویله وتفسیر معانیه علی حقیقة تنزیله</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قال الشیخ فیها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تألیف القرآن وما ذکر قوم من الزیادة والنقصان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النقصان فانّ العقول لا تحیله ولا تمنع من وقوعه، وقد امتحنت مقالة من ادّعاه، وکلّمت علیه المعتزلة وغیرهم طویلاً، فلم أظفر منهم بحجّة أعتمدها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قال جماعة من أهل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ینقص کلمة، لا مِن آیة ولا مِن سورة، ولکن حذف ما کان مثبتا فی مصحف أمیر المؤمنین علیه‌السلام من تأویله وتفسیر معانیه علی حقیقة تنزیله، وذلک کان ثابتا منزلاً وإن لم یکن من جملة کلام اللّه تعالی الّذی هو القرآن المعجز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یُسمّی تأویل القرآن قرآنا،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تعجل بالقرآن مِن قبل أن یقضی إلیک وحیه وقل ربِّ زدنی علما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فسمّی تأویل القرآن قرآنا، وهذا ما لیس فیه بین أهل التفسیر اختلاف، وعندی هذا القول أشبه من مقال من ادّعی نقصان الکلم من نفس القرآن علی الحقیقة دون التأویل، وإلیه أمیل واللّه أسأل توفیقهُ للصواب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الزیادة فیه فمقطوع علی فسادها مِن وجه ویجوز صحّتها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أمیل إلی عدمه وسلامة القرآن‌عنه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أوائل المقالات المفید، ص</w:t>
      </w: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المقدّس البغدادیّ</w:t>
      </w:r>
      <w:r>
        <w:rPr>
          <w:rStyle w:val="FootnoteAnchor"/>
          <w:rtl w:val="true"/>
        </w:rPr>
        <w:footnoteReference w:id="603"/>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بن سلیمان البغدادیّ، نقشبندیّ المسلک، المتوفّی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وکان ابن تسعة وستّین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فی بغداد ومکّة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الجهاد فی إبطال دعوی الاجتهاد، بیان الدِّین القیِّم فی تبرئة ابن تیمیّة وابن القیّم، صلح الإخوان، المنحة الواهبیة فی ردّ الوهّابیّة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ریحانة الأدب </w:t>
      </w:r>
      <w:r>
        <w:rPr>
          <w:rFonts w:eastAsia="IRNazanin" w:cs="IRNazanin"/>
          <w:color w:val="111111"/>
          <w:sz w:val="28"/>
          <w:szCs w:val="28"/>
          <w:lang w:bidi="fa-IR"/>
        </w:rPr>
        <w:t>1/378</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منصور عبدالقادر أو عبدالقاهر بن طاهر بن محمّد الشافعیّ بغدادیّ الولادة والنشأة، فقیه أُصولیّ أدیب نحویّ متکلّم شافعیّ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إلی نیشابور وتوطّن بها، تعلّم الفقه عند أبی إسحاق الإسفراینیّ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الإیمان وأُصوله، تأویل متشابه الأخبار، التحصیل فی الأُصول، تفسیر القرآن، التکملة فی الریاضیّات، فضائح الکرامیة، الملل والنحل، نفی خلق القرآن، توفّی سنة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7/277</w:t>
      </w:r>
      <w:r>
        <w:rPr>
          <w:rFonts w:eastAsia="IRNazanin" w:cs="IRNazanin"/>
          <w:color w:val="111111"/>
          <w:sz w:val="28"/>
          <w:szCs w:val="28"/>
          <w:rtl w:val="true"/>
          <w:lang w:bidi="fa-IR"/>
        </w:rPr>
        <w:t xml:space="preserve"> -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قدس‌سره فی شرح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الکلام فی النقیصة، والمعروف بین أصحابنا حتّی حکی علیه الإجماع عدم النقیصة أیضاً،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ما ذکر فی الروایات من السّاقطات کآیة رجم </w:t>
      </w:r>
      <w:r>
        <w:rPr>
          <w:rStyle w:val="FootnoteAnchor"/>
          <w:rtl w:val="true"/>
        </w:rPr>
        <w:footnoteReference w:id="6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الإتقان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کنز العمال للمتقیّ </w:t>
      </w:r>
      <w:r>
        <w:rPr>
          <w:rFonts w:eastAsia="IRNazanin" w:cs="IRNazanin"/>
          <w:color w:val="111111"/>
          <w:sz w:val="28"/>
          <w:szCs w:val="28"/>
          <w:lang w:bidi="fa-IR"/>
        </w:rPr>
        <w:t>2/567</w:t>
      </w:r>
      <w:r>
        <w:rPr>
          <w:rFonts w:eastAsia="IRNazanin" w:cs="IRNazanin"/>
          <w:color w:val="111111"/>
          <w:sz w:val="28"/>
          <w:szCs w:val="28"/>
          <w:rtl w:val="true"/>
          <w:lang w:bidi="fa-IR"/>
        </w:rPr>
        <w:t xml:space="preserve"> - </w:t>
      </w:r>
      <w:r>
        <w:rPr>
          <w:rFonts w:eastAsia="IRNazanin" w:cs="IRNazanin"/>
          <w:color w:val="111111"/>
          <w:sz w:val="28"/>
          <w:szCs w:val="28"/>
          <w:lang w:bidi="fa-IR"/>
        </w:rPr>
        <w:t>2/579</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الشیخ والشیخة وأمثالها، وکلمة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مُعَقِّبَاتٌ مِنْ بَینِ یَدَیهِ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 ذلک، بعید عن فصاحة الکتاب العزیز وأسلوبه، بل یدفعها السنّة المتواترة من خبر الثقلین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الشیخ </w:t>
      </w:r>
      <w:r>
        <w:rPr>
          <w:rStyle w:val="FootnoteAnchor"/>
          <w:rtl w:val="true"/>
        </w:rPr>
        <w:footnoteReference w:id="605"/>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عن‌النبیّ صلی‌الله‌علیه‌و‌آله روایة لا یدفعها أحد،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مُخلّفٌ فیکم الثقلین، ما إن تمسّکتم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 وإنّهما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یدلّ علی أنّه موجود فی کلّ عصر، لأ نّه لا یجوز أن یأمر بالتمسّک بما لا نقدر علی التمسّک به، کما أنّ أهل البیت ومن یجب اتّباع قوله حاصل</w:t>
      </w:r>
    </w:p>
    <w:p>
      <w:pPr>
        <w:pStyle w:val="BookText"/>
        <w:rPr/>
      </w:pPr>
      <w:r>
        <w:rPr>
          <w:rFonts w:ascii="IRNazanin" w:hAnsi="IRNazanin" w:eastAsia="IRNazanin"/>
          <w:color w:val="111111"/>
          <w:sz w:val="28"/>
          <w:sz w:val="28"/>
          <w:szCs w:val="28"/>
          <w:rtl w:val="true"/>
          <w:lang w:bidi="fa-IR"/>
        </w:rPr>
        <w:t xml:space="preserve">فی کلّ وقت، وإذا کان الموجود بیننا مجمعاً علی صحّته فینبغی أن یتشاغل بتفسیره، وبیان معانیه، وترک ما سواه </w:t>
      </w:r>
      <w:r>
        <w:rPr>
          <w:rStyle w:val="FootnoteAnchor"/>
          <w:rtl w:val="true"/>
        </w:rPr>
        <w:footnoteReference w:id="606"/>
      </w:r>
      <w:r>
        <w:rPr>
          <w:rFonts w:ascii="IRNazanin" w:hAnsi="IRNazanin" w:eastAsia="IRNazanin"/>
          <w:color w:val="111111"/>
          <w:sz w:val="28"/>
          <w:sz w:val="28"/>
          <w:szCs w:val="28"/>
          <w:rtl w:val="true"/>
          <w:lang w:bidi="fa-IR"/>
        </w:rPr>
        <w:t>وحمل کلامه رحمه‌الله علی وجوده جمیعاً عند أهله، کما صدر عن الفیض رحمه‌اللهخلاف نصّه، فإنّ القرآن الّذی فیه جمیع الأحکام حتّی أرش الخدش غیر مقدور التمسّک به، ولا ینتقض بعدم إمکان التمسّک بالعترة فی زمان الغیبة، فإنّ المراد</w:t>
      </w:r>
    </w:p>
    <w:p>
      <w:pPr>
        <w:pStyle w:val="BookText"/>
        <w:rPr/>
      </w:pPr>
      <w:r>
        <w:rPr>
          <w:rFonts w:ascii="IRNazanin" w:hAnsi="IRNazanin" w:eastAsia="IRNazanin"/>
          <w:color w:val="111111"/>
          <w:sz w:val="28"/>
          <w:sz w:val="28"/>
          <w:szCs w:val="28"/>
          <w:rtl w:val="true"/>
          <w:lang w:bidi="fa-IR"/>
        </w:rPr>
        <w:t>بالتمسّک بهم تولّیهم والأخذ بأقوالهم، وهذا ممکن لکلّ أحد فی کلّ عصر لوجود روایاتهم، وإن لم یکن التشرّف بحضرتهم واکتساب الفیوضات الخاصّة من زیارتهم واقتباس الأنوار ببرکة صحبتهم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فتبیّن من جمیع ما فصّلناه عدم المجال لاحتمال وقوع التحریف فی القرآن الشریف بوجه من الوجوه فضلاً عن القول به من کلّ وجه</w:t>
      </w:r>
      <w:r>
        <w:rPr>
          <w:rFonts w:eastAsia="IRNazanin" w:cs="IRNazanin"/>
          <w:color w:val="111111"/>
          <w:sz w:val="28"/>
          <w:szCs w:val="28"/>
          <w:rtl w:val="true"/>
          <w:lang w:bidi="fa-IR"/>
        </w:rPr>
        <w:t>.</w:t>
      </w:r>
      <w:bookmarkStart w:id="434" w:name="pg4391_51188"/>
    </w:p>
    <w:p>
      <w:pPr>
        <w:pStyle w:val="Heading5"/>
        <w:numPr>
          <w:ilvl w:val="4"/>
          <w:numId w:val="1"/>
        </w:numPr>
        <w:rPr/>
      </w:pPr>
      <w:bookmarkStart w:id="435" w:name="__RefHeading___Toc1438913_1479056682"/>
      <w:bookmarkStart w:id="436" w:name="_Toc165"/>
      <w:bookmarkEnd w:id="434"/>
      <w:bookmarkEnd w:id="435"/>
      <w:r>
        <w:rPr>
          <w:rtl w:val="true"/>
        </w:rPr>
        <w:t>الطُّرفة الحادیة عشرة</w:t>
      </w:r>
      <w:r>
        <w:rPr>
          <w:rtl w:val="true"/>
        </w:rPr>
        <w:t xml:space="preserve">: </w:t>
      </w:r>
      <w:r>
        <w:rPr>
          <w:rtl w:val="true"/>
        </w:rPr>
        <w:t>فی عدد سور القرآن وبیان الاختلاف فیه</w:t>
      </w:r>
      <w:bookmarkEnd w:id="436"/>
    </w:p>
    <w:p>
      <w:pPr>
        <w:pStyle w:val="BookText"/>
        <w:rPr/>
      </w:pPr>
      <w:r>
        <w:rPr>
          <w:rFonts w:ascii="IRNazanin" w:hAnsi="IRNazanin" w:eastAsia="IRNazanin"/>
          <w:color w:val="111111"/>
          <w:sz w:val="28"/>
          <w:sz w:val="28"/>
          <w:szCs w:val="28"/>
          <w:rtl w:val="true"/>
          <w:lang w:bidi="fa-IR"/>
        </w:rPr>
        <w:t xml:space="preserve">المشهور </w:t>
      </w:r>
      <w:r>
        <w:rPr>
          <w:rStyle w:val="FootnoteAnchor"/>
          <w:rtl w:val="true"/>
        </w:rPr>
        <w:footnoteReference w:id="6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الرعایة فی علم الدرایة، ص</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عدد سور الکتاب العزیز مائة واثنتا عشرة لعدّهم الضحی والانشراح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رقم سورة الانشراح فی القرآن ؛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رقم سورة الفیل فی القرآن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رقم سورة قریش فی القرآن ؛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سورة واحدة، والفیل وقریش أیضاً سورة واحدة، بل ادّعی بعض الأساطین الإجماع علیه وعلیه النصوص المعتبرة من أهل البیت علیهم‌السلام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جماعة من العامة أنّ فی مصحف أُبیّ أنّ سورة الفیل وسورة لإیلاف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 طاووس</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هو طاووس بن کَیْسان الیمانیّ أبو عبدالرحمان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 خمسین صحابیا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قیس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طاووس فینا کابن سیرین فی أهل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عبّاد أهل الیمن وسادات التابعین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 ص</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ترجمة فی تهذیب التهذیب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وحلیة الأولیاء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ووفیات الأعیان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والعبد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وغیره من مفسّری العامّة علی ما فی إتقان السیوطیّ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الضحی وألم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نشرح سورة واحدة، وخالف فی ذلک أکثرهم، وذهبوا إلی أنّ عدد السور مائة وأربع عشرة، وادّعوا علیه إجماعهم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بکونه مائة وثلاث عشرة یجعل الأنفال</w:t>
      </w:r>
    </w:p>
    <w:p>
      <w:pPr>
        <w:pStyle w:val="BookText"/>
        <w:rPr/>
      </w:pPr>
      <w:r>
        <w:rPr>
          <w:rFonts w:ascii="IRNazanin" w:hAnsi="IRNazanin" w:eastAsia="IRNazanin"/>
          <w:color w:val="111111"/>
          <w:sz w:val="28"/>
          <w:sz w:val="28"/>
          <w:szCs w:val="28"/>
          <w:rtl w:val="true"/>
          <w:lang w:bidi="fa-IR"/>
        </w:rPr>
        <w:t>والبراءة واحدة لعدم البسملة بینهما، ولما روی عن مجاهد وسفیان</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هو أبو محمّد سفیان بن عیینة بن أبی عمران میمون الهلالیّ مولی امرأة من بنی هلال بن عامر رهط میمونة زوج‌النبیّ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الکوفة، وقال ابن سعد فی طبقاته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بالکوفة ونقله أبوه إلی مکّة، وهو من الطبقة الخامسة من أهل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عالما ثبتا حجّة زاهدا ورعا مجمعا علی صحّة حدیثه وروایته، وحجّ سبعین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الزهریّ، أبو إسحاق السبیعیّ، عمرو بن دینار، عاصم بن أبی النجود المقرئ، الأعمش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عنه الشافعی وابن إسحاق وشعبة بن الحجّاج وابن جُرَیح ویحیی بن أکثم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سنة ثمان وتسعین ومائة بمکّة ودفن بالحَجُون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وفیات الأعیان </w:t>
      </w:r>
      <w:r>
        <w:rPr>
          <w:rFonts w:eastAsia="IRNazanin" w:cs="IRNazanin"/>
          <w:color w:val="111111"/>
          <w:sz w:val="28"/>
          <w:szCs w:val="28"/>
          <w:lang w:bidi="fa-IR"/>
        </w:rPr>
        <w:t>2/391</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وأبی روق، وهو بمکان من الضعف لاشتهار تعدّدهما وتعدّد اسمهما بین المسلمین، ولروایة مجمع عن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رأس سورة براءة، لأنّ بسم اللّه للأمان والرّحمة، ونزلت براءة لدفع الأمان والسیف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w:t>
      </w:r>
      <w:r>
        <w:rPr>
          <w:rStyle w:val="FootnoteAnchor"/>
          <w:rtl w:val="true"/>
        </w:rPr>
        <w:footnoteReference w:id="6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أبی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لم تکتب فی 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p>
    <w:p>
      <w:pPr>
        <w:pStyle w:val="BookText"/>
        <w:rPr/>
      </w:pPr>
      <w:r>
        <w:rPr>
          <w:rFonts w:ascii="IRNazanin" w:hAnsi="IRNazanin" w:eastAsia="IRNazanin"/>
          <w:color w:val="111111"/>
          <w:sz w:val="28"/>
          <w:sz w:val="28"/>
          <w:szCs w:val="28"/>
          <w:rtl w:val="true"/>
          <w:lang w:bidi="fa-IR"/>
        </w:rPr>
        <w:t xml:space="preserve">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نّها أمان، وبراءة نزلت بالسّیف</w:t>
      </w:r>
      <w:r>
        <w:rPr>
          <w:rStyle w:val="FootnoteAnchor"/>
          <w:rtl w:val="true"/>
        </w:rPr>
        <w:footnoteReference w:id="6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حملکم علی أن عمدتم إلی الأنفال وهی من المثانی، وإلی براءة وهی من المئین فقرنتم بینهما،</w:t>
      </w:r>
    </w:p>
    <w:p>
      <w:pPr>
        <w:pStyle w:val="BookText"/>
        <w:rPr/>
      </w:pPr>
      <w:r>
        <w:rPr>
          <w:rFonts w:ascii="IRNazanin" w:hAnsi="IRNazanin" w:eastAsia="IRNazanin"/>
          <w:color w:val="111111"/>
          <w:sz w:val="28"/>
          <w:sz w:val="28"/>
          <w:szCs w:val="28"/>
          <w:rtl w:val="true"/>
          <w:lang w:bidi="fa-IR"/>
        </w:rPr>
        <w:t xml:space="preserve">ولم، تکتبوا بینهما سطر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ووضعتموها فی السّبع الطوال ؟ فقال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صلی‌الله‌علیه‌و‌آلهتنزل علیه السورة ذات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فقبض رسول اللّه صلی‌الله‌علیه‌و‌آله ولم یُبَیّن لنا أنّها منها، فمن أجل ذلک قرنت بینهما، ولم أکتب بینهما بسم اللّه الرّحمن الرّحیم، ووضعتها فی السبع الطوال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الإتقان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وقد مرّ تمامه فی بعض الطّرائف السابقة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الصّدوق رحمه‌الله فی ثواب الأعمال والعیّاشیّ</w:t>
      </w:r>
      <w:r>
        <w:rPr>
          <w:rStyle w:val="FootnoteAnchor"/>
          <w:rtl w:val="true"/>
        </w:rPr>
        <w:footnoteReference w:id="613"/>
      </w:r>
      <w:r>
        <w:rPr>
          <w:rFonts w:ascii="IRNazanin" w:hAnsi="IRNazanin" w:eastAsia="IRNazanin"/>
          <w:color w:val="111111"/>
          <w:sz w:val="28"/>
          <w:sz w:val="28"/>
          <w:szCs w:val="28"/>
          <w:rtl w:val="true"/>
          <w:lang w:bidi="fa-IR"/>
        </w:rPr>
        <w:t xml:space="preserve">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w:t>
      </w:r>
    </w:p>
    <w:p>
      <w:pPr>
        <w:pStyle w:val="BookText"/>
        <w:rPr/>
      </w:pPr>
      <w:r>
        <w:rPr>
          <w:rFonts w:ascii="IRNazanin" w:hAnsi="IRNazanin" w:eastAsia="IRNazanin"/>
          <w:color w:val="111111"/>
          <w:sz w:val="28"/>
          <w:sz w:val="28"/>
          <w:szCs w:val="28"/>
          <w:rtl w:val="true"/>
          <w:lang w:bidi="fa-IR"/>
        </w:rPr>
        <w:t xml:space="preserve">الأنفال وسورة البراءة فی کلّ شهر، لم یدخله نفاق أبداً </w:t>
      </w:r>
      <w:r>
        <w:rPr>
          <w:rStyle w:val="FootnoteAnchor"/>
          <w:rtl w:val="true"/>
        </w:rPr>
        <w:footnoteReference w:id="6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جمیع ذلک ومن عدم ظهور شبهة فی تعدّدهما بین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تعرّضهم لاتّحاد بعض السور کما 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الإشکال فی تعدّد البراءة والأنفال، وأنّ ما رواه الطّبرسیّ</w:t>
      </w:r>
      <w:r>
        <w:rPr>
          <w:rStyle w:val="FootnoteAnchor"/>
          <w:rtl w:val="true"/>
        </w:rPr>
        <w:footnoteReference w:id="615"/>
      </w:r>
      <w:r>
        <w:rPr>
          <w:rFonts w:ascii="IRNazanin" w:hAnsi="IRNazanin" w:eastAsia="IRNazanin"/>
          <w:color w:val="111111"/>
          <w:sz w:val="28"/>
          <w:sz w:val="28"/>
          <w:szCs w:val="28"/>
          <w:rtl w:val="true"/>
          <w:lang w:bidi="fa-IR"/>
        </w:rPr>
        <w:t>والعیّاشیّ رحمهماالله عن الصادق علیه‌السلام الأنفال وبراءَة واحد مُؤوّل أو مطروح</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وفی مصحف ابن مسعود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لأ نّه لم یکتب المعوّذتین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مصحف أُبیّ بن کعب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لأ نّه کتب فی آخره سورتی الحفد والخلع، وهماموضوعتان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مصحف أُبیّ بن کعب علی قول بعضهم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إذن سورة الفیل وسورة الإیلاف فیه سورة واحدة وفی آخره سورتا الحفد والخلع الموضوعتان</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الهذلیّ عن بعضهم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والضحی وألم نشرح لک صدرک سورة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 الرازیّ فی تفسیره عن طاووس وغیره من المفسِّرین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الإتقان </w:t>
      </w:r>
      <w:r>
        <w:rPr>
          <w:rFonts w:eastAsia="IRNazanin" w:cs="IRNazanin"/>
          <w:color w:val="111111"/>
          <w:sz w:val="28"/>
          <w:szCs w:val="28"/>
          <w:lang w:bidi="fa-IR"/>
        </w:rPr>
        <w:t>2/112</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w:t>
      </w:r>
      <w:bookmarkStart w:id="437" w:name="pg4391_51191"/>
    </w:p>
    <w:p>
      <w:pPr>
        <w:pStyle w:val="Heading5"/>
        <w:numPr>
          <w:ilvl w:val="4"/>
          <w:numId w:val="1"/>
        </w:numPr>
        <w:rPr/>
      </w:pPr>
      <w:bookmarkStart w:id="438" w:name="__RefHeading___Toc1438915_1479056682"/>
      <w:bookmarkStart w:id="439" w:name="_Toc166"/>
      <w:bookmarkEnd w:id="437"/>
      <w:bookmarkEnd w:id="438"/>
      <w:r>
        <w:rPr>
          <w:rtl w:val="true"/>
        </w:rPr>
        <w:t>الطُّرفة الثانیة عشرة</w:t>
      </w:r>
      <w:r>
        <w:rPr>
          <w:rtl w:val="true"/>
        </w:rPr>
        <w:t xml:space="preserve">: </w:t>
      </w:r>
      <w:r>
        <w:rPr>
          <w:rtl w:val="true"/>
        </w:rPr>
        <w:t>فی بیان معنی السورة وأنّ اسْمَ کلِّ سورةٍ کان بتوقیفٍ من‌النبیّ صلی‌الله‌علیه‌و‌آله</w:t>
      </w:r>
      <w:bookmarkEnd w:id="439"/>
    </w:p>
    <w:p>
      <w:pPr>
        <w:pStyle w:val="BookText"/>
        <w:rPr/>
      </w:pPr>
      <w:r>
        <w:rPr>
          <w:rFonts w:ascii="IRNazanin" w:hAnsi="IRNazanin" w:eastAsia="IRNazanin"/>
          <w:color w:val="111111"/>
          <w:sz w:val="28"/>
          <w:sz w:val="28"/>
          <w:szCs w:val="28"/>
          <w:rtl w:val="true"/>
          <w:lang w:bidi="fa-IR"/>
        </w:rPr>
        <w:t>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لطائفةٍ من القرآن ذات فاتحة وخاتمة مسمّ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خاصٍ بتوقیفٍ منَ‌النبیّ صلی‌الله‌علیه‌و‌آله وقد نصّ‌النبیّ صلی‌الله‌علیه‌و‌آله بأسامی السُّور فی الأحادیث والآثار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عکرمة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هو أبو عبداللّه عکرمة بن عبداللّه مولی عبداللّه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 فی الوفیّات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من البربر من أهل المغرب، کان لحصین بن الحرّ العنبریّ فوهبه لابن عبّاس حین ولّیالبصرة لعلیّ بن أبی طالب علیه‌السلام، واجتهد ابن عبّاس فی تعلیمه القرآن والسنن 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بأسماء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فقهاء مکّة وتابعیها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ومات مولاه ابن عبّاس وعکرمة علی الرقّ ولم یعتقه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سنة سبع ومائة وعمره ثمانون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عکرمة وکُثیْرَ عزّة الشاعر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أفقه الناس وأشعر الناس وکان موتهما بالمدینة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عکرمة کثیر التطوّف والجولان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خراسان وأصبهان ومصر وغیرها من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بکسر العین المهملة وسکون الکاف وکسر الراء وفتح المیم وبعدها هاء ساکنة، وهو فی الأصل اسم الحمامة الأُنثی فسمّی به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وفیات الأعیان </w:t>
      </w:r>
      <w:r>
        <w:rPr>
          <w:rFonts w:eastAsia="IRNazanin" w:cs="IRNazanin"/>
          <w:color w:val="111111"/>
          <w:sz w:val="28"/>
          <w:szCs w:val="28"/>
          <w:lang w:bidi="fa-IR"/>
        </w:rPr>
        <w:t>3/265</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کان المشرکون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البقرة وسورة العنکبوت یستهزؤون بها، فنزل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کَفَیْنَاکَ المُسْتَهْزِئِینَ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ووجه التسمیة بالأسامی المعیّنة المعروفة ظاهرٌ، فإنّ سورةَ الحمد سمّیت بفاتحة لافتتاح القرآن بها، وسورة البقرة لذکر قصّة البقرة</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فیها، ولم تذکر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آل عمران لذکر آل عمران فیها، وهکذا سائر السُّور </w:t>
      </w:r>
      <w:r>
        <w:rPr>
          <w:rStyle w:val="FootnoteAnchor"/>
          <w:rtl w:val="true"/>
        </w:rPr>
        <w:footnoteReference w:id="6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وجه تسمیة کلّ قطعة معیّنة بالسورة لارتفاع منزلتها وشأنها، لأنّها کلام اللّه، وتطلق السورة علی المنزلة الرفیعة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مأخوذة من سور البلد، لاحاطتها بآیاتها</w:t>
      </w:r>
    </w:p>
    <w:p>
      <w:pPr>
        <w:pStyle w:val="BookText"/>
        <w:rPr/>
      </w:pPr>
      <w:r>
        <w:rPr>
          <w:rFonts w:ascii="IRNazanin" w:hAnsi="IRNazanin" w:eastAsia="IRNazanin"/>
          <w:color w:val="111111"/>
          <w:sz w:val="28"/>
          <w:sz w:val="28"/>
          <w:szCs w:val="28"/>
          <w:rtl w:val="true"/>
          <w:lang w:bidi="fa-IR"/>
        </w:rPr>
        <w:t>واجتماعها</w:t>
      </w:r>
    </w:p>
    <w:p>
      <w:pPr>
        <w:pStyle w:val="BookText"/>
        <w:rPr/>
      </w:pPr>
      <w:r>
        <w:rPr>
          <w:rFonts w:ascii="IRNazanin" w:hAnsi="IRNazanin" w:eastAsia="IRNazanin"/>
          <w:color w:val="111111"/>
          <w:sz w:val="28"/>
          <w:sz w:val="28"/>
          <w:szCs w:val="28"/>
          <w:rtl w:val="true"/>
          <w:lang w:bidi="fa-IR"/>
        </w:rPr>
        <w:t>کاجتماع البیوت بالسور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السّوار لإحاطته بالساعد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أنّ العرب تراعی فی الکثیر من المسمّیات أخذ أسمائها من نادرٍ أو مستغربٍ یکون فی الشیء مِن خلقٍ أو صفةٍ تخصُّهُ، أو تکون معه أحکم وأکثر أو أسبق لإدراک الرائی للمسمّی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ویسمُّون الجملة من الکلام أو العقیدة الطویلة بما هو أشهر فیها، وعلی ذلک جَرَتْ أسماء سور الکتاب العزیز کتسمیة سورة البقرة بهذا الاسم لقرینة ذکر قصّة البقرة المذکورة فیها، وسمّیت سورة النِّساء بهذا الاسم لما تردّد فیها من کثیر من أحکام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البرهان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وأجابه السیوطیّ فی النوع السابع عشر وقال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بناءً علی ما قال فی البرهان، یجب تسمیة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بموسی 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بالذبیح، لأنّ أکثر محتوی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موسی وبنی إسرائیل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علیها قصّة آدم، ذکر فی کثیر من السور ولم تسمّ به سورة کأ نّه اکتفی بسورة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الإتقان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السیوطیّ قول الزرکشیّ یسقط حجّیة قوله وکلّیة حکمه، وعلی ما قال السیوطیّ صحّة قول الزرکشیّ مستلزم إلی مستند من الآثار والروایات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الحقّ أن نقول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تسمیة أکثر سور القرآن کانت توقیفیّة، انطباقا علی مضمونها ومستغرب معانیها فی السورة</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تسمیة بعض السور کانت اجتهادیا</w:t>
      </w:r>
      <w:r>
        <w:rPr>
          <w:rFonts w:eastAsia="IRNazanin" w:cs="IRNazanin"/>
          <w:color w:val="111111"/>
          <w:sz w:val="28"/>
          <w:szCs w:val="28"/>
          <w:rtl w:val="true"/>
          <w:lang w:bidi="fa-IR"/>
        </w:rPr>
        <w:t>.</w:t>
      </w:r>
      <w:bookmarkStart w:id="440" w:name="pg4391_51193"/>
    </w:p>
    <w:p>
      <w:pPr>
        <w:pStyle w:val="Heading5"/>
        <w:numPr>
          <w:ilvl w:val="4"/>
          <w:numId w:val="1"/>
        </w:numPr>
        <w:rPr/>
      </w:pPr>
      <w:bookmarkStart w:id="441" w:name="__RefHeading___Toc1438917_1479056682"/>
      <w:bookmarkStart w:id="442" w:name="_Toc167"/>
      <w:bookmarkEnd w:id="440"/>
      <w:bookmarkEnd w:id="441"/>
      <w:r>
        <w:rPr>
          <w:rtl w:val="true"/>
        </w:rPr>
        <w:t>الطُّرفة الثالثة عشرة</w:t>
      </w:r>
      <w:r>
        <w:rPr>
          <w:rtl w:val="true"/>
        </w:rPr>
        <w:t xml:space="preserve">: </w:t>
      </w:r>
      <w:r>
        <w:rPr>
          <w:rtl w:val="true"/>
        </w:rPr>
        <w:t>فی أنّ عدّة سُوَرٍ من القرآن سُمِّیَتْ بالطِّوال وعدّة منها بالمئین وعدّة بالمثانی وعدّة بالمفصّل ووجه التسمیة</w:t>
      </w:r>
      <w:bookmarkEnd w:id="442"/>
    </w:p>
    <w:p>
      <w:pPr>
        <w:pStyle w:val="BookText"/>
        <w:rPr/>
      </w:pPr>
      <w:r>
        <w:rPr>
          <w:rFonts w:ascii="IRNazanin" w:hAnsi="IRNazanin" w:eastAsia="IRNazanin"/>
          <w:color w:val="111111"/>
          <w:sz w:val="28"/>
          <w:sz w:val="28"/>
          <w:szCs w:val="28"/>
          <w:rtl w:val="true"/>
          <w:lang w:bidi="fa-IR"/>
        </w:rPr>
        <w:t>کما سمّی کلّ سورة باسم خاص سمِّیت عدّة سور باسم مخصوص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w:t>
      </w:r>
      <w:r>
        <w:rPr>
          <w:rStyle w:val="FootnoteAnchor"/>
          <w:rtl w:val="true"/>
        </w:rPr>
        <w:footnoteReference w:id="620"/>
      </w:r>
      <w:r>
        <w:rPr>
          <w:rFonts w:ascii="IRNazanin" w:hAnsi="IRNazanin" w:eastAsia="IRNazanin"/>
          <w:color w:val="111111"/>
          <w:sz w:val="28"/>
          <w:sz w:val="28"/>
          <w:szCs w:val="28"/>
          <w:rtl w:val="true"/>
          <w:lang w:bidi="fa-IR"/>
        </w:rPr>
        <w:t xml:space="preserve">بإسناده عن سعد الإسکاف، عن أبی جعفر </w:t>
      </w:r>
      <w:r>
        <w:rPr>
          <w:rStyle w:val="FootnoteAnchor"/>
          <w:rtl w:val="true"/>
        </w:rPr>
        <w:footnoteReference w:id="621"/>
      </w:r>
      <w:r>
        <w:rPr>
          <w:rFonts w:ascii="IRNazanin" w:hAnsi="IRNazanin" w:eastAsia="IRNazanin"/>
          <w:color w:val="111111"/>
          <w:sz w:val="28"/>
          <w:sz w:val="28"/>
          <w:szCs w:val="28"/>
          <w:rtl w:val="true"/>
          <w:lang w:bidi="fa-IR"/>
        </w:rPr>
        <w:t>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السور الطّوال مکان التوراة، وأعطیت المئین مکان الإنجیل، وأعطیت المثانی مکان الزّبور، وفضّلت بالمفصّل ثمان وستّون سورة، وهو مهیمن علی سائر الکتب، والتوراة لموسی والإنجیل لعیسی والزّبور لداود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اعْلم أنّه یُستفاد من الروایة الشریفة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سور القرآن یکون داخلاً تحت العناوین الأربعة لا تخرج منها سورة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الطّوال مقدّم فی الترتیب علی المئین والمئین علی المثانی والمثانی علی المفصّل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الطّوال أفضل من المئین لکونها بمنزلة التوراة الّتی هی أفضل من الإنجیل، والمئین أفضل من المثانی لکونها بمنزلة الإنجیل الّذی هو أفضل من الزبور، ویمکن استفادة کون المفصّل أفضل من المثانی، لأ نّها ممّا فضّل به‌النبیّ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الطُول کصردٍ، وفی بعض روایات العامة الطّوال،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 به لکثرة طولها، وسمّی ما بعدها مئین لأنّ</w:t>
      </w:r>
    </w:p>
    <w:p>
      <w:pPr>
        <w:pStyle w:val="BookText"/>
        <w:rPr/>
      </w:pPr>
      <w:r>
        <w:rPr>
          <w:rFonts w:ascii="IRNazanin" w:hAnsi="IRNazanin" w:eastAsia="IRNazanin"/>
          <w:color w:val="111111"/>
          <w:sz w:val="28"/>
          <w:sz w:val="28"/>
          <w:szCs w:val="28"/>
          <w:rtl w:val="true"/>
          <w:lang w:bidi="fa-IR"/>
        </w:rPr>
        <w:t>کلّ سورة منها تزید علی مائة آیة أو تقاربها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ما ولی المئین بالمثانی، لأنّها ثنّتها،</w:t>
      </w:r>
    </w:p>
    <w:p>
      <w:pPr>
        <w:pStyle w:val="BookText"/>
        <w:rPr/>
      </w:pPr>
      <w:r>
        <w:rPr>
          <w:rFonts w:ascii="IRNazanin" w:hAnsi="IRNazanin" w:eastAsia="IRNazanin"/>
          <w:color w:val="111111"/>
          <w:sz w:val="28"/>
          <w:sz w:val="28"/>
          <w:szCs w:val="28"/>
          <w:rtl w:val="true"/>
          <w:lang w:bidi="fa-IR"/>
        </w:rPr>
        <w:t>أی کانت بعدها، فهی لها ثوان والمئون لها أوائل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المثانی هی السور التی آیها أقلّ من مائة، لأنّها تُثنّی أکثر ممّا یُثنّی الطوال والمئون،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لتثنیة الأمثال فیها بالعبر والخبر، أو لتثنیة القصص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وسمّی ما ولی المثانی من قصار السور بالمفصّل لکثرة الفصول التی بین السور بالبسملة،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لقلّة المنسوخ منه ولهذا یسمّی بالمحکم أیضاً</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رُوی عن سعید بن جبیر </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هو سعیدُ بن جُبَیْر بن هشام الأسدیّ بالولاء، مولی بنی والبة بن الحارث بطنٍ من بنی أسد بن خُزیمة، کوفیّ أحد أعلام التابعین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العلم عن عبداللّه بن العبّاس وعبداللّه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وفاء بن إیاس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سعید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علیّ القرآن، فما قام من مجلسه حتّی ختمه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العجیب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قرأت القرآن فی رکعة فی البیت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خصیف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جبیر من أعلم التابعین بعلوم الشریعة والفقه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فی أوّل عمره کاتبا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الحجّاج سعید بن جبیر وما علی وجه الأرض أحدٌ إلاّ وهو مفتقر إلی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وفیات الأعیان </w:t>
      </w:r>
      <w:r>
        <w:rPr>
          <w:rFonts w:eastAsia="IRNazanin" w:cs="IRNazanin"/>
          <w:color w:val="111111"/>
          <w:sz w:val="28"/>
          <w:szCs w:val="28"/>
          <w:lang w:bidi="fa-IR"/>
        </w:rPr>
        <w:t>2/371</w:t>
      </w:r>
      <w:r>
        <w:rPr>
          <w:rFonts w:eastAsia="IRNazanin" w:cs="IRNazanin"/>
          <w:color w:val="111111"/>
          <w:sz w:val="28"/>
          <w:szCs w:val="28"/>
          <w:rtl w:val="true"/>
          <w:lang w:bidi="fa-IR"/>
        </w:rPr>
        <w:t xml:space="preserve"> -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ترجمة فی طبقات ابن سعد </w:t>
      </w:r>
      <w:r>
        <w:rPr>
          <w:rFonts w:eastAsia="IRNazanin" w:cs="IRNazanin"/>
          <w:color w:val="111111"/>
          <w:sz w:val="28"/>
          <w:szCs w:val="28"/>
          <w:lang w:bidi="fa-IR"/>
        </w:rPr>
        <w:t>6/256</w:t>
      </w:r>
      <w:r>
        <w:rPr>
          <w:rFonts w:ascii="IRNazanin" w:hAnsi="IRNazanin" w:eastAsia="IRNazanin"/>
          <w:color w:val="111111"/>
          <w:sz w:val="28"/>
          <w:sz w:val="28"/>
          <w:szCs w:val="28"/>
          <w:rtl w:val="true"/>
          <w:lang w:bidi="fa-IR"/>
        </w:rPr>
        <w:t>، طبقات الشیرازیّ، ص</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تهذیب التهذیب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الّذی تدعونه المفصّل هو المحکم وآخره سورة الناس بلا نزاع، ثمّ لا إشکال فی أنّ عدد الطوال سبع، لروایة واثلة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هو واثلة بن الأسقع بن عبدالعُزّی بن عبد یَالیلَ الکنانیّ اللّیثیّ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والنبیّ صلی‌الله‌علیه‌و‌آله یتجهّز إلی تبوک،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خدم‌النبیّ صلی‌الله‌علیه‌و‌آله ثلاث سنین وکان من أصحاب الصفّة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سکن البصرة بعد وقعة تبوک وله بها دار، ثمّ سکن الشام وشهد فتح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فی سنة ثلاث وثمانین وهو ابن مائة وخمس سنین، قاله سعید بن خالد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أُسد الغابة </w:t>
      </w:r>
      <w:r>
        <w:rPr>
          <w:rFonts w:eastAsia="IRNazanin" w:cs="IRNazanin"/>
          <w:color w:val="111111"/>
          <w:sz w:val="28"/>
          <w:szCs w:val="28"/>
          <w:lang w:bidi="fa-IR"/>
        </w:rPr>
        <w:t>4/652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أعطیت السبع الطّوال مکان التوراة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وعن ابن عبّاس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السبع الطوال البقرة وآل عمران والنِّساء والمائدة والأنعام والأعراف</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السابعة، فنسیتُها </w:t>
      </w:r>
      <w:r>
        <w:rPr>
          <w:rStyle w:val="FootnoteAnchor"/>
          <w:rtl w:val="true"/>
        </w:rPr>
        <w:footnoteReference w:id="6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أُخری عنه أنّها الکهف، وعن مجاهد وسعید بن جبیر أنّها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الفیض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الطّوال السبع بعد الفاتحة، علی أن تعدّ الأنفال</w:t>
      </w:r>
    </w:p>
    <w:p>
      <w:pPr>
        <w:pStyle w:val="BookText"/>
        <w:rPr/>
      </w:pPr>
      <w:r>
        <w:rPr>
          <w:rFonts w:ascii="IRNazanin" w:hAnsi="IRNazanin" w:eastAsia="IRNazanin"/>
          <w:color w:val="111111"/>
          <w:sz w:val="28"/>
          <w:sz w:val="28"/>
          <w:szCs w:val="28"/>
          <w:rtl w:val="true"/>
          <w:lang w:bidi="fa-IR"/>
        </w:rPr>
        <w:t>والبراءة واحدة لنزولهما جمیعاً فی المغازی وتسمیتهما بالقرینتین، 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بعدما ثبت أنّ الأنفال وبراءة سورتان، کیف یمکن عدّهما واحدة؟ إلاّ أن یحمل ما روی عن الصادق علیه‌السلاممن قوله الأنفال والبراءة واحد علی تنزیلهما منزلة الواحد من هذه الجهة، مؤیّداً بإشعار النبویّ علی تقدّم السبع الطّوال علی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والمئین من بنی إسرائیل إلی سبع سُورٍ، لأنّ کلاًّ منها علی نحو مائة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والمفصّل من سورة محمّد إلی آخر القرآن</w:t>
      </w:r>
    </w:p>
    <w:p>
      <w:pPr>
        <w:pStyle w:val="BookText"/>
        <w:rPr/>
      </w:pPr>
      <w:r>
        <w:rPr>
          <w:rFonts w:ascii="Amiri" w:hAnsi="Amiri" w:eastAsia="Amiri" w:cs="Amiri"/>
          <w:color w:val="111111"/>
          <w:sz w:val="28"/>
          <w:sz w:val="28"/>
          <w:szCs w:val="28"/>
          <w:rtl w:val="true"/>
          <w:lang w:bidi="ar-SA"/>
        </w:rPr>
        <w:t>سمِّیت به لکثرة الفواصل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مبنیّ علی عدّ الضحی والانشراح والفیل وقریش أربع سور، وهذا خلاف الأخبار والمعروف بین الأصحاب، وعلیه فلابدّ أن یعدّ المفصّل من الجاثیة، حتّی یتمّ</w:t>
      </w:r>
    </w:p>
    <w:p>
      <w:pPr>
        <w:pStyle w:val="BookText"/>
        <w:rPr/>
      </w:pPr>
      <w:r>
        <w:rPr>
          <w:rFonts w:ascii="IRNazanin" w:hAnsi="IRNazanin" w:eastAsia="IRNazanin"/>
          <w:color w:val="111111"/>
          <w:sz w:val="28"/>
          <w:sz w:val="28"/>
          <w:szCs w:val="28"/>
          <w:rtl w:val="true"/>
          <w:lang w:bidi="fa-IR"/>
        </w:rPr>
        <w:t>ثمان وستون سورة إلی آخر القرآن علی ما فی الروایة الشریفة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Style w:val="FootnoteAnchor"/>
          <w:rtl w:val="true"/>
        </w:rPr>
        <w:footnoteReference w:id="625"/>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والمثانی بقیة السور وهی التی تقصر عن المئین وتزید علی المفصّل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علیه أن یکتفی فی تعیین المثانی بذکر بقیة السّور، إذ بعض المثانی لا تزید علی بعض سور المفصّل علی ما حدّه، لأنّ عدد آیات سورة الرّحمن التی جعلها فی المفصّل ثمان وسبعون، وسورة الواقعة ستّ وتسعون، ولیس فی المثانی بعد الکهف سورة تکون آیاته بهذا العدد إلاّ قلیلاً کطه والأنبیاء والمؤمنون والشعراء والصّافّات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ونُقل عن جریر بن عبدالحمید أنّه قال </w:t>
      </w:r>
      <w:r>
        <w:rPr>
          <w:rStyle w:val="FootnoteAnchor"/>
          <w:rtl w:val="true"/>
        </w:rPr>
        <w:footnoteReference w:id="6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مصحف عبداللّه بن مسعود الطّوال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البقرة وآل عمران والنِّساء والأنعام والأعراف والمائدة ویونس، والمئین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والنّحل</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وهود ویوسف والکهف وبنی إسرائیل والأنبیاء وطه والمؤمنون والشعراء والصّافّات، والمثانی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الأحزاب والحجّ والقصص والنمل والنور والأنفال ومریم والعنکبوت والرّوم ویس والفرقان والحجر والرّعد وسبأ والملائکة وإبراهیم وص والّذین کفروا ولقمان والزّمر، والحوامیم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 المؤمن والزّخرف والسجدة وحمعسق والأحقاف والجاثیة والدّخان، والممتحنات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فتحنا لک والحشر وتنزیل السجدة والطّلاق و ن والقلم والحجرات وتبارک والتّغابن والمنافقون والجمعة والصّف وقل أوحی وإنّا أرسلنا</w:t>
      </w:r>
    </w:p>
    <w:p>
      <w:pPr>
        <w:pStyle w:val="BookText"/>
        <w:rPr/>
      </w:pPr>
      <w:r>
        <w:rPr>
          <w:rFonts w:ascii="IRNazanin" w:hAnsi="IRNazanin" w:eastAsia="IRNazanin"/>
          <w:color w:val="111111"/>
          <w:sz w:val="28"/>
          <w:sz w:val="28"/>
          <w:szCs w:val="28"/>
          <w:rtl w:val="true"/>
          <w:lang w:bidi="fa-IR"/>
        </w:rPr>
        <w:t>والمجادلة والممتحنة ، والمفصّل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الرّحمن إلی آخر القرآن</w:t>
      </w:r>
      <w:r>
        <w:rPr>
          <w:rFonts w:eastAsia="IRNazanin" w:cs="IRNazanin"/>
          <w:color w:val="111111"/>
          <w:sz w:val="28"/>
          <w:szCs w:val="28"/>
          <w:rtl w:val="true"/>
          <w:lang w:bidi="fa-IR"/>
        </w:rPr>
        <w:t>.</w:t>
      </w:r>
      <w:r>
        <w:rPr>
          <w:rStyle w:val="FootnoteAnchor"/>
          <w:rtl w:val="true"/>
        </w:rPr>
        <w:footnoteReference w:id="627"/>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هذا الخبر أنّ الممتحنات والحوامیم عند ابن مسعود قسمان خارجان من الأقسام الأربعة، وأنّه کان ترتیب السور فی مصحفه علی خلاف المصحف الّذی بأیدینا، إلاّ أنّه لا اعتبار بهذا النقل</w:t>
      </w:r>
      <w:r>
        <w:rPr>
          <w:rFonts w:eastAsia="IRNazanin" w:cs="IRNazanin"/>
          <w:color w:val="111111"/>
          <w:sz w:val="28"/>
          <w:szCs w:val="28"/>
          <w:rtl w:val="true"/>
          <w:lang w:bidi="fa-IR"/>
        </w:rPr>
        <w:t>.</w:t>
      </w:r>
      <w:bookmarkStart w:id="443" w:name="pg4391_51197"/>
    </w:p>
    <w:p>
      <w:pPr>
        <w:pStyle w:val="Heading5"/>
        <w:numPr>
          <w:ilvl w:val="4"/>
          <w:numId w:val="1"/>
        </w:numPr>
        <w:rPr/>
      </w:pPr>
      <w:bookmarkStart w:id="444" w:name="__RefHeading___Toc1438919_1479056682"/>
      <w:bookmarkStart w:id="445" w:name="_Toc168"/>
      <w:bookmarkEnd w:id="443"/>
      <w:bookmarkEnd w:id="444"/>
      <w:r>
        <w:rPr>
          <w:rtl w:val="true"/>
        </w:rPr>
        <w:t>الطُّرفة الرابعة عشرة</w:t>
      </w:r>
      <w:r>
        <w:rPr>
          <w:rtl w:val="true"/>
        </w:rPr>
        <w:t xml:space="preserve">: </w:t>
      </w:r>
      <w:r>
        <w:rPr>
          <w:rtl w:val="true"/>
        </w:rPr>
        <w:t>فی فوائد تقطیع القرآن سوراً واختلافها فی الطّول والقصر والتّوسّط</w:t>
      </w:r>
      <w:bookmarkEnd w:id="445"/>
    </w:p>
    <w:p>
      <w:pPr>
        <w:pStyle w:val="BookText"/>
        <w:rPr/>
      </w:pPr>
      <w:r>
        <w:rPr>
          <w:rFonts w:ascii="IRNazanin" w:hAnsi="IRNazanin" w:eastAsia="IRNazanin"/>
          <w:color w:val="111111"/>
          <w:sz w:val="28"/>
          <w:sz w:val="28"/>
          <w:szCs w:val="28"/>
          <w:rtl w:val="true"/>
          <w:lang w:bidi="fa-IR"/>
        </w:rPr>
        <w:t xml:space="preserve">قال الزمخشریّ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هو أبوالقاسم جارُ اللّه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إماما فی التفسیر والنحو واللّغة والأدب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واسعَ العلم کبیرَ الفضل، مُتفنّنا فی علوم شتّی، معتزلیّ المذهب متجاهرا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بزمخشر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خوارزم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وأخذ الأدب عن أبی مضر محمود بن جَریر الضبّیّ الأصفهانیّ وابن المظفّر النیسابوریّ وسمع من أبی منصور نصر الحارثیّ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قطعت رجله علی حسب ما قال الزمخشریّ، بسبب دعاء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وذلک أنِّی أمْسَکْتُ عصفورا وأنا صبیٌّ صغیر، رَبَطْتُ برجله خیطا فَأفلَت من یدی ودَخَل خرقا فجذبته، فانقطعت 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 لَّمَتْ له والدتی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اللّه رِجلَک کما قَطَعْتَ رجل العصفور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فی أثناء الطریق فی رحلته إلی بخاری لطلب العلم، سقط عن الدابّة فانکسرت رجله، وأصابه الألم ممّا أوجَبَ قَطعها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کشّاف القرآن، الفائق فی غریب الحدیث، نصائح الکبار، کتاب عقل الکل، أساس البلاغة فی اللّغة، جواهر اللّغة، شرح مقاماته، رسالة الأسرار، أعجب العجب فی شرح لامیّة العرب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أحدّثک عن بلد الشوم ذلک بلد الوالی الغشوم، فإیّاک وبلد الجور وإن کنتَ أعَزَّ مِن بیضةِ البلد وأحظی أهله بالمال المُثمر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معجم الأُدباء للحمویّ </w:t>
      </w:r>
      <w:r>
        <w:rPr>
          <w:rFonts w:eastAsia="IRNazanin" w:cs="IRNazanin"/>
          <w:color w:val="111111"/>
          <w:sz w:val="28"/>
          <w:szCs w:val="28"/>
          <w:lang w:bidi="fa-IR"/>
        </w:rPr>
        <w:t>19/126</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فی تفصیل القرآن وتقطیعه سوراً کثیرة، وکذلک أنزل اللّه التوراة والإنجیل والزّبور وما أوحاه إلی أنبیائِه مسوّرة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وبوّب المصنّ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فون فی کتبهم أبواباً موشّحة الصّدور بالتّراجم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الجنس إذا انطوت تحته أنواع وأصناف کان أحسن وأفخم من أن یکون باباً واحداً</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القارئ إذا ختم سورة أو باباً من الکتاب ثمّ أخذ فی آخر کان أنشط له وأبعث علی التحصیل منه لو استمرّ علی الکتاب بطوله، ومثله المسافر إذا قطع میلاً أو</w:t>
      </w:r>
    </w:p>
    <w:p>
      <w:pPr>
        <w:pStyle w:val="BookText"/>
        <w:rPr/>
      </w:pPr>
      <w:r>
        <w:rPr>
          <w:rFonts w:ascii="Amiri" w:hAnsi="Amiri" w:eastAsia="Amiri" w:cs="Amiri"/>
          <w:color w:val="111111"/>
          <w:sz w:val="28"/>
          <w:sz w:val="28"/>
          <w:szCs w:val="28"/>
          <w:rtl w:val="true"/>
          <w:lang w:bidi="ar-SA"/>
        </w:rPr>
        <w:t>فرسخاً نفَّس ذلک منه ونشط للسّیر، ومن ثمّ جُزِّئَ القرآن أجزاءً وأخماساً</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الحافظ إذا حفظ السورة</w:t>
      </w:r>
      <w:r>
        <w:rPr>
          <w:rStyle w:val="FootnoteAnchor"/>
          <w:rtl w:val="true"/>
        </w:rPr>
        <w:footnoteReference w:id="630"/>
      </w:r>
      <w:r>
        <w:rPr>
          <w:rFonts w:ascii="IRNazanin" w:hAnsi="IRNazanin" w:eastAsia="IRNazanin"/>
          <w:color w:val="111111"/>
          <w:sz w:val="28"/>
          <w:sz w:val="28"/>
          <w:szCs w:val="28"/>
          <w:rtl w:val="true"/>
          <w:lang w:bidi="fa-IR"/>
        </w:rPr>
        <w:t>اعتقد أنّه أخذ من کتاب اللّه طائفة مستقلّة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فیعظم عنده ما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حدیث 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الرّجل إذا قرأ البقرة وآل عمران جدّ فینا، ومن ذلک </w:t>
      </w:r>
      <w:r>
        <w:rPr>
          <w:rStyle w:val="FootnoteAnchor"/>
          <w:rtl w:val="true"/>
        </w:rPr>
        <w:footnoteReference w:id="631"/>
      </w:r>
      <w:r>
        <w:rPr>
          <w:rFonts w:ascii="IRNazanin" w:hAnsi="IRNazanin" w:eastAsia="IRNazanin"/>
          <w:color w:val="111111"/>
          <w:sz w:val="28"/>
          <w:sz w:val="28"/>
          <w:szCs w:val="28"/>
          <w:rtl w:val="true"/>
          <w:lang w:bidi="fa-IR"/>
        </w:rPr>
        <w:t>کانت القراءة فی الصلاة بسورة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التفصیل بسبب </w:t>
      </w:r>
      <w:r>
        <w:rPr>
          <w:rStyle w:val="FootnoteAnchor"/>
          <w:rtl w:val="true"/>
        </w:rPr>
        <w:footnoteReference w:id="632"/>
      </w:r>
      <w:r>
        <w:rPr>
          <w:rFonts w:ascii="IRNazanin" w:hAnsi="IRNazanin" w:eastAsia="IRNazanin"/>
          <w:color w:val="111111"/>
          <w:sz w:val="28"/>
          <w:sz w:val="28"/>
          <w:szCs w:val="28"/>
          <w:rtl w:val="true"/>
          <w:lang w:bidi="fa-IR"/>
        </w:rPr>
        <w:t>تلاحق الأشکال والنظائر وملائمة بعضها لبعضٍ، وبذلک تتلاحظ المعانی والنظم، إلی غیر ذلک من الفوائد،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وقیل </w:t>
      </w:r>
      <w:r>
        <w:rPr>
          <w:rStyle w:val="FootnoteAnchor"/>
          <w:rtl w:val="true"/>
        </w:rPr>
        <w:footnoteReference w:id="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الحکمة فی تسویر القرآن سوراً تحقیق کون السورة بمجرّدها معجزة وآیة من آیات اللّه والإشارة إلی أنّ کل سورة نمط مستقلّ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فسورة یوسف تترجم عن قصّته وسورة براءة تترجم عن أحوال المنافقین وأسرارهم إلی غیر ذلک، وأمّا حکمة اختلاف السور طولاً وقصراً التنبیه علی انّ الطول لیس من شرائط</w:t>
      </w:r>
      <w:r>
        <w:rPr>
          <w:rStyle w:val="FootnoteAnchor"/>
          <w:rtl w:val="true"/>
        </w:rPr>
        <w:footnoteReference w:id="634"/>
      </w:r>
      <w:r>
        <w:rPr>
          <w:rFonts w:ascii="IRNazanin" w:hAnsi="IRNazanin" w:eastAsia="IRNazanin"/>
          <w:color w:val="111111"/>
          <w:sz w:val="28"/>
          <w:sz w:val="28"/>
          <w:szCs w:val="28"/>
          <w:rtl w:val="true"/>
          <w:lang w:bidi="fa-IR"/>
        </w:rPr>
        <w:t>الإعجاز، فهذه سورة الکوثر ثلاث آیات وهی معجزة إعجاز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الحکمة فی جعلها مختلفة المراتب فی الطول والقصر والتوسّط بینهما سهولة التعلیم والتعلّم وتدریج الأطفال والمتعلّمین من</w:t>
      </w:r>
    </w:p>
    <w:p>
      <w:pPr>
        <w:pStyle w:val="BookText"/>
        <w:rPr/>
      </w:pPr>
      <w:r>
        <w:rPr>
          <w:rFonts w:ascii="IRNazanin" w:hAnsi="IRNazanin" w:eastAsia="IRNazanin"/>
          <w:color w:val="111111"/>
          <w:sz w:val="28"/>
          <w:sz w:val="28"/>
          <w:szCs w:val="28"/>
          <w:rtl w:val="true"/>
          <w:lang w:bidi="fa-IR"/>
        </w:rPr>
        <w:t>السور القصار إلی ما فوقها حتّی ینتهون إلی الأوساط</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یتدرّجون إلی الطّوال علی اختلاف مراتبها، وتیسیر اللّه علی عباده فی حفظ کتابه وفی قراءة سوره فی أضیق الأوقات وأوساطها وطوالها فی الصلوات وغیرها، إلی غیر ذلک من الحکم والمصالح التی لا یعلمها إلاّ اللّه تعالی </w:t>
      </w:r>
      <w:r>
        <w:rPr>
          <w:rStyle w:val="FootnoteAnchor"/>
          <w:rtl w:val="true"/>
        </w:rPr>
        <w:footnoteReference w:id="6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هامش الکشّاف للزمخشریّ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حکمة تسویر القرآن، إثبات إعجازه بأ نّه سورة واحدة، وتسهیل للاُمّة لحفظه حتّی للصّبیان وسهولة فهمه وقراءته والسیر فیه منزلةً بعد منزلةٍ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السیوطیّ نقلاً عن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الکتب السالفة التوراة والإنجیل والزبور، کانت مسوّرة وهو الصحیح أو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 ابن أبی حاتم عن قُتادة،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نتحدّث أنّ الزبور مائة وخمسون سورة کلّها مواعظ وثناء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الإنجیل سورة تسمّی سورة الأمثال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الإتقان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هذا ؛ لیس تسویر القرآن أمرا مستحدثا بل کان أصلاً فی الکتب السالفة السماویّة</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6" w:name="pg4391_51199"/>
    </w:p>
    <w:p>
      <w:pPr>
        <w:pStyle w:val="Heading5"/>
        <w:numPr>
          <w:ilvl w:val="4"/>
          <w:numId w:val="1"/>
        </w:numPr>
        <w:rPr/>
      </w:pPr>
      <w:bookmarkStart w:id="447" w:name="__RefHeading___Toc1438921_1479056682"/>
      <w:bookmarkStart w:id="448" w:name="_Toc169"/>
      <w:bookmarkEnd w:id="446"/>
      <w:bookmarkEnd w:id="447"/>
      <w:r>
        <w:rPr>
          <w:rtl w:val="true"/>
        </w:rPr>
        <w:t>الطُّرفة الخامسة عشرة</w:t>
      </w:r>
      <w:r>
        <w:rPr>
          <w:rtl w:val="true"/>
        </w:rPr>
        <w:t xml:space="preserve">: </w:t>
      </w:r>
      <w:r>
        <w:rPr>
          <w:rtl w:val="true"/>
        </w:rPr>
        <w:t>فی أنّ البسملة جزء من کلّ سورة بل هی أعظم آیاتها</w:t>
      </w:r>
      <w:bookmarkEnd w:id="448"/>
    </w:p>
    <w:p>
      <w:pPr>
        <w:pStyle w:val="BookText"/>
        <w:rPr/>
      </w:pPr>
      <w:r>
        <w:rPr>
          <w:rFonts w:ascii="IRNazanin" w:hAnsi="IRNazanin" w:eastAsia="IRNazanin"/>
          <w:color w:val="111111"/>
          <w:sz w:val="28"/>
          <w:sz w:val="28"/>
          <w:szCs w:val="28"/>
          <w:rtl w:val="true"/>
          <w:lang w:bidi="fa-IR"/>
        </w:rPr>
        <w:t>لا شبهة أنّ البسملة آیة من آیات القرآن وجزء من الفاتحة وغیرها من السور عدا براءة، بل هی أعظم الآیات وأفضلها، حیث روی عن أبی عبداللّه علیه‌السلام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اسم اللّه الأعظم من ناظر العین إلی بیاضها</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وعن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سرقوا أکرم آیة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والعیّاشیّ</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هو أبو النضر محمّد بن مسعود العیّاشیّ من أهل 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بنی 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فقهاء الشیعة الإمامیة واحد دهره وزمانه فی غزارة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لکتبه بنواحی خراسان شأن من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أنّ کتبه ورسالاته مائتان وثمانیة کتبٍ، وأنّه ظلّ من جمیعها سبعة وعشرون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یکنّی أبا أحمد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کتاب الصلاة، کتاب الأنبیاء والأئمّة، کتاب الأوصیاء، کتاب حقوق الإخوان، کتاب العالم والمتعلِّم، کتاب الدعوات، وکتب متعدّدة حول الأبواب المختلفة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الفهرست لابن الندیم </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مسعود بن محمّد بن عیّاش السلمیّ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کنیته أبو النضر المعروف بالعیّاشیّ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ثقةٌ، عین من عیون هذه الطائفة، وکان یروی عن الضعفاء کثیرا، وکان فی أوّل أمره عامیّ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تبصّر وعاد إلینا وکان حدیث السنّ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العیّاشیّ واسع الأخبار بصیرا بالروایات، مضطلعا بها، له کتب کثیرة تزید علی مائتی 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أکثر أهل الشرق علما وفضلاً وأدبا وفهما ونبلاً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مجلس للخاصّ ومجلسٌ للعامّ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المقدّس الأردبیلیّ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 الشیخ إلیه ضعیف فی المشیخة، لأ نّه لم یذکر طریقه إلیه فی المشیخة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وطریق الصدوق إلیه کطریق الشیخ إلیه 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للخوئیّ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الحسین بن عبیداللّه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القاضی أبا الحسن علیّ بن محمّد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لنا أبو جعفر الزاهد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عیسی بن جعفر العلویّ العمریّ وکان من أصحاب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أنفق أبو النضر علی العلم والحدیث ترکة أبیه سائرها، وکانت ثلاثمائة ألف دینار، وکانت داره کالمسجد بین ناسخ أو مقابلٍ أو قارئٍ أو معلّقٍ، مملوءة من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 مؤلّفات کثیرة للعیّاشیّ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التفسیر، کتاب التجارة والکسب، کتاب الصلاة، کتاب الجهاد، کتاب الأکفاء والأولیاء والشهادات فی النکاح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الصّادق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قتلهم اللّه عمدوا إلی أعظم آیة فی</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کتاب اللّه فزعموا أنّها بدعة إذا أظهروها </w:t>
      </w:r>
      <w:r>
        <w:rPr>
          <w:rStyle w:val="FootnoteAnchor"/>
          <w:rtl w:val="true"/>
        </w:rPr>
        <w:footnoteReference w:id="639"/>
      </w:r>
      <w:r>
        <w:rPr>
          <w:rFonts w:ascii="IRNazanin" w:hAnsi="IRNazanin" w:eastAsia="IRNazanin"/>
          <w:color w:val="111111"/>
          <w:sz w:val="28"/>
          <w:sz w:val="28"/>
          <w:szCs w:val="28"/>
          <w:rtl w:val="true"/>
          <w:lang w:bidi="fa-IR"/>
        </w:rPr>
        <w:t>، إلی غیر ذلک من الروایات، وأمّا کونها جزءاً من الفاتحة، فلما رُوی فی الصحیح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علیه‌السلام عن السبع المثانی والقرآن العظیم أ هی الفاتحة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السبع المثانی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أفضلهنّ</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یثنّی فیها القول،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مَنّ علیّ بفاتحة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جاء بین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ساقط من بعض نسخ تفسیر العیّاشیّ، ونراه فی المجمع وذکره أیضا الزرکشیّ فی البرهان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والمجلسیّ فی البحار </w:t>
      </w:r>
      <w:r>
        <w:rPr>
          <w:rFonts w:eastAsia="IRNazanin" w:cs="IRNazanin"/>
          <w:color w:val="111111"/>
          <w:sz w:val="28"/>
          <w:szCs w:val="28"/>
          <w:lang w:bidi="fa-IR"/>
        </w:rPr>
        <w:t>89/238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کنوز الجنّة،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الحسن العسکریّ عن آبائه علیهم‌السلام عن أمیر المؤمنین علیه‌السلام أنّه قال فی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من فاتحة الکتاب، وهی سبع آیات تمامها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p>
    <w:p>
      <w:pPr>
        <w:pStyle w:val="BookText"/>
        <w:rPr/>
      </w:pP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عیون الأخبار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هی من فاتحة الکتاب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رسول اللّه صلی‌الله‌علیه‌و‌آله کان یقرأها ویعدّها آیة منها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فاتحة الکتاب هی السبع المثانی </w:t>
      </w:r>
      <w:r>
        <w:rPr>
          <w:rStyle w:val="FootnoteAnchor"/>
          <w:rtl w:val="true"/>
        </w:rPr>
        <w:footnoteReference w:id="6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 سلمة بالطریق العامیّ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أنّ‌النبیّ صلی‌الله‌علیه‌و‌آله کان یقرأ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الحمدُ للّه‌ِِ رَبِّ العالمین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إلی أن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ولم یعد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علیّ علیه‌السلامأنّه سئل عن السبع المثانی،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هی ستّ آیات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p>
    <w:p>
      <w:pPr>
        <w:pStyle w:val="BookText"/>
        <w:rPr/>
      </w:pP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آیة </w:t>
      </w:r>
      <w:r>
        <w:rPr>
          <w:rStyle w:val="FootnoteAnchor"/>
          <w:rtl w:val="true"/>
        </w:rPr>
        <w:footnoteReference w:id="6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السبع المثانی فاتحة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فأین السابعة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قرأتم الحمد، فاقرؤا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فإنّها أُمّ القرآن وأُمّ الکتاب والسبع المثانی،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آیاتها، وأمّا کونه جزءاً من سائر السور، فلما رُوی عن معاویة بن عمّار </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هو معاویة بن عمّار بن أبی معاویة خبّاب بن عبداللّه الدهنیّ مولاهم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وجها فی أصحابنا ومقدّما، کثیر الشأن، عظیم المحلّ، ثقة، وکان أبوه عمّار ثقة فی العامّة وجها، یکنّی أبو معاویة وأبوالقاسم وأبوالحکیم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معاویة عن أبی عبداللّه علیه‌السلام وأبی الحسن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 رواه عنه جماعات کثیرة من أصحابنا ونحن ذاکرون بعض طرقهم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مات معاویة بن عمّار سنة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النجاشیّ إلی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المؤدّب، أحمد بن محمّد بن سعید، حسن بن عتبة بن عبدالرحمان الکندیّ سنة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محمّد بن سکّین،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معاویة بن عمّار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رجال النجاشیّ </w:t>
      </w:r>
      <w:r>
        <w:rPr>
          <w:rFonts w:eastAsia="IRNazanin" w:cs="IRNazanin"/>
          <w:color w:val="111111"/>
          <w:sz w:val="28"/>
          <w:szCs w:val="28"/>
          <w:lang w:bidi="fa-IR"/>
        </w:rPr>
        <w:t>2/346</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قمت للصلاة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فاتحة الکتاب؟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فاتحة القرآن 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السورة؟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یحیی بن أبی عمران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ما تقول فی رجل ابتدأ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صلاته فی أُمّ الکتاب وحده، فلمّا صار إلی غیر أُمّ الکتاب من السورة ترکها ، فقال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بذلک بأس؟ فکتب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 xml:space="preserve">رغم أنفه، یعنی العبّاسیّ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والظاهر أنّ إیجاب الإعادة لعدم تمامیة السورة لا لکون البسملة واجباً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طرق العامّة ما 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کان‌النبیّ صلی‌الله‌علیه‌و‌آله لا یعرف فصل السورة حتّی ینزل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البزّار </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هو أبو بکر أحمد بن عمرو بن عبدالخالق البصریّ، صاحب المسند الکبیر، المعلّل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 فی آخر عمره إلی أصفهان والشام ینشر علمه، مات بالرملة سنة اثنتین وتسعین ومائتین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الحفّاظ، للسیوطیّ، ص</w:t>
      </w:r>
      <w:r>
        <w:rPr>
          <w:rFonts w:eastAsia="IRNazanin" w:cs="IRNazanin"/>
          <w:color w:val="111111"/>
          <w:sz w:val="28"/>
          <w:szCs w:val="28"/>
          <w:lang w:bidi="fa-IR"/>
        </w:rPr>
        <w:t>289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 ترجمته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بغداد للخطیب البغدادیّ </w:t>
      </w:r>
      <w:r>
        <w:rPr>
          <w:rFonts w:eastAsia="IRNazanin" w:cs="IRNazanin"/>
          <w:color w:val="111111"/>
          <w:sz w:val="28"/>
          <w:szCs w:val="28"/>
          <w:lang w:bidi="fa-IR"/>
        </w:rPr>
        <w:t>4/334</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2/209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لمن یخرج الدهن من البزور ویبیعه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1/118</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نزلت، عرف أنّ السورة ختمت</w:t>
      </w:r>
    </w:p>
    <w:p>
      <w:pPr>
        <w:pStyle w:val="BookText"/>
        <w:rPr/>
      </w:pPr>
      <w:r>
        <w:rPr>
          <w:rFonts w:ascii="IRNazanin" w:hAnsi="IRNazanin" w:eastAsia="IRNazanin"/>
          <w:color w:val="111111"/>
          <w:sz w:val="28"/>
          <w:sz w:val="28"/>
          <w:szCs w:val="28"/>
          <w:rtl w:val="true"/>
          <w:lang w:bidi="fa-IR"/>
        </w:rPr>
        <w:t>واستقبلت أو ابتدأت سورة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المسلمون لا یعلمون انقضاء السورة حتّی ینزل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نزلت، علموا أنّ السورة قد انقضت</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أنّ‌النبیّ صلی‌الله‌علیه‌و‌آله کان إذا جاءه جبرئیل فقرأ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أنّها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عمران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هو یحیی بن عمران بن علیّ بن أبی شعبة الحلبیّ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أبی عبداللّه علیه‌السلام وأبی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صحیح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 أبی العبّاس أحمد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نوح السیرافیّ أستاذ الشیخ وشیخه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أخبرکم الحسن بن حمزة عن علیّ بن إبراهیم بن هاشم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ابن أبی عمیر عن یحیی بن عمران بکتابه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الکتاب یرویه عدّةٌ کثیرة من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2/417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رسول اللّه صلی‌الله‌علیه‌و‌آله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إذا جاءنی جبرئیل بالوحی أوّل ما یلقی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وعنه أیضاً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رسول اللّه صلی‌الله‌علیه‌و‌آلهذات یوم بین أظهرنا إذا أغفی إغفاءة، ثمّ رفع رأسه متبسّماً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علیَّ آنفاً سورة،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إِنَّا أَعْطَیْنَاکَ</w:t>
      </w:r>
    </w:p>
    <w:p>
      <w:pPr>
        <w:pStyle w:val="BookText"/>
        <w:rPr/>
      </w:pPr>
      <w:r>
        <w:rPr>
          <w:rFonts w:ascii="Amiri" w:hAnsi="Amiri" w:eastAsia="Amiri" w:cs="Amiri"/>
          <w:color w:val="111111"/>
          <w:sz w:val="28"/>
          <w:sz w:val="28"/>
          <w:szCs w:val="28"/>
          <w:rtl w:val="true"/>
          <w:lang w:bidi="ar-SA"/>
        </w:rPr>
        <w:t xml:space="preserve">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یخفی أنّ علی ما ذکرنا اتّفقت الإمامیّة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علیهم أجمعین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العامّة فقد اختلفوا علی أقوال شتّی، منهم من أنکر کونها من القرآن، وإلیه أشار ابن عبّاس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استَرقَ الشیطان من الناس أعظم آیة من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Style w:val="FootnoteAnchor"/>
          <w:rtl w:val="true"/>
        </w:rPr>
        <w:footnoteReference w:id="648"/>
      </w:r>
      <w:r>
        <w:rPr>
          <w:rFonts w:ascii="IRNazanin" w:hAnsi="IRNazanin" w:eastAsia="IRNazanin"/>
          <w:color w:val="111111"/>
          <w:sz w:val="28"/>
          <w:sz w:val="28"/>
          <w:szCs w:val="28"/>
          <w:rtl w:val="true"/>
          <w:lang w:bidi="fa-IR"/>
        </w:rPr>
        <w:t>وبقوله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أغفل الناس آیة من کتاب اللّه، لم تنزل علی أحد سوی‌النبیّ صلی‌الله‌علیه‌و‌آله إلاّ أن یکون</w:t>
      </w:r>
    </w:p>
    <w:p>
      <w:pPr>
        <w:pStyle w:val="BookText"/>
        <w:rPr/>
      </w:pPr>
      <w:r>
        <w:rPr>
          <w:rFonts w:ascii="IRNazanin" w:hAnsi="IRNazanin" w:eastAsia="IRNazanin"/>
          <w:color w:val="111111"/>
          <w:sz w:val="28"/>
          <w:sz w:val="28"/>
          <w:szCs w:val="28"/>
          <w:rtl w:val="true"/>
          <w:lang w:bidi="fa-IR"/>
        </w:rPr>
        <w:t xml:space="preserve">سلیمان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ذیل کلامه إشارة إلی ما روی عن‌النبیّ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أخرج من المسجد حتّی أخبرک بآیة لم تنزل علی نبیّ بعد سلیمان غیری،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شیء تفتتح القرآن إذا فتحت الصلاة؟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w:t>
      </w:r>
    </w:p>
    <w:p>
      <w:pPr>
        <w:pStyle w:val="BookText"/>
        <w:rPr/>
      </w:pPr>
      <w:r>
        <w:rPr>
          <w:rFonts w:ascii="IRNazanin" w:hAnsi="IRNazanin" w:eastAsia="IRNazanin"/>
          <w:color w:val="111111"/>
          <w:sz w:val="28"/>
          <w:sz w:val="28"/>
          <w:szCs w:val="28"/>
          <w:rtl w:val="true"/>
          <w:lang w:bidi="fa-IR"/>
        </w:rPr>
        <w:t xml:space="preserve">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عن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سرقوا أکرم آیة من کتاب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وینبغی الإتیان بها عند افتتاح کلّ أمر عظیم أو صغیر لیبارک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w:t>
      </w:r>
      <w:r>
        <w:rPr>
          <w:rStyle w:val="FootnoteAnchor"/>
          <w:rtl w:val="true"/>
        </w:rPr>
        <w:footnoteReference w:id="649"/>
      </w:r>
      <w:r>
        <w:rPr>
          <w:rFonts w:ascii="IRNazanin" w:hAnsi="IRNazanin" w:eastAsia="IRNazanin"/>
          <w:color w:val="111111"/>
          <w:sz w:val="28"/>
          <w:sz w:val="28"/>
          <w:szCs w:val="28"/>
          <w:rtl w:val="true"/>
          <w:lang w:bidi="fa-IR"/>
        </w:rPr>
        <w:t>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آیة مستقلّة لیست جزءاً من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جزء من فاتحة دون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غیرها من السور، واستدلّ من قال منهم بأ نّها جزء من جمیع السور بأ نّه یکفی فی إثبات</w:t>
      </w:r>
    </w:p>
    <w:p>
      <w:pPr>
        <w:pStyle w:val="BookText"/>
        <w:rPr/>
      </w:pPr>
      <w:r>
        <w:rPr>
          <w:rFonts w:ascii="IRNazanin" w:hAnsi="IRNazanin" w:eastAsia="IRNazanin"/>
          <w:color w:val="111111"/>
          <w:sz w:val="28"/>
          <w:sz w:val="28"/>
          <w:szCs w:val="28"/>
          <w:rtl w:val="true"/>
          <w:lang w:bidi="fa-IR"/>
        </w:rPr>
        <w:t>تواتر کونها من جمیع السور إثباتها فی مصاحف الصحابة، فمن بعدها بخطّ المصحف مع منعهم أن یکتب فی الصحف ما لیس منه کأسماء السور وآمین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لم یکن قرآناً لما استجازوا إثباتها بخطّه من غیر تمییز، لأنّ ذلک یحمل الناس علی اعتقادها</w:t>
      </w:r>
    </w:p>
    <w:p>
      <w:pPr>
        <w:pStyle w:val="BookText"/>
        <w:rPr/>
      </w:pPr>
      <w:r>
        <w:rPr>
          <w:rFonts w:ascii="IRNazanin" w:hAnsi="IRNazanin" w:eastAsia="IRNazanin"/>
          <w:color w:val="111111"/>
          <w:sz w:val="28"/>
          <w:sz w:val="28"/>
          <w:szCs w:val="28"/>
          <w:rtl w:val="true"/>
          <w:lang w:bidi="fa-IR"/>
        </w:rPr>
        <w:t xml:space="preserve">قرآناً، فیکونون معزّرین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 xml:space="preserve">قال إبراهیم بن السرّی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العزرَ فی اللّغة الردّ والمنع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9/184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بالمسلمین حاملین لهم علی اعتقاد ما لیس بقرآنٍ قرآناً وهذا ممّا لا یجوز اعتقاده فی الصحابة إن قُبل لعلّة أثبتت للفصل بین السور، أجیب بأنّ هذا فیه تعزیر، ولا یجوز ارتکابه لمجرّد الفصل، ولو کانت لَکُتِبَتْ بین براءة والأنفال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التبیان فی تفسیر القرآن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 مکّة والکوفة وفقهاؤهما علی أنّها آیة من الفاتحة ومن کلّ سورة وعلیه الشافعیّ وأصحابه ولذلک یجهرون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أثبتها السلف فی المصحف مع توصیتهم بتجرید القرآن، ولذلک لم یثبتوا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قول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ترک مائة وأربع عشرة آیة من کتاب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ذکر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قرّاء المدینة والبصرة والشام وفقهائها، أنّ التسمیة لیست بآیة من الفاتحة ولا من غیرها من السور، وإنّما کتبت للفصل والتبرّک بالابتداء بها، وهو مذهب أبی حنیفة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الکشّاف </w:t>
      </w:r>
      <w:r>
        <w:rPr>
          <w:rFonts w:eastAsia="IRNazanin" w:cs="IRNazanin"/>
          <w:color w:val="111111"/>
          <w:sz w:val="28"/>
          <w:szCs w:val="28"/>
          <w:lang w:bidi="fa-IR"/>
        </w:rPr>
        <w:t>1/24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9" w:name="pg4391_51204"/>
    </w:p>
    <w:p>
      <w:pPr>
        <w:pStyle w:val="Heading5"/>
        <w:numPr>
          <w:ilvl w:val="4"/>
          <w:numId w:val="1"/>
        </w:numPr>
        <w:rPr/>
      </w:pPr>
      <w:bookmarkStart w:id="450" w:name="__RefHeading___Toc1438923_1479056682"/>
      <w:bookmarkStart w:id="451" w:name="_Toc170"/>
      <w:bookmarkEnd w:id="449"/>
      <w:bookmarkEnd w:id="450"/>
      <w:r>
        <w:rPr>
          <w:rtl w:val="true"/>
        </w:rPr>
        <w:t>الطُّرفة السادسة عشرة</w:t>
      </w:r>
      <w:r>
        <w:rPr>
          <w:rtl w:val="true"/>
        </w:rPr>
        <w:t xml:space="preserve">: </w:t>
      </w:r>
      <w:r>
        <w:rPr>
          <w:rtl w:val="true"/>
        </w:rPr>
        <w:t>فی أ نّ آیات الکتاب العزیز بین محکمٍ ومتشابهٍ وفی تعریف کلٍّ منهما</w:t>
      </w:r>
      <w:bookmarkEnd w:id="451"/>
    </w:p>
    <w:p>
      <w:pPr>
        <w:pStyle w:val="BookText"/>
        <w:rPr/>
      </w:pPr>
      <w:r>
        <w:rPr>
          <w:rFonts w:ascii="Amiri" w:hAnsi="Amiri" w:eastAsia="Amiri" w:cs="Amiri"/>
          <w:color w:val="111111"/>
          <w:sz w:val="28"/>
          <w:sz w:val="28"/>
          <w:szCs w:val="28"/>
          <w:rtl w:val="true"/>
          <w:lang w:bidi="ar-SA"/>
        </w:rPr>
        <w:t>لا ریب فی أنّ آیات الکتاب العزیز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محکمٌ ومتشابهٌ، کما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آیَاتٌ مُحْکَمَاتٌ هُنَّ أُمُّ الْکِتَابِ وَأُخَرُ مُتَشَابِهَاتٌ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1"/>
      </w:r>
      <w:r>
        <w:rPr>
          <w:rFonts w:ascii="IRNazanin" w:hAnsi="IRNazanin" w:eastAsia="IRNazanin"/>
          <w:color w:val="111111"/>
          <w:sz w:val="28"/>
          <w:sz w:val="28"/>
          <w:szCs w:val="28"/>
          <w:rtl w:val="true"/>
          <w:lang w:bidi="fa-IR"/>
        </w:rPr>
        <w:t>واختلفت فی تعریفهما الروایات وکلمات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والحقّ أنّ المراد بالمحکم هو الکلام الواضح الدّلالة بحیث لا یکون للعرف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بملاحظة القرائن المکتنفة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تحیّرٌ فی استفادة المراد منه، ولا یحتاج فی تعیین المقصود</w:t>
      </w:r>
    </w:p>
    <w:p>
      <w:pPr>
        <w:pStyle w:val="BookText"/>
        <w:rPr/>
      </w:pPr>
      <w:r>
        <w:rPr>
          <w:rFonts w:ascii="IRNazanin" w:hAnsi="IRNazanin" w:eastAsia="IRNazanin"/>
          <w:color w:val="111111"/>
          <w:sz w:val="28"/>
          <w:sz w:val="28"/>
          <w:szCs w:val="28"/>
          <w:rtl w:val="true"/>
          <w:lang w:bidi="fa-IR"/>
        </w:rPr>
        <w:t>منه إلی الرجوع إلی العالم أو إلی القرائن المنفصلة والأدلّة العقلیة والنقلیة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بالمتشابه هو الکلام المجمل أو المبهم الّذی یشتبه المراد منه علی العرف، بحیث</w:t>
      </w:r>
    </w:p>
    <w:p>
      <w:pPr>
        <w:pStyle w:val="BookText"/>
        <w:rPr/>
      </w:pPr>
      <w:r>
        <w:rPr>
          <w:rFonts w:ascii="IRNazanin" w:hAnsi="IRNazanin" w:eastAsia="IRNazanin"/>
          <w:color w:val="111111"/>
          <w:sz w:val="28"/>
          <w:sz w:val="28"/>
          <w:szCs w:val="28"/>
          <w:rtl w:val="true"/>
          <w:lang w:bidi="fa-IR"/>
        </w:rPr>
        <w:t>لا یکون له بالوضع أو بالقرائن المتّصلة حقیقة أو حکماً ظهور فی المراد منه، بل لابدّ فی الاستفادة منه من الرجوع إلی العالم الخبیر بمراد المتکلّم أو إلی الاجتهاد فی تحصیل</w:t>
      </w:r>
    </w:p>
    <w:p>
      <w:pPr>
        <w:pStyle w:val="BookText"/>
        <w:rPr/>
      </w:pPr>
      <w:r>
        <w:rPr>
          <w:rFonts w:ascii="IRNazanin" w:hAnsi="IRNazanin" w:eastAsia="IRNazanin"/>
          <w:color w:val="111111"/>
          <w:sz w:val="28"/>
          <w:sz w:val="28"/>
          <w:szCs w:val="28"/>
          <w:rtl w:val="true"/>
          <w:lang w:bidi="fa-IR"/>
        </w:rPr>
        <w:t>القرائن المنفصلة عن الکلام من حکم العقل المستقلّ، أو سائر کلمات المتکلّم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إلی ما ذکرنا یرجع ما عن العیّاشیّ رحمه‌الله عن الصادق علیه‌السلام أنّه سئل عن المحکم</w:t>
      </w:r>
    </w:p>
    <w:p>
      <w:pPr>
        <w:pStyle w:val="BookText"/>
        <w:rPr/>
      </w:pPr>
      <w:r>
        <w:rPr>
          <w:rFonts w:ascii="IRNazanin" w:hAnsi="IRNazanin" w:eastAsia="IRNazanin"/>
          <w:color w:val="111111"/>
          <w:sz w:val="28"/>
          <w:sz w:val="28"/>
          <w:szCs w:val="28"/>
          <w:rtl w:val="true"/>
          <w:lang w:bidi="fa-IR"/>
        </w:rPr>
        <w:t>والمتشابه،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المحکم ما یعمل به، والمتشابه ما اشتبه علی جاهله</w:t>
      </w:r>
      <w:r>
        <w:rPr>
          <w:rFonts w:eastAsia="IRNazanin" w:cs="IRNazanin"/>
          <w:color w:val="111111"/>
          <w:sz w:val="28"/>
          <w:szCs w:val="28"/>
          <w:rtl w:val="true"/>
          <w:lang w:bidi="fa-IR"/>
        </w:rPr>
        <w:t xml:space="preserve">» </w:t>
      </w:r>
      <w:r>
        <w:rPr>
          <w:rStyle w:val="FootnoteAnchor"/>
          <w:rtl w:val="true"/>
        </w:rPr>
        <w:footnoteReference w:id="6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أنّ</w:t>
      </w:r>
    </w:p>
    <w:p>
      <w:pPr>
        <w:pStyle w:val="BookText"/>
        <w:rPr/>
      </w:pP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الکلام الّذی لا یتوقّف العرف فی فهم المراد منه والعمل به وهو جمیع آیات الأحکام، کما روی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ناسخُه وحلاله وحرامه وحدوده وفرائضه وما یؤمن به ویعمل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والمتشابهات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منسوخه ومقدّمه ومؤخّره وأمثالُه وأقسامه وما یؤمن به ولا 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مجاهد </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هو من کبار التابعین یُکنّی أبا الحَجّاج مات سنة أربعٍ ومائةٍ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ابن عبّاس وجابرا وأبا سعید الخُدَریّ وأبا ریحانة وعبداللّه بن عمر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القراءة عن عبداللّه بن عبّاس وعبداللّه بن أبی لیلی، وقرأ علی علیّ بن أبی طالبٍ علیه‌السلاموأُبیّ 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عنه الأعمشُ واللیثُ بنُ أبی سُلَیْمٍ والْحَکَمُ وغیرهم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القرآن علی ابنِ عبّاس ثلاثین عرضةً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ذکر ابنُ عُفَیْرٍ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عمرو بنُ العاص بعد فتحه مصر علی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مجاهدَ بن جبرٍ مولی بنی نوفل بن عبد مناف علی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فی وصفه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لَیَرْفَعُ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معجم الأُدباء لیاقوت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المحکمات ما فیه</w:t>
      </w:r>
    </w:p>
    <w:p>
      <w:pPr>
        <w:pStyle w:val="BookText"/>
        <w:rPr/>
      </w:pPr>
      <w:r>
        <w:rPr>
          <w:rFonts w:ascii="IRNazanin" w:hAnsi="IRNazanin" w:eastAsia="IRNazanin"/>
          <w:color w:val="111111"/>
          <w:sz w:val="28"/>
          <w:sz w:val="28"/>
          <w:szCs w:val="28"/>
          <w:rtl w:val="true"/>
          <w:lang w:bidi="fa-IR"/>
        </w:rPr>
        <w:t>الحلال والحرام وما سوی ذلک منه متشابه یصدّق بعضه بعضاً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الرّبیع</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ثلاثةٌ اسمهم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الربیع بن سلیمان المرادیّ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بمصر، الربیع بن سلیمان الجیزیّ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بالجیزة، الربیع بن یونس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أبو محمّد الربیع بن سلیمان بن عبدالجبّار بن کامل المرادیّ بالولاء المؤذّن المصریّ صاحب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الشافعیّ عند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أنفعهم لی فی نشر الکتب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تهذیب التهذیب </w:t>
      </w:r>
      <w:r>
        <w:rPr>
          <w:rFonts w:eastAsia="IRNazanin" w:cs="IRNazanin"/>
          <w:color w:val="111111"/>
          <w:sz w:val="28"/>
          <w:szCs w:val="28"/>
          <w:lang w:bidi="fa-IR"/>
        </w:rPr>
        <w:t>3/245</w:t>
      </w:r>
      <w:r>
        <w:rPr>
          <w:rFonts w:ascii="IRNazanin" w:hAnsi="IRNazanin" w:eastAsia="IRNazanin"/>
          <w:color w:val="111111"/>
          <w:sz w:val="28"/>
          <w:sz w:val="28"/>
          <w:szCs w:val="28"/>
          <w:rtl w:val="true"/>
          <w:lang w:bidi="fa-IR"/>
        </w:rPr>
        <w:t xml:space="preserve">، وطبقات السبکیّ </w:t>
      </w:r>
      <w:r>
        <w:rPr>
          <w:rFonts w:eastAsia="IRNazanin" w:cs="IRNazanin"/>
          <w:color w:val="111111"/>
          <w:sz w:val="28"/>
          <w:szCs w:val="28"/>
          <w:lang w:bidi="fa-IR"/>
        </w:rPr>
        <w:t>1/259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محمّد الربیع بن سلیمان بن داود بن الأعرج الأزدی المصریّ الجیزیّ صاحب الشافعیّ لکنّه کان قلیل الروایة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أبو داود والنِّسائیّ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أبوالفضل الربیع بن یونس بن محمّد بن عبداللّه بن أبی فَرْوَةَ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کیسان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الحارث الحفّار مولی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الربیع المذکور حاجب أبی جعفر المنصور، ثمّ وزّر له بعد أبی أیّوب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وفیات الأعیان لابن خلّکان </w:t>
      </w:r>
      <w:r>
        <w:rPr>
          <w:rFonts w:eastAsia="IRNazanin" w:cs="IRNazanin"/>
          <w:color w:val="111111"/>
          <w:sz w:val="28"/>
          <w:szCs w:val="28"/>
          <w:lang w:bidi="fa-IR"/>
        </w:rPr>
        <w:t>2/291</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المحکمات هی أوامره وزواجره، إلی غیر ذلک من التعریفات، فإنّ جمیعها بیان لموارد التنصیص والظهور، وهی جمیع الأحکام دون غیرها، فإنّ فی غیر آیات الأحکام کثیراً ما یکون الإجمال والإهمال، ثمّ إنّه قد غلط من قال باختصاص العلم</w:t>
      </w:r>
    </w:p>
    <w:p>
      <w:pPr>
        <w:pStyle w:val="BookText"/>
        <w:rPr/>
      </w:pPr>
      <w:r>
        <w:rPr>
          <w:rFonts w:ascii="IRNazanin" w:hAnsi="IRNazanin" w:eastAsia="IRNazanin"/>
          <w:color w:val="111111"/>
          <w:sz w:val="28"/>
          <w:sz w:val="28"/>
          <w:szCs w:val="28"/>
          <w:rtl w:val="true"/>
          <w:lang w:bidi="fa-IR"/>
        </w:rPr>
        <w:t>بتأویل المتشابهات باللّه سبحانه، وأنّه ممّا استأثر به ذاته المقدّسة ولا یعلمه‌النبیّ صلی‌الله‌علیه‌و‌آله</w:t>
      </w:r>
    </w:p>
    <w:p>
      <w:pPr>
        <w:pStyle w:val="BookText"/>
        <w:rPr/>
      </w:pPr>
      <w:r>
        <w:rPr>
          <w:rFonts w:ascii="IRNazanin" w:hAnsi="IRNazanin" w:eastAsia="IRNazanin"/>
          <w:color w:val="111111"/>
          <w:sz w:val="28"/>
          <w:sz w:val="28"/>
          <w:szCs w:val="28"/>
          <w:rtl w:val="true"/>
          <w:lang w:bidi="fa-IR"/>
        </w:rPr>
        <w:t>وأوصیائه المعصومین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فائدة الکلام تفهیم الغیر، فلو خلا من هذه الفائدة ولو بالنسبة إلی الواحد کان لغواً، والحکیم تعالی منزّه عنه، مع أنّ‌النبیّ صلی‌الله‌علیه‌و‌آله کان یتحدّی بکلّ</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من الکتاب العزیز ولا یمکن أن یتحدّی بما لا یعرف المراد منه ولا یفهم معناه، مع أنّه تعالی استثنی عن جمیع الخلق الغیر العالمین بتأویل المتشابهات، الراسخین فی العلم وقرنهم بذاته المقدّسة فی العلم بتأویلها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بالراسخین فی العلم‌النبیّ صلی‌الله‌علیه‌و‌آلهوأوصیائه من بعده علیهم‌السلام، کما فی روایة،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 صلی‌الله‌علیه‌و‌آله أفضل الراسخین فی العلم، قد علّمه اللّه جمیع ما أنزل علیه من التنزیل والتأویل، وما کان لینزل علیه شیئاً لم یعلّمه تأویله،</w:t>
      </w:r>
    </w:p>
    <w:p>
      <w:pPr>
        <w:pStyle w:val="BookText"/>
        <w:rPr/>
      </w:pPr>
      <w:r>
        <w:rPr>
          <w:rFonts w:ascii="IRNazanin" w:hAnsi="IRNazanin" w:eastAsia="IRNazanin"/>
          <w:color w:val="111111"/>
          <w:sz w:val="28"/>
          <w:sz w:val="28"/>
          <w:szCs w:val="28"/>
          <w:rtl w:val="true"/>
          <w:lang w:bidi="fa-IR"/>
        </w:rPr>
        <w:t>وأوصیاؤه من بعده یعلمونه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أمیر المؤمنین علیه‌السلام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جلّ ذکره بسعة رحمته ورأفته بخلقه وعلمه بما یحدثه المبدّلون من تغییر کلامه، قسّم کلامه ثلاثة أقسام، وجعل قسماً منه</w:t>
      </w:r>
    </w:p>
    <w:p>
      <w:pPr>
        <w:pStyle w:val="BookText"/>
        <w:rPr/>
      </w:pPr>
      <w:r>
        <w:rPr>
          <w:rFonts w:ascii="IRNazanin" w:hAnsi="IRNazanin" w:eastAsia="IRNazanin"/>
          <w:color w:val="111111"/>
          <w:sz w:val="28"/>
          <w:sz w:val="28"/>
          <w:szCs w:val="28"/>
          <w:rtl w:val="true"/>
          <w:lang w:bidi="fa-IR"/>
        </w:rPr>
        <w:t>یعرفه العالم والجاهل، وقسماً لا یعرفه إلاّ من صفا ذهنه ولطف حسّه وصحّ تمیّزه ممّن</w:t>
      </w:r>
    </w:p>
    <w:p>
      <w:pPr>
        <w:pStyle w:val="BookText"/>
        <w:rPr/>
      </w:pPr>
      <w:r>
        <w:rPr>
          <w:rFonts w:ascii="IRNazanin" w:hAnsi="IRNazanin" w:eastAsia="IRNazanin"/>
          <w:color w:val="111111"/>
          <w:sz w:val="28"/>
          <w:sz w:val="28"/>
          <w:szCs w:val="28"/>
          <w:rtl w:val="true"/>
          <w:lang w:bidi="fa-IR"/>
        </w:rPr>
        <w:t>شرح اللّه صدره للإسلام، وقسماً لا یعرفه إلاّ اللّه وأنبیاؤه والراسخون فی العلم</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وعن العیّاشیّ عن‌الصّادق علیه‌السلام فیحدیث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الراسخون فیالعلم ونحن نعلم تأویله </w:t>
      </w:r>
      <w:r>
        <w:rPr>
          <w:rStyle w:val="FootnoteAnchor"/>
          <w:rtl w:val="true"/>
        </w:rPr>
        <w:footnoteReference w:id="6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 بطریق عامِّیّ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یَعْلَمُ تَأْویلَهُ إِلاَّ اللّه‌ُ وَالرَّاسِخُونَ فِی ا لْعِلْمِ </w:t>
      </w:r>
      <w:r>
        <w:rPr>
          <w:rFonts w:eastAsia="Amiri" w:cs="Amiri" w:ascii="Amiri" w:hAnsi="Amiri"/>
          <w:color w:val="111111"/>
          <w:sz w:val="28"/>
          <w:szCs w:val="28"/>
          <w:rtl w:val="true"/>
          <w:lang w:bidi="ar-SA"/>
        </w:rPr>
        <w:t xml:space="preserve">» </w:t>
      </w:r>
      <w:r>
        <w:rPr>
          <w:rStyle w:val="FootnoteAnchor"/>
          <w:rtl w:val="true"/>
        </w:rPr>
        <w:footnoteReference w:id="657"/>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ممّن یعلم تأویله </w:t>
      </w:r>
      <w:r>
        <w:rPr>
          <w:rStyle w:val="FootnoteAnchor"/>
          <w:rtl w:val="true"/>
        </w:rPr>
        <w:footnoteReference w:id="6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مجاهد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وَالرَّاسِخُونَ فِی ا 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یعلمون تأویله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الضحّاک،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الراسخون فی العلم یعلمون تأویله، ولو لم یعلموا تأویله لم یعلموا ناسخه ومنسوخه ولا حلاله ولا حرامه ولا محکمه</w:t>
      </w:r>
    </w:p>
    <w:p>
      <w:pPr>
        <w:pStyle w:val="BookText"/>
        <w:rPr/>
      </w:pPr>
      <w:r>
        <w:rPr>
          <w:rFonts w:ascii="IRNazanin" w:hAnsi="IRNazanin" w:eastAsia="IRNazanin"/>
          <w:color w:val="111111"/>
          <w:sz w:val="28"/>
          <w:sz w:val="28"/>
          <w:szCs w:val="28"/>
          <w:rtl w:val="true"/>
          <w:lang w:bidi="fa-IR"/>
        </w:rPr>
        <w:t>عن 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ابهه </w:t>
      </w:r>
      <w:r>
        <w:rPr>
          <w:rStyle w:val="FootnoteAnchor"/>
          <w:rtl w:val="true"/>
        </w:rPr>
        <w:footnoteReference w:id="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النوویّ علی ما نقله السیوطیّ عنه أنّه قال فی شرح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الأصحّ، لأ نّه یبعد أن یخاطب اللّه عباده بما لا سبیل لأحد من الخلق إلی معرفته </w:t>
      </w:r>
      <w:r>
        <w:rPr>
          <w:rStyle w:val="FootnoteAnchor"/>
          <w:rtl w:val="true"/>
        </w:rPr>
        <w:footnoteReference w:id="660"/>
      </w:r>
      <w:r>
        <w:rPr>
          <w:rFonts w:ascii="IRNazanin" w:hAnsi="IRNazanin" w:eastAsia="IRNazanin"/>
          <w:color w:val="111111"/>
          <w:sz w:val="28"/>
          <w:sz w:val="28"/>
          <w:szCs w:val="28"/>
          <w:rtl w:val="true"/>
          <w:lang w:bidi="fa-IR"/>
        </w:rPr>
        <w:t xml:space="preserve">، ثمّ إنّ منشأ غلط أکثر أهل السنّة فی المقام توهّم کون الواو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وَالرَّاسِخُونَ فِی ا 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استئنافاً وبعده مبتدأ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یَقُولُونَ آمَنّا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خبره، وهو بمکان من الضعف، لقوّة ظهور الواو فی العطف وعدم وجود قرینة فی المقام یلیق أن یکون صارفاً عنه، وأضعف منه تأیید بعضهم هذا التوهّم بأنّ الآیة دلّت علی ذمّ متّبعی المتشابه ووصفهم بالزّیغ وابتغاء الفتنة، وعلی مدح الّذین فوّضوا العلم إلی اللّه وسلّموا إلیه، حیث أنّ الآیة دالّة علی ذمّ أهل الزّیغ الغیر العالمین بتأویل المتشابه بأ نّهم مع جهلهم بتأویله یُؤَوّلونه ویتّبعونه لا طلباً للحقّ، بل ابتغاء للفتنة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ففیهم جهات عدیدة الذمّ، وأمّا الراسخون فی العلم فإنّهم لعلمهم بتأویله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ومعرفتهم بالعل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 المندرجة فی المتش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ابهات یتجاهرون بالإیمان بها ویشهدون علی</w:t>
      </w:r>
    </w:p>
    <w:p>
      <w:pPr>
        <w:pStyle w:val="BookText"/>
        <w:rPr/>
      </w:pPr>
      <w:r>
        <w:rPr>
          <w:rFonts w:ascii="IRNazanin" w:hAnsi="IRNazanin" w:eastAsia="IRNazanin"/>
          <w:color w:val="111111"/>
          <w:sz w:val="28"/>
          <w:sz w:val="28"/>
          <w:szCs w:val="28"/>
          <w:rtl w:val="true"/>
          <w:lang w:bidi="fa-IR"/>
        </w:rPr>
        <w:t>رؤوس الأشهاد بأ نّها کلام اللّه کالمحکمات، ولو کان أهل الزیغ والعلم مشارکین فی الجهل بالتأویل متفاوتین فی الإیمان والنِّفاق لم یحسن توصیف المؤمنین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w:t>
      </w:r>
    </w:p>
    <w:p>
      <w:pPr>
        <w:pStyle w:val="BookText"/>
        <w:rPr/>
      </w:pPr>
      <w:r>
        <w:rPr>
          <w:rFonts w:ascii="IRNazanin" w:hAnsi="IRNazanin" w:eastAsia="IRNazanin"/>
          <w:color w:val="111111"/>
          <w:sz w:val="28"/>
          <w:sz w:val="28"/>
          <w:szCs w:val="28"/>
          <w:rtl w:val="true"/>
          <w:lang w:bidi="fa-IR"/>
        </w:rPr>
        <w:t>الأنسب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الراسخون فی الإیمان 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التأیید المذکور لا یقاوم البرهان الّذی قدّمناه من لزوم اللّغو علی الحکیم، وهو محال عند العدلیة ومستبعد عند من یجوّز القبیح علی اللّه من الأشاعرة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استدلالهم بما رووه بطرقهم عن الأعمش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قراءة ابن 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تأویله إلاّ عند اللّه والراسخون فی العلم یقولون آمنّا به</w:t>
      </w:r>
      <w:r>
        <w:rPr>
          <w:rFonts w:eastAsia="IRNazanin" w:cs="IRNazanin"/>
          <w:color w:val="111111"/>
          <w:sz w:val="28"/>
          <w:szCs w:val="28"/>
          <w:rtl w:val="true"/>
          <w:lang w:bidi="fa-IR"/>
        </w:rPr>
        <w:t>»</w:t>
      </w:r>
      <w:r>
        <w:rPr>
          <w:rStyle w:val="FootnoteAnchor"/>
          <w:rtl w:val="true"/>
        </w:rPr>
        <w:footnoteReference w:id="6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فموهون سنداً ودلالة لعدم کون</w:t>
      </w:r>
    </w:p>
    <w:p>
      <w:pPr>
        <w:pStyle w:val="BookText"/>
        <w:rPr/>
      </w:pPr>
      <w:r>
        <w:rPr>
          <w:rFonts w:ascii="IRNazanin" w:hAnsi="IRNazanin" w:eastAsia="IRNazanin"/>
          <w:color w:val="111111"/>
          <w:sz w:val="28"/>
          <w:sz w:val="28"/>
          <w:szCs w:val="28"/>
          <w:rtl w:val="true"/>
          <w:lang w:bidi="fa-IR"/>
        </w:rPr>
        <w:t>ما نقل عنه قرآناً یقیناً، بل هو تفسیر له، ولعلّ مراده أنّ الراسخین لا یُؤوّلون المتشابه من قبل أنفسهم وأهوائهم بل بتعلیم اللّه إیّاهم، فالعلم به أوّلاً عند اللّه ثمّ بإفاضته یعلمه الرّاسخون ویقولون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به، کلٌّ من المحکم والمتشابه من عند اللّه وکاشفات عن العلوم</w:t>
      </w:r>
    </w:p>
    <w:p>
      <w:pPr>
        <w:pStyle w:val="BookText"/>
        <w:rPr/>
      </w:pPr>
      <w:r>
        <w:rPr>
          <w:rFonts w:ascii="IRNazanin" w:hAnsi="IRNazanin" w:eastAsia="IRNazanin"/>
          <w:color w:val="111111"/>
          <w:sz w:val="28"/>
          <w:sz w:val="28"/>
          <w:szCs w:val="28"/>
          <w:rtl w:val="true"/>
          <w:lang w:bidi="fa-IR"/>
        </w:rPr>
        <w:t>الغیر المتناهیة الإلهیة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یجمع بین الروایة السابقة عن ابن عبّاس وما روی عنه من قراءته وما یعلم تأویله إلاّ اللّه ویقول الراسخون فی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رُوی عن أُبیّ بن کعب أنّه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ویقول الراسخون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 فی الوهن استدلالهم بما روی عن أبی مالک الأشعریّ أنّه سمع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أخاف علی أُمّتی إلاّ ثلاث </w:t>
      </w:r>
      <w:r>
        <w:rPr>
          <w:rStyle w:val="FootnoteAnchor"/>
          <w:rtl w:val="true"/>
        </w:rPr>
        <w:footnoteReference w:id="662"/>
      </w:r>
      <w:r>
        <w:rPr>
          <w:rFonts w:ascii="IRNazanin" w:hAnsi="IRNazanin" w:eastAsia="IRNazanin"/>
          <w:color w:val="111111"/>
          <w:sz w:val="28"/>
          <w:sz w:val="28"/>
          <w:szCs w:val="28"/>
          <w:rtl w:val="true"/>
          <w:lang w:bidi="fa-IR"/>
        </w:rPr>
        <w:t>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یکثر لهم المال فیتحاسدوا فیقتتلوا، وأن یفتح لهم الکتاب فیأخذه المؤمن یبتغی</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تأویله وما یعلم تأویله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أنّ المراد من أُمّة المخوف علیهم التأویل غیر الراسخین فی العلم، کما أنّ المراد من الّذین یخاف علیهم التحاسد والمقاتلة غیر المعصومین منهم </w:t>
      </w:r>
      <w:r>
        <w:rPr>
          <w:rStyle w:val="FootnoteAnchor"/>
          <w:rtl w:val="true"/>
        </w:rPr>
        <w:footnoteReference w:id="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دلالة لعدم ذکر بقیّة الآیة علی شیء کما أنّ الخطاب فیما روی عنه صلی‌الله‌علیه‌و‌آله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القرآن لم ینزل لیکذّب بعضه بعضاً، فما عرفتم منه فاعملوا به، وما تشابه فآمنوا به </w:t>
      </w:r>
      <w:r>
        <w:rPr>
          <w:rStyle w:val="FootnoteAnchor"/>
          <w:rtl w:val="true"/>
        </w:rPr>
        <w:footnoteReference w:id="6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إلی غیر الراسخین فی العلم العالمین بتأویله من لدن حکیم علیم، فإنّهم الّذین لا یجوز لهم إلاّ الإیمان والتعلّم من أهل العلم والذّکر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ما عن ابن مسعود عن‌النبیّ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الکتاب الأوّل ینزل من باب واحد علی حرف واحد، ونزل القرآن من سبعة أبواب علی سبعة أحرف زاجر وآمر، وحلال وحرام، ومحکم ومتشابه</w:t>
      </w:r>
    </w:p>
    <w:p>
      <w:pPr>
        <w:pStyle w:val="BookText"/>
        <w:rPr/>
      </w:pPr>
      <w:r>
        <w:rPr>
          <w:rFonts w:ascii="IRNazanin" w:hAnsi="IRNazanin" w:eastAsia="IRNazanin"/>
          <w:color w:val="111111"/>
          <w:sz w:val="28"/>
          <w:sz w:val="28"/>
          <w:szCs w:val="28"/>
          <w:rtl w:val="true"/>
          <w:lang w:bidi="fa-IR"/>
        </w:rPr>
        <w:t>وأمثال، فأحلّوا حلاله وحرّموا حرامه، وافعلوا ما أُمرتم به وانتهوا عمّا نُهیتم عنه، واعتبروا</w:t>
      </w:r>
    </w:p>
    <w:p>
      <w:pPr>
        <w:pStyle w:val="BookText"/>
        <w:rPr/>
      </w:pPr>
      <w:r>
        <w:rPr>
          <w:rFonts w:ascii="IRNazanin" w:hAnsi="IRNazanin" w:eastAsia="IRNazanin"/>
          <w:color w:val="111111"/>
          <w:sz w:val="28"/>
          <w:sz w:val="28"/>
          <w:szCs w:val="28"/>
          <w:rtl w:val="true"/>
          <w:lang w:bidi="fa-IR"/>
        </w:rPr>
        <w:t>بأمثاله، واعملوا بمحکمه، وآمنوا بمتشابهه، وقولوا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آمنّا به کلّ من عند ربّنا</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فحاصل مدلول هذه الروایات أنّ وظیفة غیر الراسخین من الناس السکوت عن تأویل المتشابهات وعدم القول فیه من قبل أنفسهم والإیمان بها والإقرار بأ نّها من عند اللّه، کما نقل عن ابن عبّاس رحمه‌الله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نؤمن بالمحکم وندین به ونؤمن بالمتشابه ولا ندین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نعمل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عند اللّه کلّه </w:t>
      </w:r>
      <w:r>
        <w:rPr>
          <w:rStyle w:val="FootnoteAnchor"/>
          <w:rtl w:val="true"/>
        </w:rPr>
        <w:footnoteReference w:id="6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القرآن فیه محکم ومتشابه، فأمّا المحکم فنؤمن به، ونعمل به وندین به وأمّا المتشابه فنؤمن به ولا نعمل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الصافی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وأعجب من جمیع استدلالهم بصنیع عمر بن الخطّاب، حیث رُوی أنّ رجلاً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بضیع، قدم المدینة، فجعل یسأل عن متشابه القرآن، فأرسل إلیه عمر وقد أعدّ له عراجین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بن بضیع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عرجوناً فضربه حتّی أدمی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فضربه بالجرید حتّی ترک ظهره دبره، ثمّ ترکه حتّی برأ، ثمّ عاد، ثمّ ترکه حتّی برأ، ثمّ دعاه لیعود،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ترید قتلی فاقتلنی قتلاً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له الرجوع إلی أرضه، وکتب إلی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یجالسه أحد من المسلمین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سلیمان بن یسار أنّ رجلاً من بنی تمیم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صبیغ بن عسل، قدم المدینة وکان عنده کتب، فجعل یسأل عن متشابه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إلیه وقد أعدّ له عراجین النخل، فلمّا دخل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عبداللّه صبیغ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عبداللّه عمر، وأوْمَأ إلیه فجعل یضربه بتلک العراجین، فما زال یضربه حتّی شَجَّهَ وجَعل الدم یَسیلُ علی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حسبک یا أمیر المؤمنین، فقد واللّه ذهب الّذی أجدُ فی رأسی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کنز العمّال </w:t>
      </w:r>
      <w:r>
        <w:rPr>
          <w:rFonts w:eastAsia="IRNazanin" w:cs="IRNazanin"/>
          <w:color w:val="111111"/>
          <w:sz w:val="28"/>
          <w:szCs w:val="28"/>
          <w:lang w:bidi="fa-IR"/>
        </w:rPr>
        <w:t>2/334</w:t>
      </w:r>
      <w:r>
        <w:rPr>
          <w:rFonts w:ascii="IRNazanin" w:hAnsi="IRNazanin" w:eastAsia="IRNazanin"/>
          <w:color w:val="111111"/>
          <w:sz w:val="28"/>
          <w:sz w:val="28"/>
          <w:szCs w:val="28"/>
          <w:rtl w:val="true"/>
          <w:lang w:bidi="fa-IR"/>
        </w:rPr>
        <w:t>، نقله عن سنن الدارمیّ و تاریخ بغداد لابن عساکر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الکنز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سیرین، کتب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یحرم عطاءه ورزقه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صبیغ بن عسل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کنز العمّال </w:t>
      </w:r>
      <w:r>
        <w:rPr>
          <w:rFonts w:eastAsia="IRNazanin" w:cs="IRNazanin"/>
          <w:color w:val="111111"/>
          <w:sz w:val="28"/>
          <w:szCs w:val="28"/>
          <w:lang w:bidi="fa-IR"/>
        </w:rPr>
        <w:t>2/335</w:t>
      </w:r>
      <w:r>
        <w:rPr>
          <w:rFonts w:ascii="IRNazanin" w:hAnsi="IRNazanin" w:eastAsia="IRNazanin"/>
          <w:color w:val="111111"/>
          <w:sz w:val="28"/>
          <w:sz w:val="28"/>
          <w:szCs w:val="28"/>
          <w:rtl w:val="true"/>
          <w:lang w:bidi="fa-IR"/>
        </w:rPr>
        <w:t>، نقلاً عن الأنباریّ فی المصاحف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الاستدلال بهذا الخبر علی الطعن فی عمر وأنّه أظلم الظالمین أولی من الاستدلال به علی عدم العلم بتأویل المتشابهات حتّی للراسخین، لأنّ فعلَه لا یکون حجّةً إلاّ علی</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ظلمه، ولعلّ ارتکابه له فی حقّ هذا السائل المتعلّم من جهة أنّ سؤاله هذا کان سبباً</w:t>
      </w:r>
    </w:p>
    <w:p>
      <w:pPr>
        <w:pStyle w:val="BookText"/>
        <w:rPr/>
      </w:pPr>
      <w:r>
        <w:rPr>
          <w:rFonts w:ascii="IRNazanin" w:hAnsi="IRNazanin" w:eastAsia="IRNazanin"/>
          <w:color w:val="111111"/>
          <w:sz w:val="28"/>
          <w:sz w:val="28"/>
          <w:szCs w:val="28"/>
          <w:rtl w:val="true"/>
          <w:lang w:bidi="fa-IR"/>
        </w:rPr>
        <w:t>لاهتدائه إلی باب أمیر المؤمنین علیه‌السلام وشدّة ظهور فضله علی الناس وجهل غیره، وکأنّ ذهاب أکثر شیعته إلی القول بجهل‌النبیّ صلی‌الله‌علیه‌و‌آله بالکتاب الّذی أنزل علیه لتلازم اعترافهم</w:t>
      </w:r>
    </w:p>
    <w:p>
      <w:pPr>
        <w:pStyle w:val="BookText"/>
        <w:rPr/>
      </w:pPr>
      <w:r>
        <w:rPr>
          <w:rFonts w:ascii="IRNazanin" w:hAnsi="IRNazanin" w:eastAsia="IRNazanin"/>
          <w:color w:val="111111"/>
          <w:sz w:val="28"/>
          <w:sz w:val="28"/>
          <w:szCs w:val="28"/>
          <w:rtl w:val="true"/>
          <w:lang w:bidi="fa-IR"/>
        </w:rPr>
        <w:t xml:space="preserve">بعلم‌النبیّ صلی‌الله‌علیه‌و‌آله، اعترافهم بعلم أمیر المؤمنین علیه‌السلام به واضطرار الخلق إلی بابه، لأ نّه صلی‌الله‌علیه‌و‌آله باتّفاق الأُمّة مدینة العلم وعلیّ بابها </w:t>
      </w:r>
      <w:r>
        <w:rPr>
          <w:rStyle w:val="FootnoteAnchor"/>
          <w:rtl w:val="true"/>
        </w:rPr>
        <w:footnoteReference w:id="6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وإلیه أشار أمیر المؤمنین علیه‌السلام فی حدیث بیان المتشابه، حیث قال </w:t>
      </w:r>
      <w:r>
        <w:rPr>
          <w:rStyle w:val="FootnoteAnchor"/>
          <w:rtl w:val="true"/>
        </w:rPr>
        <w:footnoteReference w:id="66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المحکم الّذی لم ینسخه شیءٌ من القرآن فهو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الّذی أنزَلَ عَلَیْکَ الکِتابَ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هلک الناس فی المتشابه، لأ نّهم لم یقفوا علی معناه ولم یعرفوا حقیقته، فوضعوا له تأویلات من عند أنفسهم بآرائهم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والمحکم ما ذکرته فی الأقسام ممّا تأویله فی تنزیله من تحلیل ما أحلّ اللّه سبحانه فی کتابه وتحریم ما حرّم اللّه من المآکل والمشارب والمناکح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سألوه عن المتشابه من القرآن،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المتشابه من القرآن فهو الّذی انحرف منه متّفق اللّفظ مختلف المعنی، مثل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یُضِلُّ اللّه مَن یَشَاءُ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المدّثّر</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فنسب الضلالة إلی نفسه فی هذا الموضع، وهذا ضلالهم عن طریق الجنّة بفعلهم ونسبه إلی الکفار فی موضع آخر ونسبه إلی الأصنام فی آیة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بحار الأنوار </w:t>
      </w:r>
      <w:r>
        <w:rPr>
          <w:rFonts w:eastAsia="IRNazanin" w:cs="IRNazanin"/>
          <w:color w:val="111111"/>
          <w:sz w:val="28"/>
          <w:szCs w:val="28"/>
          <w:lang w:bidi="fa-IR"/>
        </w:rPr>
        <w:t>90/1</w:t>
      </w:r>
      <w:r>
        <w:rPr>
          <w:rFonts w:eastAsia="IRNazanin" w:cs="IRNazanin"/>
          <w:color w:val="111111"/>
          <w:sz w:val="28"/>
          <w:szCs w:val="28"/>
          <w:rtl w:val="true"/>
          <w:lang w:bidi="fa-IR"/>
        </w:rPr>
        <w:t xml:space="preserve">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فعل ذلک لئلاّ یدّعی أهل الباطل من المستولین علی میراث رسول اللّه صلی‌الله‌علیه‌و‌آلهمن علم الکتاب ما لم یجعله لهم، ولیق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ودهم الاضطرار إلی الائتمار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بمَن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ولاّه أمرهم، فاستکبروا عن طاعته تعزّزاً أو افتراءً علی اللّه عزّ وجلّ، الخبر</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52" w:name="pg4391_51210"/>
    </w:p>
    <w:p>
      <w:pPr>
        <w:pStyle w:val="Heading5"/>
        <w:numPr>
          <w:ilvl w:val="4"/>
          <w:numId w:val="1"/>
        </w:numPr>
        <w:rPr/>
      </w:pPr>
      <w:bookmarkStart w:id="453" w:name="__RefHeading___Toc1438925_1479056682"/>
      <w:bookmarkStart w:id="454" w:name="_Toc171"/>
      <w:bookmarkEnd w:id="452"/>
      <w:bookmarkEnd w:id="453"/>
      <w:r>
        <w:rPr>
          <w:rtl w:val="true"/>
        </w:rPr>
        <w:t>الطُّرفة السابعة عشرة</w:t>
      </w:r>
      <w:r>
        <w:rPr>
          <w:rtl w:val="true"/>
        </w:rPr>
        <w:t xml:space="preserve">: </w:t>
      </w:r>
      <w:r>
        <w:rPr>
          <w:rtl w:val="true"/>
        </w:rPr>
        <w:t>فی حکم کون کثیر من الآیات متشابهاً وعدم کون جمیعها محکمات</w:t>
      </w:r>
      <w:bookmarkEnd w:id="454"/>
    </w:p>
    <w:p>
      <w:pPr>
        <w:pStyle w:val="BookText"/>
        <w:rPr/>
      </w:pPr>
      <w:r>
        <w:rPr>
          <w:rFonts w:ascii="IRNazanin" w:hAnsi="IRNazanin" w:eastAsia="IRNazanin"/>
          <w:color w:val="111111"/>
          <w:sz w:val="28"/>
          <w:sz w:val="28"/>
          <w:szCs w:val="28"/>
          <w:rtl w:val="true"/>
          <w:lang w:bidi="fa-IR"/>
        </w:rPr>
        <w:t>لا یخفی أنّ فوائد جعل کثیر من آیات القرآن متشابهات وعدم جعل کلّها محکمات کثیرة وحکمه وفیرة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أمیر المؤمنین علیه‌السلام فی الروایة السابقة من اضطرار الناس إلی الرجوع إلی الراسخین فی العلم والائتمار بأوامرهم </w:t>
      </w:r>
      <w:r>
        <w:rPr>
          <w:rStyle w:val="FootnoteAnchor"/>
          <w:rtl w:val="true"/>
        </w:rPr>
        <w:footnoteReference w:id="669"/>
      </w:r>
      <w:r>
        <w:rPr>
          <w:rFonts w:ascii="IRNazanin" w:hAnsi="IRNazanin" w:eastAsia="IRNazanin"/>
          <w:color w:val="111111"/>
          <w:sz w:val="28"/>
          <w:sz w:val="28"/>
          <w:szCs w:val="28"/>
          <w:rtl w:val="true"/>
          <w:lang w:bidi="fa-IR"/>
        </w:rPr>
        <w:t>، فإنّهم إذا حضروا فی مجالسهم لاستفادة علم القرآن عرفوا شأنهم وعلوّ مقامهم وازدادوا موالاتهم ومحبّتهم،</w:t>
      </w:r>
    </w:p>
    <w:p>
      <w:pPr>
        <w:pStyle w:val="BookText"/>
        <w:rPr/>
      </w:pPr>
      <w:r>
        <w:rPr>
          <w:rFonts w:ascii="IRNazanin" w:hAnsi="IRNazanin" w:eastAsia="IRNazanin"/>
          <w:color w:val="111111"/>
          <w:sz w:val="28"/>
          <w:sz w:val="28"/>
          <w:szCs w:val="28"/>
          <w:rtl w:val="true"/>
          <w:lang w:bidi="fa-IR"/>
        </w:rPr>
        <w:t>واقتدوا بأعمالهم، واکتسبوا من أخلاقهم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تبیّن فضل العلماء علی سائر الناس واختلاف مراتبهم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أهل الإیمان إلی التدبّر والتفکّر فی القرآن، فبالتدبّر فیه یظهر دقائقه، ویکشف حقائقه، ویحصل کمال التوحید، وتمام المعرفة، وقوّة الیقین، وثبات الإیمان، ولو کان کلّه محکماً لتعلّقوا به لسهولة مأخذه، وأعرضوا عن الغور فی غوامضه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شدّة الاهتمام بحفظه، وزیادة الحبّ بمضامینه، إذ الإنسان إذا تحمّل المشقّة فی تحصیل شیء، کان له أحبّ وأحفظ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عظم القرآن فی الأنظار، حیث أنّ العادة قاضیة بأنّ کلّ کتاب کان فهم مطالبه أشکل، کان قدره عند الناس أعظم</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فتنة الخلق وامتحانهم بها، وتبیّن الصادقین فی الإیمان من الکاذبین، فإنّ الحکمة البالغة مقتضیة لأن لا یسدّ علی أحد باب الغیّ والضلال فی حال من الأحوال،</w:t>
      </w:r>
    </w:p>
    <w:p>
      <w:pPr>
        <w:pStyle w:val="BookText"/>
        <w:rPr/>
      </w:pPr>
      <w:r>
        <w:rPr>
          <w:rFonts w:ascii="IRNazanin" w:hAnsi="IRNazanin" w:eastAsia="IRNazanin"/>
          <w:color w:val="111111"/>
          <w:sz w:val="28"/>
          <w:sz w:val="28"/>
          <w:szCs w:val="28"/>
          <w:rtl w:val="true"/>
          <w:lang w:bidi="fa-IR"/>
        </w:rPr>
        <w:t>ولا یکون لأحد إلجاء وقهر علی الالتزام بالحقّ وقبول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جمیع الآیات محکمات، لم یکن لأهل الزّیغ مجال ابتغاء الفتنة والفساد مع إتمام الحجّة علیهم بالأمر،</w:t>
      </w:r>
    </w:p>
    <w:p>
      <w:pPr>
        <w:pStyle w:val="BookText"/>
        <w:rPr/>
      </w:pPr>
      <w:r>
        <w:rPr>
          <w:rFonts w:ascii="IRNazanin" w:hAnsi="IRNazanin" w:eastAsia="IRNazanin"/>
          <w:color w:val="111111"/>
          <w:sz w:val="28"/>
          <w:sz w:val="28"/>
          <w:szCs w:val="28"/>
          <w:rtl w:val="true"/>
          <w:lang w:bidi="fa-IR"/>
        </w:rPr>
        <w:t>الرجوع فیها إلی الحجج البالغة والزّجر عن التکلّم فیها، وابتغاء تأویلها بالأهواء الزّائغة</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الحکیم المتعال جعل کتابه التدوینیّ مطابقاً لکتابه التک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وینیّ وکما أنّه جعل غالب آیات الکتاب التکوین من موجودات العالم متشابهات، حیث جعل الطّبائع فیها والأسباب والمؤثّرات لها، حتّی یبقی للذوات الخبیثة، وذوی الأهواء الفاسدة والعقول المغلوبة الکاسدة مجال للقول بخالقیة الطبیعة وألوهیّة الشمس وسائر الأجرام</w:t>
      </w:r>
    </w:p>
    <w:p>
      <w:pPr>
        <w:pStyle w:val="BookText"/>
        <w:rPr/>
      </w:pPr>
      <w:r>
        <w:rPr>
          <w:rFonts w:ascii="IRNazanin" w:hAnsi="IRNazanin" w:eastAsia="IRNazanin"/>
          <w:color w:val="111111"/>
          <w:sz w:val="28"/>
          <w:sz w:val="28"/>
          <w:szCs w:val="28"/>
          <w:rtl w:val="true"/>
          <w:lang w:bidi="fa-IR"/>
        </w:rPr>
        <w:t>الفلکیة وإنکار الصّانع الحکیم، لعدم علمهم بتأویلها وقصور نظرهم عن رؤیة ما وراء طبائعها وأسبابها، وزیغ</w:t>
      </w:r>
      <w:r>
        <w:rPr>
          <w:rStyle w:val="FootnoteAnchor"/>
          <w:rtl w:val="true"/>
        </w:rPr>
        <w:footnoteReference w:id="671"/>
      </w:r>
      <w:r>
        <w:rPr>
          <w:rFonts w:ascii="IRNazanin" w:hAnsi="IRNazanin" w:eastAsia="IRNazanin"/>
          <w:color w:val="111111"/>
          <w:sz w:val="28"/>
          <w:sz w:val="28"/>
          <w:szCs w:val="28"/>
          <w:rtl w:val="true"/>
          <w:lang w:bidi="fa-IR"/>
        </w:rPr>
        <w:t>قلوبهم عن إدراک مسبِّب الأسباب وخالقها مع إتمام الحجّة علیهم بإرسال العقل العالم بتأویل تلک المتشابهات إلیهم، وجعله هادیاً لهم، وتأییده</w:t>
      </w:r>
    </w:p>
    <w:p>
      <w:pPr>
        <w:pStyle w:val="BookText"/>
        <w:rPr/>
      </w:pPr>
      <w:r>
        <w:rPr>
          <w:rFonts w:ascii="IRNazanin" w:hAnsi="IRNazanin" w:eastAsia="IRNazanin"/>
          <w:color w:val="111111"/>
          <w:sz w:val="28"/>
          <w:sz w:val="28"/>
          <w:szCs w:val="28"/>
          <w:rtl w:val="true"/>
          <w:lang w:bidi="fa-IR"/>
        </w:rPr>
        <w:t>بالأنبیاء المرسلة، والکتب المنزلة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فالذوات الخبیثة بزیغ قلوبهم یُؤوّلون تلک الموجودات</w:t>
      </w:r>
    </w:p>
    <w:p>
      <w:pPr>
        <w:pStyle w:val="BookText"/>
        <w:rPr/>
      </w:pPr>
      <w:r>
        <w:rPr>
          <w:rFonts w:ascii="IRNazanin" w:hAnsi="IRNazanin" w:eastAsia="IRNazanin"/>
          <w:color w:val="111111"/>
          <w:sz w:val="28"/>
          <w:sz w:val="28"/>
          <w:szCs w:val="28"/>
          <w:rtl w:val="true"/>
          <w:lang w:bidi="fa-IR"/>
        </w:rPr>
        <w:t>المتشابهات التکوینیة من قبل أنفسهم ویتّبعون ما تشابه ابتغاء الفتنة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الذّوات الطیِّبة والنفوس الزکیّة فبصیرة قلوبهم، یرجعون إلی العقل السلیم الّذی هو الإمام الراسخ فی العلم، ویتعلّمون منه التأویل، ویتمسّکون بالبرهان من عدم إمکان</w:t>
      </w:r>
    </w:p>
    <w:p>
      <w:pPr>
        <w:pStyle w:val="BookText"/>
        <w:rPr/>
      </w:pPr>
      <w:r>
        <w:rPr>
          <w:rFonts w:ascii="IRNazanin" w:hAnsi="IRNazanin" w:eastAsia="IRNazanin"/>
          <w:color w:val="111111"/>
          <w:sz w:val="28"/>
          <w:sz w:val="28"/>
          <w:szCs w:val="28"/>
          <w:rtl w:val="true"/>
          <w:lang w:bidi="fa-IR"/>
        </w:rPr>
        <w:t>کون المخلوق خالقاً، والمتغیِّر واجباً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 ذلک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آمنّا کلّ من المحکمات الواضحات الدلالات علی خالقها، والمتشابهات من الموجودات بالأسباب والمؤثّرات التی جمیعها آیات کتاب التکوین من عند ربّنا، کذلک جعل کثیر من آیات کتاب التدوین وهو القرآن المبین متشابهات، لیمتاز أهل الزّیغ والنِّفاق من المتظاهرین بالإیمان بالکتاب عن أهل الصدق والإخلاص، فلو لم یکن فی موجودات العالم تشابه ولم یکن فی کتاب التکوین متش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ابه، بل کان کلّها محکمات لم یحصل الامتحان والاختیار</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 xml:space="preserve">الإتقان </w:t>
      </w: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المیزان ذیل الآیة السابعة من سورة آل عمران، مناهل العرفان </w:t>
      </w:r>
      <w:r>
        <w:rPr>
          <w:rFonts w:eastAsia="IRNazanin" w:cs="IRNazanin"/>
          <w:color w:val="111111"/>
          <w:sz w:val="28"/>
          <w:szCs w:val="28"/>
          <w:lang w:bidi="fa-IR"/>
        </w:rPr>
        <w:t>2/282</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وکان إیمان المؤمن شبه الإلجاء والإجبار، وکذلک لو لم یکن فی القرآن متشابهات، لم یحصل للمقرّین به الفتنة والامتحان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أَحَسِبَ النَّاسُ أَنْ یُتْرَکُوا أَنْ یَقُولُوا آمَنَّا وَهُم لاَ یُفْتَنُون </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bookmarkStart w:id="455" w:name="pg4391_51213"/>
    </w:p>
    <w:p>
      <w:pPr>
        <w:pStyle w:val="Heading5"/>
        <w:numPr>
          <w:ilvl w:val="4"/>
          <w:numId w:val="1"/>
        </w:numPr>
        <w:rPr/>
      </w:pPr>
      <w:bookmarkStart w:id="456" w:name="__RefHeading___Toc1438927_1479056682"/>
      <w:bookmarkStart w:id="457" w:name="_Toc172"/>
      <w:bookmarkEnd w:id="455"/>
      <w:bookmarkEnd w:id="456"/>
      <w:r>
        <w:rPr>
          <w:rtl w:val="true"/>
        </w:rPr>
        <w:t>الطُّرفة الثامنة عشرة</w:t>
      </w:r>
      <w:r>
        <w:rPr>
          <w:rtl w:val="true"/>
        </w:rPr>
        <w:t xml:space="preserve">: </w:t>
      </w:r>
      <w:r>
        <w:rPr>
          <w:rtl w:val="true"/>
        </w:rPr>
        <w:t>فی أنّ الحروف المقطّعة التی تکون فی أوائل السور من أبین مصادیق المتشابه وبیان المراد منها</w:t>
      </w:r>
      <w:bookmarkEnd w:id="457"/>
    </w:p>
    <w:p>
      <w:pPr>
        <w:pStyle w:val="BookText"/>
        <w:rPr/>
      </w:pPr>
      <w:r>
        <w:rPr>
          <w:rFonts w:ascii="IRNazanin" w:hAnsi="IRNazanin" w:eastAsia="IRNazanin"/>
          <w:color w:val="111111"/>
          <w:sz w:val="28"/>
          <w:sz w:val="28"/>
          <w:szCs w:val="28"/>
          <w:rtl w:val="true"/>
          <w:lang w:bidi="fa-IR"/>
        </w:rPr>
        <w:t>من أبین مصادیق المتشابه فی القرآن الحروف المقطّعات التی تکون فی أوائل السور، ولا شبهة أنّها رموز وأسرار بین اللّه تعالی والراسخین فی العلم لا یطّلع علیها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الشعبیّ أنّه سئل عن فواتح السور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کتاب سرّاً، وأنّ سرّ هذا القرآن فواتح</w:t>
      </w:r>
    </w:p>
    <w:p>
      <w:pPr>
        <w:pStyle w:val="BookText"/>
        <w:rPr/>
      </w:pPr>
      <w:r>
        <w:rPr>
          <w:rFonts w:ascii="IRNazanin" w:hAnsi="IRNazanin" w:eastAsia="IRNazanin"/>
          <w:color w:val="111111"/>
          <w:sz w:val="28"/>
          <w:sz w:val="28"/>
          <w:szCs w:val="28"/>
          <w:rtl w:val="true"/>
          <w:lang w:bidi="fa-IR"/>
        </w:rPr>
        <w:t>السور، واختلفت الأخبار فی بیان المراد منها، وأکثرها تدلّ علی أنّ کلّ حرف منها رمز</w:t>
      </w:r>
    </w:p>
    <w:p>
      <w:pPr>
        <w:pStyle w:val="BookText"/>
        <w:rPr/>
      </w:pPr>
      <w:r>
        <w:rPr>
          <w:rFonts w:ascii="Amiri" w:hAnsi="Amiri" w:eastAsia="Amiri" w:cs="Amiri"/>
          <w:color w:val="111111"/>
          <w:sz w:val="28"/>
          <w:sz w:val="28"/>
          <w:szCs w:val="28"/>
          <w:rtl w:val="true"/>
          <w:lang w:bidi="ar-SA"/>
        </w:rPr>
        <w:t>من اسم من الأسماء الحسنی، کما عن السُّدّیّ</w:t>
      </w:r>
      <w:r>
        <w:rPr>
          <w:rStyle w:val="FootnoteAnchor"/>
          <w:rtl w:val="true"/>
        </w:rPr>
        <w:footnoteReference w:id="674"/>
      </w:r>
    </w:p>
    <w:p>
      <w:pPr>
        <w:pStyle w:val="BookText"/>
        <w:rPr/>
      </w:pPr>
      <w:r>
        <w:rPr>
          <w:rFonts w:ascii="Amiri" w:hAnsi="Amiri" w:eastAsia="Amiri" w:cs="Amiri"/>
          <w:color w:val="111111"/>
          <w:sz w:val="28"/>
          <w:sz w:val="28"/>
          <w:szCs w:val="28"/>
          <w:rtl w:val="true"/>
          <w:lang w:bidi="ar-SA"/>
        </w:rPr>
        <w:t>السُّدّیّ الکبیر، هو إسماعیل بن عبدالرحمان بن أبی ذُؤَیبٍ السدّیّ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مولی زینب بنتِ قَیْسِ بنِ مَخْزَمَة، من بنی عبد مناف، حجازیُّ الأصل، سکن الکوفة، مات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فی أیّام بنی أُمیّة فی ولایة مروان بن محمّد، روی عن أنس بن مالکٍ، عبدِ خَیْرٍ وأبی صالح، کان ثقةً مأمونا، قاله ابن خلکان فی الوفیات، روی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الثوریّ، شُعبَة، زائدة، 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مّاک بن حرب، إسماعیل بن حرب، أبی خزیمة وسلیمانُ التّیمیُّ،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السُّدّیّ أعلَمُ بالقرآن من الشعبیّ، وقال أبو بکر بنُ مَرْدَوَیْهِ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إسماعیل بن عبدالرحمان السُّدّیّ، یکنی أبا محمّد، صاحب التفسیر، إنّما سُمِّیَ السُّدّیّ، لأ نّه نزل بالسُّدّةِ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والسُّدّة بلدة فی الری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أبوه من کبار أهلِ أصبهان، وأدرک جماعةً من أصحاب رسول اللّه صلی‌الله‌علیه‌و‌آلهمنهم ابن عبّاس وأبو سعیدٍ الخدریّ وابن عمر ومحمّد بن مروان بن عبداللّه بن إسماعیل بن عبدالرحمان السدّیّ، یروی عن الکَلبیّ، وصاحب التفسیر یُعرف بالسُّدّیّ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روی عنه ابنه علیُّ ویوسف بن عدیّ والعلاءُ بنُ عمروٍ وأبو إبراهیم التُّرجُمانیّ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الترکمانیُّ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وغیرهم وهو السُّدّیُّ الصغیرُ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یحیی بن 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السُّدّیُّ الصغیر محمّد بن مروان صاحب التفسیر لیس بثقةٍ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ذکر أبو نعیم فی تاریخ أصبهان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إسماعیل بن عبدالرحمان الأعور یُعْرَف بالسُّدّیّ صاحب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التفسیر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یحیی بن سعید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أحدا یذکُرُ السُّدّیّ إلاّ بخیرٍ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معجم الأُدباء </w:t>
      </w:r>
      <w:r>
        <w:rPr>
          <w:rFonts w:eastAsia="IRNazanin" w:cs="IRNazanin"/>
          <w:color w:val="111111"/>
          <w:sz w:val="28"/>
          <w:szCs w:val="28"/>
          <w:lang w:bidi="fa-IR"/>
        </w:rPr>
        <w:t>7/13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فواتح السور أسماء من أسماء الرّبّ</w:t>
      </w:r>
    </w:p>
    <w:p>
      <w:pPr>
        <w:pStyle w:val="BookText"/>
        <w:rPr/>
      </w:pPr>
      <w:r>
        <w:rPr>
          <w:rFonts w:ascii="IRNazanin" w:hAnsi="IRNazanin" w:eastAsia="IRNazanin"/>
          <w:color w:val="111111"/>
          <w:sz w:val="28"/>
          <w:sz w:val="28"/>
          <w:szCs w:val="28"/>
          <w:rtl w:val="true"/>
          <w:lang w:bidi="fa-IR"/>
        </w:rPr>
        <w:t xml:space="preserve">جلّ جلاله فرّقت فی القرآن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أقوی ما قیل فی الحروف المقطّعة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أسماء السور، وهو قول الحسن وجماعة، وذکر الشیخ اختلاف الأقوال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التبیان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الزّجّاج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الاشتقاق، العروض، القوافی، الفرق، خلق الإنسان، خلق الفرس، شرح أبیات سیبویه، النوادر، الأنواء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إلیه یُنسب أبوالقاسم عبدالرحمان الزجّاجیّ صاحب کتاب الجُمَل فی النحو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الزجّاج جمادی الآخرة سنة عشر وثلاثمائة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أناف علی ثمانین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ترجمته فی بغیة الوعاة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تاریخ بغداد </w:t>
      </w:r>
      <w:r>
        <w:rPr>
          <w:rFonts w:eastAsia="IRNazanin" w:cs="IRNazanin"/>
          <w:color w:val="111111"/>
          <w:sz w:val="28"/>
          <w:szCs w:val="28"/>
          <w:lang w:bidi="fa-IR"/>
        </w:rPr>
        <w:t>6/89</w:t>
      </w:r>
      <w:r>
        <w:rPr>
          <w:rFonts w:ascii="IRNazanin" w:hAnsi="IRNazanin" w:eastAsia="IRNazanin"/>
          <w:color w:val="111111"/>
          <w:sz w:val="28"/>
          <w:sz w:val="28"/>
          <w:szCs w:val="28"/>
          <w:rtl w:val="true"/>
          <w:lang w:bidi="fa-IR"/>
        </w:rPr>
        <w:t xml:space="preserve">، الفهرست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معجم الأُدباء </w:t>
      </w:r>
      <w:r>
        <w:rPr>
          <w:rFonts w:eastAsia="IRNazanin" w:cs="IRNazanin"/>
          <w:color w:val="111111"/>
          <w:sz w:val="28"/>
          <w:szCs w:val="28"/>
          <w:lang w:bidi="fa-IR"/>
        </w:rPr>
        <w:t>1/130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کانوا ینطقون بالحرف الواحد کنایةً عن الکلمة التی 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منها، وقال القاضی أبو بکر بن العربیّ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محمّد بن عبداللّه بن محمّد الأشبیلیّ، ولد سنة ثمان وستِّین وأربعمائة، ورحل إلی المشرق وسمع من طراد الزینبیّ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تخرّج بأبی حامد الغزالیّ وأبی بکر الشاشیّ وأبی زکریّا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ثلاث وأربعین وخمسمائة بفارس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طبقات الحفّاظ، ص</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الحروف 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لولا أنّ العرب کانوا یعرفون أنّ لها مدلولاً متداولاً بینهم لکانوا أوّل من أنکر ذلک علی‌النبیّ صلی‌الله‌علیه‌و‌آلهبل تلا علیهم حم فُصِّلت وص وغیرها، فلم ینکروا علیه ذلک، بل صرّحوا بالتسلیم له فی البلاغة والفصاحة مع تشوّقهم إلی عثرته وحرصهم علی زلّته، فدلّ علی أنّه کان أمراً معروفاً بینهم</w:t>
      </w:r>
    </w:p>
    <w:p>
      <w:pPr>
        <w:pStyle w:val="BookText"/>
        <w:rPr/>
      </w:pPr>
      <w:r>
        <w:rPr>
          <w:rFonts w:ascii="IRNazanin" w:hAnsi="IRNazanin" w:eastAsia="IRNazanin"/>
          <w:color w:val="111111"/>
          <w:sz w:val="28"/>
          <w:sz w:val="28"/>
          <w:szCs w:val="28"/>
          <w:rtl w:val="true"/>
          <w:lang w:bidi="fa-IR"/>
        </w:rPr>
        <w:t>لا إنکار لهم فیه،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یکفی تداول التّکنیة</w:t>
      </w:r>
      <w:r>
        <w:rPr>
          <w:rStyle w:val="FootnoteAnchor"/>
          <w:rtl w:val="true"/>
        </w:rPr>
        <w:footnoteReference w:id="677"/>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یکنّی عن الشیء الّذی یُستفحش ذکره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یکنّی الرّجل باسم توقیرا وتعظیما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تقوم الکنیة مقام الاسم فیعرف صاحبها بها کما یعرف باسمه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12/174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والارماز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والرمز فی اللّغة کلّ ما أشرت إلیه ممّا یبان بلفظٍ بأیّ شیء أشرت إلیه بید أو 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5/312</w:t>
      </w:r>
      <w:r>
        <w:rPr>
          <w:rFonts w:eastAsia="IRNazanin" w:cs="IRNazanin"/>
          <w:color w:val="111111"/>
          <w:sz w:val="28"/>
          <w:szCs w:val="28"/>
          <w:rtl w:val="true"/>
          <w:lang w:bidi="fa-IR"/>
        </w:rPr>
        <w:t>-</w:t>
      </w:r>
      <w:r>
        <w:rPr>
          <w:rFonts w:eastAsia="IRNazanin" w:cs="IRNazanin"/>
          <w:color w:val="111111"/>
          <w:sz w:val="28"/>
          <w:szCs w:val="28"/>
          <w:lang w:bidi="fa-IR"/>
        </w:rPr>
        <w:t>313</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بالحروف المقطّعة فی عدم تمکّ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من</w:t>
      </w:r>
    </w:p>
    <w:p>
      <w:pPr>
        <w:pStyle w:val="BookText"/>
        <w:rPr/>
      </w:pPr>
      <w:r>
        <w:rPr>
          <w:rFonts w:ascii="IRNazanin" w:hAnsi="IRNazanin" w:eastAsia="IRNazanin"/>
          <w:color w:val="111111"/>
          <w:sz w:val="28"/>
          <w:sz w:val="28"/>
          <w:szCs w:val="28"/>
          <w:rtl w:val="true"/>
          <w:lang w:bidi="fa-IR"/>
        </w:rPr>
        <w:t>الإنکار والاعتراض، ولا یلزم معرفتهم بخصوص المعنی تفصیلاً، ولعلّ مراده المعرفة الاجمالیة، وقد تظافرت روایات الخاصّة والعامّة علی أنّها رموز وکنایات عن أسماء اللّه</w:t>
      </w:r>
    </w:p>
    <w:p>
      <w:pPr>
        <w:pStyle w:val="BookText"/>
        <w:rPr/>
      </w:pPr>
      <w:r>
        <w:rPr>
          <w:rFonts w:ascii="IRNazanin" w:hAnsi="IRNazanin" w:eastAsia="IRNazanin"/>
          <w:color w:val="111111"/>
          <w:sz w:val="28"/>
          <w:sz w:val="28"/>
          <w:szCs w:val="28"/>
          <w:rtl w:val="true"/>
          <w:lang w:bidi="fa-IR"/>
        </w:rPr>
        <w:t>تعالی وتعیینها وتبیینها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المجمع، عن الصادق علیه‌السلام أنّ ص اسم من أسماء اللّه تعالی به أقسم، وعن ابن عبّاس قال الم وطسم وص وأشباهها قسمٌ أقسم اللّه به، وهو من أسماء اللّه تعالی</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وعن أبی العالیة</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هو رُفَیْع بن مِهران الرِّیاحیّ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بکر بن أبی إدریس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أحد بعد الصحابة أعلم بالقرآن من أبی العالیة وبعده سعید بن جبیر وبعده السُّدّیّ وبعده سفیان الثوریّ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فی شوال سنة اثنتین وتسعین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طبقات الحفاظ،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ترجمة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التهذیب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خلاصة تذهیب الکمال للخزرجیّ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شذرات الذهب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 xml:space="preserve">، طبقات ابن سعد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وطبقات القرّاء للذهبیّ </w:t>
      </w:r>
      <w:r>
        <w:rPr>
          <w:rFonts w:eastAsia="IRNazanin" w:cs="IRNazanin"/>
          <w:color w:val="111111"/>
          <w:sz w:val="28"/>
          <w:szCs w:val="28"/>
          <w:lang w:bidi="fa-IR"/>
        </w:rPr>
        <w:t>1/49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الأحرف الثلاثة من الأحرف التّسعة والعشرین دارت بها الألسن، لیس منها حرف إلاّ وهو مفتاح اسم من أسمائه تعالی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ذلک ما رواه الص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دوق رحمه‌الله فی أمالیه من تفسیر المعص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حرف من حروف أبجد باسم من أسماء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تفسیر ابن ماجة من طریق نافع</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 xml:space="preserve">نافع بن عبدالرحمان بن أبی نعیم، أحد القرّاء السبعة، أصله من أصفهان، أقرأ الناس دهرا طویلاً نیّفا عن سبعین سنة وانتهت إلیه رئاسة القرّاء بالمدینة، توفّی سنة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وقیل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غایة النهایة </w:t>
      </w:r>
      <w:r>
        <w:rPr>
          <w:rFonts w:eastAsia="IRNazanin" w:cs="IRNazanin"/>
          <w:color w:val="111111"/>
          <w:sz w:val="28"/>
          <w:szCs w:val="28"/>
          <w:lang w:bidi="fa-IR"/>
        </w:rPr>
        <w:t>2/334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نعیم القارئ، عن فاطمة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قال السیِّد محسن الأمین نقلاً عن خصائص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عمر بن علیّ، حدّثنا یحیی یعنی ابن سعید حدّثنا موسی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بنت علیّ فقال لها رفیقی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 شیءٌ من والدک یوهب ؟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حدّثتنی أسماء بنت عمیس أنّ رسول اللّه صلی‌الله‌علیه‌و‌آله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أحمد بن سلیمان، حدّثنا جعفر بن عون عن موسی الجهنیّ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 فاطمة بنت علیّ وهی بنت ثمانین سنة،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تحفظین عن أبیک شیئا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ولکنِّی سمعت أسماء بنت عمیس أنّها سمعت من رسول اللّه صلی‌الله‌علیه‌و‌آله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8/390</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بنت علیّ بن أبی طالب علیه‌السلام أنّها سمعت علیّ بن أبی طالب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کهیعص اغفر لی </w:t>
      </w:r>
      <w:r>
        <w:rPr>
          <w:rStyle w:val="FootnoteAnchor"/>
          <w:rtl w:val="true"/>
        </w:rPr>
        <w:footnoteReference w:id="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المجمع عن أمیر المؤمنین علیه‌السلام أنّه قال فی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کهیعص </w:t>
      </w:r>
      <w:r>
        <w:rPr>
          <w:rStyle w:val="FootnoteAnchor"/>
          <w:rtl w:val="true"/>
        </w:rPr>
        <w:footnoteReference w:id="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علیه‌السلامفی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ألم فی آل عمران فمعناه أنا اللّه المجید </w:t>
      </w:r>
      <w:r>
        <w:rPr>
          <w:rStyle w:val="FootnoteAnchor"/>
          <w:rtl w:val="true"/>
        </w:rPr>
        <w:footnoteReference w:id="6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علیه‌السلام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وألمص معناه أنا اللّه المقتدر والصادق </w:t>
      </w:r>
      <w:r>
        <w:rPr>
          <w:rStyle w:val="FootnoteAnchor"/>
          <w:rtl w:val="true"/>
        </w:rPr>
        <w:footnoteReference w:id="6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طریق العامّة عن الضحّاک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الصاد المصوّر </w:t>
      </w:r>
      <w:r>
        <w:rPr>
          <w:rStyle w:val="FootnoteAnchor"/>
          <w:rtl w:val="true"/>
        </w:rPr>
        <w:footnoteReference w:id="6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کعب القرضیّ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من اللّه، والمیم من الرّحمن والصّاد من الصّمد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معنی ألمص أنا اللّه أفصّل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علیه‌السلام فی کهیعص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الکافی الهادی الولیّ العالم الصّادق الوعد </w:t>
      </w:r>
      <w:r>
        <w:rPr>
          <w:rStyle w:val="FootnoteAnchor"/>
          <w:rtl w:val="true"/>
        </w:rPr>
        <w:footnoteReference w:id="6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علیه‌السلام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w:t>
      </w:r>
      <w:r>
        <w:rPr>
          <w:rStyle w:val="FootnoteAnchor"/>
          <w:rtl w:val="true"/>
        </w:rPr>
        <w:footnoteReference w:id="688"/>
      </w:r>
      <w:r>
        <w:rPr>
          <w:rFonts w:ascii="IRNazanin" w:hAnsi="IRNazanin" w:eastAsia="IRNazanin"/>
          <w:color w:val="111111"/>
          <w:sz w:val="28"/>
          <w:sz w:val="28"/>
          <w:szCs w:val="28"/>
          <w:rtl w:val="true"/>
          <w:lang w:bidi="fa-IR"/>
        </w:rPr>
        <w:t>لشیعتنا هادٍ لهم، ولیّ لهم، عالم بأهل طاعتنا، صادق لهم وعده حتّی یبلغ المنزلة التی وعدهم إیّاها فی نصّ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مسعود وناس من الصحابة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هجاء مقطّع، الکاف من الملک، والهاء من اللّه، والیاء والعین من العزیز، والصاد من المصوّر، وفی نقل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 من 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أُمّ هانئ عن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أمین عالم صادق</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سقط من الروایة تفسیر الهاء، کما أنّ الظاهر سقوط تفسیر الیاء أو</w:t>
      </w:r>
    </w:p>
    <w:p>
      <w:pPr>
        <w:pStyle w:val="BookText"/>
        <w:rPr/>
      </w:pPr>
      <w:r>
        <w:rPr>
          <w:rFonts w:ascii="IRNazanin" w:hAnsi="IRNazanin" w:eastAsia="IRNazanin"/>
          <w:color w:val="111111"/>
          <w:sz w:val="28"/>
          <w:sz w:val="28"/>
          <w:szCs w:val="28"/>
          <w:rtl w:val="true"/>
          <w:lang w:bidi="fa-IR"/>
        </w:rPr>
        <w:t>العین ممّا نقل 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الکافی، والهاء الهادی، والعین العالم، والصاد الصادق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عکرمة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الکبیر، أنا الهادی، أنا علیّ أمین صادق </w:t>
      </w:r>
      <w:r>
        <w:rPr>
          <w:rStyle w:val="FootnoteAnchor"/>
          <w:rtl w:val="true"/>
        </w:rPr>
        <w:footnoteReference w:id="6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 من کریم، والهاء من هادٍ، والیاء من حکیم، والعین من علیم، والصّاد من صادق</w:t>
      </w:r>
      <w:r>
        <w:rPr>
          <w:rStyle w:val="FootnoteAnchor"/>
          <w:rtl w:val="true"/>
        </w:rPr>
        <w:footnoteReference w:id="6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6/775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 هادٍ أمین عزیز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کعب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الطّاء من ذی الطّول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عدّةٍ من روایات الخاصّة والعامّة أنّ طه اسمٌ من أسماءالنبیّ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بعضها </w:t>
      </w:r>
      <w:r>
        <w:rPr>
          <w:rStyle w:val="FootnoteAnchor"/>
          <w:rtl w:val="true"/>
        </w:rPr>
        <w:footnoteReference w:id="691"/>
      </w:r>
      <w:r>
        <w:rPr>
          <w:rFonts w:ascii="IRNazanin" w:hAnsi="IRNazanin" w:eastAsia="IRNazanin"/>
          <w:color w:val="111111"/>
          <w:sz w:val="28"/>
          <w:sz w:val="28"/>
          <w:szCs w:val="28"/>
          <w:rtl w:val="true"/>
          <w:lang w:bidi="fa-IR"/>
        </w:rPr>
        <w:t>معناه یا طالب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کعب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الطّاء من ذی الطول والسّین من القدّوس، والمیم من الرّحمن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فمعناه الحمید المجید </w:t>
      </w:r>
      <w:r>
        <w:rPr>
          <w:rStyle w:val="FootnoteAnchor"/>
          <w:rtl w:val="true"/>
        </w:rPr>
        <w:footnoteReference w:id="6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سعید بن جبیر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الحاء اشتقّت من الرّحمن، والمیم اشتقّت من الرّحیم </w:t>
      </w:r>
      <w:r>
        <w:rPr>
          <w:rStyle w:val="FootnoteAnchor"/>
          <w:rtl w:val="true"/>
        </w:rPr>
        <w:footnoteReference w:id="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محمّد بن کعب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حمعسق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الحاء والمیم من الرّحمن، العین من العلیم، والسّین من القدّوس، والقاف</w:t>
      </w:r>
    </w:p>
    <w:p>
      <w:pPr>
        <w:pStyle w:val="BookText"/>
        <w:rPr/>
      </w:pPr>
      <w:r>
        <w:rPr>
          <w:rFonts w:ascii="IRNazanin" w:hAnsi="IRNazanin" w:eastAsia="IRNazanin"/>
          <w:color w:val="111111"/>
          <w:sz w:val="28"/>
          <w:sz w:val="28"/>
          <w:szCs w:val="28"/>
          <w:rtl w:val="true"/>
          <w:lang w:bidi="fa-IR"/>
        </w:rPr>
        <w:t xml:space="preserve">من القاهر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حمعسق فمعناه الحکیم المغیث العالم السمیع القادر القویّ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القاف هنا اسم الجبل المحیط بالأرض، وهو مرویّ عن الصادق علیه‌السلامفی تفسیر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وحکی عن الکرمانیّ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 أنّه حرف من اسمه قادر وقاهر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إنّه مفتاح اسمه تعالی نور وناصر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الصادق علیه‌السلام أنّه اسم‌النبیّ صلی‌الله‌علیه‌و‌آله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یستفاد من مجموع الروایات واختلافها أنّ کلّ حرف من الحروف</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المقطّعات رمز عن الأسماء الحسنی التی تضمّنت ذلک الحرف، فالقافُ رمزٌ عن اسم</w:t>
      </w:r>
    </w:p>
    <w:p>
      <w:pPr>
        <w:pStyle w:val="BookText"/>
        <w:rPr/>
      </w:pPr>
      <w:r>
        <w:rPr>
          <w:rFonts w:ascii="IRNazanin" w:hAnsi="IRNazanin" w:eastAsia="IRNazanin"/>
          <w:color w:val="111111"/>
          <w:sz w:val="28"/>
          <w:sz w:val="28"/>
          <w:szCs w:val="28"/>
          <w:rtl w:val="true"/>
          <w:lang w:bidi="fa-IR"/>
        </w:rPr>
        <w:t>القاهر والقادر والقیّوم وغیر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 رمزٌ عن المصوِّر والصّمد والصادق وغیر ذلک، والعین رمز عن العزیز، والعالم والعلیم وأمثال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روایات عدیدة أنّ مجموع الحروف المقطّعات رمز عن اسم اللّه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القمّیّ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هو علیّ بن إبراهیم بن هاشم القمّیّ أبوالحسن، ثقةٌ فی الحدیث، ثبت، معتمدٌ، صحیح المذهب، سمع وأکثر وصنّف کتبا وأضرّ فی وسط عمره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العلاّمة الحلِّیّ،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إبراهیم ثقة فی الحدیث، ثبت، معتمد، صحیح المذهب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کتاب التفسیر، کتاب الناسخ والمنسوخ، کتاب قرب الإسناد، کتاب فضائل أمیر المؤمنین علیه‌السلام ، کتاب الأنبیاء، کتاب المغازی، کتاب التوحید والشِّرک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الشیخ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عن الحسن بن حمزة بن علیّ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 علیّ بن إبراهیم بإجازة سائر حدیثه وکتبه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أجلّ مشایخ الکلینیّ وقد کان حیّا إلی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آقابزرگ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أجلّة مشایخ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معنی هشام ویونس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تحقیق أحوالهما من المدح والذّم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مصفّی المقال،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الحروف المقطّعات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حروف من اسم اللّه الأعظم المقطوع یؤلِّفه‌النبیّ صلی‌الله‌علیه‌و‌آله والإمام علیه‌السلام ، فیکون الاسم الأعظم الّذی إذا دعی اللّه به أجاب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المعانی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هو حرف من حروف اسم اللّه الأعظم، یؤلِّفه‌النبیّ</w:t>
      </w:r>
    </w:p>
    <w:p>
      <w:pPr>
        <w:pStyle w:val="BookText"/>
        <w:rPr/>
      </w:pPr>
      <w:r>
        <w:rPr>
          <w:rFonts w:ascii="IRNazanin" w:hAnsi="IRNazanin" w:eastAsia="IRNazanin"/>
          <w:color w:val="111111"/>
          <w:sz w:val="28"/>
          <w:sz w:val="28"/>
          <w:szCs w:val="28"/>
          <w:rtl w:val="true"/>
          <w:lang w:bidi="fa-IR"/>
        </w:rPr>
        <w:t>والإمام، فاذا دعا به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ابن مسعود بسند صحیح عند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اللّه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اسم من أسماء اللّه تعالی الأعظم ونقل ابن عطیّة عن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 نّها الاسم الأعظم، إلاّ أنّا لا نعرف تألیفه منها، ومقتضی بعض الروایات أنّ الراسخین فی العلم یستفیدون من تألیفاتها، ومن أعدادها بحساب الجُمَّل وعلم الحروف علوماً کثیرة، کما عن الباقر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کلّ شیء فی عسق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المجمع عن أمیر المؤمنین علیه‌السلام،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کتابٍ صفوةٌ وصفوة هذا الکتاب حروف التهجّی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المعانی والعیّاشیّ</w:t>
      </w:r>
      <w:r>
        <w:rPr>
          <w:rStyle w:val="FootnoteAnchor"/>
          <w:rtl w:val="true"/>
        </w:rPr>
        <w:footnoteReference w:id="700"/>
      </w:r>
      <w:r>
        <w:rPr>
          <w:rFonts w:ascii="IRNazanin" w:hAnsi="IRNazanin" w:eastAsia="IRNazanin"/>
          <w:color w:val="111111"/>
          <w:sz w:val="28"/>
          <w:sz w:val="28"/>
          <w:szCs w:val="28"/>
          <w:rtl w:val="true"/>
          <w:lang w:bidi="fa-IR"/>
        </w:rPr>
        <w:t>عن الصادق علیه‌السلام أنّه أتاه رجل من بنی أُمیّة وکان زیدیاً،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اللّه عزّ وجلّ فی 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أراد بهذا ؟ وأیّ شیء فیه من الحلال والحرام ؟ وأیّ شیء فیه ممّا ینتفع</w:t>
      </w:r>
    </w:p>
    <w:p>
      <w:pPr>
        <w:pStyle w:val="BookText"/>
        <w:rPr/>
      </w:pPr>
      <w:r>
        <w:rPr>
          <w:rFonts w:ascii="IRNazanin" w:hAnsi="IRNazanin" w:eastAsia="IRNazanin"/>
          <w:color w:val="111111"/>
          <w:sz w:val="28"/>
          <w:sz w:val="28"/>
          <w:szCs w:val="28"/>
          <w:rtl w:val="true"/>
          <w:lang w:bidi="fa-IR"/>
        </w:rPr>
        <w:t>به الناس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فاغتاض علیه‌السلاممن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أمسک ویحک، الألف واحد، واللاّم ثلاثون، والمیم أربعون، والصّاد تسعون، کم معک ؟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وأحد وستّون،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انقضت إحدی وستّون ومائة ینقضی ملک أصحابک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فنظر الرجل، فلمّا انقضت إحدی وستّون ومائة سنة یوم عاشوراء دخل المسوّدة الکوفة وذهب ملکهم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الأخبار، ص</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بحار الأنوار </w:t>
      </w:r>
      <w:r>
        <w:rPr>
          <w:rFonts w:eastAsia="IRNazanin" w:cs="IRNazanin"/>
          <w:color w:val="111111"/>
          <w:sz w:val="28"/>
          <w:szCs w:val="28"/>
          <w:lang w:bidi="fa-IR"/>
        </w:rPr>
        <w:t>89/376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روایة أبی لبید المخزومیّ عن أبی جعفر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حروف القرآن المقطّعة لعلماً جمّاً، إنّ اللّه تبارک وتعالی 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محمّد صلی‌الله‌علیه‌و‌آله حتّی ظهر نوره وثبتت کلمته، وولد یوم ولد، وقد مضی من الألف السابع مائة سنة وثلاث سنین،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وتبیانه فی کتاب اللّه فی الحروف المقطّعة إذا عددتها من غیر تکرار، ولیس من الحروف المقطّعة حرف تنقضی أیّامه إلاّ وقائم</w:t>
      </w:r>
      <w:r>
        <w:rPr>
          <w:rStyle w:val="FootnoteAnchor"/>
          <w:rtl w:val="true"/>
        </w:rPr>
        <w:footnoteReference w:id="702"/>
      </w:r>
      <w:r>
        <w:rPr>
          <w:rFonts w:ascii="IRNazanin" w:hAnsi="IRNazanin" w:eastAsia="IRNazanin"/>
          <w:color w:val="111111"/>
          <w:sz w:val="28"/>
          <w:sz w:val="28"/>
          <w:szCs w:val="28"/>
          <w:rtl w:val="true"/>
          <w:lang w:bidi="fa-IR"/>
        </w:rPr>
        <w:t>من بنی هاشم عند انقضائه،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الألف واحد واللاّم ثلاثون والمیم أربعون والصّاد تسعون، فذلک مائة وأحد وستّون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کان بدء خروج الحسین بن علیّ علیهماالسلام الم اللّه، فلمّا بلغت مدّته، ثمّ قام قائم ولد العبّاس عند المص، ویقوم قائمنا عند انقضائها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فافهم ذلک وعد واکتمه،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أنّ الروایة من المشکلات التی یجب ردّ علمها إلیهم علیهم‌السلام وإن تصدّی لشرحها جماعة من العلماء، ولعلّه یستفاد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النبیّ صلی‌الله‌علیه‌و‌آله ذلِکَ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محمّد صلی‌الله‌علیه‌و‌آله، وجه تقدیم هذه السورة علی سائر السور، حیث أنّ فیها إشارة إلی قیام النبیّ صلی‌الله‌علیه‌و‌آلهوبدء بعثته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طرق العامّة عن ابن عبّاس عن جابر بن عبداللّه بن رئاب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أبو یاسر بن أخطب فی رجال من الیهود برسول اللّه صلی‌الله‌علیه‌و‌آله وهو یتلو فاتحة سورة البقرة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لاَ رَیْبَ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فأتی أخاه حیّ بن أخطب فی رجال من الیهود فقال </w:t>
      </w:r>
      <w:r>
        <w:rPr>
          <w:rStyle w:val="FootnoteAnchor"/>
          <w:rtl w:val="true"/>
        </w:rPr>
        <w:footnoteReference w:id="7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تعلمون واللّه،</w:t>
      </w:r>
    </w:p>
    <w:p>
      <w:pPr>
        <w:pStyle w:val="BookText"/>
        <w:rPr/>
      </w:pPr>
      <w:r>
        <w:rPr>
          <w:rFonts w:ascii="IRNazanin" w:hAnsi="IRNazanin" w:eastAsia="IRNazanin"/>
          <w:color w:val="111111"/>
          <w:sz w:val="28"/>
          <w:sz w:val="28"/>
          <w:szCs w:val="28"/>
          <w:rtl w:val="true"/>
          <w:lang w:bidi="fa-IR"/>
        </w:rPr>
        <w:t xml:space="preserve">لقد سمعت محمّداً صلی‌الله‌علیه‌و‌آله یتلو فیما أنزل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سمعته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فمشی حیّ فی أُولئک النفر إلی رسول اللّه صلی‌الله‌علیه‌و‌آلهفقالوا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تذکر أنّک تتلو فیما</w:t>
      </w:r>
    </w:p>
    <w:p>
      <w:pPr>
        <w:pStyle w:val="BookText"/>
        <w:rPr/>
      </w:pPr>
      <w:r>
        <w:rPr>
          <w:rFonts w:ascii="IRNazanin" w:hAnsi="IRNazanin" w:eastAsia="IRNazanin"/>
          <w:color w:val="111111"/>
          <w:sz w:val="28"/>
          <w:sz w:val="28"/>
          <w:szCs w:val="28"/>
          <w:rtl w:val="true"/>
          <w:lang w:bidi="fa-IR"/>
        </w:rPr>
        <w:t xml:space="preserve">أُنزل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بعث اللّه قبلک أنبیاء ما نعلم بین نبیّ منهم ما مدّة ملکه وما أجل أُمّته 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بواحد واللاّم بثلاثین والمیم بأربعین،</w:t>
      </w:r>
    </w:p>
    <w:p>
      <w:pPr>
        <w:pStyle w:val="BookText"/>
        <w:rPr/>
      </w:pPr>
      <w:r>
        <w:rPr>
          <w:rFonts w:ascii="IRNazanin" w:hAnsi="IRNazanin" w:eastAsia="IRNazanin"/>
          <w:color w:val="111111"/>
          <w:sz w:val="28"/>
          <w:sz w:val="28"/>
          <w:szCs w:val="28"/>
          <w:rtl w:val="true"/>
          <w:lang w:bidi="fa-IR"/>
        </w:rPr>
        <w:t>فهذه إحدی وسبعون سنة، أفندخل فی دین نبیّ إنّما مدّة ملکه وأجل أُمّته إحدی وسبعون</w:t>
      </w:r>
    </w:p>
    <w:p>
      <w:pPr>
        <w:pStyle w:val="BookText"/>
        <w:rPr/>
      </w:pPr>
      <w:r>
        <w:rPr>
          <w:rFonts w:ascii="IRNazanin" w:hAnsi="IRNazanin" w:eastAsia="IRNazanin"/>
          <w:color w:val="111111"/>
          <w:sz w:val="28"/>
          <w:sz w:val="28"/>
          <w:szCs w:val="28"/>
          <w:rtl w:val="true"/>
          <w:lang w:bidi="fa-IR"/>
        </w:rPr>
        <w:t>سنة؟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مع هذا غیره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أثقل وأطول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w:t>
      </w:r>
    </w:p>
    <w:p>
      <w:pPr>
        <w:pStyle w:val="BookText"/>
        <w:rPr/>
      </w:pPr>
      <w:r>
        <w:rPr>
          <w:rFonts w:ascii="IRNazanin" w:hAnsi="IRNazanin" w:eastAsia="IRNazanin"/>
          <w:color w:val="111111"/>
          <w:sz w:val="28"/>
          <w:sz w:val="28"/>
          <w:szCs w:val="28"/>
          <w:rtl w:val="true"/>
          <w:lang w:bidi="fa-IR"/>
        </w:rPr>
        <w:t>بواحد واللاّم بثلاثین، والمیم بأربعین، والصّاد بتسعین، فهذه إحدی وستّون ومائة سنة،</w:t>
      </w:r>
    </w:p>
    <w:p>
      <w:pPr>
        <w:pStyle w:val="BookText"/>
        <w:rPr/>
      </w:pPr>
      <w:r>
        <w:rPr>
          <w:rFonts w:ascii="IRNazanin" w:hAnsi="IRNazanin" w:eastAsia="IRNazanin"/>
          <w:color w:val="111111"/>
          <w:sz w:val="28"/>
          <w:sz w:val="28"/>
          <w:szCs w:val="28"/>
          <w:rtl w:val="true"/>
          <w:lang w:bidi="fa-IR"/>
        </w:rPr>
        <w:t>هل مع هذا غیره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أثقل وأطول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الألف بواحد واللاّم بثلاثین</w:t>
      </w:r>
    </w:p>
    <w:p>
      <w:pPr>
        <w:pStyle w:val="BookText"/>
        <w:rPr/>
      </w:pPr>
      <w:r>
        <w:rPr>
          <w:rFonts w:ascii="IRNazanin" w:hAnsi="IRNazanin" w:eastAsia="IRNazanin"/>
          <w:color w:val="111111"/>
          <w:sz w:val="28"/>
          <w:sz w:val="28"/>
          <w:szCs w:val="28"/>
          <w:rtl w:val="true"/>
          <w:lang w:bidi="fa-IR"/>
        </w:rPr>
        <w:t>والمیم بأربعین والرّاء بمائتین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إحدی وسبعون ومائتا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لبس علینا</w:t>
      </w:r>
    </w:p>
    <w:p>
      <w:pPr>
        <w:pStyle w:val="BookText"/>
        <w:rPr/>
      </w:pPr>
      <w:r>
        <w:rPr>
          <w:rFonts w:ascii="IRNazanin" w:hAnsi="IRNazanin" w:eastAsia="IRNazanin"/>
          <w:color w:val="111111"/>
          <w:sz w:val="28"/>
          <w:sz w:val="28"/>
          <w:szCs w:val="28"/>
          <w:rtl w:val="true"/>
          <w:lang w:bidi="fa-IR"/>
        </w:rPr>
        <w:t>أمرک حتّی ما ندری أ قلیلاً أعطیت أم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عنه، ثمّ قال أبو یاسر لأخیه ومن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یدریکم، لعلّه قد جمع هذا کلّه لمحمّد صلی‌الله‌علیه‌و‌آلهإحدی وسبعون وإحدی وستّون ومائة وإحدی وثلاثون ومائتان وإحدی وسبعون ومائتان، فذلک سبعمائة وأربع وثلاثون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تشابه علینا أمره، فیزعمون أنّ الآیات نزلت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أَنْزَلَ عَلَیْکَ الکِتَابَ</w:t>
      </w:r>
    </w:p>
    <w:p>
      <w:pPr>
        <w:pStyle w:val="BookText"/>
        <w:rPr/>
      </w:pPr>
      <w:r>
        <w:rPr>
          <w:rFonts w:ascii="Amiri" w:hAnsi="Amiri" w:eastAsia="Amiri" w:cs="Amiri"/>
          <w:color w:val="111111"/>
          <w:sz w:val="28"/>
          <w:sz w:val="28"/>
          <w:szCs w:val="28"/>
          <w:rtl w:val="true"/>
          <w:lang w:bidi="ar-SA"/>
        </w:rPr>
        <w:t xml:space="preserve">مِنْهُ آیَاتٌ مُحْکَمَاتٌ هُنَّ أُمُّ الکِتَابِ وَأُخَرُ مُتَشَابِهَاتٌ </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الإکمال عن الحجّة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أنّه سئل عن تأویل کهیعص،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الحروف من أنباء الغیب أطلع اللّه عبده زکریا، ثمّ قصّها علی محمّد صلی‌الله‌علیه‌و‌آله، وذلک أنّ زکریا سأل ربّه أن یعلّمه الأسماء الخمسة، فأهبط اللّه علیه جبرئیل، فعلّمه إیّاها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زکریا إذا ذکر محمّداً صلی‌الله‌علیه‌و‌آله وعلیّاً علیه‌السلاموفاطمة والحسن علیهماالسلام سُری </w:t>
      </w:r>
      <w:r>
        <w:rPr>
          <w:rStyle w:val="FootnoteAnchor"/>
          <w:rtl w:val="true"/>
        </w:rPr>
        <w:footnoteReference w:id="705"/>
      </w:r>
      <w:r>
        <w:rPr>
          <w:rFonts w:ascii="IRNazanin" w:hAnsi="IRNazanin" w:eastAsia="IRNazanin"/>
          <w:color w:val="111111"/>
          <w:sz w:val="28"/>
          <w:sz w:val="28"/>
          <w:szCs w:val="28"/>
          <w:rtl w:val="true"/>
          <w:lang w:bidi="fa-IR"/>
        </w:rPr>
        <w:t xml:space="preserve">عنه همّه وانجلی کربه </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انکشف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ذکر الحسین علیه‌السلام، خنقته العبرة، ووقعت علیه البهرة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ذات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بالی إذا ذکرت أربعاً منهم تسلّیت بأسمائهم من همومی، وإذا ذکرت الحسین علیه‌السلام تدمع عینی، وتثور زفرتی ؟ فأنبأه تبارک وتعالی عن قصّته،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کهیعص، فالکاف اسم کربلاء، والهاء</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هلاک العترة، والیاء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ظالم الحسین علیه‌السلام، والعین عطشه، والصاد صبره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w:t>
      </w:r>
    </w:p>
    <w:p>
      <w:pPr>
        <w:pStyle w:val="BookText"/>
        <w:rPr/>
      </w:pPr>
      <w:r>
        <w:rPr>
          <w:rFonts w:ascii="IRNazanin" w:hAnsi="IRNazanin" w:eastAsia="IRNazanin"/>
          <w:color w:val="111111"/>
          <w:sz w:val="28"/>
          <w:sz w:val="28"/>
          <w:szCs w:val="28"/>
          <w:rtl w:val="true"/>
          <w:lang w:bidi="fa-IR"/>
        </w:rPr>
        <w:t>سمع ذلک زکریا، لم یفارق مسجده ثلاثة أیّام، ومنع فیها الناس من الدخول علیه، وأقبل علی البکاء والنحیب</w:t>
      </w:r>
      <w:r>
        <w:rPr>
          <w:rStyle w:val="FootnoteAnchor"/>
          <w:rtl w:val="true"/>
        </w:rPr>
        <w:footnoteReference w:id="707"/>
      </w:r>
      <w:r>
        <w:rPr>
          <w:rFonts w:ascii="IRNazanin" w:hAnsi="IRNazanin" w:eastAsia="IRNazanin"/>
          <w:color w:val="111111"/>
          <w:sz w:val="28"/>
          <w:sz w:val="28"/>
          <w:szCs w:val="28"/>
          <w:rtl w:val="true"/>
          <w:lang w:bidi="fa-IR"/>
        </w:rPr>
        <w:t xml:space="preserve">، الخبر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ذکر المجلسیّ فی البحار عن ابن شهرآشوب فی المناقب عن إسحاق الأحمریّ عن الحجّة القائم مثل ما فی إکمال الدِّین للشیخ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بحار الأنوار </w:t>
      </w:r>
      <w:r>
        <w:rPr>
          <w:rFonts w:eastAsia="IRNazanin" w:cs="IRNazanin"/>
          <w:color w:val="111111"/>
          <w:sz w:val="28"/>
          <w:szCs w:val="28"/>
          <w:lang w:bidi="fa-IR"/>
        </w:rPr>
        <w:t>52/84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لا یذهب علیک، أنّه لا منافاة بین الأخبار لإ مکان أن یکون ذات الحروف المقطّعة کنایةً ورمزاً عن أُمورٍ، وترکیبها عن أُمورٍ، وعددها إشارة إلی أُمور، ویستفاد بعض أنحاء استفادتهم علیهم‌السلام العلوم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الرّوایة الواردة عن الباقر علیه‌السلام فی تفسیر الصمد، حیث سألوه عن مسائل وأجابهم، ثمّ سألوه عن الصمد فقال </w:t>
      </w:r>
      <w:r>
        <w:rPr>
          <w:rStyle w:val="FootnoteAnchor"/>
          <w:rtl w:val="true"/>
        </w:rPr>
        <w:footnoteReference w:id="7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 بحار الأنوار</w:t>
      </w:r>
      <w:r>
        <w:rPr>
          <w:rFonts w:eastAsia="IRNazanin" w:cs="IRNazanin"/>
          <w:color w:val="111111"/>
          <w:sz w:val="28"/>
          <w:szCs w:val="28"/>
          <w:lang w:bidi="fa-IR"/>
        </w:rPr>
        <w:t>3/224</w:t>
      </w:r>
      <w:r>
        <w:rPr>
          <w:rFonts w:eastAsia="IRNazanin" w:cs="IRNazanin"/>
          <w:color w:val="111111"/>
          <w:sz w:val="28"/>
          <w:szCs w:val="28"/>
          <w:rtl w:val="true"/>
          <w:lang w:bidi="fa-IR"/>
        </w:rPr>
        <w:t xml:space="preserve"> - </w:t>
      </w:r>
      <w:r>
        <w:rPr>
          <w:rFonts w:eastAsia="IRNazanin" w:cs="IRNazanin"/>
          <w:color w:val="111111"/>
          <w:sz w:val="28"/>
          <w:szCs w:val="28"/>
          <w:lang w:bidi="fa-IR"/>
        </w:rPr>
        <w:t>225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 فیه، الصمد خمسة أحرف، فالألف دلیل علی إنِّیَّتُهُ، وهو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شهد اللّه أنّه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تنبیه وإشارة إلی الغائب عن درک الحواسّ، واللاّم دلیل علی إلهیّته وأنّه هو اللّه، والألف واللاّم مُدغمان لا یظهران علی اللسان ولا یقعان فی السمع، ویظهران فی الکتابة، دلیلان</w:t>
      </w:r>
    </w:p>
    <w:p>
      <w:pPr>
        <w:pStyle w:val="BookText"/>
        <w:rPr/>
      </w:pPr>
      <w:r>
        <w:rPr>
          <w:rFonts w:ascii="IRNazanin" w:hAnsi="IRNazanin" w:eastAsia="IRNazanin"/>
          <w:color w:val="111111"/>
          <w:sz w:val="28"/>
          <w:sz w:val="28"/>
          <w:szCs w:val="28"/>
          <w:rtl w:val="true"/>
          <w:lang w:bidi="fa-IR"/>
        </w:rPr>
        <w:t>علی أنّ إلهیّته بلطفه خافیة لا تدرک بالحواسّ ولا تقع فی لسان واصفٍ، ولا أذن سامعٍ،</w:t>
      </w:r>
    </w:p>
    <w:p>
      <w:pPr>
        <w:pStyle w:val="BookText"/>
        <w:rPr/>
      </w:pPr>
      <w:r>
        <w:rPr>
          <w:rFonts w:ascii="IRNazanin" w:hAnsi="IRNazanin" w:eastAsia="IRNazanin"/>
          <w:color w:val="111111"/>
          <w:sz w:val="28"/>
          <w:sz w:val="28"/>
          <w:szCs w:val="28"/>
          <w:rtl w:val="true"/>
          <w:lang w:bidi="fa-IR"/>
        </w:rPr>
        <w:t>لأنّ تفسیر الإلهِ هو الّذی أَلَهَ الخلق عن درک ماهیّته وکیفیّته بحسٍّ أو بوهمٍ، لأ نّه مبدع الأوهام وخالق 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یظهر ذلک عند الکتابة دلیل علی أنّ‌اللّه تعالی أظهر ربوبیّته فیابداع الخلق وترکیب أرواحهم اللّطیفة فی أجسادهم‌الکثیفة، فاذا نظر عبد إلی نفسه لم</w:t>
      </w:r>
    </w:p>
    <w:p>
      <w:pPr>
        <w:pStyle w:val="BookText"/>
        <w:rPr/>
      </w:pPr>
      <w:r>
        <w:rPr>
          <w:rFonts w:ascii="IRNazanin" w:hAnsi="IRNazanin" w:eastAsia="IRNazanin"/>
          <w:color w:val="111111"/>
          <w:sz w:val="28"/>
          <w:sz w:val="28"/>
          <w:szCs w:val="28"/>
          <w:rtl w:val="true"/>
          <w:lang w:bidi="fa-IR"/>
        </w:rPr>
        <w:t>یر روحه، کما أنّ لام الصّمد لا تبیّن ولا یدخل فی حاسّة من الحواسّ الخمس، فاذا نظر</w:t>
      </w:r>
    </w:p>
    <w:p>
      <w:pPr>
        <w:pStyle w:val="BookText"/>
        <w:rPr/>
      </w:pPr>
      <w:r>
        <w:rPr>
          <w:rFonts w:ascii="IRNazanin" w:hAnsi="IRNazanin" w:eastAsia="IRNazanin"/>
          <w:color w:val="111111"/>
          <w:sz w:val="28"/>
          <w:sz w:val="28"/>
          <w:szCs w:val="28"/>
          <w:rtl w:val="true"/>
          <w:lang w:bidi="fa-IR"/>
        </w:rPr>
        <w:t>إلی الکتابة، ظهر له ما خفی ولطف، فمتی تفکّر العبد فی ماهیّة الباری وکیفیّته أَلِه فیه وتحیّر، ولم تحط فکرته بشیء یتصوّر له، لأ نّه عزّ وجلّ خالق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نظر إلی خلقه،</w:t>
      </w:r>
    </w:p>
    <w:p>
      <w:pPr>
        <w:pStyle w:val="BookText"/>
        <w:rPr/>
      </w:pPr>
      <w:r>
        <w:rPr>
          <w:rFonts w:ascii="IRNazanin" w:hAnsi="IRNazanin" w:eastAsia="IRNazanin"/>
          <w:color w:val="111111"/>
          <w:sz w:val="28"/>
          <w:sz w:val="28"/>
          <w:szCs w:val="28"/>
          <w:rtl w:val="true"/>
          <w:lang w:bidi="fa-IR"/>
        </w:rPr>
        <w:t>ثبت له أنّه عزّ وجلّ خالقهم ومرکّب أرواحهم وأجسادهم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الصاد فدلیل علی أنّه عزّ وجلّ صادق، وقوله صدق، وکلامه صدق، ودعا عباده</w:t>
      </w:r>
    </w:p>
    <w:p>
      <w:pPr>
        <w:pStyle w:val="BookText"/>
        <w:rPr/>
      </w:pPr>
      <w:r>
        <w:rPr>
          <w:rFonts w:ascii="IRNazanin" w:hAnsi="IRNazanin" w:eastAsia="IRNazanin"/>
          <w:color w:val="111111"/>
          <w:sz w:val="28"/>
          <w:sz w:val="28"/>
          <w:szCs w:val="28"/>
          <w:rtl w:val="true"/>
          <w:lang w:bidi="fa-IR"/>
        </w:rPr>
        <w:t xml:space="preserve">إلی اتّباع الصدق، وعد بالصّدق </w:t>
      </w:r>
      <w:r>
        <w:rPr>
          <w:rStyle w:val="FootnoteAnchor"/>
          <w:rtl w:val="true"/>
        </w:rPr>
        <w:footnoteReference w:id="710"/>
      </w:r>
      <w:r>
        <w:rPr>
          <w:rFonts w:ascii="IRNazanin" w:hAnsi="IRNazanin" w:eastAsia="IRNazanin"/>
          <w:color w:val="111111"/>
          <w:sz w:val="28"/>
          <w:sz w:val="28"/>
          <w:szCs w:val="28"/>
          <w:rtl w:val="true"/>
          <w:lang w:bidi="fa-IR"/>
        </w:rPr>
        <w:t>، دار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المیم فدلیل علی ملکه وأنّه الملک الحقّ، لم یزل ولا یزال ولا یزول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الدّال فدلیل علی دوام ملکه وانّه عزّ وجلّ دائم متعال عن الکون والزّوال، بل هو عزّ وجلّ مکوّن الکائنات الّذی کان بتکوینه کلّ</w:t>
      </w:r>
    </w:p>
    <w:p>
      <w:pPr>
        <w:pStyle w:val="BookText"/>
        <w:rPr/>
      </w:pPr>
      <w:r>
        <w:rPr>
          <w:rFonts w:ascii="IRNazanin" w:hAnsi="IRNazanin" w:eastAsia="IRNazanin"/>
          <w:color w:val="111111"/>
          <w:sz w:val="28"/>
          <w:sz w:val="28"/>
          <w:szCs w:val="28"/>
          <w:rtl w:val="true"/>
          <w:lang w:bidi="fa-IR"/>
        </w:rPr>
        <w:t>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لِعلمی الّذی آتانی اللّه عزّ وجلّ حملة ، لنشرت التوحید والإسلام والإیمان والدِّین والشرائع من الصمد، وکیف لی بذلک ولم یجد جدّی أمیر المؤمنین علیه‌السلامحملةً لعلمه؟ حتّی کان یتنفّس الصعداء</w:t>
      </w:r>
      <w:r>
        <w:rPr>
          <w:rStyle w:val="FootnoteAnchor"/>
          <w:rtl w:val="true"/>
        </w:rPr>
        <w:footnoteReference w:id="711"/>
      </w:r>
      <w:r>
        <w:rPr>
          <w:rFonts w:ascii="Amiri" w:hAnsi="Amiri" w:eastAsia="Amiri" w:cs="Amiri"/>
          <w:color w:val="111111"/>
          <w:sz w:val="28"/>
          <w:sz w:val="28"/>
          <w:szCs w:val="28"/>
          <w:rtl w:val="true"/>
          <w:lang w:bidi="ar-SA"/>
        </w:rPr>
        <w:t>ویقول علی المنبر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سَلُونِی قَبْلَ أنْ تَفْقِدُونی</w:t>
      </w:r>
      <w:r>
        <w:rPr>
          <w:rStyle w:val="FootnoteAnchor"/>
          <w:rtl w:val="true"/>
        </w:rPr>
        <w:footnoteReference w:id="712"/>
      </w:r>
      <w:r>
        <w:rPr>
          <w:rFonts w:ascii="IRNazanin" w:hAnsi="IRNazanin" w:eastAsia="IRNazanin"/>
          <w:color w:val="111111"/>
          <w:sz w:val="28"/>
          <w:sz w:val="28"/>
          <w:szCs w:val="28"/>
          <w:rtl w:val="true"/>
          <w:lang w:bidi="fa-IR"/>
        </w:rPr>
        <w:t>، فإنّ بین الجوانح منِّی علماً جمّاً، هاه هاه، ألا لا أجد من یحمله ألاوإنّی علیکم من اللّه الحجّة البالغة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الخبر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اعلم أنّ ما ذکرناه من الفوائد للحروف المقطّعة مختصّ بالخواصّ وهم الراسخون فی العلم، وأمّا فائدتها لعامّة الناس، فهی علی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العرب کانوا إذا سمعوا القرآن،</w:t>
      </w:r>
    </w:p>
    <w:p>
      <w:pPr>
        <w:pStyle w:val="BookText"/>
        <w:rPr/>
      </w:pPr>
      <w:r>
        <w:rPr>
          <w:rFonts w:ascii="IRNazanin" w:hAnsi="IRNazanin" w:eastAsia="IRNazanin"/>
          <w:color w:val="111111"/>
          <w:sz w:val="28"/>
          <w:sz w:val="28"/>
          <w:szCs w:val="28"/>
          <w:rtl w:val="true"/>
          <w:lang w:bidi="fa-IR"/>
        </w:rPr>
        <w:t>لغوا فیه</w:t>
      </w:r>
      <w:r>
        <w:rPr>
          <w:rStyle w:val="FootnoteAnchor"/>
          <w:rtl w:val="true"/>
        </w:rPr>
        <w:footnoteReference w:id="714"/>
      </w:r>
      <w:r>
        <w:rPr>
          <w:rFonts w:ascii="IRNazanin" w:hAnsi="IRNazanin" w:eastAsia="IRNazanin"/>
          <w:color w:val="111111"/>
          <w:sz w:val="28"/>
          <w:sz w:val="28"/>
          <w:szCs w:val="28"/>
          <w:rtl w:val="true"/>
          <w:lang w:bidi="fa-IR"/>
        </w:rPr>
        <w:t>، فأنزل اللّه تعالی هذا النظم البدیع لیعجبوا منه، فیکون تعجّبهم منه سبباً لاستماعهم، وسماعهم له سبباً لاستماع ما بعده، فترقّ القلوب وتلین الأفئدة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ذکرت هذه الحروف المقطّع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ة إش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عاراً بأنّ القرآن مؤلّف من الحروف التی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لیدل القوم الّذین نزل القرآن بلغتهم أنّه بالحروف التی یعرفونها ویتداولونها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ألسنتهم، فیکون ذلک تقریعاً لهم، ودلالة علی عجزهم أن یأتوا بمثله بعد أن یعلموا أنّه منزل بالحروف التی یعرفونها ویبنون کلامهم منها، وإلی هذا الوجه أشار العسکریّ علیه‌السلامفی التفسیر المنسوب إلیه</w:t>
      </w:r>
      <w:r>
        <w:rPr>
          <w:rFonts w:eastAsia="IRNazanin" w:cs="IRNazanin"/>
          <w:color w:val="111111"/>
          <w:sz w:val="28"/>
          <w:szCs w:val="28"/>
          <w:rtl w:val="true"/>
          <w:lang w:bidi="fa-IR"/>
        </w:rPr>
        <w:t>.</w:t>
      </w:r>
      <w:bookmarkStart w:id="458" w:name="pg4391_51223"/>
    </w:p>
    <w:p>
      <w:pPr>
        <w:pStyle w:val="Heading5"/>
        <w:numPr>
          <w:ilvl w:val="4"/>
          <w:numId w:val="1"/>
        </w:numPr>
        <w:rPr/>
      </w:pPr>
      <w:bookmarkStart w:id="459" w:name="__RefHeading___Toc1438929_1479056682"/>
      <w:bookmarkStart w:id="460" w:name="_Toc173"/>
      <w:bookmarkEnd w:id="458"/>
      <w:bookmarkEnd w:id="459"/>
      <w:r>
        <w:rPr>
          <w:rtl w:val="true"/>
        </w:rPr>
        <w:t>الطُّرفة التاسعة عشرة</w:t>
      </w:r>
      <w:r>
        <w:rPr>
          <w:rtl w:val="true"/>
        </w:rPr>
        <w:t xml:space="preserve">: </w:t>
      </w:r>
      <w:r>
        <w:rPr>
          <w:rtl w:val="true"/>
        </w:rPr>
        <w:t>فی بیان معنی التفسیر والتأویل وعدم کون بیان المراد من الظاهر تفسیراً منهیّاً عنه واختصاص العلم بالتأویل بالرّاسخین فی العلم</w:t>
      </w:r>
      <w:bookmarkEnd w:id="460"/>
    </w:p>
    <w:p>
      <w:pPr>
        <w:pStyle w:val="BookText"/>
        <w:rPr/>
      </w:pPr>
      <w:r>
        <w:rPr>
          <w:rFonts w:ascii="IRNazanin" w:hAnsi="IRNazanin" w:eastAsia="IRNazanin"/>
          <w:color w:val="111111"/>
          <w:sz w:val="28"/>
          <w:sz w:val="28"/>
          <w:szCs w:val="28"/>
          <w:rtl w:val="true"/>
          <w:lang w:bidi="fa-IR"/>
        </w:rPr>
        <w:t>التفسیر هو کشف القناع عن المعنی وتوضیح المقصود من الکلمة أو الکلام، والتأویل هو أول الکلام وإرجاعه إلی بعض المعانی البعیدة المحتملة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واحد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بیان المراد من المحکمات نصّاً کان المحکم أو ظاهراً لیس من التفسیر أو من المنهیّ عنه، لتواتر الأمر بالتمسّک بالکتاب والعمل به وعرض الأحادیث علیه وترجیح المتعارضات منها به وتمیّز الشروط الصحیحة عن الفاسدة بموافقتها له وسیرة المسلمین والأصحاب علی التمسّک بظواهره فضلاً عن 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 المحکمات فلا شبهة أنّ العلم به مخصوص بالراسخین فی العلم وأنّه لا یجوز لغیرهم التکلّم فیه برأیه ومن قبل</w:t>
      </w:r>
    </w:p>
    <w:p>
      <w:pPr>
        <w:pStyle w:val="BookText"/>
        <w:rPr/>
      </w:pPr>
      <w:r>
        <w:rPr>
          <w:rFonts w:ascii="IRNazanin" w:hAnsi="IRNazanin" w:eastAsia="IRNazanin"/>
          <w:color w:val="111111"/>
          <w:sz w:val="28"/>
          <w:sz w:val="28"/>
          <w:szCs w:val="28"/>
          <w:rtl w:val="true"/>
          <w:lang w:bidi="fa-IR"/>
        </w:rPr>
        <w:t>نفسه عن جزم وبتّ</w:t>
      </w:r>
      <w:r>
        <w:rPr>
          <w:rStyle w:val="FootnoteAnchor"/>
          <w:rtl w:val="true"/>
        </w:rPr>
        <w:footnoteReference w:id="7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وعلیه تحمل الروایات الناهیة عن تفسیر القرآن بالرّأی، أو علیه وعلی القول فی المحکمات من دون فحص فی الأخبار المعتبرة عن الهداة علیهم‌السلام عن ناسخها ومقیّدها ومخصّصها ومبیّنها</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بعض فی وجه الحاجة إلی تفسیر الکتاب بالرّجوع إلی الراسخین فی العلم زائداً</w:t>
      </w:r>
    </w:p>
    <w:p>
      <w:pPr>
        <w:pStyle w:val="BookText"/>
        <w:rPr/>
      </w:pPr>
      <w:r>
        <w:rPr>
          <w:rFonts w:ascii="IRNazanin" w:hAnsi="IRNazanin" w:eastAsia="IRNazanin"/>
          <w:color w:val="111111"/>
          <w:sz w:val="28"/>
          <w:sz w:val="28"/>
          <w:szCs w:val="28"/>
          <w:rtl w:val="true"/>
          <w:lang w:bidi="fa-IR"/>
        </w:rPr>
        <w:t xml:space="preserve">علی ما ذکرنا </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المعلوم أنّ اللّه تعالی خاطب خلقه بما یفهمونه، ولذلک أرسل کلّ رسول بلسان قومه، وأنزل کتابه علی لغتهم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ذلک یحتاج </w:t>
      </w:r>
      <w:r>
        <w:rPr>
          <w:rStyle w:val="FootnoteAnchor"/>
          <w:rtl w:val="true"/>
        </w:rPr>
        <w:footnoteReference w:id="718"/>
      </w:r>
      <w:r>
        <w:rPr>
          <w:rFonts w:ascii="IRNazanin" w:hAnsi="IRNazanin" w:eastAsia="IRNazanin"/>
          <w:color w:val="111111"/>
          <w:sz w:val="28"/>
          <w:sz w:val="28"/>
          <w:szCs w:val="28"/>
          <w:rtl w:val="true"/>
          <w:lang w:bidi="fa-IR"/>
        </w:rPr>
        <w:t xml:space="preserve">إلی التفسیر لوجه یظهر </w:t>
      </w:r>
      <w:r>
        <w:rPr>
          <w:rStyle w:val="FootnoteAnchor"/>
          <w:rtl w:val="true"/>
        </w:rPr>
        <w:footnoteReference w:id="719"/>
      </w:r>
      <w:r>
        <w:rPr>
          <w:rFonts w:ascii="IRNazanin" w:hAnsi="IRNazanin" w:eastAsia="IRNazanin"/>
          <w:color w:val="111111"/>
          <w:sz w:val="28"/>
          <w:sz w:val="28"/>
          <w:szCs w:val="28"/>
          <w:rtl w:val="true"/>
          <w:lang w:bidi="fa-IR"/>
        </w:rPr>
        <w:t>بعد تقریر قاعدة، وهی أنّ کلاًّ من البشر إذا وضع کتاباً فانّما وضعه لیفهم بذاته من غیر شرح، وإنّما احتیج إلی الشروح لأُمور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فضیلة المصنّف، فإنّه لقوّته</w:t>
      </w:r>
    </w:p>
    <w:p>
      <w:pPr>
        <w:pStyle w:val="BookText"/>
        <w:rPr/>
      </w:pPr>
      <w:r>
        <w:rPr>
          <w:rFonts w:ascii="IRNazanin" w:hAnsi="IRNazanin" w:eastAsia="IRNazanin"/>
          <w:color w:val="111111"/>
          <w:sz w:val="28"/>
          <w:sz w:val="28"/>
          <w:szCs w:val="28"/>
          <w:rtl w:val="true"/>
          <w:lang w:bidi="fa-IR"/>
        </w:rPr>
        <w:t>العلمیة یجمع المعانی الدقیقة فی اللفظ الوجیز، فربّما عسرَ فهم مراده، فقصد بالشرح</w:t>
      </w:r>
    </w:p>
    <w:p>
      <w:pPr>
        <w:pStyle w:val="BookText"/>
        <w:rPr/>
      </w:pPr>
      <w:r>
        <w:rPr>
          <w:rFonts w:ascii="IRNazanin" w:hAnsi="IRNazanin" w:eastAsia="IRNazanin"/>
          <w:color w:val="111111"/>
          <w:sz w:val="28"/>
          <w:sz w:val="28"/>
          <w:szCs w:val="28"/>
          <w:rtl w:val="true"/>
          <w:lang w:bidi="fa-IR"/>
        </w:rPr>
        <w:t>ظهور تلک المعانی الخفیّة، ومن هنا کان شرح بعض الأئمّة تصنیفه أدلّ علی المراد من شرح غیره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إغفاله بعض 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 المسألة أو شرط </w:t>
      </w:r>
      <w:r>
        <w:rPr>
          <w:rStyle w:val="FootnoteAnchor"/>
          <w:rtl w:val="true"/>
        </w:rPr>
        <w:footnoteReference w:id="720"/>
      </w:r>
      <w:r>
        <w:rPr>
          <w:rFonts w:ascii="IRNazanin" w:hAnsi="IRNazanin" w:eastAsia="IRNazanin"/>
          <w:color w:val="111111"/>
          <w:sz w:val="28"/>
          <w:sz w:val="28"/>
          <w:szCs w:val="28"/>
          <w:rtl w:val="true"/>
          <w:lang w:bidi="fa-IR"/>
        </w:rPr>
        <w:t>لها اعتماداً علی وضوحها، أو لأ نّها من علم آخر فیحتاج إلی الشارح</w:t>
      </w:r>
      <w:r>
        <w:rPr>
          <w:rStyle w:val="FootnoteAnchor"/>
          <w:rtl w:val="true"/>
        </w:rPr>
        <w:footnoteReference w:id="721"/>
      </w:r>
      <w:r>
        <w:rPr>
          <w:rFonts w:ascii="IRNazanin" w:hAnsi="IRNazanin" w:eastAsia="IRNazanin"/>
          <w:color w:val="111111"/>
          <w:sz w:val="28"/>
          <w:sz w:val="28"/>
          <w:szCs w:val="28"/>
          <w:rtl w:val="true"/>
          <w:lang w:bidi="fa-IR"/>
        </w:rPr>
        <w:t>لبیان المحذوف ومراتبه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اللفظ لمعان، کما فی المجاز والاشتراک ودلالة الالتزام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فیحتاج الشارح إلی بیان غرض</w:t>
      </w:r>
    </w:p>
    <w:p>
      <w:pPr>
        <w:pStyle w:val="BookText"/>
        <w:rPr/>
      </w:pPr>
      <w:r>
        <w:rPr>
          <w:rFonts w:ascii="IRNazanin" w:hAnsi="IRNazanin" w:eastAsia="IRNazanin"/>
          <w:color w:val="111111"/>
          <w:sz w:val="28"/>
          <w:sz w:val="28"/>
          <w:szCs w:val="28"/>
          <w:rtl w:val="true"/>
          <w:lang w:bidi="fa-IR"/>
        </w:rPr>
        <w:t>المصنّف وترجیحه، وقد یقع فی التصانیف ما لا یخلو عنه بشر من السهو والغلط أو تکرار</w:t>
      </w:r>
    </w:p>
    <w:p>
      <w:pPr>
        <w:pStyle w:val="BookText"/>
        <w:rPr/>
      </w:pPr>
      <w:r>
        <w:rPr>
          <w:rFonts w:ascii="IRNazanin" w:hAnsi="IRNazanin" w:eastAsia="IRNazanin"/>
          <w:color w:val="111111"/>
          <w:sz w:val="28"/>
          <w:sz w:val="28"/>
          <w:szCs w:val="28"/>
          <w:rtl w:val="true"/>
          <w:lang w:bidi="fa-IR"/>
        </w:rPr>
        <w:t>الشیء أو حذف مبهمٍ وغیر ذلک، فیحتاج الشارح للتنبیه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تقرّر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إنّما نزل بلسانٍ عربیٍّ فی زمان</w:t>
      </w:r>
      <w:r>
        <w:rPr>
          <w:rStyle w:val="FootnoteAnchor"/>
          <w:rtl w:val="true"/>
        </w:rPr>
        <w:footnoteReference w:id="722"/>
      </w:r>
      <w:r>
        <w:rPr>
          <w:rFonts w:ascii="IRNazanin" w:hAnsi="IRNazanin" w:eastAsia="IRNazanin"/>
          <w:color w:val="111111"/>
          <w:sz w:val="28"/>
          <w:sz w:val="28"/>
          <w:szCs w:val="28"/>
          <w:rtl w:val="true"/>
          <w:lang w:bidi="fa-IR"/>
        </w:rPr>
        <w:t>أفصح العرب وکانوا</w:t>
      </w:r>
    </w:p>
    <w:p>
      <w:pPr>
        <w:pStyle w:val="BookText"/>
        <w:rPr/>
      </w:pPr>
      <w:r>
        <w:rPr>
          <w:rFonts w:ascii="IRNazanin" w:hAnsi="IRNazanin" w:eastAsia="IRNazanin"/>
          <w:color w:val="111111"/>
          <w:sz w:val="28"/>
          <w:sz w:val="28"/>
          <w:szCs w:val="28"/>
          <w:rtl w:val="true"/>
          <w:lang w:bidi="fa-IR"/>
        </w:rPr>
        <w:t>یعلمون ظواهره وأحکامه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دقائق باطنه، فانّما کان یظهر لهم بعد البحث والنظر وسؤالهم</w:t>
      </w:r>
      <w:r>
        <w:rPr>
          <w:rStyle w:val="FootnoteAnchor"/>
          <w:rtl w:val="true"/>
        </w:rPr>
        <w:footnoteReference w:id="723"/>
      </w:r>
      <w:r>
        <w:rPr>
          <w:rFonts w:ascii="Amiri" w:hAnsi="Amiri" w:eastAsia="Amiri" w:cs="Amiri"/>
          <w:color w:val="111111"/>
          <w:sz w:val="28"/>
          <w:sz w:val="28"/>
          <w:szCs w:val="28"/>
          <w:rtl w:val="true"/>
          <w:lang w:bidi="ar-SA"/>
        </w:rPr>
        <w:t>عن‌النبیّ صلی‌الله‌علیه‌و‌آله فی الأکثر، کسؤالهم لمّا نزل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یَلْبِسُوا إِیْمَانَهُم بِظُلْمٍ </w:t>
      </w:r>
      <w:r>
        <w:rPr>
          <w:rFonts w:eastAsia="Amiri" w:cs="Amiri" w:ascii="Amiri" w:hAnsi="Amiri"/>
          <w:color w:val="111111"/>
          <w:sz w:val="28"/>
          <w:szCs w:val="28"/>
          <w:rtl w:val="true"/>
          <w:lang w:bidi="ar-SA"/>
        </w:rPr>
        <w:t xml:space="preserve">» </w:t>
      </w:r>
      <w:r>
        <w:rPr>
          <w:rStyle w:val="FootnoteAnchor"/>
          <w:rtl w:val="true"/>
        </w:rPr>
        <w:footnoteReference w:id="724"/>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وأیّنا لم یظلم نفسه، ففسّره‌النبیّ صلی‌الله‌علیه‌و‌آلهبالشِّرک، واستدلّ علیه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الشِّرک لظلمٌ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وکسؤال عائشة عن الحساب الیسیر،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وکقصّة عدیّ بن حاتم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هو عَدِیّ بن حاتِم بن عبداللّه بن سعد بن الحَشْرَج الطائیّ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هو الجواد الموصوف بالجود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یکنّی عَدِیّ أبا طریف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وفد عَدِیّ علی‌النبیّ صلی‌الله‌علیه‌و‌آله سنة تسع فی شعبان فأسلم وکان نصرانیا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عن‌النبیّ صلی‌الله‌علیه‌و‌آله أحادیث کثیرة، ولمّا توفّی رسول اللّه صلی‌الله‌علیه‌و‌آلهقدم علی أبی بکر فی وقت الروة بصدقة قومه، وثبت علی الإسلام ولم یرتدّ وثبت قومه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دخل علیّ وقت صلاة إلاّ وأنا مشتاق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شهد فتوح العراق ووقعة القادسیة ووقعة مهران ویوم الجسر، وکان منحرفا عن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یقبل خلافته ولم یبایعه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صفین مع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عنه الشعبیّ، تمیم بن طرفة، عبداللّه بن معقل وأبو إسحاق الهَمْدانیّ وغیرهم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سنة سبع وستِّین وله مائة وعشرون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وفاته بالکوفة أیّام المختار</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lang w:bidi="ar-SA"/>
        </w:rPr>
        <w:t>3/505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الخیط الأبیض والأسود وغیر ذلک ممّا سألوا عن آحاد منه، ونحن محتاجون إلی ما کانوا یحتاجون إلیه وزیادةً علی ذلک ممّا لم یحتاجوا إلیه من أحکام الظواهر، لقصورنا</w:t>
      </w:r>
    </w:p>
    <w:p>
      <w:pPr>
        <w:pStyle w:val="BookText"/>
        <w:rPr/>
      </w:pPr>
      <w:r>
        <w:rPr>
          <w:rFonts w:ascii="IRNazanin" w:hAnsi="IRNazanin" w:eastAsia="IRNazanin"/>
          <w:color w:val="111111"/>
          <w:sz w:val="28"/>
          <w:sz w:val="28"/>
          <w:szCs w:val="28"/>
          <w:rtl w:val="true"/>
          <w:lang w:bidi="fa-IR"/>
        </w:rPr>
        <w:t>عن مدارک أحکام اللّغة بغیر تعلّم، فنحن أشدّ الناس احتیاجاً إلی التفسیر، ومعلوم أنّ</w:t>
      </w:r>
    </w:p>
    <w:p>
      <w:pPr>
        <w:pStyle w:val="BookText"/>
        <w:rPr/>
      </w:pPr>
      <w:r>
        <w:rPr>
          <w:rFonts w:ascii="IRNazanin" w:hAnsi="IRNazanin" w:eastAsia="IRNazanin"/>
          <w:color w:val="111111"/>
          <w:sz w:val="28"/>
          <w:sz w:val="28"/>
          <w:szCs w:val="28"/>
          <w:rtl w:val="true"/>
          <w:lang w:bidi="fa-IR"/>
        </w:rPr>
        <w:t xml:space="preserve">تفسیره بعضه یکون من قبیل </w:t>
      </w:r>
      <w:r>
        <w:rPr>
          <w:rStyle w:val="FootnoteAnchor"/>
          <w:rtl w:val="true"/>
        </w:rPr>
        <w:footnoteReference w:id="726"/>
      </w:r>
      <w:r>
        <w:rPr>
          <w:rFonts w:ascii="IRNazanin" w:hAnsi="IRNazanin" w:eastAsia="IRNazanin"/>
          <w:color w:val="111111"/>
          <w:sz w:val="28"/>
          <w:sz w:val="28"/>
          <w:szCs w:val="28"/>
          <w:rtl w:val="true"/>
          <w:lang w:bidi="fa-IR"/>
        </w:rPr>
        <w:t xml:space="preserve">الألفاظ الوجیزة وکشف معانیها، وبعضه من قبیل </w:t>
      </w:r>
      <w:r>
        <w:rPr>
          <w:rStyle w:val="FootnoteAnchor"/>
          <w:rtl w:val="true"/>
        </w:rPr>
        <w:footnoteReference w:id="727"/>
      </w:r>
      <w:r>
        <w:rPr>
          <w:rFonts w:ascii="IRNazanin" w:hAnsi="IRNazanin" w:eastAsia="IRNazanin"/>
          <w:color w:val="111111"/>
          <w:sz w:val="28"/>
          <w:sz w:val="28"/>
          <w:szCs w:val="28"/>
          <w:rtl w:val="true"/>
          <w:lang w:bidi="fa-IR"/>
        </w:rPr>
        <w:t xml:space="preserve">ترجیح بعض الاحتمالات علی بعض </w:t>
      </w:r>
      <w:r>
        <w:rPr>
          <w:rStyle w:val="FootnoteAnchor"/>
          <w:rtl w:val="true"/>
        </w:rPr>
        <w:footnoteReference w:id="728"/>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آخر</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 xml:space="preserve">علم التفسیر عسیر یسیر </w:t>
      </w:r>
      <w:r>
        <w:rPr>
          <w:rStyle w:val="FootnoteAnchor"/>
          <w:rtl w:val="true"/>
        </w:rPr>
        <w:footnoteReference w:id="730"/>
      </w:r>
      <w:r>
        <w:rPr>
          <w:rFonts w:ascii="IRNazanin" w:hAnsi="IRNazanin" w:eastAsia="IRNazanin"/>
          <w:color w:val="111111"/>
          <w:sz w:val="28"/>
          <w:sz w:val="28"/>
          <w:szCs w:val="28"/>
          <w:rtl w:val="true"/>
          <w:lang w:bidi="fa-IR"/>
        </w:rPr>
        <w:t>، أمّا عسره فظاهر من وجوهٍ، أظهرُها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کلام متکلّم لم نصل إلی مراده بالسماع منه، ولا أمکن الوصول إلیه بخلاف الأمثال والأشعار ونحوها، فإنّ الإنسان یمکن علمه به إذا تکلّم بأن یسمع منه أو ممّن سمع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القرآن فتفسیره علی وجه القطع لا یُعلَم إلاّ بأن یسمع من الرسول </w:t>
      </w:r>
      <w:r>
        <w:rPr>
          <w:rStyle w:val="FootnoteAnchor"/>
          <w:rtl w:val="true"/>
        </w:rPr>
        <w:footnoteReference w:id="731"/>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ورد إنّما یعرف القرآن من خوطب به، کما عن الباقر صلی‌الله‌علیه‌و‌آله فی روایة الکافی باسناده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قتادة علی أبی جعفر علیه‌السلام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فقیه أهل البصرة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یزعمون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أنّک تفسِّر القرآن ؟ قال له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تفسِّره أم بجهل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کنت تفسِّره </w:t>
      </w:r>
      <w:r>
        <w:rPr>
          <w:rStyle w:val="FootnoteAnchor"/>
          <w:rtl w:val="true"/>
        </w:rPr>
        <w:footnoteReference w:id="732"/>
      </w:r>
      <w:r>
        <w:rPr>
          <w:rFonts w:ascii="Amiri" w:hAnsi="Amiri" w:eastAsia="Amiri" w:cs="Amiri"/>
          <w:color w:val="111111"/>
          <w:sz w:val="28"/>
          <w:sz w:val="28"/>
          <w:szCs w:val="28"/>
          <w:rtl w:val="true"/>
          <w:lang w:bidi="ar-SA"/>
        </w:rPr>
        <w:t>، فأنت أنت وأنا أسألک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عن قول اللّه تعالی فی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وَقَدَّرْنا فِیهَا السَّیْرَ سِیرُوا فِیهَا لَیالِیَ وَأَیَّاماً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من خرج من بیته بزاد وراحلة وکری حلال یرید هذا البیت کان آمناً حتّی یرجع إلی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w:t>
      </w:r>
    </w:p>
    <w:p>
      <w:pPr>
        <w:pStyle w:val="BookText"/>
        <w:rPr/>
      </w:pPr>
      <w:r>
        <w:rPr>
          <w:rFonts w:ascii="IRNazanin" w:hAnsi="IRNazanin" w:eastAsia="IRNazanin"/>
          <w:color w:val="111111"/>
          <w:sz w:val="28"/>
          <w:sz w:val="28"/>
          <w:szCs w:val="28"/>
          <w:rtl w:val="true"/>
          <w:lang w:bidi="fa-IR"/>
        </w:rPr>
        <w:t>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نشدتک باللّه یا قتادة، هل تعلم أنّه قد یخرج الرجل من بیته بزاد وراحلة وکری</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حلال یرید هذا البیت، فیقطع علیه الطریق، فتذهب نفقته ویضرب مع ذلک ضربة فیها</w:t>
      </w:r>
    </w:p>
    <w:p>
      <w:pPr>
        <w:pStyle w:val="BookText"/>
        <w:rPr/>
      </w:pPr>
      <w:r>
        <w:rPr>
          <w:rFonts w:ascii="IRNazanin" w:hAnsi="IRNazanin" w:eastAsia="IRNazanin"/>
          <w:color w:val="111111"/>
          <w:sz w:val="28"/>
          <w:sz w:val="28"/>
          <w:szCs w:val="28"/>
          <w:rtl w:val="true"/>
          <w:lang w:bidi="fa-IR"/>
        </w:rPr>
        <w:t xml:space="preserve">احتیاجه </w:t>
      </w:r>
      <w:r>
        <w:rPr>
          <w:rFonts w:eastAsia="IRNazanin" w:cs="IRNazanin"/>
          <w:color w:val="111111"/>
          <w:sz w:val="28"/>
          <w:szCs w:val="28"/>
          <w:rtl w:val="true"/>
          <w:lang w:bidi="fa-IR"/>
        </w:rPr>
        <w:t xml:space="preserve">- </w:t>
      </w:r>
      <w:r>
        <w:rPr>
          <w:rStyle w:val="FootnoteAnchor"/>
          <w:rtl w:val="true"/>
        </w:rPr>
        <w:footnoteReference w:id="733"/>
      </w:r>
      <w:r>
        <w:rPr>
          <w:rFonts w:ascii="Amiri" w:hAnsi="Amiri" w:eastAsia="Amiri" w:cs="Amiri"/>
          <w:color w:val="111111"/>
          <w:sz w:val="28"/>
          <w:sz w:val="28"/>
          <w:szCs w:val="28"/>
          <w:rtl w:val="true"/>
          <w:lang w:bidi="ar-SA"/>
        </w:rPr>
        <w:t>؟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Style w:val="FootnoteAnchor"/>
          <w:rtl w:val="true"/>
        </w:rPr>
        <w:footnoteReference w:id="734"/>
      </w:r>
      <w:r>
        <w:rPr>
          <w:rFonts w:ascii="IRNazanin" w:hAnsi="IRNazanin" w:eastAsia="IRNazanin"/>
          <w:color w:val="111111"/>
          <w:sz w:val="28"/>
          <w:sz w:val="28"/>
          <w:szCs w:val="28"/>
          <w:rtl w:val="true"/>
          <w:lang w:bidi="fa-IR"/>
        </w:rPr>
        <w:t xml:space="preserve">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انّما فسّرت القرآن من تلقاء نفسک، فقد هلکت وأهلکت، وإن کنت أخذته من الرجال فقد هلکت وأهلکت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قتادة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من خرج من بیته بزاد حلال وکری حلال یؤمّ هذا البیت عارفاً بحقّنا، فهوانا قلبه </w:t>
      </w:r>
      <w:r>
        <w:rPr>
          <w:rStyle w:val="FootnoteAnchor"/>
          <w:rtl w:val="true"/>
        </w:rPr>
        <w:footnoteReference w:id="735"/>
      </w:r>
      <w:r>
        <w:rPr>
          <w:rFonts w:ascii="Amiri" w:hAnsi="Amiri" w:eastAsia="Amiri" w:cs="Amiri"/>
          <w:color w:val="111111"/>
          <w:sz w:val="28"/>
          <w:sz w:val="28"/>
          <w:szCs w:val="28"/>
          <w:rtl w:val="true"/>
          <w:lang w:bidi="ar-SA"/>
        </w:rPr>
        <w:t xml:space="preserve">کما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فَاجْعَل أَفْئِدَةً مِنَ النَّاسِ تَهْوِی إِلَیْهِمْ </w:t>
      </w:r>
      <w:r>
        <w:rPr>
          <w:rFonts w:eastAsia="Amiri" w:cs="Amiri" w:ascii="Amiri" w:hAnsi="Amiri"/>
          <w:color w:val="111111"/>
          <w:sz w:val="28"/>
          <w:szCs w:val="28"/>
          <w:rtl w:val="true"/>
          <w:lang w:bidi="ar-SA"/>
        </w:rPr>
        <w:t>»</w:t>
      </w:r>
      <w:r>
        <w:rPr>
          <w:rStyle w:val="FootnoteAnchor"/>
          <w:rtl w:val="true"/>
        </w:rPr>
        <w:footnoteReference w:id="736"/>
      </w:r>
      <w:r>
        <w:rPr>
          <w:rFonts w:ascii="IRNazanin" w:hAnsi="IRNazanin" w:eastAsia="IRNazanin"/>
          <w:color w:val="111111"/>
          <w:sz w:val="28"/>
          <w:sz w:val="28"/>
          <w:szCs w:val="28"/>
          <w:rtl w:val="true"/>
          <w:lang w:bidi="fa-IR"/>
        </w:rPr>
        <w:t>ولم یعن البیت، فیقول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واللّه دعوة إبراهیم التی من هوانا قلبه، قبلت حجّته، وإلاّ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قتادة، فإذا کان کذلک کان آمناً من عذاب جهنّم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قتادة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جرم واللّه لا فسّرتها إلاّ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جعفر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یا قتادة، إنّما یعرف القرآن من خوطب به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علیه‌السلام لیس شیء أبعد من عقول الرجال من تفسیر القرآن أنّ الآیة لیکون أوّلها فی شیء وآخرها فی شیء، وهو کلام متّصل ینصرف علی وجوه </w:t>
      </w:r>
      <w:r>
        <w:rPr>
          <w:rStyle w:val="FootnoteAnchor"/>
          <w:rtl w:val="true"/>
        </w:rPr>
        <w:footnoteReference w:id="738"/>
      </w:r>
      <w:r>
        <w:rPr>
          <w:rFonts w:ascii="IRNazanin" w:hAnsi="IRNazanin" w:eastAsia="IRNazanin"/>
          <w:color w:val="111111"/>
          <w:sz w:val="28"/>
          <w:sz w:val="28"/>
          <w:szCs w:val="28"/>
          <w:rtl w:val="true"/>
          <w:lang w:bidi="fa-IR"/>
        </w:rPr>
        <w:t>، فتحصّل ممّا ذکرنا أنّه لا یجوز تفسیر المتشابهات وبیان تأویلها إلاّ بالنصّ المعتبر عن‌النبیّ صلی‌الله‌علیه‌و‌آله أو أحد من ورّاث علمه من أوصیائه المعص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ومین علیهم‌السلام ، بل قد ظهر ممّا قدّمناه أنّ فی القرآن المجید ناسخاً ومنسوخاً وعاماً أرید به الخاص ومطلقاً أرید به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العکس فلا یجوز</w:t>
      </w:r>
    </w:p>
    <w:p>
      <w:pPr>
        <w:pStyle w:val="BookText"/>
        <w:rPr/>
      </w:pPr>
      <w:r>
        <w:rPr>
          <w:rFonts w:ascii="IRNazanin" w:hAnsi="IRNazanin" w:eastAsia="IRNazanin"/>
          <w:color w:val="111111"/>
          <w:sz w:val="28"/>
          <w:sz w:val="28"/>
          <w:szCs w:val="28"/>
          <w:rtl w:val="true"/>
          <w:lang w:bidi="fa-IR"/>
        </w:rPr>
        <w:t>العمل بمحکماته إلاّ بعد الرجوع إلی العلماء بها وهم الأئمّة المعصومین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 بجمیعها عندهم لا حظّ لأحد غیرهم فیها إلاّ من قبلهم، کما روی الکافی بإسناده عن سلیم عن قیس عن أمیر المؤمنین علیه‌السلام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نزلت آیة علی رسول اللّه صلی‌الله‌علیه‌و‌آله إلاّ أقرأنیها وأملأها علیَّ، فکتبتها بخطّی، وعلّمنی تأویلها وتفسیرها وناسخها ومنسوخها</w:t>
      </w:r>
    </w:p>
    <w:p>
      <w:pPr>
        <w:pStyle w:val="BookText"/>
        <w:rPr/>
      </w:pPr>
      <w:r>
        <w:rPr>
          <w:rFonts w:ascii="IRNazanin" w:hAnsi="IRNazanin" w:eastAsia="IRNazanin"/>
          <w:color w:val="111111"/>
          <w:sz w:val="28"/>
          <w:sz w:val="28"/>
          <w:szCs w:val="28"/>
          <w:rtl w:val="true"/>
          <w:lang w:bidi="fa-IR"/>
        </w:rPr>
        <w:t>ومحکمها ومتشابهها، ودعا اللّه أن یعلّمنی فهمها وحفظها، فما نسیت آیة من کتاب اللّه ولا علماً أملأهُ علیَّ، فکتبته منذ 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ترک شیئاً علّمه اللّه من حلالٍ ولا حرام، ولا أمرٍ ولا نهی کان أو یکون من طاعة أو معصیة إلاّ علّمنیه وحفظته فلم أنس حرفاً واحداً، ثمّ وضع</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یده علی صدری ودعا اللّه أن یملأ قلبی علماً وفهماً وحکمة ونوراً،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 xml:space="preserve">رسول‌اللّه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مُذ دعوت اللّه لی بما دعوت، لم أنس شیئاً ولم یفتنی شیء لم أکتبه، أوَ تتخوّف علیَّ النسیان فیما بعد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أتخوّف علیک نسیاناً وجهلاً</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وفی ذیل روایة أُخری قریبة من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أخبرنی ربّی أنّه قد استجاب لی فیک وفی شرکائک الّذین یکونون من بعدک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شرکائی من بعدی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w:t>
      </w:r>
    </w:p>
    <w:p>
      <w:pPr>
        <w:pStyle w:val="BookText"/>
        <w:rPr/>
      </w:pPr>
      <w:r>
        <w:rPr>
          <w:rFonts w:ascii="Amiri" w:hAnsi="Amiri" w:eastAsia="Amiri" w:cs="Amiri"/>
          <w:color w:val="111111"/>
          <w:sz w:val="28"/>
          <w:sz w:val="28"/>
          <w:szCs w:val="28"/>
          <w:rtl w:val="true"/>
          <w:lang w:bidi="ar-SA"/>
        </w:rPr>
        <w:t>قرنهم اللّه بنفسه وبی،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أَطِیعُوا اللّه‌َ وَأَطِیعُوا الرَّسُولَ وَأُولِی الأَمْرِ مِنْکُم </w:t>
      </w:r>
      <w:r>
        <w:rPr>
          <w:rFonts w:eastAsia="Amiri" w:cs="Amiri" w:ascii="Amiri" w:hAnsi="Amiri"/>
          <w:color w:val="111111"/>
          <w:sz w:val="28"/>
          <w:szCs w:val="28"/>
          <w:rtl w:val="true"/>
          <w:lang w:bidi="ar-SA"/>
        </w:rPr>
        <w:t>»</w:t>
      </w:r>
      <w:r>
        <w:rPr>
          <w:rStyle w:val="FootnoteAnchor"/>
          <w:rtl w:val="true"/>
        </w:rPr>
        <w:footnoteReference w:id="7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الأوصیاء منِّی إلی أن یردوا الحوض کلّهم هادین مهدیّین، لا یضرّهم من 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مع القرآن والقرآن معهم، لا یفارقهم ولا یفارقونه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یُنصرُ أُمّتی، وبهم یُمطر، وبهم یُدفع عنهم البلاء، وبهم یُستجاب دعاؤهم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سمّهم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ووضع یده علی رأس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ابنی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ووضع یده علی رأس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ابن لی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علیّ، وسیولد فی حیاتک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فاقرءه منِّی السلام، ثمّ تکملة اثنی عشر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w:t>
      </w:r>
      <w:r>
        <w:rPr>
          <w:rStyle w:val="FootnoteAnchor"/>
          <w:rtl w:val="true"/>
        </w:rPr>
        <w:footnoteReference w:id="741"/>
      </w:r>
      <w:r>
        <w:rPr>
          <w:rFonts w:ascii="Amiri" w:hAnsi="Amiri" w:eastAsia="Amiri" w:cs="Amiri"/>
          <w:color w:val="111111"/>
          <w:sz w:val="28"/>
          <w:sz w:val="28"/>
          <w:szCs w:val="28"/>
          <w:rtl w:val="true"/>
          <w:lang w:bidi="ar-SA"/>
        </w:rPr>
        <w:t>، سمِّهم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 رجلاً رجلاً، فقال</w:t>
      </w:r>
      <w:r>
        <w:rPr>
          <w:rStyle w:val="FootnoteAnchor"/>
          <w:rtl w:val="true"/>
        </w:rPr>
        <w:footnoteReference w:id="742"/>
      </w:r>
      <w:r>
        <w:rPr>
          <w:rFonts w:ascii="Amiri" w:hAnsi="Amiri" w:eastAsia="Amiri" w:cs="Amiri"/>
          <w:color w:val="111111"/>
          <w:sz w:val="28"/>
          <w:sz w:val="28"/>
          <w:szCs w:val="28"/>
          <w:rtl w:val="true"/>
          <w:lang w:bidi="ar-SA"/>
        </w:rPr>
        <w:t>فیهم واللّه یا أخا بنی هلال مهدیّ أُمّة محمّد الّذی یملأ الأرض قسطاً وعدلاً کما مُلِئَت ظُلماً وجوراً، واللّه إنِّی لأعرف من یبایعه بین الرّکن والمقام، وأعرف أسماء آبائهم</w:t>
      </w:r>
    </w:p>
    <w:p>
      <w:pPr>
        <w:pStyle w:val="BookText"/>
        <w:rPr/>
      </w:pPr>
      <w:r>
        <w:rPr>
          <w:rFonts w:ascii="IRNazanin" w:hAnsi="IRNazanin" w:eastAsia="IRNazanin"/>
          <w:color w:val="111111"/>
          <w:sz w:val="28"/>
          <w:sz w:val="28"/>
          <w:szCs w:val="28"/>
          <w:rtl w:val="true"/>
          <w:lang w:bidi="fa-IR"/>
        </w:rPr>
        <w:t>وقبائلهم</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وفیه بإسناده </w:t>
      </w:r>
      <w:r>
        <w:rPr>
          <w:rStyle w:val="FootnoteAnchor"/>
          <w:rtl w:val="true"/>
        </w:rPr>
        <w:footnoteReference w:id="744"/>
      </w:r>
      <w:r>
        <w:rPr>
          <w:rFonts w:ascii="IRNazanin" w:hAnsi="IRNazanin" w:eastAsia="IRNazanin"/>
          <w:color w:val="111111"/>
          <w:sz w:val="28"/>
          <w:sz w:val="28"/>
          <w:szCs w:val="28"/>
          <w:rtl w:val="true"/>
          <w:lang w:bidi="fa-IR"/>
        </w:rPr>
        <w:t>عن أبی جعفر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یستطیع أحد أن یدّعی عنده جمیع القرآن کلّه ظاهره وباطنه غیر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أبی عبداللّه علیه‌السلام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آیَاتٌ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بَیِّنَاتٌ فِی صُدُورِ الَّذِینَ أُوتُوا العِلْمَ </w:t>
      </w:r>
      <w:r>
        <w:rPr>
          <w:rFonts w:eastAsia="Amiri" w:cs="Amiri" w:ascii="Amiri" w:hAnsi="Amiri"/>
          <w:color w:val="111111"/>
          <w:sz w:val="28"/>
          <w:szCs w:val="28"/>
          <w:rtl w:val="true"/>
          <w:lang w:bidi="ar-SA"/>
        </w:rPr>
        <w:t xml:space="preserve">» </w:t>
      </w:r>
      <w:r>
        <w:rPr>
          <w:rStyle w:val="FootnoteAnchor"/>
          <w:rtl w:val="true"/>
        </w:rPr>
        <w:footnoteReference w:id="74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العلل بإسناده عنه علیه‌السلامأنّه قال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فقیه أهل العراق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 تفتیهم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 اللّه وسنّة نبیِّه،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کتاب اللّه حقّ معرفته وتعرف الناسخ والمنسوخ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ادّعیت علماً، ویلک ما جعل اللّه ذلک إلاّ عند أهل الکتاب الّذین</w:t>
      </w:r>
    </w:p>
    <w:p>
      <w:pPr>
        <w:pStyle w:val="BookText"/>
        <w:rPr/>
      </w:pPr>
      <w:r>
        <w:rPr>
          <w:rFonts w:ascii="IRNazanin" w:hAnsi="IRNazanin" w:eastAsia="IRNazanin"/>
          <w:color w:val="111111"/>
          <w:sz w:val="28"/>
          <w:sz w:val="28"/>
          <w:szCs w:val="28"/>
          <w:rtl w:val="true"/>
          <w:lang w:bidi="fa-IR"/>
        </w:rPr>
        <w:t>أنزله علیهم، ویلک ولا هو إلاّ عند الخاصّ من ذرّیة نبیّنا، وما أراک تعرف من کتابه حرفاً،</w:t>
      </w:r>
    </w:p>
    <w:p>
      <w:pPr>
        <w:pStyle w:val="BookText"/>
        <w:rPr/>
      </w:pPr>
      <w:r>
        <w:rPr>
          <w:rFonts w:ascii="Amiri" w:hAnsi="Amiri" w:eastAsia="Amiri" w:cs="Amiri"/>
          <w:color w:val="111111"/>
          <w:sz w:val="28"/>
          <w:sz w:val="28"/>
          <w:szCs w:val="28"/>
          <w:rtl w:val="true"/>
          <w:lang w:bidi="ar-SA"/>
        </w:rPr>
        <w:t>فإن کنت کما تقول، ولست کما تقول، فأخبرنی عن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سِیرُوا فِیهَا لَیالِیَ وَأَیَّاماً آمِنِینَ </w:t>
      </w:r>
      <w:r>
        <w:rPr>
          <w:rFonts w:eastAsia="Amiri" w:cs="Amiri" w:ascii="Amiri" w:hAnsi="Amiri"/>
          <w:color w:val="111111"/>
          <w:sz w:val="28"/>
          <w:szCs w:val="28"/>
          <w:rtl w:val="true"/>
          <w:lang w:bidi="ar-SA"/>
        </w:rPr>
        <w:t>»</w:t>
      </w:r>
      <w:r>
        <w:rPr>
          <w:rStyle w:val="FootnoteAnchor"/>
          <w:rtl w:val="true"/>
        </w:rPr>
        <w:footnoteReference w:id="746"/>
      </w:r>
      <w:r>
        <w:rPr>
          <w:rFonts w:ascii="IRNazanin" w:hAnsi="IRNazanin" w:eastAsia="IRNazanin"/>
          <w:color w:val="111111"/>
          <w:sz w:val="28"/>
          <w:sz w:val="28"/>
          <w:szCs w:val="28"/>
          <w:rtl w:val="true"/>
          <w:lang w:bidi="fa-IR"/>
        </w:rPr>
        <w:t>أین ذلک من الأرض؟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أحسبه ما بین مکّة والمدینة، فالتفت أبوعبداللّه علیه‌السلامإلی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أنّ الناس یقطع علیهم ما بین المدینة ومکّة فیؤخذ أموالهم ولا یؤمنون علی أنفسهم ویقتلون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أبو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Amiri" w:hAnsi="Amiri" w:eastAsia="Amiri" w:cs="Amiri"/>
          <w:color w:val="111111"/>
          <w:sz w:val="28"/>
          <w:sz w:val="28"/>
          <w:szCs w:val="28"/>
          <w:rtl w:val="true"/>
          <w:lang w:bidi="ar-SA"/>
        </w:rPr>
        <w:t xml:space="preserve">أبا حنیفة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دَخَلَهُ کانَ آمِناً </w:t>
      </w:r>
      <w:r>
        <w:rPr>
          <w:rFonts w:eastAsia="Amiri" w:cs="Amiri" w:ascii="Amiri" w:hAnsi="Amiri"/>
          <w:color w:val="111111"/>
          <w:sz w:val="28"/>
          <w:szCs w:val="28"/>
          <w:rtl w:val="true"/>
          <w:lang w:bidi="ar-SA"/>
        </w:rPr>
        <w:t xml:space="preserve">» </w:t>
      </w:r>
      <w:r>
        <w:rPr>
          <w:rStyle w:val="FootnoteAnchor"/>
          <w:rtl w:val="true"/>
        </w:rPr>
        <w:footnoteReference w:id="747"/>
      </w:r>
      <w:r>
        <w:rPr>
          <w:rFonts w:ascii="IRNazanin" w:hAnsi="IRNazanin" w:eastAsia="IRNazanin"/>
          <w:color w:val="111111"/>
          <w:sz w:val="28"/>
          <w:sz w:val="28"/>
          <w:szCs w:val="28"/>
          <w:rtl w:val="true"/>
          <w:lang w:bidi="fa-IR"/>
        </w:rPr>
        <w:t>أین ذلک من الأرض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الکعبة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أفتعلم أنّ الحجّاج بن یوسف حین وضع المنجنیق علی ابن الزبیر فی الکعبة فقتله، کان آمناً فیها ؟ فسکت، الخبر</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وروی العامّة </w:t>
      </w:r>
      <w:r>
        <w:rPr>
          <w:rStyle w:val="FootnoteAnchor"/>
          <w:rtl w:val="true"/>
        </w:rPr>
        <w:footnoteReference w:id="749"/>
      </w:r>
      <w:r>
        <w:rPr>
          <w:rFonts w:ascii="IRNazanin" w:hAnsi="IRNazanin" w:eastAsia="IRNazanin"/>
          <w:color w:val="111111"/>
          <w:sz w:val="28"/>
          <w:sz w:val="28"/>
          <w:szCs w:val="28"/>
          <w:rtl w:val="true"/>
          <w:lang w:bidi="fa-IR"/>
        </w:rPr>
        <w:t>أنّه قال علیّ علیه‌السلام لقاض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أتعرف الناسخ من المنسوخ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هلکت وأهلکت </w:t>
      </w:r>
      <w:r>
        <w:rPr>
          <w:rStyle w:val="FootnoteAnchor"/>
          <w:rtl w:val="true"/>
        </w:rPr>
        <w:footnoteReference w:id="750"/>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ممّا ذکرت عدم جواز العمل بمحکمات القرآن، لسقوط جمیع نصوص الکتاب وظواهره عن الحجّیة، للعلم الإجمالیّ بنسخ بعض أحکامها وتخصیص بعض عموماتها، وتقیید بعض مطلقاتها وإرادة المجاز من بعض ظواهرها، مع أنّک ادّعیت جواز العمل بالمحکمات للأدلّة المتقدِّمة من الأوامر الواردة بالتمسّک بالکتاب وعرض الشروط والأخبار المتعارضة علیه، وسیرة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الفحص فی الروایات المرویّة عن المعصومین علیهم‌السلاموتحصیل الناسخ والمخصّص والمبیّن والمقیّد بمقدار ینطبق علیه المعلوم بالإجمال ینحلّ العلم الاجمالیّ ویبقی أصالة الظهور وأصالة</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الحقیقة علی حجِّیّتها فی البقیّة بلا إشکال</w:t>
      </w:r>
      <w:r>
        <w:rPr>
          <w:rFonts w:eastAsia="Amiri" w:cs="Amiri" w:ascii="Amiri" w:hAnsi="Amiri"/>
          <w:color w:val="111111"/>
          <w:sz w:val="28"/>
          <w:szCs w:val="28"/>
          <w:rtl w:val="true"/>
          <w:lang w:bidi="ar-SA"/>
        </w:rPr>
        <w:t>.</w:t>
      </w:r>
      <w:bookmarkStart w:id="461" w:name="pg4391_51229"/>
    </w:p>
    <w:p>
      <w:pPr>
        <w:pStyle w:val="Heading5"/>
        <w:numPr>
          <w:ilvl w:val="4"/>
          <w:numId w:val="1"/>
        </w:numPr>
        <w:rPr/>
      </w:pPr>
      <w:bookmarkStart w:id="462" w:name="__RefHeading___Toc1438931_1479056682"/>
      <w:bookmarkStart w:id="463" w:name="_Toc174"/>
      <w:bookmarkEnd w:id="461"/>
      <w:bookmarkEnd w:id="462"/>
      <w:r>
        <w:rPr>
          <w:rtl w:val="true"/>
        </w:rPr>
        <w:t>الطُّرفة العشرون</w:t>
      </w:r>
      <w:r>
        <w:rPr>
          <w:rtl w:val="true"/>
        </w:rPr>
        <w:t xml:space="preserve">: </w:t>
      </w:r>
      <w:r>
        <w:rPr>
          <w:rtl w:val="true"/>
        </w:rPr>
        <w:t>فی تعریف النسخ وإمکان وقوعه فی أحکام اللّه تعالی وبیان الآیات الناسخة</w:t>
      </w:r>
      <w:bookmarkEnd w:id="463"/>
    </w:p>
    <w:p>
      <w:pPr>
        <w:pStyle w:val="BookText"/>
        <w:rPr/>
      </w:pPr>
      <w:r>
        <w:rPr>
          <w:rFonts w:ascii="IRNazanin" w:hAnsi="IRNazanin" w:eastAsia="IRNazanin"/>
          <w:color w:val="111111"/>
          <w:sz w:val="28"/>
          <w:sz w:val="28"/>
          <w:szCs w:val="28"/>
          <w:rtl w:val="true"/>
          <w:lang w:bidi="fa-IR"/>
        </w:rPr>
        <w:t>النسخ هو رفع الحکم الثابت فی الزمان السابق وإزالته، ولا شبهة فی حکم العقل بامکان وقوعه فی أحکام اللّه، ولیس من البداء المحال علی اللّه، ولا یلزم منه الجهل</w:t>
      </w:r>
    </w:p>
    <w:p>
      <w:pPr>
        <w:pStyle w:val="BookText"/>
        <w:rPr/>
      </w:pPr>
      <w:r>
        <w:rPr>
          <w:rFonts w:ascii="IRNazanin" w:hAnsi="IRNazanin" w:eastAsia="IRNazanin"/>
          <w:color w:val="111111"/>
          <w:sz w:val="28"/>
          <w:sz w:val="28"/>
          <w:szCs w:val="28"/>
          <w:rtl w:val="true"/>
          <w:lang w:bidi="fa-IR"/>
        </w:rPr>
        <w:t>الممتنع علیه ولا التجهیل القبیح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اتّفقت الشرائع علی وقوعه، إذ لم یکن شریعة</w:t>
      </w:r>
    </w:p>
    <w:p>
      <w:pPr>
        <w:pStyle w:val="BookText"/>
        <w:rPr/>
      </w:pPr>
      <w:r>
        <w:rPr>
          <w:rFonts w:ascii="IRNazanin" w:hAnsi="IRNazanin" w:eastAsia="IRNazanin"/>
          <w:color w:val="111111"/>
          <w:sz w:val="28"/>
          <w:sz w:val="28"/>
          <w:szCs w:val="28"/>
          <w:rtl w:val="true"/>
          <w:lang w:bidi="fa-IR"/>
        </w:rPr>
        <w:t>إلاّ وهی ناسخة لبعض أحکام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المقصود هنا بیان الآیات الناسخة</w:t>
      </w:r>
    </w:p>
    <w:p>
      <w:pPr>
        <w:pStyle w:val="BookText"/>
        <w:rPr/>
      </w:pPr>
      <w:r>
        <w:rPr>
          <w:rFonts w:ascii="IRNazanin" w:hAnsi="IRNazanin" w:eastAsia="IRNazanin"/>
          <w:color w:val="111111"/>
          <w:sz w:val="28"/>
          <w:sz w:val="28"/>
          <w:szCs w:val="28"/>
          <w:rtl w:val="true"/>
          <w:lang w:bidi="fa-IR"/>
        </w:rPr>
        <w:t>،وهی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ناسخة لأحکام الشرائع السابقة أو الأحکام الجاهلیة التی لم یردع عنهاالنبیّ صلی‌الله‌علیه‌و‌آله فی بدء بعثته لمداراة الناس، ولم ینزل فیها قرآن، وهی کثیرة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ناسخة لأحکام نزلت بها آیات قرآنیة، فکانت الناسخة والمنسوخة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هذا القسم اختلف کثیر من الخاصّة والعامّة، وأفرده جمع کثیر منهم بالتصنیف، ولا یذهب علیک أنّ المصطلح فی النسخ هو إزالة الحکم الّذی یکون ظاهر دلیله استمراره</w:t>
      </w:r>
    </w:p>
    <w:p>
      <w:pPr>
        <w:pStyle w:val="BookText"/>
        <w:rPr/>
      </w:pPr>
      <w:r>
        <w:rPr>
          <w:rFonts w:ascii="Amiri" w:hAnsi="Amiri" w:eastAsia="Amiri" w:cs="Amiri"/>
          <w:color w:val="111111"/>
          <w:sz w:val="28"/>
          <w:sz w:val="28"/>
          <w:szCs w:val="28"/>
          <w:rtl w:val="true"/>
          <w:lang w:bidi="ar-SA"/>
        </w:rPr>
        <w:t xml:space="preserve">بحکم آخر، وعلی هذا یکون عدّ بعض الآیات التی نزلت فی الوعد والوعید خارجة عن المصطلح والحقیقة، فعدّ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شَآءَ رَبُّکَ لَجَعَلَ النَّاسَ أُمَّةً وَاحِدَةً وَلاَ یَزَالُونَ مُخْتَلِفِینَ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رَبُّکَ وَلِذلِکَ خَلَقَهُمْ</w:t>
      </w:r>
      <w:r>
        <w:rPr>
          <w:rFonts w:eastAsia="Amiri" w:cs="Amiri" w:ascii="Amiri" w:hAnsi="Amiri"/>
          <w:color w:val="111111"/>
          <w:sz w:val="28"/>
          <w:szCs w:val="28"/>
          <w:rtl w:val="true"/>
          <w:lang w:bidi="ar-SA"/>
        </w:rPr>
        <w:t>»</w:t>
      </w:r>
      <w:r>
        <w:rPr>
          <w:rStyle w:val="FootnoteAnchor"/>
          <w:rtl w:val="true"/>
        </w:rPr>
        <w:footnoteReference w:id="751"/>
      </w:r>
      <w:r>
        <w:rPr>
          <w:rFonts w:ascii="Amiri" w:hAnsi="Amiri" w:eastAsia="Amiri" w:cs="Amiri"/>
          <w:color w:val="111111"/>
          <w:sz w:val="28"/>
          <w:sz w:val="28"/>
          <w:szCs w:val="28"/>
          <w:rtl w:val="true"/>
          <w:lang w:bidi="ar-SA"/>
        </w:rPr>
        <w:t xml:space="preserve">، ناسخة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مِنْکُم إِلاَّ وَارِدُها </w:t>
      </w:r>
      <w:r>
        <w:rPr>
          <w:rFonts w:eastAsia="Amiri" w:cs="Amiri" w:ascii="Amiri" w:hAnsi="Amiri"/>
          <w:color w:val="111111"/>
          <w:sz w:val="28"/>
          <w:szCs w:val="28"/>
          <w:rtl w:val="true"/>
          <w:lang w:bidi="ar-SA"/>
        </w:rPr>
        <w:t xml:space="preserve">» </w:t>
      </w:r>
      <w:r>
        <w:rPr>
          <w:rStyle w:val="FootnoteAnchor"/>
          <w:rtl w:val="true"/>
        </w:rPr>
        <w:footnoteReference w:id="752"/>
      </w:r>
      <w:r>
        <w:rPr>
          <w:rFonts w:ascii="IRNazanin" w:hAnsi="IRNazanin" w:eastAsia="IRNazanin"/>
          <w:color w:val="111111"/>
          <w:sz w:val="28"/>
          <w:sz w:val="28"/>
          <w:szCs w:val="28"/>
          <w:rtl w:val="true"/>
          <w:lang w:bidi="fa-IR"/>
        </w:rPr>
        <w:t>کما عن بعض لیس</w:t>
      </w:r>
    </w:p>
    <w:p>
      <w:pPr>
        <w:pStyle w:val="BookText"/>
        <w:rPr/>
      </w:pPr>
      <w:r>
        <w:rPr>
          <w:rFonts w:ascii="IRNazanin" w:hAnsi="IRNazanin" w:eastAsia="IRNazanin"/>
          <w:color w:val="111111"/>
          <w:sz w:val="28"/>
          <w:sz w:val="28"/>
          <w:szCs w:val="28"/>
          <w:rtl w:val="true"/>
          <w:lang w:bidi="fa-IR"/>
        </w:rPr>
        <w:t>علی حقیقته، وکذا عدّ الحکم المغایر للحکم السابق المغیّی بغایةٍ معیّنةٍ بعد بلوغ غایته،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فَاعْفُوا وَاصْفَحُوا حَتّی یَأْتِیَ اللّه‌ُ بِأَمْرِهِ </w:t>
      </w:r>
      <w:r>
        <w:rPr>
          <w:rFonts w:eastAsia="Amiri" w:cs="Amiri" w:ascii="Amiri" w:hAnsi="Amiri"/>
          <w:color w:val="111111"/>
          <w:sz w:val="28"/>
          <w:szCs w:val="28"/>
          <w:rtl w:val="true"/>
          <w:lang w:bidi="ar-SA"/>
        </w:rPr>
        <w:t>»</w:t>
      </w:r>
      <w:r>
        <w:rPr>
          <w:rStyle w:val="FootnoteAnchor"/>
          <w:rtl w:val="true"/>
        </w:rPr>
        <w:footnoteReference w:id="753"/>
      </w:r>
      <w:r>
        <w:rPr>
          <w:rFonts w:ascii="IRNazanin" w:hAnsi="IRNazanin" w:eastAsia="IRNazanin"/>
          <w:color w:val="111111"/>
          <w:sz w:val="28"/>
          <w:sz w:val="28"/>
          <w:szCs w:val="28"/>
          <w:rtl w:val="true"/>
          <w:lang w:bidi="fa-IR"/>
        </w:rPr>
        <w:t>، فإنّ حکم وجوب الجهاد لیس</w:t>
      </w:r>
    </w:p>
    <w:p>
      <w:pPr>
        <w:pStyle w:val="BookText"/>
        <w:rPr/>
      </w:pPr>
      <w:r>
        <w:rPr>
          <w:rFonts w:ascii="IRNazanin" w:hAnsi="IRNazanin" w:eastAsia="IRNazanin"/>
          <w:color w:val="111111"/>
          <w:sz w:val="28"/>
          <w:sz w:val="28"/>
          <w:szCs w:val="28"/>
          <w:rtl w:val="true"/>
          <w:lang w:bidi="fa-IR"/>
        </w:rPr>
        <w:t>ناسخاً لحکم وجوب العفو والصّفح، بل هو أمر اللّه الّذی کان غایةً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ملاحظة القیود المعتبرة فی المعنی الحقیقیّ للنسخ وملاحظة المقصود منه من کون الناسخ والمنسوخ کلیهما فی القرآن کان عدد الأحکام المنسوخة فیه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أربعة أحکام فی سورة البقرة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Style w:val="FootnoteAnchor"/>
          <w:rtl w:val="true"/>
        </w:rPr>
        <w:footnoteReference w:id="754"/>
      </w:r>
      <w:r>
        <w:rPr>
          <w:rFonts w:ascii="IRNazanin" w:hAnsi="IRNazanin" w:eastAsia="IRNazanin"/>
          <w:color w:val="111111"/>
          <w:sz w:val="28"/>
          <w:sz w:val="28"/>
          <w:szCs w:val="28"/>
          <w:rtl w:val="true"/>
          <w:lang w:bidi="fa-IR"/>
        </w:rPr>
        <w:t>، عن التهذیب والخصال عن الصادق علیه‌السلام وعن العیّاشیّ</w:t>
      </w:r>
      <w:r>
        <w:rPr>
          <w:rStyle w:val="FootnoteAnchor"/>
          <w:rtl w:val="true"/>
        </w:rPr>
        <w:footnoteReference w:id="755"/>
      </w:r>
      <w:r>
        <w:rPr>
          <w:rFonts w:ascii="Amiri" w:hAnsi="Amiri" w:eastAsia="Amiri" w:cs="Amiri"/>
          <w:color w:val="111111"/>
          <w:sz w:val="28"/>
          <w:sz w:val="28"/>
          <w:szCs w:val="28"/>
          <w:rtl w:val="true"/>
          <w:lang w:bidi="ar-SA"/>
        </w:rPr>
        <w:t xml:space="preserve">، عن الباقر علیه‌السلام أنّها نزلت فی أهل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أهل الکتاب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نسخها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الَّذِینَ لاَ یُؤْمِنُونَ بِاللّه‌ِ وَلاَ بِالْیَوْمِ الآخِرِ وَلاَ یُحَرِّمُونَ مَا حَرَّمَ اللّه‌ُ وَرَسُولُهُ وَلاَ یَدِینُونَ دِینَ الحَقِّ مِنَ الَّذِینَ أُوتُوا الکِتَابَ حَتَّی یُعْطُوا الجِزْیَةَ عَنْ یَدٍ وَهُم صَاغِرُونَ </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القمّیّ </w:t>
      </w:r>
      <w:r>
        <w:rPr>
          <w:rStyle w:val="FootnoteAnchor"/>
          <w:rtl w:val="true"/>
        </w:rPr>
        <w:footnoteReference w:id="757"/>
      </w:r>
      <w:r>
        <w:rPr>
          <w:rFonts w:ascii="Amiri" w:hAnsi="Amiri" w:eastAsia="Amiri" w:cs="Amiri"/>
          <w:color w:val="111111"/>
          <w:sz w:val="28"/>
          <w:sz w:val="28"/>
          <w:szCs w:val="28"/>
          <w:rtl w:val="true"/>
          <w:lang w:bidi="ar-SA"/>
        </w:rPr>
        <w:t>رحمه‌الله أنّها نزلت فی الیهود، ثمّ نسخت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المُشْرِکِینَ حَیْثُ</w:t>
      </w:r>
    </w:p>
    <w:p>
      <w:pPr>
        <w:pStyle w:val="BookText"/>
        <w:rPr/>
      </w:pPr>
      <w:r>
        <w:rPr>
          <w:rFonts w:ascii="Amiri" w:hAnsi="Amiri" w:eastAsia="Amiri" w:cs="Amiri"/>
          <w:color w:val="111111"/>
          <w:sz w:val="28"/>
          <w:sz w:val="28"/>
          <w:szCs w:val="28"/>
          <w:rtl w:val="true"/>
          <w:lang w:bidi="ar-SA"/>
        </w:rPr>
        <w:t xml:space="preserve">وَجَدْتُمُوهُم </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علیه بأنّ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وَقُولُوا لِلنَّاسِ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حکایة للحکم الّذی أخذ اللّه المیثاق من بنی إسرائیل علی العمل به، لأ نّه فی ضمن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مِیثَاقَ بَنِی إِسْرَائِیلَ لاَ تَعْبُدُونَ إِلاَّ اللّه‌َ وَبِالْوَالِدَیْنِ إِحْسَاناً وَذِی القُرْبی وَالیَتَامی وَالمَسَاکِین</w:t>
      </w:r>
      <w:r>
        <w:rPr>
          <w:rStyle w:val="FootnoteAnchor"/>
          <w:rtl w:val="true"/>
        </w:rPr>
        <w:footnoteReference w:id="759"/>
      </w:r>
      <w:r>
        <w:rPr>
          <w:rFonts w:ascii="Amiri" w:hAnsi="Amiri" w:eastAsia="Amiri" w:cs="Amiri"/>
          <w:color w:val="111111"/>
          <w:sz w:val="28"/>
          <w:sz w:val="28"/>
          <w:szCs w:val="28"/>
          <w:rtl w:val="true"/>
          <w:lang w:bidi="ar-SA"/>
        </w:rPr>
        <w:t xml:space="preserve">وَقُولُوا لِلنَّاسِ حُسْناً وَأَقِیمُوا الصَّلوةَ وَآتُوا الزَّکوةَ ثُمَّ تَوَلَّیْتُم إِلاَّ قَلِیلاً مِنْکُم وَأَنْتُم مُعْرِضُونَ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فلیس هذا الحکم من أحکام هذه الأُمّة حتّی یعدّ من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ویمکن دفعه بأنّ أخذ المیثاق والعهد</w:t>
      </w:r>
    </w:p>
    <w:p>
      <w:pPr>
        <w:pStyle w:val="BookText"/>
        <w:rPr/>
      </w:pPr>
      <w:r>
        <w:rPr>
          <w:rFonts w:ascii="IRNazanin" w:hAnsi="IRNazanin" w:eastAsia="IRNazanin"/>
          <w:color w:val="111111"/>
          <w:sz w:val="28"/>
          <w:sz w:val="28"/>
          <w:szCs w:val="28"/>
          <w:rtl w:val="true"/>
          <w:lang w:bidi="fa-IR"/>
        </w:rPr>
        <w:t>المؤکّد من بنی إسرائیل علی هذه الواجبات التی یحکم العقل بحُسنها، دالٌّ علی جریانه</w:t>
      </w:r>
    </w:p>
    <w:p>
      <w:pPr>
        <w:pStyle w:val="BookText"/>
        <w:rPr/>
      </w:pPr>
      <w:r>
        <w:rPr>
          <w:rFonts w:ascii="IRNazanin" w:hAnsi="IRNazanin" w:eastAsia="IRNazanin"/>
          <w:color w:val="111111"/>
          <w:sz w:val="28"/>
          <w:sz w:val="28"/>
          <w:szCs w:val="28"/>
          <w:rtl w:val="true"/>
          <w:lang w:bidi="fa-IR"/>
        </w:rPr>
        <w:t>فی جمیع الأعصار علی جمیع الأُمم، ولمّا کان المراد من الناس فی مخاطبة بنی إسرائیل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 قبیلتهم، لأ نّهم کانوا مأمورین بالجهاد مع غیرهم من الکفّار کانوا مخصوصین فی هذه الأُمّة المرحُومة بحُسن القول، والمخاطبة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وسیجیء عند تفسیر الآیة الکریمة بعض الکلام فیها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تَنْکِحُوا المُشْرِکَاتِ حَتّی یُؤْمِنَّ </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 وعن القمّیّ </w:t>
      </w:r>
      <w:r>
        <w:rPr>
          <w:rStyle w:val="FootnoteAnchor"/>
          <w:rtl w:val="true"/>
        </w:rPr>
        <w:footnoteReference w:id="761"/>
      </w:r>
      <w:r>
        <w:rPr>
          <w:rFonts w:ascii="Amiri" w:hAnsi="Amiri" w:eastAsia="Amiri" w:cs="Amiri"/>
          <w:color w:val="111111"/>
          <w:sz w:val="28"/>
          <w:sz w:val="28"/>
          <w:szCs w:val="28"/>
          <w:rtl w:val="true"/>
          <w:lang w:bidi="ar-SA"/>
        </w:rPr>
        <w:t>والنّعمانیّ رحمهماالله وکثیر من العامّة أنّها منسوخةٌ بقوله تعالی فی سورة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الیَوْمَ أُحِلَّ لَکُمُ الطَّیِّباتُ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حْصَنَاتُ مِنَ الَّذِینَ أُوتُوا الکِتَابَ مِنْ قَبْلِکُمْ إِذَا آتَیْتُمُوهُنَّ أُجُورَهُنَّ </w:t>
      </w:r>
      <w:r>
        <w:rPr>
          <w:rFonts w:eastAsia="Amiri" w:cs="Amiri" w:ascii="Amiri" w:hAnsi="Amiri"/>
          <w:color w:val="111111"/>
          <w:sz w:val="28"/>
          <w:szCs w:val="28"/>
          <w:rtl w:val="true"/>
          <w:lang w:bidi="ar-SA"/>
        </w:rPr>
        <w:t>»</w:t>
      </w:r>
      <w:r>
        <w:rPr>
          <w:rStyle w:val="FootnoteAnchor"/>
          <w:rtl w:val="true"/>
        </w:rPr>
        <w:footnoteReference w:id="7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القمّیّ 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تُنْکِحُوا المُشْرِکِینَ حَتّی یُؤْمِنُوا </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 xml:space="preserve">ولا یخفی أنّه قد اختلفت روایاتنا فی الناسخ منهما، ولیس فی المقام مجال البسط فی الکلام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یُتَوَفّونَ مِنْکُم وَیَذَرُونَ أَزْوَاجاً وَصِیَّةً لِأَزْوَاجِهِم مَتاعاً إِلَی الحَوْلِ غَیْرَ إِخْرَاجٍ </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روی العیّاشیّ </w:t>
      </w:r>
      <w:r>
        <w:rPr>
          <w:rStyle w:val="FootnoteAnchor"/>
          <w:rtl w:val="true"/>
        </w:rPr>
        <w:footnoteReference w:id="766"/>
      </w:r>
      <w:r>
        <w:rPr>
          <w:rFonts w:ascii="Amiri" w:hAnsi="Amiri" w:eastAsia="Amiri" w:cs="Amiri"/>
          <w:color w:val="111111"/>
          <w:sz w:val="28"/>
          <w:sz w:val="28"/>
          <w:szCs w:val="28"/>
          <w:rtl w:val="true"/>
          <w:lang w:bidi="ar-SA"/>
        </w:rPr>
        <w:t>والطّبرسیّ</w:t>
      </w:r>
      <w:r>
        <w:rPr>
          <w:rStyle w:val="FootnoteAnchor"/>
          <w:rtl w:val="true"/>
        </w:rPr>
        <w:footnoteReference w:id="767"/>
      </w:r>
      <w:r>
        <w:rPr>
          <w:rFonts w:ascii="IRNazanin" w:hAnsi="IRNazanin" w:eastAsia="IRNazanin"/>
          <w:color w:val="111111"/>
          <w:sz w:val="28"/>
          <w:sz w:val="28"/>
          <w:szCs w:val="28"/>
          <w:rtl w:val="true"/>
          <w:lang w:bidi="fa-IR"/>
        </w:rPr>
        <w:t>رحمهماالله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بدء الإسلام إذا مات الرجل، أنفق علی امرأته من صُلب المال حولاً، ثمّ أخرجت بلا میراث، ثمّ نسختها آیة الرُّبع</w:t>
      </w:r>
    </w:p>
    <w:p>
      <w:pPr>
        <w:pStyle w:val="BookText"/>
        <w:rPr/>
      </w:pPr>
      <w:r>
        <w:rPr>
          <w:rFonts w:ascii="Amiri" w:hAnsi="Amiri" w:eastAsia="Amiri" w:cs="Amiri"/>
          <w:color w:val="111111"/>
          <w:sz w:val="28"/>
          <w:sz w:val="28"/>
          <w:szCs w:val="28"/>
          <w:rtl w:val="true"/>
          <w:lang w:bidi="ar-SA"/>
        </w:rPr>
        <w:t>والثُّ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وعن الباقر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وخة، نسختها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یَتَرَبَّصْنَ بِأَ نْفُسِهِنَّ أَرْبَعَةَ أَشْهُرٍ وَعَشْراً </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 ونسختها آیات المیراث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نُسِخَت المدّةُ بآیة التربّص والنفقة بآیات المیراث، وهی وإن کانت متقدّمة فی الترتیب والتلاوة إلاّ أنّها متأخِّرة فی النزول، ویأتی بعض الکلام فیه عند تفسیرها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تُبْدُوا مَا فِی أَنْفُسِکُم أَوْ تُخْفُوهُ یُحَاسِبْکُم بِهِ اللّه‌ُ </w:t>
      </w:r>
      <w:r>
        <w:rPr>
          <w:rFonts w:eastAsia="Amiri" w:cs="Amiri" w:ascii="Amiri" w:hAnsi="Amiri"/>
          <w:color w:val="111111"/>
          <w:sz w:val="28"/>
          <w:szCs w:val="28"/>
          <w:rtl w:val="true"/>
          <w:lang w:bidi="ar-SA"/>
        </w:rPr>
        <w:t xml:space="preserve">» </w:t>
      </w:r>
      <w:r>
        <w:rPr>
          <w:rStyle w:val="FootnoteAnchor"/>
          <w:rtl w:val="true"/>
        </w:rPr>
        <w:footnoteReference w:id="769"/>
      </w:r>
      <w:r>
        <w:rPr>
          <w:rFonts w:ascii="IRNazanin" w:hAnsi="IRNazanin" w:eastAsia="IRNazanin"/>
          <w:color w:val="111111"/>
          <w:sz w:val="28"/>
          <w:sz w:val="28"/>
          <w:szCs w:val="28"/>
          <w:rtl w:val="true"/>
          <w:lang w:bidi="fa-IR"/>
        </w:rPr>
        <w:t>، فی</w:t>
      </w:r>
    </w:p>
    <w:p>
      <w:pPr>
        <w:pStyle w:val="BookText"/>
        <w:rPr/>
      </w:pPr>
      <w:r>
        <w:rPr>
          <w:rFonts w:ascii="IRNazanin" w:hAnsi="IRNazanin" w:eastAsia="IRNazanin"/>
          <w:color w:val="111111"/>
          <w:sz w:val="28"/>
          <w:sz w:val="28"/>
          <w:szCs w:val="28"/>
          <w:rtl w:val="true"/>
          <w:lang w:bidi="fa-IR"/>
        </w:rPr>
        <w:t>الاحتجاج عن الکاظم عن آبائه عن أمیر المؤمنین علیهم‌السلام فی حدیث یذکر مناقب‌النبیّ صلی‌الله‌علیه‌و‌آله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فَکَانَ قَابَ قَوْسَیْنِ أَوْ أَدْنی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إِلَی عَبْدِهِ مَا أَوْحی </w:t>
      </w:r>
      <w:r>
        <w:rPr>
          <w:rFonts w:eastAsia="Amiri" w:cs="Amiri" w:ascii="Amiri" w:hAnsi="Amiri"/>
          <w:color w:val="111111"/>
          <w:sz w:val="28"/>
          <w:szCs w:val="28"/>
          <w:rtl w:val="true"/>
          <w:lang w:bidi="ar-SA"/>
        </w:rPr>
        <w:t xml:space="preserve">» </w:t>
      </w:r>
      <w:r>
        <w:rPr>
          <w:rStyle w:val="FootnoteAnchor"/>
          <w:rtl w:val="true"/>
        </w:rPr>
        <w:footnoteReference w:id="770"/>
      </w:r>
      <w:r>
        <w:rPr>
          <w:rFonts w:ascii="Amiri" w:hAnsi="Amiri" w:eastAsia="Amiri" w:cs="Amiri"/>
          <w:color w:val="111111"/>
          <w:sz w:val="28"/>
          <w:sz w:val="28"/>
          <w:szCs w:val="28"/>
          <w:rtl w:val="true"/>
          <w:lang w:bidi="ar-SA"/>
        </w:rPr>
        <w:t>، فکان فیما أوحی إلیه الآیة التی فی سورة البقرة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مَا فِی السَّموَاتِ وَمَا فِی الأَرْضِ وَإِنْ تُبْدُوا مَا فِی أَنْفُسِکُم أَوْ تُخْفُوهُ یُحَاسِبْکُم بِهِ اللّه‌ُ فَیَغْفِرُ لِمَن یَشَاءُ وَیُعَذِّبُ مَن یَشَاءُ وَاللّه‌ُ عَلَی کُلِّ شَیْ‌ءٍ</w:t>
      </w:r>
    </w:p>
    <w:p>
      <w:pPr>
        <w:pStyle w:val="BookText"/>
        <w:rPr/>
      </w:pPr>
      <w:r>
        <w:rPr>
          <w:rFonts w:ascii="Amiri" w:hAnsi="Amiri" w:eastAsia="Amiri" w:cs="Amiri"/>
          <w:color w:val="111111"/>
          <w:sz w:val="28"/>
          <w:sz w:val="28"/>
          <w:szCs w:val="28"/>
          <w:rtl w:val="true"/>
          <w:lang w:bidi="ar-SA"/>
        </w:rPr>
        <w:t xml:space="preserve">قَدِیرٌ </w:t>
      </w:r>
      <w:r>
        <w:rPr>
          <w:rFonts w:eastAsia="Amiri" w:cs="Amiri" w:ascii="Amiri" w:hAnsi="Amiri"/>
          <w:color w:val="111111"/>
          <w:sz w:val="28"/>
          <w:szCs w:val="28"/>
          <w:rtl w:val="true"/>
          <w:lang w:bidi="ar-SA"/>
        </w:rPr>
        <w:t xml:space="preserve">» </w:t>
      </w:r>
      <w:r>
        <w:rPr>
          <w:rStyle w:val="FootnoteAnchor"/>
          <w:rtl w:val="true"/>
        </w:rPr>
        <w:footnoteReference w:id="771"/>
      </w:r>
      <w:r>
        <w:rPr>
          <w:rFonts w:ascii="IRNazanin" w:hAnsi="IRNazanin" w:eastAsia="IRNazanin"/>
          <w:color w:val="111111"/>
          <w:sz w:val="28"/>
          <w:sz w:val="28"/>
          <w:szCs w:val="28"/>
          <w:rtl w:val="true"/>
          <w:lang w:bidi="fa-IR"/>
        </w:rPr>
        <w:t>، وقد کانت الآیة عرضت علی الأنبیاء من لدن آدم إلی أن بعث اللّه تبارک اسْمُهُ محمّداً وعرضت علی الأُمم، فأبوا أن یقبلوها من ثقلها، وقَبَلَها رسول اللّه صلی‌الله‌علیه‌و‌آلهوعرضها علی أُمّته فقبلوها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اللّه عزّ وجلّ منهم القبول علی أنّهم لا یطیقونها، فلمّا صار إلی ساق العرش کرّر علیه الکلام لیفهمه،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آمَنَ الرَّسُولُ </w:t>
      </w:r>
      <w:r>
        <w:rPr>
          <w:rFonts w:eastAsia="IRNazanin" w:cs="IRNazanin"/>
          <w:color w:val="111111"/>
          <w:sz w:val="28"/>
          <w:szCs w:val="28"/>
          <w:rtl w:val="true"/>
          <w:lang w:bidi="fa-IR"/>
        </w:rPr>
        <w:t xml:space="preserve">» </w:t>
      </w:r>
      <w:r>
        <w:rPr>
          <w:rStyle w:val="FootnoteAnchor"/>
          <w:rtl w:val="true"/>
        </w:rPr>
        <w:footnoteReference w:id="772"/>
      </w:r>
      <w:r>
        <w:rPr>
          <w:rFonts w:ascii="Amiri" w:hAnsi="Amiri" w:eastAsia="Amiri" w:cs="Amiri"/>
          <w:color w:val="111111"/>
          <w:sz w:val="28"/>
          <w:sz w:val="28"/>
          <w:szCs w:val="28"/>
          <w:rtl w:val="true"/>
          <w:lang w:bidi="ar-SA"/>
        </w:rPr>
        <w:t>، إلی أن قال الکاظم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قبلت الآیة بتشدیدها وعظم ما فیها وقد عرضتها علی الأُمم فأبوا أن یقبلوها وقبلها أُمّتک، فحقّ علیَّ أن أرفعها عن أُمّتک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الفخر الرازیّ</w:t>
      </w:r>
      <w:r>
        <w:rPr>
          <w:rStyle w:val="FootnoteAnchor"/>
          <w:rtl w:val="true"/>
        </w:rPr>
        <w:footnoteReference w:id="773"/>
      </w:r>
      <w:r>
        <w:rPr>
          <w:rFonts w:ascii="IRNazanin" w:hAnsi="IRNazanin" w:eastAsia="IRNazanin"/>
          <w:color w:val="111111"/>
          <w:sz w:val="28"/>
          <w:sz w:val="28"/>
          <w:szCs w:val="28"/>
          <w:rtl w:val="true"/>
          <w:lang w:bidi="fa-IR"/>
        </w:rPr>
        <w:t xml:space="preserve">فی تفسیره </w:t>
      </w:r>
      <w:r>
        <w:rPr>
          <w:rStyle w:val="FootnoteAnchor"/>
          <w:rtl w:val="true"/>
        </w:rPr>
        <w:footnoteReference w:id="774"/>
      </w: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نزلت الآیة، جاء أبو بکر وعمر وعبدالرحمان بن عوف وناسٌ إلی‌النبیّ صلی‌الله‌علیه‌و‌آله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کلّفنا من العمل ما لا نطیق، إنّ أحدنا لیحدّث نفسه بما لا یحبّ أن یثبت فی قلبه وأنّ له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فلعلّکم 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ولون کما قال بنوا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سَمِعْنا وَعَصَیْنا </w:t>
      </w:r>
      <w:r>
        <w:rPr>
          <w:rFonts w:eastAsia="IRNazanin" w:cs="IRNazanin"/>
          <w:color w:val="111111"/>
          <w:sz w:val="28"/>
          <w:szCs w:val="28"/>
          <w:rtl w:val="true"/>
          <w:lang w:bidi="fa-IR"/>
        </w:rPr>
        <w:t xml:space="preserve">» </w:t>
      </w:r>
      <w:r>
        <w:rPr>
          <w:rStyle w:val="FootnoteAnchor"/>
          <w:rtl w:val="true"/>
        </w:rPr>
        <w:footnoteReference w:id="775"/>
      </w:r>
      <w:r>
        <w:rPr>
          <w:rFonts w:ascii="Amiri" w:hAnsi="Amiri" w:eastAsia="Amiri" w:cs="Amiri"/>
          <w:color w:val="111111"/>
          <w:sz w:val="28"/>
          <w:sz w:val="28"/>
          <w:szCs w:val="28"/>
          <w:rtl w:val="true"/>
          <w:lang w:bidi="ar-SA"/>
        </w:rPr>
        <w:t>، 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سَمِعْنَا وَأَطَعْنَا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واشتدّ ذلک علیهم فمکثوا فی ذلک حولاً،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لاَیُکَلِّفُ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776"/>
      </w:r>
      <w:r>
        <w:rPr>
          <w:rFonts w:ascii="IRNazanin" w:hAnsi="IRNazanin" w:eastAsia="IRNazanin"/>
          <w:color w:val="111111"/>
          <w:sz w:val="28"/>
          <w:sz w:val="28"/>
          <w:szCs w:val="28"/>
          <w:rtl w:val="true"/>
          <w:lang w:bidi="fa-IR"/>
        </w:rPr>
        <w:t xml:space="preserve">فنسخت هذه الآیة، فقال‌النبیّ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تجاوز عن أُمّتی ما حدّثوا به أنفسهم ما لم تُعلنوا وتتکلّموا به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دلّت هذه الروایة أنّ الرّهط الّذین شکوا إلی‌النبیّ صلی‌الله‌علیه‌و‌آله شدّة الآیة لم یکونوا داخلین فیمن قبلها، ولذلک قال لهم‌النبیّ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فلعلّکم تقولون کما قال بنو إسرائیل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وعصینا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فی الروایة أنّهم قالوا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سمعنا وأطعنا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أمرهم‌النبیّ صلی‌الله‌علیه‌و‌آلهبهذا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فی سورة آل عمران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الَّذِینَ آمَنُوا 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 اللّه‌َ حَقَّ 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قَاتِهِ </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 عن العیّاشیّ عن الصادق </w:t>
      </w:r>
      <w:r>
        <w:rPr>
          <w:rStyle w:val="FootnoteAnchor"/>
          <w:rtl w:val="true"/>
        </w:rPr>
        <w:footnoteReference w:id="779"/>
      </w:r>
      <w:r>
        <w:rPr>
          <w:rFonts w:ascii="IRNazanin" w:hAnsi="IRNazanin" w:eastAsia="IRNazanin"/>
          <w:color w:val="111111"/>
          <w:sz w:val="28"/>
          <w:sz w:val="28"/>
          <w:szCs w:val="28"/>
          <w:rtl w:val="true"/>
          <w:lang w:bidi="fa-IR"/>
        </w:rPr>
        <w:t>علیه‌السلام انّه سُئِلَ عنها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نسخها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قُوا اللّه‌َ مَا اسْتَطَعْتُم </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طرق العامّة </w:t>
      </w:r>
      <w:r>
        <w:rPr>
          <w:rStyle w:val="FootnoteAnchor"/>
          <w:rtl w:val="true"/>
        </w:rPr>
        <w:footnoteReference w:id="781"/>
      </w:r>
      <w:r>
        <w:rPr>
          <w:rFonts w:ascii="IRNazanin" w:hAnsi="IRNazanin" w:eastAsia="IRNazanin"/>
          <w:color w:val="111111"/>
          <w:sz w:val="28"/>
          <w:sz w:val="28"/>
          <w:szCs w:val="28"/>
          <w:rtl w:val="true"/>
          <w:lang w:bidi="fa-IR"/>
        </w:rPr>
        <w:t>عن ابن عبّاس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الآیة شقّ ذلک علی المسلمین،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یُطاع فلا یُعصی طرفَة عینٍ، وأن یشکر فلایکفر، وأن یذکر فلا ینسی، والعباد لا طاقة لهم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تعالی بعد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قُوا اللّه‌َ ما اسْتَطَعْتُم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ونسخت هذه الآیة أوّلها ولم ینسخ آخرها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والعباد لا طاقة لهم بذلک، هی الطاقة والقدرة العرفیة، وهی عدم العُسر والحَرَج فی العمل مع بقاء القدرة العقلیة، فیکون حاصل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أمر عباده بالتقوی الّذی فیه العُسر والحَرَج، ثمّ خفّف عنهم بأن أمرهم بالتقوی الّذی استطاعوه</w:t>
      </w:r>
    </w:p>
    <w:p>
      <w:pPr>
        <w:pStyle w:val="BookText"/>
        <w:rPr/>
      </w:pPr>
      <w:r>
        <w:rPr>
          <w:rFonts w:ascii="IRNazanin" w:hAnsi="IRNazanin" w:eastAsia="IRNazanin"/>
          <w:color w:val="111111"/>
          <w:sz w:val="28"/>
          <w:sz w:val="28"/>
          <w:szCs w:val="28"/>
          <w:rtl w:val="true"/>
          <w:lang w:bidi="fa-IR"/>
        </w:rPr>
        <w:t>بالاستطاعة العرفیة وهی ما لا حَرَج فیه، فلم یکن فی المنسوخ التکلیف بغیر المقدور حتّی یستدلّ به علی جوازه، کما ذهب إلیه المشهور من أهل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فی سورة النِّساء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وَاللاَّتِی یَأْتِینَ الفَاحِشَةَ مِن نِسَائِکُم فَاسْتَشْهِدُوا عَلَیْهِنَّ أَرْبَعَةً مِنْکُم فَإِنْ شَهِدُوا فَأَمْسِکُوهُنَّ فِی البُیُوتِ حَتَّی یَتَوَفَّاهُنَّ المَوْتُ أَوْ یَجْعَلَ اللّه‌ُ لَهُنَّ سَبِیلاً </w:t>
      </w:r>
      <w:r>
        <w:rPr>
          <w:rFonts w:eastAsia="Amiri" w:cs="Amiri" w:ascii="Amiri" w:hAnsi="Amiri"/>
          <w:color w:val="111111"/>
          <w:sz w:val="28"/>
          <w:szCs w:val="28"/>
          <w:rtl w:val="true"/>
          <w:lang w:bidi="ar-SA"/>
        </w:rPr>
        <w:t>»</w:t>
      </w:r>
      <w:r>
        <w:rPr>
          <w:rStyle w:val="FootnoteAnchor"/>
          <w:rtl w:val="true"/>
        </w:rPr>
        <w:footnoteReference w:id="7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علیه‌السلامأنّه سئل عن هذه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کانت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المرأة إذا فجرت، فقام علیها أربعة شهود، أُدخلت بیتاً ولم تحدّث ولم تکلّم</w:t>
      </w:r>
    </w:p>
    <w:p>
      <w:pPr>
        <w:pStyle w:val="BookText"/>
        <w:rPr/>
      </w:pPr>
      <w:r>
        <w:rPr>
          <w:rFonts w:ascii="IRNazanin" w:hAnsi="IRNazanin" w:eastAsia="IRNazanin"/>
          <w:color w:val="111111"/>
          <w:sz w:val="28"/>
          <w:sz w:val="28"/>
          <w:szCs w:val="28"/>
          <w:rtl w:val="true"/>
          <w:lang w:bidi="fa-IR"/>
        </w:rPr>
        <w:t>ولم تجالس، وأوتیت بطعامها وشرابها حتّی تموت أو یجعل اللّه لهنّ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p>
    <w:p>
      <w:pPr>
        <w:pStyle w:val="BookText"/>
        <w:rPr/>
      </w:pPr>
      <w:r>
        <w:rPr>
          <w:rFonts w:ascii="IRNazanin" w:hAnsi="IRNazanin" w:eastAsia="IRNazanin"/>
          <w:color w:val="111111"/>
          <w:sz w:val="28"/>
          <w:sz w:val="28"/>
          <w:szCs w:val="28"/>
          <w:rtl w:val="true"/>
          <w:lang w:bidi="fa-IR"/>
        </w:rPr>
        <w:t>السبیل الجلد والرّجم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العیّاشیّ عنه علیه‌السلام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وعن القمّیّ رحمه‌الله فیها وفی الآیة التی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وَاللَّذانِ یَأْتِیَانِها مِنْکُم فَآذُوهُما فَإِن تَابَا وَأَصْلَحَا فَأَعْرِضُوا عَنْهُما إِنَّ اللّه‌َ کَانَ تَوَّاباً رَحِیماً </w:t>
      </w:r>
      <w:r>
        <w:rPr>
          <w:rFonts w:eastAsia="Amiri" w:cs="Amiri" w:ascii="Amiri" w:hAnsi="Amiri"/>
          <w:color w:val="111111"/>
          <w:sz w:val="28"/>
          <w:szCs w:val="28"/>
          <w:rtl w:val="true"/>
          <w:lang w:bidi="ar-SA"/>
        </w:rPr>
        <w:t xml:space="preserve">» </w:t>
      </w:r>
      <w:r>
        <w:rPr>
          <w:rStyle w:val="FootnoteAnchor"/>
          <w:rtl w:val="true"/>
        </w:rPr>
        <w:footnoteReference w:id="78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الجاهلیة إذا زنی الرجل یؤذی، والمرأة تحبس إلی أن تموت، ثم</w:t>
      </w:r>
    </w:p>
    <w:p>
      <w:pPr>
        <w:pStyle w:val="BookText"/>
        <w:rPr/>
      </w:pPr>
      <w:r>
        <w:rPr>
          <w:rFonts w:ascii="Amiri" w:hAnsi="Amiri" w:eastAsia="Amiri" w:cs="Amiri"/>
          <w:color w:val="111111"/>
          <w:sz w:val="28"/>
          <w:sz w:val="28"/>
          <w:szCs w:val="28"/>
          <w:rtl w:val="true"/>
          <w:lang w:bidi="ar-SA"/>
        </w:rPr>
        <w:t>نسخ 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الزَّانِیَةُ وَالزَّانی فَاجْلِدُوا </w:t>
      </w:r>
      <w:r>
        <w:rPr>
          <w:rFonts w:eastAsia="Amiri" w:cs="Amiri" w:ascii="Amiri" w:hAnsi="Amiri"/>
          <w:color w:val="111111"/>
          <w:sz w:val="28"/>
          <w:szCs w:val="28"/>
          <w:rtl w:val="true"/>
          <w:lang w:bidi="ar-SA"/>
        </w:rPr>
        <w:t xml:space="preserve">» </w:t>
      </w:r>
      <w:r>
        <w:rPr>
          <w:rStyle w:val="FootnoteAnchor"/>
          <w:rtl w:val="true"/>
        </w:rPr>
        <w:footnoteReference w:id="785"/>
      </w:r>
      <w:r>
        <w:rPr>
          <w:rFonts w:ascii="IRNazanin" w:hAnsi="IRNazanin" w:eastAsia="IRNazanin"/>
          <w:color w:val="111111"/>
          <w:sz w:val="28"/>
          <w:sz w:val="28"/>
          <w:szCs w:val="28"/>
          <w:rtl w:val="true"/>
          <w:lang w:bidi="fa-IR"/>
        </w:rPr>
        <w:t xml:space="preserve">الآیة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أن یکون إطلاق النسخ بالنسبة إلی الآیة الأُولی علی خلاف المصطلح،</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لأنّ الحکم فیها معنیً بجعلِ السّبیل، فلا یکون جعل السّبیل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حَضَرَ القِسْمَةَ أُولُوا القُرْبی وَالیَتَامَی وَالمَسَاکِینُ فَارْزَقُوهُم مِنْهُ وَقُولُوا لَهُم قَوْلاً مَعْرُوفاً </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العیّاشیّ عن الباقر والصادق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نسختها آیة الفرائض، وعن القمّیّ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منسوخة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الباقر علیه‌السلام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أمنسوخة هی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إذا حضروک فأعطهم</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نسخها بلحاظ حکم الوجوب وعدم نسخها باعتبار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فی سورة الأنفال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یَکُن مِنْکُمْ عِشْرُونَ صَابِرُونَ یَغْلِبُوا مِائَتَیْنِ وَإِن یَکُنْ مِنْکُم مِائَةٌ یَغْلِبُوآ أَ لْفَاً </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فإنّه نسخ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الآنَ خَفَّفَ اللّه‌ُ عَنْکُمْ وَعَلِمَ أَنَّ فِیکُم ضَعْفاً فَإِنْ یَکُنْ مِنْکُم مِائَةٌ صَابِرَةٌ یَغْلِبُوا مِائَتَینِ وَإِن یَکُن مِنْکُم أَ لْفٌ یَغْلِبُوآ أَ لْفَیْنِ </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الکافی عن الصادق علیه‌السلام فی حدیث ذکر فیه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الرجلان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وعن‌القمّیّ ما یقرب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فی سورة الأحزاب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یَحِلُّ لَکَ النِّسآءُ مِن بَعْدُ </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فإنّه حکی بعض أصحابنا قولاً بأ نّها منسوخة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تُرجِی مَن تَشَآءُ مِنْهُنَّ وَتُؤْوِی إِلَیْکَ مَن تَشَآءُ </w:t>
      </w:r>
      <w:r>
        <w:rPr>
          <w:rFonts w:eastAsia="Amiri" w:cs="Amiri" w:ascii="Amiri" w:hAnsi="Amiri"/>
          <w:color w:val="111111"/>
          <w:sz w:val="28"/>
          <w:szCs w:val="28"/>
          <w:rtl w:val="true"/>
          <w:lang w:bidi="ar-SA"/>
        </w:rPr>
        <w:t xml:space="preserve">» </w:t>
      </w:r>
      <w:r>
        <w:rPr>
          <w:rStyle w:val="FootnoteAnchor"/>
          <w:rtl w:val="true"/>
        </w:rPr>
        <w:footnoteReference w:id="792"/>
      </w:r>
      <w:r>
        <w:rPr>
          <w:rFonts w:ascii="IRNazanin" w:hAnsi="IRNazanin" w:eastAsia="IRNazanin"/>
          <w:color w:val="111111"/>
          <w:sz w:val="28"/>
          <w:sz w:val="28"/>
          <w:szCs w:val="28"/>
          <w:rtl w:val="true"/>
          <w:lang w:bidi="fa-IR"/>
        </w:rPr>
        <w:t>ولم أظفر علی روایة دالّة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فی سورة المجادلة </w:t>
      </w:r>
      <w:r>
        <w:rPr>
          <w:rStyle w:val="FootnoteAnchor"/>
          <w:rtl w:val="true"/>
        </w:rPr>
        <w:footnoteReference w:id="793"/>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یَآ أ یُّها الَّذِینَ آمَنُوآ إِذَا نَاجَیْتُم الرَّسُولَ فَقَدِّمُوا بَیْنَ یَدَیْ نَجْوَاکُم صَدَقَةً </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علیه‌السلام أنّه سئل عن هذه الآیة،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 بن أبی طالب بین یَدَی نجواه صدقة، ثمّ نسخها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أَشْفَقْتُم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استدلّ الخاصّة والعامّة بهذه الآیة علی فضیلة</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أمیر المؤمنین علیه‌السلام علی غیره من الصحابة، وتقریره أنّه سبق سائر الصحابة إلی العمل بمضمونها، وبعد عمله بها نسخت، فکان نزولها بیاناً لأفضلیته علیهم، لمسارعته إلی قبول</w:t>
      </w:r>
    </w:p>
    <w:p>
      <w:pPr>
        <w:pStyle w:val="BookText"/>
        <w:rPr/>
      </w:pPr>
      <w:r>
        <w:rPr>
          <w:rFonts w:ascii="IRNazanin" w:hAnsi="IRNazanin" w:eastAsia="IRNazanin"/>
          <w:color w:val="111111"/>
          <w:sz w:val="28"/>
          <w:sz w:val="28"/>
          <w:szCs w:val="28"/>
          <w:rtl w:val="true"/>
          <w:lang w:bidi="fa-IR"/>
        </w:rPr>
        <w:t>أوامر اللّه تعالی والعمل بها قبلهم، فکان أفضل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تکذیب لمن یدّعی من أهل السنّة أنّ أبا بکر کان ذا مالٍ وکان یصرف أمواله فی سبیل اللّه، حیث أنّ من بخل بصدقة درهم أو درهمین بین یدی نجوی‌النبیّ صلی‌الله‌علیه‌و‌آله، ورضی بمفارقته عشرة أیّام وترک مکالمته، کیف یرضی بإنفاق المال الکثیر ؟</w:t>
      </w:r>
    </w:p>
    <w:p>
      <w:pPr>
        <w:pStyle w:val="BookText"/>
        <w:rPr/>
      </w:pPr>
      <w:r>
        <w:rPr>
          <w:rFonts w:ascii="Amiri" w:hAnsi="Amiri" w:eastAsia="Amiri" w:cs="Amiri"/>
          <w:color w:val="111111"/>
          <w:sz w:val="28"/>
          <w:sz w:val="28"/>
          <w:szCs w:val="28"/>
          <w:rtl w:val="true"/>
          <w:lang w:bidi="ar-SA"/>
        </w:rPr>
        <w:t>ومنها فی سورة المزّمّل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رَبَّکَ یَعْلَمُ أَ نَّکَ تَقُومُ أَدْنی مِن ثُلُثَیِ الَّیْلِ وَنِصْفَهُ</w:t>
      </w:r>
    </w:p>
    <w:p>
      <w:pPr>
        <w:pStyle w:val="BookText"/>
        <w:rPr/>
      </w:pPr>
      <w:r>
        <w:rPr>
          <w:rFonts w:ascii="Amiri" w:hAnsi="Amiri" w:eastAsia="Amiri" w:cs="Amiri"/>
          <w:color w:val="111111"/>
          <w:sz w:val="28"/>
          <w:sz w:val="28"/>
          <w:szCs w:val="28"/>
          <w:rtl w:val="true"/>
          <w:lang w:bidi="ar-SA"/>
        </w:rPr>
        <w:t xml:space="preserve">وَثُلُثَهُ </w:t>
      </w:r>
      <w:r>
        <w:rPr>
          <w:rFonts w:eastAsia="Amiri" w:cs="Amiri" w:ascii="Amiri" w:hAnsi="Amiri"/>
          <w:color w:val="111111"/>
          <w:sz w:val="28"/>
          <w:szCs w:val="28"/>
          <w:rtl w:val="true"/>
          <w:lang w:bidi="ar-SA"/>
        </w:rPr>
        <w:t xml:space="preserve">» </w:t>
      </w:r>
      <w:r>
        <w:rPr>
          <w:rStyle w:val="FootnoteAnchor"/>
          <w:rtl w:val="true"/>
        </w:rPr>
        <w:footnoteReference w:id="795"/>
      </w:r>
      <w:r>
        <w:rPr>
          <w:rFonts w:ascii="IRNazanin" w:hAnsi="IRNazanin" w:eastAsia="IRNazanin"/>
          <w:color w:val="111111"/>
          <w:sz w:val="28"/>
          <w:sz w:val="28"/>
          <w:szCs w:val="28"/>
          <w:rtl w:val="true"/>
          <w:lang w:bidi="fa-IR"/>
        </w:rPr>
        <w:t>، عن القمّیّ عن الباقر علیه‌السلام فی هذه الآیة، ففعل ذلک‌النبیّ صلی‌الله‌علیه‌و‌آله وبشّر الناس به واشتدّ ذلک علیهم وعلم أن لن یحصوه، وکان الرّجل یقوم ولا یدری متی ینتصف اللّیل ومتی یکون الثلثان، وکان الرجل یقوم حتّی یصبح مخافة أن لا یحفظه،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w:t>
      </w:r>
    </w:p>
    <w:p>
      <w:pPr>
        <w:pStyle w:val="BookText"/>
        <w:rPr/>
      </w:pPr>
      <w:r>
        <w:rPr>
          <w:rFonts w:ascii="Amiri" w:hAnsi="Amiri" w:eastAsia="Amiri" w:cs="Amiri"/>
          <w:color w:val="111111"/>
          <w:sz w:val="28"/>
          <w:sz w:val="28"/>
          <w:szCs w:val="28"/>
          <w:rtl w:val="true"/>
          <w:lang w:bidi="ar-SA"/>
        </w:rPr>
        <w:t xml:space="preserve">أَنْ لَنْ تُحْصُوهُ </w:t>
      </w:r>
      <w:r>
        <w:rPr>
          <w:rFonts w:eastAsia="Amiri" w:cs="Amiri" w:ascii="Amiri" w:hAnsi="Amiri"/>
          <w:color w:val="111111"/>
          <w:sz w:val="28"/>
          <w:szCs w:val="28"/>
          <w:rtl w:val="true"/>
          <w:lang w:bidi="ar-SA"/>
        </w:rPr>
        <w:t xml:space="preserve">» </w:t>
      </w:r>
      <w:r>
        <w:rPr>
          <w:rStyle w:val="FootnoteAnchor"/>
          <w:rtl w:val="true"/>
        </w:rPr>
        <w:footnoteReference w:id="796"/>
      </w:r>
      <w:r>
        <w:rPr>
          <w:rFonts w:ascii="Amiri" w:hAnsi="Amiri" w:eastAsia="Amiri" w:cs="Amiri"/>
          <w:color w:val="111111"/>
          <w:sz w:val="28"/>
          <w:sz w:val="28"/>
          <w:szCs w:val="28"/>
          <w:rtl w:val="true"/>
          <w:lang w:bidi="ar-SA"/>
        </w:rPr>
        <w:t>،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یکون النصف والثلث، نس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فَاقْرَءُوا مَا تَیَسَّرَ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عدّه العامّة من الآیات المنسوخة مضافاً إلی ما ذکر، فآیاتٌ،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 فی سورة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وَالَّذِینَ عَقَدَت أَیمانُکُم فَآ تُوهُم نَصِیبَهُم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الرجل یُعاقد الرجل،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دمی دمک، وهدمی هدمک، وسلمی سلمک، وحربی حربک، وتَرثنی وأَرثُک، وتعقل عنِّی وأعقل عنک، فیکون للحلیف السّدس من میراث الحلیف، فنسخ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وَأُولُوا الأَرْحَامِ بَعْضُهُم أَوْلَی بِبَعْضٍ </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عن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وَأُولُوا الأَرْحَامِ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نسخت فی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وَالَّذِینَ عَقَدَتْ أَیمانُکُم فَآ تُوهُم نَصِیبَهُم </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الکافی عن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والی الرّجل الرّجلَ فله میراثه وعلیه معقلته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دیة جنایة خطأه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هذه الروایة علی أنّها غیر منسوخة علی الإطلاق، ویجمع بینها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وبین الروایات السابقة بأنّ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أُولُوا الأَرْحَامِ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نسخت إطلاق حکمها وقیّدتها بصورة فقد أولی الأرحام کما علیه الأصحاب</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وقال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أعطوهم نصیبهم من النصر والعقل والرّفد ولا میراث، وعلی هذا فلا یکون أیضاً منسوخة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الَّذِینَ آمَنُوا کُتِبَ عَلَیْکُم الصِّیَامُ کَما کُتِبَ عَلَی</w:t>
      </w:r>
    </w:p>
    <w:p>
      <w:pPr>
        <w:pStyle w:val="BookText"/>
        <w:rPr/>
      </w:pPr>
      <w:r>
        <w:rPr>
          <w:rFonts w:ascii="Amiri" w:hAnsi="Amiri" w:eastAsia="Amiri" w:cs="Amiri"/>
          <w:color w:val="111111"/>
          <w:sz w:val="28"/>
          <w:sz w:val="28"/>
          <w:szCs w:val="28"/>
          <w:rtl w:val="true"/>
          <w:lang w:bidi="ar-SA"/>
        </w:rPr>
        <w:t xml:space="preserve">الَّذِینَ مِن قَبْلِکُم </w:t>
      </w:r>
      <w:r>
        <w:rPr>
          <w:rFonts w:eastAsia="Amiri" w:cs="Amiri" w:ascii="Amiri" w:hAnsi="Amiri"/>
          <w:color w:val="111111"/>
          <w:sz w:val="28"/>
          <w:szCs w:val="28"/>
          <w:rtl w:val="true"/>
          <w:lang w:bidi="ar-SA"/>
        </w:rPr>
        <w:t xml:space="preserve">» </w:t>
      </w:r>
      <w:r>
        <w:rPr>
          <w:rStyle w:val="FootnoteAnchor"/>
          <w:rtl w:val="true"/>
        </w:rPr>
        <w:footnoteReference w:id="800"/>
      </w:r>
      <w:r>
        <w:rPr>
          <w:rFonts w:ascii="Amiri" w:hAnsi="Amiri" w:eastAsia="Amiri" w:cs="Amiri"/>
          <w:color w:val="111111"/>
          <w:sz w:val="28"/>
          <w:sz w:val="28"/>
          <w:szCs w:val="28"/>
          <w:rtl w:val="true"/>
          <w:lang w:bidi="ar-SA"/>
        </w:rPr>
        <w:t>، فکان یحرم علیهم الجماع فی اللّیل مطلقاً علی قول، أو بعد صلاة العشاء، أو بعد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حکم صوم أهل الکتاب، فنسخ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لَکُم لَیْلَةَ الصِّیامِ الرَّفَثُ إلَی نِسَائِکُم </w:t>
      </w:r>
      <w:r>
        <w:rPr>
          <w:rFonts w:eastAsia="Amiri" w:cs="Amiri" w:ascii="Amiri" w:hAnsi="Amiri"/>
          <w:color w:val="111111"/>
          <w:sz w:val="28"/>
          <w:szCs w:val="28"/>
          <w:rtl w:val="true"/>
          <w:lang w:bidi="ar-SA"/>
        </w:rPr>
        <w:t xml:space="preserve">» </w:t>
      </w:r>
      <w:r>
        <w:rPr>
          <w:rStyle w:val="FootnoteAnchor"/>
          <w:rtl w:val="true"/>
        </w:rPr>
        <w:footnoteReference w:id="801"/>
      </w:r>
      <w:r>
        <w:rPr>
          <w:rFonts w:ascii="IRNazanin" w:hAnsi="IRNazanin" w:eastAsia="IRNazanin"/>
          <w:color w:val="111111"/>
          <w:sz w:val="28"/>
          <w:sz w:val="28"/>
          <w:szCs w:val="28"/>
          <w:rtl w:val="true"/>
          <w:lang w:bidi="fa-IR"/>
        </w:rPr>
        <w:t>، وببالی أنّ به قال النعمانیّ من أصحابنا، وفیه أنّه لا دلالة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 کُتِبَ عَلَی الَّذِینَ مِنْ قَبْلِکُم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حرمة الرّفث فی اللّیل للصائم، ولم یرد فی أخبار أهل البیت ما یدلّ علی إرادة هذا الحکم من التشبیه، بل فیها ما یدلّ علی خلافه، حیث أنّه فسّر بأنّ الصوم واجب علیکم کوجوبه علی سائر الأُمم أو علی خصوص الأنبیاء السّلف، وظاهر هذا التفسیر تشبیه الوجوب بالوجوب لا تشبیه الواجب بالواجب، مع أنّه لم یثبت أنّ من أحکام صوم الّذین من قبلهم حرمة الجماع علیهم باللّیل</w:t>
      </w:r>
    </w:p>
    <w:p>
      <w:pPr>
        <w:pStyle w:val="BookText"/>
        <w:rPr/>
      </w:pPr>
      <w:r>
        <w:rPr>
          <w:rFonts w:ascii="IRNazanin" w:hAnsi="IRNazanin" w:eastAsia="IRNazanin"/>
          <w:color w:val="111111"/>
          <w:sz w:val="28"/>
          <w:sz w:val="28"/>
          <w:szCs w:val="28"/>
          <w:rtl w:val="true"/>
          <w:lang w:bidi="fa-IR"/>
        </w:rPr>
        <w:t>حتّی یدخل فی کیفیات الصوم الّذی هو فی الشرع الإمساک فی النهار عن الأُمور المعیّنة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تلک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وَعَلَی الَّذِینَ یُطِیقُونَهُ فِدْیَةٌ طَعَامُ مِسْکِینٍ </w:t>
      </w:r>
      <w:r>
        <w:rPr>
          <w:rFonts w:eastAsia="Amiri" w:cs="Amiri" w:ascii="Amiri" w:hAnsi="Amiri"/>
          <w:color w:val="111111"/>
          <w:sz w:val="28"/>
          <w:szCs w:val="28"/>
          <w:rtl w:val="true"/>
          <w:lang w:bidi="ar-SA"/>
        </w:rPr>
        <w:t xml:space="preserve">» </w:t>
      </w:r>
      <w:r>
        <w:rPr>
          <w:rStyle w:val="FootnoteAnchor"/>
          <w:rtl w:val="true"/>
        </w:rPr>
        <w:footnoteReference w:id="8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المسلمون مخیّرین بین الصوم والفدیة فی أوّل الأمر، ثمّ نسخت بقوله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شَهِدَ مِنْکُم الشَّهْرَ فَلْیَصُمْهُ </w:t>
      </w:r>
      <w:r>
        <w:rPr>
          <w:rFonts w:eastAsia="Amiri" w:cs="Amiri" w:ascii="Amiri" w:hAnsi="Amiri"/>
          <w:color w:val="111111"/>
          <w:sz w:val="28"/>
          <w:szCs w:val="28"/>
          <w:rtl w:val="true"/>
          <w:lang w:bidi="ar-SA"/>
        </w:rPr>
        <w:t xml:space="preserve">» </w:t>
      </w:r>
      <w:r>
        <w:rPr>
          <w:rStyle w:val="FootnoteAnchor"/>
          <w:rtl w:val="true"/>
        </w:rPr>
        <w:footnoteReference w:id="803"/>
      </w:r>
      <w:r>
        <w:rPr>
          <w:rFonts w:ascii="IRNazanin" w:hAnsi="IRNazanin" w:eastAsia="IRNazanin"/>
          <w:color w:val="111111"/>
          <w:sz w:val="28"/>
          <w:sz w:val="28"/>
          <w:szCs w:val="28"/>
          <w:rtl w:val="true"/>
          <w:lang w:bidi="fa-IR"/>
        </w:rPr>
        <w:t>، والمروی عن الصادق علیه‌السلام، أنّ المراد بذلک الحامل المقرب والمرضعة القلیلة اللّبن والشیخ والشیخة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المرأة التی تخاف</w:t>
      </w:r>
    </w:p>
    <w:p>
      <w:pPr>
        <w:pStyle w:val="BookText"/>
        <w:rPr/>
      </w:pPr>
      <w:r>
        <w:rPr>
          <w:rFonts w:ascii="IRNazanin" w:hAnsi="IRNazanin" w:eastAsia="IRNazanin"/>
          <w:color w:val="111111"/>
          <w:sz w:val="28"/>
          <w:sz w:val="28"/>
          <w:szCs w:val="28"/>
          <w:rtl w:val="true"/>
          <w:lang w:bidi="fa-IR"/>
        </w:rPr>
        <w:t>علی ولدها والشیخ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الکبیر والّذی یأخذه 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هذه الروایات لیست الآیة منسوخة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تلک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عَلَیْکُم إِذَا حَضَرَ أَحَدَکُم المَوْتُ إِنْ تَرَکَ خَیْرَاً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الوَصِیَّةُ لِلْوَالِدَینِ وَالأَقْرَبِینَ </w:t>
      </w:r>
      <w:r>
        <w:rPr>
          <w:rFonts w:eastAsia="Amiri" w:cs="Amiri" w:ascii="Amiri" w:hAnsi="Amiri"/>
          <w:color w:val="111111"/>
          <w:sz w:val="28"/>
          <w:szCs w:val="28"/>
          <w:rtl w:val="true"/>
          <w:lang w:bidi="ar-SA"/>
        </w:rPr>
        <w:t xml:space="preserve">» </w:t>
      </w:r>
      <w:r>
        <w:rPr>
          <w:rStyle w:val="FootnoteAnchor"/>
          <w:rtl w:val="true"/>
        </w:rPr>
        <w:footnoteReference w:id="804"/>
      </w:r>
      <w:r>
        <w:rPr>
          <w:rFonts w:ascii="IRNazanin" w:hAnsi="IRNazanin" w:eastAsia="IRNazanin"/>
          <w:color w:val="111111"/>
          <w:sz w:val="28"/>
          <w:sz w:val="28"/>
          <w:szCs w:val="28"/>
          <w:rtl w:val="true"/>
          <w:lang w:bidi="fa-IR"/>
        </w:rPr>
        <w:t>، 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نسخت بآیة المیراث، وأنکر النسخ</w:t>
      </w:r>
    </w:p>
    <w:p>
      <w:pPr>
        <w:pStyle w:val="BookText"/>
        <w:rPr/>
      </w:pPr>
      <w:r>
        <w:rPr>
          <w:rFonts w:ascii="IRNazanin" w:hAnsi="IRNazanin" w:eastAsia="IRNazanin"/>
          <w:color w:val="111111"/>
          <w:sz w:val="28"/>
          <w:sz w:val="28"/>
          <w:szCs w:val="28"/>
          <w:rtl w:val="true"/>
          <w:lang w:bidi="fa-IR"/>
        </w:rPr>
        <w:t xml:space="preserve">بعض أصحابنا </w:t>
      </w:r>
      <w:r>
        <w:rPr>
          <w:rStyle w:val="FootnoteAnchor"/>
          <w:rtl w:val="true"/>
        </w:rPr>
        <w:footnoteReference w:id="8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أخبار کثیرة ببقاء حکمه، وإن روی العیّاشیّ عن أحدهما علیهماالسلام</w:t>
      </w:r>
    </w:p>
    <w:p>
      <w:pPr>
        <w:pStyle w:val="BookText"/>
        <w:rPr/>
      </w:pPr>
      <w:r>
        <w:rPr>
          <w:rFonts w:ascii="IRNazanin" w:hAnsi="IRNazanin" w:eastAsia="IRNazanin"/>
          <w:color w:val="111111"/>
          <w:sz w:val="28"/>
          <w:sz w:val="28"/>
          <w:szCs w:val="28"/>
          <w:rtl w:val="true"/>
          <w:lang w:bidi="fa-IR"/>
        </w:rPr>
        <w:t>أنّها منسوخة بآیة المواریث إلاّ أنّها محمولة علی التقیّة لموافقتها مذهب العامّة، ویحتمل</w:t>
      </w:r>
    </w:p>
    <w:p>
      <w:pPr>
        <w:pStyle w:val="BookText"/>
        <w:rPr/>
      </w:pPr>
      <w:r>
        <w:rPr>
          <w:rFonts w:ascii="IRNazanin" w:hAnsi="IRNazanin" w:eastAsia="IRNazanin"/>
          <w:color w:val="111111"/>
          <w:sz w:val="28"/>
          <w:sz w:val="28"/>
          <w:szCs w:val="28"/>
          <w:rtl w:val="true"/>
          <w:lang w:bidi="fa-IR"/>
        </w:rPr>
        <w:t>بعیداً حملها علی نسخ الوجوب مع بقاء الاستحباب والرجحان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تلک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یَسْأَ لُونَکَ عَنِ الشَّهْرِ الحَرَامِ قِتَالٌ فِیهِ </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المُشْرِکِینَ کَافَّةً </w:t>
      </w:r>
      <w:r>
        <w:rPr>
          <w:rFonts w:eastAsia="Amiri" w:cs="Amiri" w:ascii="Amiri" w:hAnsi="Amiri"/>
          <w:color w:val="111111"/>
          <w:sz w:val="28"/>
          <w:szCs w:val="28"/>
          <w:rtl w:val="true"/>
          <w:lang w:bidi="ar-SA"/>
        </w:rPr>
        <w:t xml:space="preserve">» </w:t>
      </w:r>
      <w:r>
        <w:rPr>
          <w:rStyle w:val="FootnoteAnchor"/>
          <w:rtl w:val="true"/>
        </w:rPr>
        <w:footnoteReference w:id="807"/>
      </w:r>
      <w:r>
        <w:rPr>
          <w:rFonts w:ascii="IRNazanin" w:hAnsi="IRNazanin" w:eastAsia="IRNazanin"/>
          <w:color w:val="111111"/>
          <w:sz w:val="28"/>
          <w:sz w:val="28"/>
          <w:szCs w:val="28"/>
          <w:rtl w:val="true"/>
          <w:lang w:bidi="fa-IR"/>
        </w:rPr>
        <w:t>، وفیه أنّ الآیة الأُولی مخصّصة للثانیة لا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المجمع أنّها لم تنسخ، لأ نّه لا یجوز أن یبتدأ المشرکون</w:t>
      </w:r>
    </w:p>
    <w:p>
      <w:pPr>
        <w:pStyle w:val="BookText"/>
        <w:rPr/>
      </w:pPr>
      <w:r>
        <w:rPr>
          <w:rFonts w:ascii="IRNazanin" w:hAnsi="IRNazanin" w:eastAsia="IRNazanin"/>
          <w:color w:val="111111"/>
          <w:sz w:val="28"/>
          <w:sz w:val="28"/>
          <w:szCs w:val="28"/>
          <w:rtl w:val="true"/>
          <w:lang w:bidi="fa-IR"/>
        </w:rPr>
        <w:t>فی الأشهر الحرم بالقتال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الشَّهْرَ الْحَرَامَ </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 قال بعض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الحکم</w:t>
      </w:r>
    </w:p>
    <w:p>
      <w:pPr>
        <w:pStyle w:val="BookText"/>
        <w:rPr/>
      </w:pPr>
      <w:r>
        <w:rPr>
          <w:rFonts w:ascii="IRNazanin" w:hAnsi="IRNazanin" w:eastAsia="IRNazanin"/>
          <w:color w:val="111111"/>
          <w:sz w:val="28"/>
          <w:sz w:val="28"/>
          <w:szCs w:val="28"/>
          <w:rtl w:val="true"/>
          <w:lang w:bidi="fa-IR"/>
        </w:rPr>
        <w:t>منسوخ بآیة القتال، وفیه أنّه روی عن الباقر علیه‌السلام أنّه لم ینسخ من سورة المائدة شیء،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وجه للقول بالنسخ مع إمکان التخصیص کما ذکرنا فی الآیة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تلک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جَاءُوکَ فَاحْکُم بَیْنَهُم أَوْ أَعْرِض عَنْهُم </w:t>
      </w:r>
      <w:r>
        <w:rPr>
          <w:rFonts w:eastAsia="Amiri" w:cs="Amiri" w:ascii="Amiri" w:hAnsi="Amiri"/>
          <w:color w:val="111111"/>
          <w:sz w:val="28"/>
          <w:szCs w:val="28"/>
          <w:rtl w:val="true"/>
          <w:lang w:bidi="ar-SA"/>
        </w:rPr>
        <w:t xml:space="preserve">» </w:t>
      </w:r>
      <w:r>
        <w:rPr>
          <w:rStyle w:val="FootnoteAnchor"/>
          <w:rtl w:val="true"/>
        </w:rPr>
        <w:footnoteReference w:id="809"/>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الآیة منسوخة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 احْکُم بَیْنَهُم بِمَا أَنْزَلَ اللّه‌ُ </w:t>
      </w:r>
      <w:r>
        <w:rPr>
          <w:rFonts w:eastAsia="Amiri" w:cs="Amiri" w:ascii="Amiri" w:hAnsi="Amiri"/>
          <w:color w:val="111111"/>
          <w:sz w:val="28"/>
          <w:szCs w:val="28"/>
          <w:rtl w:val="true"/>
          <w:lang w:bidi="ar-SA"/>
        </w:rPr>
        <w:t xml:space="preserve">» </w:t>
      </w:r>
      <w:r>
        <w:rPr>
          <w:rStyle w:val="FootnoteAnchor"/>
          <w:rtl w:val="true"/>
        </w:rPr>
        <w:footnoteReference w:id="810"/>
      </w:r>
      <w:r>
        <w:rPr>
          <w:rFonts w:ascii="IRNazanin" w:hAnsi="IRNazanin" w:eastAsia="IRNazanin"/>
          <w:color w:val="111111"/>
          <w:sz w:val="28"/>
          <w:sz w:val="28"/>
          <w:szCs w:val="28"/>
          <w:rtl w:val="true"/>
          <w:lang w:bidi="fa-IR"/>
        </w:rPr>
        <w:t xml:space="preserve">، وفیه أن روی فی التهذیب </w:t>
      </w:r>
      <w:r>
        <w:rPr>
          <w:rStyle w:val="FootnoteAnchor"/>
          <w:rtl w:val="true"/>
        </w:rPr>
        <w:footnoteReference w:id="811"/>
      </w:r>
      <w:r>
        <w:rPr>
          <w:rFonts w:ascii="IRNazanin" w:hAnsi="IRNazanin" w:eastAsia="IRNazanin"/>
          <w:color w:val="111111"/>
          <w:sz w:val="28"/>
          <w:sz w:val="28"/>
          <w:szCs w:val="28"/>
          <w:rtl w:val="true"/>
          <w:lang w:bidi="fa-IR"/>
        </w:rPr>
        <w:t>عن الباقر علیه‌السلام أنّ الحکم إذا أتاه أهل التوراة والإنجیل یتحاکمون إلیه، کان ذلک إلیه إن شاء حکم بینهم، وإن شاء ترکهم،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لا تکون منسوخة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تلک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 یُّها الَّذِینَ آمَنُوا شَهَادَةُ بَیْنِکُم إِذَا حَضَرَ أَحَدَکُم المَوْتُ حِینَ الوَصِ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یَّةِ اثْنانِ ذَوَا عَدْلٍ مِنْکُم أَو آخَرَانِ مِن 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یْرِکُم </w:t>
      </w:r>
      <w:r>
        <w:rPr>
          <w:rFonts w:eastAsia="Amiri" w:cs="Amiri" w:ascii="Amiri" w:hAnsi="Amiri"/>
          <w:color w:val="111111"/>
          <w:sz w:val="28"/>
          <w:szCs w:val="28"/>
          <w:rtl w:val="true"/>
          <w:lang w:bidi="ar-SA"/>
        </w:rPr>
        <w:t xml:space="preserve">» </w:t>
      </w:r>
      <w:r>
        <w:rPr>
          <w:rStyle w:val="FootnoteAnchor"/>
          <w:rtl w:val="true"/>
        </w:rPr>
        <w:footnoteReference w:id="81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وَأَشْهِدُوا ذَوَی عَدْلٍ مِنْکُم </w:t>
      </w:r>
      <w:r>
        <w:rPr>
          <w:rFonts w:eastAsia="Amiri" w:cs="Amiri" w:ascii="Amiri" w:hAnsi="Amiri"/>
          <w:color w:val="111111"/>
          <w:sz w:val="28"/>
          <w:szCs w:val="28"/>
          <w:rtl w:val="true"/>
          <w:lang w:bidi="ar-SA"/>
        </w:rPr>
        <w:t xml:space="preserve">» </w:t>
      </w:r>
      <w:r>
        <w:rPr>
          <w:rStyle w:val="FootnoteAnchor"/>
          <w:rtl w:val="true"/>
        </w:rPr>
        <w:footnoteReference w:id="813"/>
      </w:r>
      <w:r>
        <w:rPr>
          <w:rFonts w:ascii="IRNazanin" w:hAnsi="IRNazanin" w:eastAsia="IRNazanin"/>
          <w:color w:val="111111"/>
          <w:sz w:val="28"/>
          <w:sz w:val="28"/>
          <w:szCs w:val="28"/>
          <w:rtl w:val="true"/>
          <w:lang w:bidi="fa-IR"/>
        </w:rPr>
        <w:t>، وفیه أنّ التخصیص أولی من النسخ، وقد اتّفق النصّ والفتوی علی جواز شهادة أهل الکتاب إذا کانوا عدولاً فی دینهم فی خصوص الوصیّة فی السفر إذا لم یجد الموصی مسلماً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سورة البراءة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إِنْفِرُوا خِفَافاً وَثِقَالاً </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منسوخة بآیات العذر، وفیه أنّها مخصّصة لا 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خة کما یشهد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یَسْتَوِی القَاعِدُونَ مِنَ المُؤْمِنِینَ غَیْرُ أُولِی الضَّرَرِ وَالمُ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جاهِدُونَ فِی سَبِیلِ اللّه‌ِ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قوله تعالی فی سورة النُّور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الزَّانِی لاَ یَنْکِحُ إِلاَّ زَانِیَةً أَو مُشْرِکَةً وَالزَّانِیَةُ لاَ یَنْکِحُها</w:t>
      </w:r>
    </w:p>
    <w:p>
      <w:pPr>
        <w:pStyle w:val="BookText"/>
        <w:rPr/>
      </w:pPr>
      <w:r>
        <w:rPr>
          <w:rFonts w:ascii="Amiri" w:hAnsi="Amiri" w:eastAsia="Amiri" w:cs="Amiri"/>
          <w:color w:val="111111"/>
          <w:sz w:val="28"/>
          <w:sz w:val="28"/>
          <w:szCs w:val="28"/>
          <w:rtl w:val="true"/>
          <w:lang w:bidi="ar-SA"/>
        </w:rPr>
        <w:t xml:space="preserve">إِلاَّ زَانٍ أَوْ مُشْرِکٌ وَحُرِّمَ ذلِکَ عَلَی المُؤْمِنِین </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منسوخة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وَأَنْکِحُوا الأَیَامی مِنْکُم </w:t>
      </w:r>
      <w:r>
        <w:rPr>
          <w:rFonts w:eastAsia="Amiri" w:cs="Amiri" w:ascii="Amiri" w:hAnsi="Amiri"/>
          <w:color w:val="111111"/>
          <w:sz w:val="28"/>
          <w:szCs w:val="28"/>
          <w:rtl w:val="true"/>
          <w:lang w:bidi="ar-SA"/>
        </w:rPr>
        <w:t>»</w:t>
      </w:r>
      <w:r>
        <w:rPr>
          <w:rStyle w:val="FootnoteAnchor"/>
          <w:rtl w:val="true"/>
        </w:rPr>
        <w:footnoteReference w:id="8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أنّ ظاهر الآیة الأُولی تدلّ علی جواز نکاح الزّانی المسلم للمشرکة، وجواز نکاح المشرک للزّانیة المسلمة، والظاهر أنّ هذا الحکم لم یکن فی وقت</w:t>
      </w:r>
    </w:p>
    <w:p>
      <w:pPr>
        <w:pStyle w:val="BookText"/>
        <w:rPr/>
      </w:pPr>
      <w:r>
        <w:rPr>
          <w:rFonts w:ascii="IRNazanin" w:hAnsi="IRNazanin" w:eastAsia="IRNazanin"/>
          <w:color w:val="111111"/>
          <w:sz w:val="28"/>
          <w:sz w:val="28"/>
          <w:szCs w:val="28"/>
          <w:rtl w:val="true"/>
          <w:lang w:bidi="fa-IR"/>
        </w:rPr>
        <w:t>من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حمل الآیة علی الزانی والزانیة الکافرین 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وَحُرِّمَ ذلِکَ عَلَی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الواضح أنّ حرمة نکاح الزانی الکافر والمشرک للمؤمنة، ونکاح الزانیة الکافرة والمشرکة للمؤمن غیر منسوخة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وروایات أهل البیت وإن کانت متعارضة فی جواز نکاح الزانیة قبل التوبة، إلاّ أنّ الأخبار المانعة غیر معمول بها عند المشهور من أصحابنا، فلا بدّ من حملها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یثبت من طریق أهل البیت علیهم‌السلام نسخ لحکم الآیة الأُولی، بل الظاهر من الروایات العدیدة عدمه وتفسیرها بالمشهورات بالزنی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تلک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لِیَسْتَأْذِنْکُمُ الَّذِینَ مَلَکَتْ أَیْمَانُکُم وَالَّذِینَ لَمْ یَبْلُغُوا</w:t>
      </w:r>
    </w:p>
    <w:p>
      <w:pPr>
        <w:pStyle w:val="BookText"/>
        <w:rPr/>
      </w:pPr>
      <w:r>
        <w:rPr>
          <w:rFonts w:ascii="Amiri" w:hAnsi="Amiri" w:eastAsia="Amiri" w:cs="Amiri"/>
          <w:color w:val="111111"/>
          <w:sz w:val="28"/>
          <w:sz w:val="28"/>
          <w:szCs w:val="28"/>
          <w:rtl w:val="true"/>
          <w:lang w:bidi="ar-SA"/>
        </w:rPr>
        <w:t xml:space="preserve">الحُلُمَ مِنْکُمْ ثَلاَثَ مَرَّاتٍ </w:t>
      </w:r>
      <w:r>
        <w:rPr>
          <w:rFonts w:eastAsia="Amiri" w:cs="Amiri" w:ascii="Amiri" w:hAnsi="Amiri"/>
          <w:color w:val="111111"/>
          <w:sz w:val="28"/>
          <w:szCs w:val="28"/>
          <w:rtl w:val="true"/>
          <w:lang w:bidi="ar-SA"/>
        </w:rPr>
        <w:t>»</w:t>
      </w:r>
      <w:r>
        <w:rPr>
          <w:rStyle w:val="FootnoteAnchor"/>
          <w:rtl w:val="true"/>
        </w:rPr>
        <w:footnoteReference w:id="818"/>
      </w:r>
      <w:r>
        <w:rPr>
          <w:rFonts w:ascii="IRNazanin" w:hAnsi="IRNazanin" w:eastAsia="IRNazanin"/>
          <w:color w:val="111111"/>
          <w:sz w:val="28"/>
          <w:sz w:val="28"/>
          <w:szCs w:val="28"/>
          <w:rtl w:val="true"/>
          <w:lang w:bidi="fa-IR"/>
        </w:rPr>
        <w:t>،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منسوخة ولم یذکر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وأنکره بعض آخر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أظفر فی روایاتنا ما یدلّ علی نسخها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یَحِلُّ لَکَ النِّساءُ مِن بَعْد </w:t>
      </w:r>
      <w:r>
        <w:rPr>
          <w:rFonts w:eastAsia="Amiri" w:cs="Amiri" w:ascii="Amiri" w:hAnsi="Amiri"/>
          <w:color w:val="111111"/>
          <w:sz w:val="28"/>
          <w:szCs w:val="28"/>
          <w:rtl w:val="true"/>
          <w:lang w:bidi="ar-SA"/>
        </w:rPr>
        <w:t>»</w:t>
      </w:r>
      <w:r>
        <w:rPr>
          <w:rStyle w:val="FootnoteAnchor"/>
          <w:rtl w:val="true"/>
        </w:rPr>
        <w:footnoteReference w:id="819"/>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منسوخة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أَحْلَلْنا لَکَ أَزْوَاجَکَ اللاَّتِی</w:t>
      </w:r>
      <w:r>
        <w:rPr>
          <w:rFonts w:eastAsia="Amiri" w:cs="Amiri" w:ascii="Amiri" w:hAnsi="Amiri"/>
          <w:color w:val="111111"/>
          <w:sz w:val="28"/>
          <w:szCs w:val="28"/>
          <w:rtl w:val="true"/>
          <w:lang w:bidi="ar-SA"/>
        </w:rPr>
        <w:t xml:space="preserve">» </w:t>
      </w:r>
      <w:r>
        <w:rPr>
          <w:rStyle w:val="FootnoteAnchor"/>
          <w:rtl w:val="true"/>
        </w:rPr>
        <w:footnoteReference w:id="820"/>
      </w:r>
      <w:r>
        <w:rPr>
          <w:rFonts w:ascii="IRNazanin" w:hAnsi="IRNazanin" w:eastAsia="IRNazanin"/>
          <w:color w:val="111111"/>
          <w:sz w:val="28"/>
          <w:sz w:val="28"/>
          <w:szCs w:val="28"/>
          <w:rtl w:val="true"/>
          <w:lang w:bidi="fa-IR"/>
        </w:rPr>
        <w:t>الآیة، فیه أنّه لم أفهم له وجه ولم یرد فیه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الممتحنة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فَآتُوا الَّذِینَ ذَهَبَتْ أَزْوَاجُهُم مِثْلَ مَا أَنْفَقُوا </w:t>
      </w:r>
      <w:r>
        <w:rPr>
          <w:rFonts w:eastAsia="Amiri" w:cs="Amiri" w:ascii="Amiri" w:hAnsi="Amiri"/>
          <w:color w:val="111111"/>
          <w:sz w:val="28"/>
          <w:szCs w:val="28"/>
          <w:rtl w:val="true"/>
          <w:lang w:bidi="ar-SA"/>
        </w:rPr>
        <w:t xml:space="preserve">» </w:t>
      </w:r>
      <w:r>
        <w:rPr>
          <w:rStyle w:val="FootnoteAnchor"/>
          <w:rtl w:val="true"/>
        </w:rPr>
        <w:footnoteReference w:id="821"/>
      </w:r>
      <w:r>
        <w:rPr>
          <w:rFonts w:ascii="IRNazanin" w:hAnsi="IRNazanin" w:eastAsia="IRNazanin"/>
          <w:color w:val="111111"/>
          <w:sz w:val="28"/>
          <w:sz w:val="28"/>
          <w:szCs w:val="28"/>
          <w:rtl w:val="true"/>
          <w:lang w:bidi="fa-IR"/>
        </w:rPr>
        <w:t>، قال بعض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منسوخة بآیة السیف وبعض آخر بآیة الغنیمة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قوله تعالی فی سورة المنافقین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وَأَنْفِقُوا مِمَّا رَزَقْنَاکُم </w:t>
      </w:r>
      <w:r>
        <w:rPr>
          <w:rFonts w:eastAsia="Amiri" w:cs="Amiri" w:ascii="Amiri" w:hAnsi="Amiri"/>
          <w:color w:val="111111"/>
          <w:sz w:val="28"/>
          <w:szCs w:val="28"/>
          <w:rtl w:val="true"/>
          <w:lang w:bidi="ar-SA"/>
        </w:rPr>
        <w:t xml:space="preserve">» </w:t>
      </w:r>
      <w:r>
        <w:rPr>
          <w:rStyle w:val="FootnoteAnchor"/>
          <w:rtl w:val="true"/>
        </w:rPr>
        <w:footnoteReference w:id="822"/>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منسوخة بآیة الزّکاة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قوله تعالی فی سورة التِّین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لَیْسَ اللّه‌ُ بِأَحْکَمِ الحَاکِمِ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ینَ </w:t>
      </w:r>
      <w:r>
        <w:rPr>
          <w:rFonts w:eastAsia="Amiri" w:cs="Amiri" w:ascii="Amiri" w:hAnsi="Amiri"/>
          <w:color w:val="111111"/>
          <w:sz w:val="28"/>
          <w:szCs w:val="28"/>
          <w:rtl w:val="true"/>
          <w:lang w:bidi="ar-SA"/>
        </w:rPr>
        <w:t xml:space="preserve">» </w:t>
      </w:r>
      <w:r>
        <w:rPr>
          <w:rStyle w:val="FootnoteAnchor"/>
          <w:rtl w:val="true"/>
        </w:rPr>
        <w:footnoteReference w:id="823"/>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وخة بآیة 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هذه الآیات الثلاث وإن کان احتمال النسخ قریباً إلاّ أنّه لم یرد به نصّ من طرق أصحابنا</w:t>
      </w:r>
      <w:r>
        <w:rPr>
          <w:rFonts w:eastAsia="IRNazanin" w:cs="IRNazanin"/>
          <w:color w:val="111111"/>
          <w:sz w:val="28"/>
          <w:szCs w:val="28"/>
          <w:rtl w:val="true"/>
          <w:lang w:bidi="fa-IR"/>
        </w:rPr>
        <w:t>.</w:t>
      </w:r>
      <w:bookmarkStart w:id="464" w:name="pg4391_51240"/>
    </w:p>
    <w:p>
      <w:pPr>
        <w:pStyle w:val="Heading5"/>
        <w:numPr>
          <w:ilvl w:val="4"/>
          <w:numId w:val="1"/>
        </w:numPr>
        <w:rPr/>
      </w:pPr>
      <w:bookmarkStart w:id="465" w:name="__RefHeading___Toc1438933_1479056682"/>
      <w:bookmarkStart w:id="466" w:name="_Toc175"/>
      <w:bookmarkEnd w:id="464"/>
      <w:bookmarkEnd w:id="465"/>
      <w:r>
        <w:rPr>
          <w:rtl w:val="true"/>
        </w:rPr>
        <w:t>الطُّرفة الحادیة والعشرون</w:t>
      </w:r>
      <w:r>
        <w:rPr>
          <w:rtl w:val="true"/>
        </w:rPr>
        <w:t xml:space="preserve">: </w:t>
      </w:r>
      <w:r>
        <w:rPr>
          <w:rtl w:val="true"/>
        </w:rPr>
        <w:t>فی إبطال عدّ نسخ التلاوة من أقسام النسخ</w:t>
      </w:r>
      <w:bookmarkEnd w:id="466"/>
    </w:p>
    <w:p>
      <w:pPr>
        <w:pStyle w:val="BookText"/>
        <w:rPr/>
      </w:pPr>
      <w:r>
        <w:rPr>
          <w:rFonts w:ascii="IRNazanin" w:hAnsi="IRNazanin" w:eastAsia="IRNazanin"/>
          <w:color w:val="111111"/>
          <w:sz w:val="28"/>
          <w:sz w:val="28"/>
          <w:szCs w:val="28"/>
          <w:rtl w:val="true"/>
          <w:lang w:bidi="fa-IR"/>
        </w:rPr>
        <w:t>قد عدّ جمع من العامّة من أقسام النسخ نسخ التلاوة، وذکروا لذلک أمثلة من عبارات مرویّة عن عمر وابنه عبداللّه وعائشة وغیرهم من الصحابة، وهذا من الأغلاط المشهورة بینهم، والعبادات المنق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ولة التی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الآیات المنسوخة التلاوة لا تشبه کلمات</w:t>
      </w:r>
    </w:p>
    <w:p>
      <w:pPr>
        <w:pStyle w:val="BookText"/>
        <w:rPr/>
      </w:pPr>
      <w:r>
        <w:rPr>
          <w:rFonts w:ascii="IRNazanin" w:hAnsi="IRNazanin" w:eastAsia="IRNazanin"/>
          <w:color w:val="111111"/>
          <w:sz w:val="28"/>
          <w:sz w:val="28"/>
          <w:szCs w:val="28"/>
          <w:rtl w:val="true"/>
          <w:lang w:bidi="fa-IR"/>
        </w:rPr>
        <w:t>فصحاء العرب فضلاً عن آیات القرآن المجید، والمتأمِّل المنصف یقطع بأ نّها ممّا اختلقه</w:t>
      </w:r>
    </w:p>
    <w:p>
      <w:pPr>
        <w:pStyle w:val="BookText"/>
        <w:rPr/>
      </w:pPr>
      <w:r>
        <w:rPr>
          <w:rFonts w:ascii="IRNazanin" w:hAnsi="IRNazanin" w:eastAsia="IRNazanin"/>
          <w:color w:val="111111"/>
          <w:sz w:val="28"/>
          <w:sz w:val="28"/>
          <w:szCs w:val="28"/>
          <w:rtl w:val="true"/>
          <w:lang w:bidi="fa-IR"/>
        </w:rPr>
        <w:t>المنافقون لتخریب أساس الدِّین وتوهین الکتاب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ویؤیِّد ذلک بل یشهد علیه أنّه لم ینقل عن أمیر المؤمنین علیه‌السلام وابن عبّاس والمعتمدین من أصحاب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أمثال هذه الروایات مع کونهم أعرف بآیات القرآن من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والعجب من بعض العامّة حیث إنّهم أنکروا هذا القسم من النسخ ونفوا کون هذه العبارات المنقولة من القرآن مستدلاًّ بأنّ الأخبار الواردة أخبار آحاد، ولا یجوز القطع علی إنزال القرآن ونسخه بأخبار آحاد لا حجّةَ فیها، مع أنّ العبارات الباردة المنقولة التی أکثرها روایة ما سمّوه آیة الرّجم</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لا یخفی علی المتأمِّل فی آیات الکتاب الکریم أنّ القول بسقوط آیة الرجم دالّة علی وجود النقص فی القرآن وهو خلاف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 بعض رواة الشیعة بها، ینبغی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صدرت هذه الأخبار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والعامّة رووا عن عمر بن الخطّاب أنّه ادّعی أنّ آیة الرّجم من القرآن، ولکنّه لمّا کان وحده لم یقبل منه زید بن ثابت ولم یکتبها فی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قولهم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الشیخ والشیخة إذا زنیا فاجلدوهما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وفی 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فارجموهما ألبتّة فإنّهما قضیا الشهوة نکالاً من اللّه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البتّة بما قضیا من اللّذّةِ نکالاً منَ اللّه واللّه‌ُ عزیزٌ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ینادی عند کلّ ذی مسکة بأ نّه لیس من کلام اللّه المنزل للإعجاز، بل یستفاد ممّا رواه بعضهم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یقول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عمر فی</w:t>
      </w:r>
    </w:p>
    <w:p>
      <w:pPr>
        <w:pStyle w:val="BookText"/>
        <w:rPr/>
      </w:pPr>
      <w:r>
        <w:rPr>
          <w:rFonts w:ascii="IRNazanin" w:hAnsi="IRNazanin" w:eastAsia="IRNazanin"/>
          <w:color w:val="111111"/>
          <w:sz w:val="28"/>
          <w:sz w:val="28"/>
          <w:szCs w:val="28"/>
          <w:rtl w:val="true"/>
          <w:lang w:bidi="fa-IR"/>
        </w:rPr>
        <w:t xml:space="preserve">کتاب اللّه لکتبتها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آیة الرّجم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یکن أحد مطّلعاً علی هذه العبارة التی سمّوها</w:t>
      </w:r>
    </w:p>
    <w:p>
      <w:pPr>
        <w:pStyle w:val="BookText"/>
        <w:rPr/>
      </w:pPr>
      <w:r>
        <w:rPr>
          <w:rFonts w:ascii="IRNazanin" w:hAnsi="IRNazanin" w:eastAsia="IRNazanin"/>
          <w:color w:val="111111"/>
          <w:sz w:val="28"/>
          <w:sz w:val="28"/>
          <w:szCs w:val="28"/>
          <w:rtl w:val="true"/>
          <w:lang w:bidi="fa-IR"/>
        </w:rPr>
        <w:t>آیة مع أنّ مقتضی کثیر من روایاتهم أنّه کان یکتب آیات القرآن بشهادة شاهدین، فلعلّ</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اجترائه علی کتابتها فی القرآن لعلم جمیع الناس بأنّ مثل هذه العبارة لیس بکلام اللّه ولا من آیات القرآن، وأنّه لیس إضافتها إلی الکتاب العزیز إلاّ فریة وبهتان</w:t>
      </w:r>
      <w:r>
        <w:rPr>
          <w:rFonts w:eastAsia="IRNazanin" w:cs="IRNazanin"/>
          <w:color w:val="111111"/>
          <w:sz w:val="28"/>
          <w:szCs w:val="28"/>
          <w:rtl w:val="true"/>
          <w:lang w:bidi="fa-IR"/>
        </w:rPr>
        <w:t>.</w:t>
      </w:r>
      <w:bookmarkStart w:id="467" w:name="pg4391_51242"/>
    </w:p>
    <w:p>
      <w:pPr>
        <w:pStyle w:val="Heading5"/>
        <w:numPr>
          <w:ilvl w:val="4"/>
          <w:numId w:val="1"/>
        </w:numPr>
        <w:rPr/>
      </w:pPr>
      <w:bookmarkStart w:id="468" w:name="__RefHeading___Toc1438935_1479056682"/>
      <w:bookmarkStart w:id="469" w:name="_Toc176"/>
      <w:bookmarkEnd w:id="467"/>
      <w:bookmarkEnd w:id="468"/>
      <w:r>
        <w:rPr>
          <w:rtl w:val="true"/>
        </w:rPr>
        <w:t>الطُّرفة الثانیة والعشرون</w:t>
      </w:r>
      <w:r>
        <w:rPr>
          <w:rtl w:val="true"/>
        </w:rPr>
        <w:t xml:space="preserve">: </w:t>
      </w:r>
      <w:r>
        <w:rPr>
          <w:rtl w:val="true"/>
        </w:rPr>
        <w:t>فی أنّ للقرآن المجید ظهراً وبطناً وبیان المراد منهما</w:t>
      </w:r>
      <w:bookmarkEnd w:id="469"/>
    </w:p>
    <w:p>
      <w:pPr>
        <w:pStyle w:val="BookText"/>
        <w:rPr/>
      </w:pPr>
      <w:r>
        <w:rPr>
          <w:rFonts w:ascii="IRNazanin" w:hAnsi="IRNazanin" w:eastAsia="IRNazanin"/>
          <w:color w:val="111111"/>
          <w:sz w:val="28"/>
          <w:sz w:val="28"/>
          <w:szCs w:val="28"/>
          <w:rtl w:val="true"/>
          <w:lang w:bidi="fa-IR"/>
        </w:rPr>
        <w:t>قد تظافرت أو تواترت الروایات من طرق الخاصّة والعامّة فی أنّ للقرآن العظیم ظهراً وبطناً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الباقر علیه‌السلامأنّه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للقرآن بطناً وللبطن بطن وظهر، أو للظهر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القرآن آیة إلاّ ولها ظهر وبطن</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قد ذکر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وللبطن بطن وله ظهر وللظهر 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تمام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علیه‌السلام عن شیء فی تفسیر القرآن فأجابنی، ثمّ سألته ثانیة فأجابنی بجواب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کنت أجبت فی هذه المسألة بجواب غیر هذا قبل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علیه‌السلاملی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للقرآن بطنا وللبطن ظهرا، یا جابر ولیس شیءٌ أبعد من عقول الرِّجال من تفسیر القرآن، أنّ الآیة لتکون أوّلها فی شیءٍ، وآخرها وفی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وأوسطها وآخرها فی شیءٍ وهو کلام متّصل یتصرّف علی وجوهٍ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الصافی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البرهان فی تفسیر القرآن للبحرانیّ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وعن‌النبیّ صلی‌الله‌علیه‌و‌آله بسند عامِّیّ أنّ للقرآن ظهراً وبطناً وحَدّاً ومطلعاً إلی غیر ذلک من الروایات</w:t>
      </w:r>
      <w:r>
        <w:rPr>
          <w:rStyle w:val="FootnoteAnchor"/>
          <w:rtl w:val="true"/>
        </w:rPr>
        <w:footnoteReference w:id="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المراد من ظهر القرآن ظواهر آیاته التی یفهمها کلّ أحد من مدلولاتها المطابقیة والالتزامیة الظاهرة، ومن باطنه دلالاته الالتزامیّة الخفیّة وإشاراته</w:t>
      </w:r>
    </w:p>
    <w:p>
      <w:pPr>
        <w:pStyle w:val="BookText"/>
        <w:rPr/>
      </w:pPr>
      <w:r>
        <w:rPr>
          <w:rFonts w:ascii="IRNazanin" w:hAnsi="IRNazanin" w:eastAsia="IRNazanin"/>
          <w:color w:val="111111"/>
          <w:sz w:val="28"/>
          <w:sz w:val="28"/>
          <w:szCs w:val="28"/>
          <w:rtl w:val="true"/>
          <w:lang w:bidi="fa-IR"/>
        </w:rPr>
        <w:t>الإیهامیّة، ولطائفه ودقائقه وما یستفاد منه بعموم العلّة أو إقوائیة الملاک أو خصوصیّة</w:t>
      </w:r>
    </w:p>
    <w:p>
      <w:pPr>
        <w:pStyle w:val="BookText"/>
        <w:rPr/>
      </w:pPr>
      <w:r>
        <w:rPr>
          <w:rFonts w:ascii="IRNazanin" w:hAnsi="IRNazanin" w:eastAsia="IRNazanin"/>
          <w:color w:val="111111"/>
          <w:sz w:val="28"/>
          <w:sz w:val="28"/>
          <w:szCs w:val="28"/>
          <w:rtl w:val="true"/>
          <w:lang w:bidi="fa-IR"/>
        </w:rPr>
        <w:t>الکلمات والحروف أو بعلم الحساب والأعداد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کلّ واحد من هذه الطرق ممّا یستفاد به من الآیات علوم وفیرة هی تکون له بطون کثیرة، کما روی أنّ للقرآن ظهراً وبطناً ولبطنه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بطن إلی سبعة أبطن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یطلق علی ظهره التنزیل وعلی بطنه التأویل، کما روی 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ظهره تنزیله وبطنه تأویله، وإلی ما ذکرنا من معنی الظهر والبطن أشار</w:t>
      </w:r>
    </w:p>
    <w:p>
      <w:pPr>
        <w:pStyle w:val="BookText"/>
        <w:rPr/>
      </w:pPr>
      <w:r>
        <w:rPr>
          <w:rFonts w:ascii="IRNazanin" w:hAnsi="IRNazanin" w:eastAsia="IRNazanin"/>
          <w:color w:val="111111"/>
          <w:sz w:val="28"/>
          <w:sz w:val="28"/>
          <w:szCs w:val="28"/>
          <w:rtl w:val="true"/>
          <w:lang w:bidi="fa-IR"/>
        </w:rPr>
        <w:t>الصادق علیه‌السلامبقوله 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علی أربعة 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العبارة والإشارة واللّطائف والحقائق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للعوامّ، والإشارة للخواصّ، واللّطائف للأولیاء، والحقائق للأنبیاء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آیة إلاّ ولها أربعة معان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وباطن وحدّ ومطلع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التلاوة، والباطن الفهم، والحدّ هو أحکام الحلال والحرام، والمطلع هو مراد اللّه من العبد بها</w:t>
      </w:r>
      <w:r>
        <w:rPr>
          <w:rStyle w:val="FootnoteAnchor"/>
          <w:rtl w:val="true"/>
        </w:rPr>
        <w:footnoteReference w:id="828"/>
      </w:r>
      <w:r>
        <w:rPr>
          <w:rFonts w:ascii="IRNazanin" w:hAnsi="IRNazanin" w:eastAsia="IRNazanin"/>
          <w:color w:val="111111"/>
          <w:sz w:val="28"/>
          <w:sz w:val="28"/>
          <w:szCs w:val="28"/>
          <w:rtl w:val="true"/>
          <w:lang w:bidi="fa-IR"/>
        </w:rPr>
        <w:t>والظاهر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والباطن الفهم، فهم ما وراء الظاهر من العلوم الکثیرة بالطرق المذکورة المعلومة عندهم، بل یستفاد من بعض الأخبار أنّ علوم‌النبیّ صلی‌الله‌علیه‌و‌آلهوأوصیائه علیهم‌السلام مستفاد من القرآن العظیم، والقرآن مظهر للعلوم الغیر المتناهیة الإلهیة ومجلاه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تجلّی اللّه تعالی فی کلامه، ولکن الناس لا یبصرون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عنه علیه‌السلام 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عندکم من رسول اللّه صلی‌الله‌علیه‌و‌آله شیء من الوحی سوی القرآن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والّذی فلق الحبّ وبرأ النسمة إلاّ أن یعطی عبداً فهماً فی کتابه </w:t>
      </w:r>
      <w:r>
        <w:rPr>
          <w:rStyle w:val="FootnoteAnchor"/>
          <w:rtl w:val="true"/>
        </w:rPr>
        <w:footnoteReference w:id="830"/>
      </w:r>
      <w:r>
        <w:rPr>
          <w:rFonts w:ascii="IRNazanin" w:hAnsi="IRNazanin" w:eastAsia="IRNazanin"/>
          <w:color w:val="111111"/>
          <w:sz w:val="28"/>
          <w:sz w:val="28"/>
          <w:szCs w:val="28"/>
          <w:rtl w:val="true"/>
          <w:lang w:bidi="fa-IR"/>
        </w:rPr>
        <w:t>، والظاهر أنّ المراد من إعطاء الفهم إنارةُ قلب العبد وتقویةُ عقله، وجودةُ ذهنه، وتکمیلُ قوّته النظریة، وتعلیمُه طرق الاستفادة، وتوضیح المقام بمقدار یسعه الإفهام أنّه لا شبهة أنّ لکلّ موجود</w:t>
      </w:r>
    </w:p>
    <w:p>
      <w:pPr>
        <w:pStyle w:val="BookText"/>
        <w:rPr/>
      </w:pPr>
      <w:r>
        <w:rPr>
          <w:rFonts w:ascii="IRNazanin" w:hAnsi="IRNazanin" w:eastAsia="IRNazanin"/>
          <w:color w:val="111111"/>
          <w:sz w:val="28"/>
          <w:sz w:val="28"/>
          <w:szCs w:val="28"/>
          <w:rtl w:val="true"/>
          <w:lang w:bidi="fa-IR"/>
        </w:rPr>
        <w:t>وجودات مختلفة فی عالم الألفاظ وعالم الذهن وعالم المثل والصّور وعالم الحقائق علی اختلاف مراتبها ودرجاتها قوّةً وضعفاً وسعةً وضیقاً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حقّق فی محلّه أنّ کلّ عالم</w:t>
      </w:r>
    </w:p>
    <w:p>
      <w:pPr>
        <w:pStyle w:val="BookText"/>
        <w:rPr/>
      </w:pPr>
      <w:r>
        <w:rPr>
          <w:rFonts w:ascii="IRNazanin" w:hAnsi="IRNazanin" w:eastAsia="IRNazanin"/>
          <w:color w:val="111111"/>
          <w:sz w:val="28"/>
          <w:sz w:val="28"/>
          <w:szCs w:val="28"/>
          <w:rtl w:val="true"/>
          <w:lang w:bidi="fa-IR"/>
        </w:rPr>
        <w:t>مرتبط بالعوالم الأُخر، وقشر لما فیه مستتر ولکلّ وجود آثار فی عالمه، ولکلّ أثر ملاک</w:t>
      </w:r>
    </w:p>
    <w:p>
      <w:pPr>
        <w:pStyle w:val="BookText"/>
        <w:rPr/>
      </w:pPr>
      <w:r>
        <w:rPr>
          <w:rFonts w:ascii="IRNazanin" w:hAnsi="IRNazanin" w:eastAsia="IRNazanin"/>
          <w:color w:val="111111"/>
          <w:sz w:val="28"/>
          <w:sz w:val="28"/>
          <w:szCs w:val="28"/>
          <w:rtl w:val="true"/>
          <w:lang w:bidi="fa-IR"/>
        </w:rPr>
        <w:t>وأثر وحِکَم ومصالح بلا عدّ ومرّ، فمن زکت نفسه وکملت جودته ینتقل ذهنه مِن عالمٍ إلی</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ومن مناسبٍ إلی مناسبٍ، ومن ملزومٍ إلی لازمٍ، ومن مؤثرٍ إلی أثرٍ، ومن أثرٍ إلی أثرٍ، ما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رَزَقَهُ اللّه فهمَ کتابه یصل من ظاهره إلی لُبابه، ومنها إلی دقائقه، ومنها إلی حقائقه، حتّی یبلغ إلی درجة لا یخفی علیه خافیة، ویحیط بحقائق الأشیاء فی عوالمها کماهی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حکی الفیض </w:t>
      </w:r>
      <w:r>
        <w:rPr>
          <w:rStyle w:val="FootnoteAnchor"/>
          <w:rtl w:val="true"/>
        </w:rPr>
        <w:footnoteReference w:id="831"/>
      </w:r>
      <w:r>
        <w:rPr>
          <w:rFonts w:ascii="IRNazanin" w:hAnsi="IRNazanin" w:eastAsia="IRNazanin"/>
          <w:color w:val="111111"/>
          <w:sz w:val="28"/>
          <w:sz w:val="28"/>
          <w:szCs w:val="28"/>
          <w:rtl w:val="true"/>
          <w:lang w:bidi="fa-IR"/>
        </w:rPr>
        <w:t>رحمه‌الله عن بعض أهل المعرفة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 بالشیء إمّا یستفاد من الحسّ برؤیة أو تجربة أو سماع خبر أو شهادة أو اجتهاد أو نحو ذلک، ومثل هذا العلم</w:t>
      </w:r>
    </w:p>
    <w:p>
      <w:pPr>
        <w:pStyle w:val="BookText"/>
        <w:rPr/>
      </w:pPr>
      <w:r>
        <w:rPr>
          <w:rFonts w:ascii="IRNazanin" w:hAnsi="IRNazanin" w:eastAsia="IRNazanin"/>
          <w:color w:val="111111"/>
          <w:sz w:val="28"/>
          <w:sz w:val="28"/>
          <w:szCs w:val="28"/>
          <w:rtl w:val="true"/>
          <w:lang w:bidi="fa-IR"/>
        </w:rPr>
        <w:t>لا یکون إلاّ فاسداً متغیّراً محسوراً متناهیاً غیر محیط، لأ نّه إنّما یتعلّق بالشیء فی زمان وجوده علم وقبل وجوده علم آخر وبعد وجوده علم ثالث، وهکذا کعلوم أکثر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یستفاد من مبادئه وأسبابه وغایاته کان علماً واحداً کلّیاً بسیطاً محیطاً علی وجه عقلیّ غیر متغیِّر، فإنّه ما من شیءٍ إلاّ وله سببٌ ولسببه سببٌ، وهکذا إلی أن ینتهی إلی</w:t>
      </w:r>
    </w:p>
    <w:p>
      <w:pPr>
        <w:pStyle w:val="BookText"/>
        <w:rPr/>
      </w:pPr>
      <w:r>
        <w:rPr>
          <w:rFonts w:ascii="IRNazanin" w:hAnsi="IRNazanin" w:eastAsia="IRNazanin"/>
          <w:color w:val="111111"/>
          <w:sz w:val="28"/>
          <w:sz w:val="28"/>
          <w:szCs w:val="28"/>
          <w:rtl w:val="true"/>
          <w:lang w:bidi="fa-IR"/>
        </w:rPr>
        <w:t>مُسبِّبِ الأسباب وکلّما عرف سببه من حیث یقتضیه ویوجبه لا بدّ أن یعرف ذلک الشیء علماً ضروریاً دائماً، فمن عرف اللّه تعالی بأوصافه الکمالیة ونعوته الجلالیة ،وعرف أنّه مبدأکلّ وجود وفاعل کلّ فیضِ وجودٍ وعرف ملائکته، وعلم ملائکته المقرّبین، ثمّ ملائکته المدبّرین المسخّرین للأغراض الکلِّیة العقلیّة بالعبادات الدائمة، والنُّسُک</w:t>
      </w:r>
    </w:p>
    <w:p>
      <w:pPr>
        <w:pStyle w:val="BookText"/>
        <w:rPr/>
      </w:pPr>
      <w:r>
        <w:rPr>
          <w:rFonts w:ascii="IRNazanin" w:hAnsi="IRNazanin" w:eastAsia="IRNazanin"/>
          <w:color w:val="111111"/>
          <w:sz w:val="28"/>
          <w:sz w:val="28"/>
          <w:szCs w:val="28"/>
          <w:rtl w:val="true"/>
          <w:lang w:bidi="fa-IR"/>
        </w:rPr>
        <w:t>المستمرّة من غیر فتورٍ ونعوته الموجبة، لأن یترشح عنها صور الکائنات کلّ ذلک علی التّرتیب السّببیّ والمسبّبیّ، فیحیط علمه بکلّ الأُمور وأحوالها ولواحِقها علماً بریئاً من التغیّر والشّکّ والغلط، فیعلم من الأوائل الثوانی، ومن الکلِّیات الجزئیات المترتّبة علیها، ومن البسائط المرکّبات، ویعلم حقیقة الإنسان وأحواله ما یکملها ویزکِّیها ویسعدها، ویصعدها إلی عالم القدس وما یدنِّسها ویردیها ویُشقیها ویهویها إلی أسفل سافلین، علماً</w:t>
      </w:r>
    </w:p>
    <w:p>
      <w:pPr>
        <w:pStyle w:val="BookText"/>
        <w:rPr/>
      </w:pPr>
      <w:r>
        <w:rPr>
          <w:rFonts w:ascii="IRNazanin" w:hAnsi="IRNazanin" w:eastAsia="IRNazanin"/>
          <w:color w:val="111111"/>
          <w:sz w:val="28"/>
          <w:sz w:val="28"/>
          <w:szCs w:val="28"/>
          <w:rtl w:val="true"/>
          <w:lang w:bidi="fa-IR"/>
        </w:rPr>
        <w:t>ثابتاً غیر قابل للتغییر ولا محتمل لتطرّق الرّیب، فیعلم الأُمور الجزئیة من حیث هی دائمة کلّیة ومن حیث لا کثرة فیه ولا تغیّر وإن کانت هی کثیرة متغیِّرة فی أنفسها بقیاس بعضها</w:t>
      </w:r>
    </w:p>
    <w:p>
      <w:pPr>
        <w:pStyle w:val="BookText"/>
        <w:rPr/>
      </w:pPr>
      <w:r>
        <w:rPr>
          <w:rFonts w:ascii="IRNazanin" w:hAnsi="IRNazanin" w:eastAsia="IRNazanin"/>
          <w:color w:val="111111"/>
          <w:sz w:val="28"/>
          <w:sz w:val="28"/>
          <w:szCs w:val="28"/>
          <w:rtl w:val="true"/>
          <w:lang w:bidi="fa-IR"/>
        </w:rPr>
        <w:t>إلی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کعلم اللّه سبحانه بالأشیاء وعلم ملائکته المقرّبین وعلوم الأنبیاء</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والأوصیاء بأحوال الموجودات الماضیة والمستقبلة وعلمهم بما کان وما سیکون إلی یوم القیامة من هذا القبیل، فإنّه علمٌ کلِّیٌّ ثابتٌ غیر متجدِّدٍ بتجدّد المعلومات ولا متکثِّر بتکثّرها، ومن عرف کیفیة هذا العلم، عرف معنی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وَنَزَّلْنَا عَلَیْکَ الْکِتَابَ تِبْیاناً لِکُلِّ شَیْ‌ءٍ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ویصدّق بأن جمیع العلوم والمعانی فی القرآن الکریم عرفاناً حقیقیاً</w:t>
      </w:r>
    </w:p>
    <w:p>
      <w:pPr>
        <w:pStyle w:val="BookText"/>
        <w:rPr/>
      </w:pPr>
      <w:r>
        <w:rPr>
          <w:rFonts w:ascii="IRNazanin" w:hAnsi="IRNazanin" w:eastAsia="IRNazanin"/>
          <w:color w:val="111111"/>
          <w:sz w:val="28"/>
          <w:sz w:val="28"/>
          <w:szCs w:val="28"/>
          <w:rtl w:val="true"/>
          <w:lang w:bidi="fa-IR"/>
        </w:rPr>
        <w:t>وتصدیقاً یقیناً علی بصیرة لا علی وجه التقلید والسّماع ونحوهما، إذ ما من أمرٍ من الأُمور إلاّ وهو مذکور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بنفسه أو بمقوّماته وأسبابه ومبادئه وغایاته،</w:t>
      </w:r>
    </w:p>
    <w:p>
      <w:pPr>
        <w:pStyle w:val="BookText"/>
        <w:rPr/>
      </w:pPr>
      <w:r>
        <w:rPr>
          <w:rFonts w:ascii="IRNazanin" w:hAnsi="IRNazanin" w:eastAsia="IRNazanin"/>
          <w:color w:val="111111"/>
          <w:sz w:val="28"/>
          <w:sz w:val="28"/>
          <w:szCs w:val="28"/>
          <w:rtl w:val="true"/>
          <w:lang w:bidi="fa-IR"/>
        </w:rPr>
        <w:t>ولا یتمکّن من فهم القرآن وعجائب أسراره وما یلزمها من الأسرار والعلوم التی لا تتناهی</w:t>
      </w:r>
    </w:p>
    <w:p>
      <w:pPr>
        <w:pStyle w:val="BookText"/>
        <w:rPr/>
      </w:pPr>
      <w:r>
        <w:rPr>
          <w:rFonts w:ascii="IRNazanin" w:hAnsi="IRNazanin" w:eastAsia="IRNazanin"/>
          <w:color w:val="111111"/>
          <w:sz w:val="28"/>
          <w:sz w:val="28"/>
          <w:szCs w:val="28"/>
          <w:rtl w:val="true"/>
          <w:lang w:bidi="fa-IR"/>
        </w:rPr>
        <w:t>إلاّ من کان علمه بالأشیاء من هذا القبیل، انتهی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مُعلّی بن خُنیس </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قال النجاشیّ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هو مولی الصادق جعفر بن محمّد علیه‌السلام ومن قبله کان مولی بنی أسد، کوفیّ، بزّاز، ضعیفٌ جدّا، لا یعوّل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 أبو عبداللّه، وله کتاب یرویه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النجاشیّ إلیه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عبدالواحد، عبیداللّه بن زید، علیّ بن محمّد بن رباح، إبراهیم بن سلیمان عن معلّی بن خنیس بکتابه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الکشّیّ فی ترجمته برقم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فی حقّه بعضها مادحة وبعضها ذامّة، وفی معجم رجال الحدیث للخوئیّ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12496</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الروایات فی مدحه متظافرة علی أنّ جملة منها صحاح، تحصّل لنا کان معلّی من خالصی شیعة أبی عبداللّه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لاحظ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تنقیح المقال للمامقانیّ </w:t>
      </w:r>
      <w:r>
        <w:rPr>
          <w:rFonts w:eastAsia="IRNazanin" w:cs="IRNazanin"/>
          <w:color w:val="111111"/>
          <w:sz w:val="28"/>
          <w:szCs w:val="28"/>
          <w:lang w:bidi="fa-IR"/>
        </w:rPr>
        <w:t>3/230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أمر یختلف فیه اثنان إلاّ وله أصل فی کتاب اللّه، ولکن لا تبلغه عقول الرِّجال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أنزل فی القرآن تبیان کلّ شیء، حتّی واللّه ما ترک اللّه شیئاً یحتاج إلیه العباد حتّی یستطیع عبد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هذا نزل فی القرآن، إلاّ وقد أنزله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شبهة أنّ العلم ببطون القرآن بالغاً ما بلغ مختصّ بالأئمّة الطّاهرة، وهم بالقرآن یعلمون ما کان وما یکون وما هو کائن وما</w:t>
      </w:r>
    </w:p>
    <w:p>
      <w:pPr>
        <w:pStyle w:val="BookText"/>
        <w:rPr/>
      </w:pPr>
      <w:r>
        <w:rPr>
          <w:rFonts w:ascii="IRNazanin" w:hAnsi="IRNazanin" w:eastAsia="IRNazanin"/>
          <w:color w:val="111111"/>
          <w:sz w:val="28"/>
          <w:sz w:val="28"/>
          <w:szCs w:val="28"/>
          <w:rtl w:val="true"/>
          <w:lang w:bidi="fa-IR"/>
        </w:rPr>
        <w:t>یمکن أن یعلمه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أمیر 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إنّ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إلی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لعلماً جمّاً لو وجدت له حملةً</w:t>
      </w:r>
      <w:r>
        <w:rPr>
          <w:rStyle w:val="FootnoteAnchor"/>
          <w:rtl w:val="true"/>
        </w:rPr>
        <w:footnoteReference w:id="8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الغزالیّ فی الإحیاء والحافظ أبو نعیم فی حلیة الأولیاء عن ابن مسعود رضی‌الله‌عنه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القرآن نزل علی سبعة أحرف، ما منها حرف إلاّ وله ظهر وبطن، وأنّ علیّ بن أبی</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طالب عنده منه علم الظّاهر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النقّاش فی تفسیره عن ابن عبّاس ما یقرب ممّا قال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الغزالیّ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أمیر المؤمنین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رسول اللّه صلی‌الله‌علیه‌و‌آله أدخل لسانه فی فمی، فانفتح فی قلبی ألف باب من العلم مع کلّ باب ألفُ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المرتبة لا ینال بمجرّد التعلّم، بل یتمکّن المرء فی هذه الرتبة بقوّة العلم</w:t>
      </w:r>
    </w:p>
    <w:p>
      <w:pPr>
        <w:pStyle w:val="BookText"/>
        <w:rPr/>
      </w:pPr>
      <w:r>
        <w:rPr>
          <w:rFonts w:ascii="Amiri" w:hAnsi="Amiri" w:eastAsia="Amiri" w:cs="Amiri"/>
          <w:color w:val="111111"/>
          <w:sz w:val="28"/>
          <w:sz w:val="28"/>
          <w:szCs w:val="28"/>
          <w:rtl w:val="true"/>
          <w:lang w:bidi="ar-SA"/>
        </w:rPr>
        <w:t>اللدنیّ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علیّ علیه‌السلام لمّا حکی علی عهد موسی علی نبیِّنا وآله وعلیه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شرحَ کتابه کان أربعین جملاً، لو أذن اللّه ورسوله لی لأ تَسرّأُ فی شرح معانی ألف الفاتحة حتّی یبلغ مثل ذلک یعنی أربعین وقراً أو جملاً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 أبو عمر والزاهد أنّ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 عشاء الآخرة فالحقنی إلی الجبّان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فصلّیت فلحقته</w:t>
      </w:r>
      <w:r>
        <w:rPr>
          <w:rStyle w:val="FootnoteAnchor"/>
          <w:rtl w:val="true"/>
        </w:rPr>
        <w:footnoteReference w:id="834"/>
      </w:r>
      <w:r>
        <w:rPr>
          <w:rFonts w:ascii="IRNazanin" w:hAnsi="IRNazanin" w:eastAsia="IRNazanin"/>
          <w:color w:val="111111"/>
          <w:sz w:val="28"/>
          <w:sz w:val="28"/>
          <w:szCs w:val="28"/>
          <w:rtl w:val="true"/>
          <w:lang w:bidi="fa-IR"/>
        </w:rPr>
        <w:t>، وکانت لیلة مقمرة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الألف من الحمد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علمت حرفاً أجیبه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تفسیرها ساعة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اللاّم من الحمد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لا أعلم، فتکلّم فی تفسیرها</w:t>
      </w:r>
    </w:p>
    <w:p>
      <w:pPr>
        <w:pStyle w:val="BookText"/>
        <w:rPr/>
      </w:pPr>
      <w:r>
        <w:rPr>
          <w:rFonts w:ascii="IRNazanin" w:hAnsi="IRNazanin" w:eastAsia="IRNazanin"/>
          <w:color w:val="111111"/>
          <w:sz w:val="28"/>
          <w:sz w:val="28"/>
          <w:szCs w:val="28"/>
          <w:rtl w:val="true"/>
          <w:lang w:bidi="fa-IR"/>
        </w:rPr>
        <w:t>ساعة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تفسیر المیم من الحمد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 تفسیرها</w:t>
      </w:r>
    </w:p>
    <w:p>
      <w:pPr>
        <w:pStyle w:val="BookText"/>
        <w:rPr/>
      </w:pPr>
      <w:r>
        <w:rPr>
          <w:rFonts w:ascii="IRNazanin" w:hAnsi="IRNazanin" w:eastAsia="IRNazanin"/>
          <w:color w:val="111111"/>
          <w:sz w:val="28"/>
          <w:sz w:val="28"/>
          <w:szCs w:val="28"/>
          <w:rtl w:val="true"/>
          <w:lang w:bidi="fa-IR"/>
        </w:rPr>
        <w:t>ساعةً تامّة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تفسیر الدّال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فتکلّم فیها حتّی برق عمود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إلی منزلک وتأهّب لفرضک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w:t>
      </w:r>
    </w:p>
    <w:p>
      <w:pPr>
        <w:pStyle w:val="BookText"/>
        <w:rPr/>
      </w:pPr>
      <w:r>
        <w:rPr>
          <w:rFonts w:ascii="IRNazanin" w:hAnsi="IRNazanin" w:eastAsia="IRNazanin"/>
          <w:color w:val="111111"/>
          <w:sz w:val="28"/>
          <w:sz w:val="28"/>
          <w:szCs w:val="28"/>
          <w:rtl w:val="true"/>
          <w:lang w:bidi="fa-IR"/>
        </w:rPr>
        <w:t>عبداللّه 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وقد وعیت کلّ ما قال، ثمّ تفکّرت، فاذا علمی بالقرآن فی علم</w:t>
      </w:r>
    </w:p>
    <w:p>
      <w:pPr>
        <w:pStyle w:val="BookText"/>
        <w:rPr/>
      </w:pPr>
      <w:r>
        <w:rPr>
          <w:rFonts w:ascii="IRNazanin" w:hAnsi="IRNazanin" w:eastAsia="IRNazanin"/>
          <w:color w:val="111111"/>
          <w:sz w:val="28"/>
          <w:sz w:val="28"/>
          <w:szCs w:val="28"/>
          <w:rtl w:val="true"/>
          <w:lang w:bidi="fa-IR"/>
        </w:rPr>
        <w:t>علیّ کالقرارة فی المنفجر،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القرارة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الغدیر، والمنفجر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علیّ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لأوقرت سبعین بعیراً من تفسیر فاتحة الکتاب </w:t>
      </w:r>
      <w:r>
        <w:rPr>
          <w:rStyle w:val="FootnoteAnchor"/>
          <w:rtl w:val="true"/>
        </w:rPr>
        <w:footnoteReference w:id="8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القندوزیّ فی ینابیع الحکمة، ص</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إسلامبول والهرویّ فی شرح العین وزین الحلم،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لأوقرت سبعین بعیرا من تفسیر فاتحة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الشعرانیّ فی لطائف المنن </w:t>
      </w:r>
      <w:r>
        <w:rPr>
          <w:rFonts w:eastAsia="IRNazanin" w:cs="IRNazanin"/>
          <w:color w:val="111111"/>
          <w:sz w:val="28"/>
          <w:szCs w:val="28"/>
          <w:lang w:bidi="fa-IR"/>
        </w:rPr>
        <w:t>1/171</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لأوقرت لکم ثمانین بعیرا من معنی الباء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طلحة الشافعیّ فی مطالب السؤال، 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شئت لأوقرت بعیرا من تفسیر بسم اللّه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کلمة أوقرت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الوِقْر بالکسر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 یُحمل علی ظهرٍ أو علی 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حمل وقِرَهُ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الثقیل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واستوقر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حَمل حملاً ثقیلاً، 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الحلم والرزانة، التوقیر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التعظیم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لسان العرب </w:t>
      </w:r>
      <w:r>
        <w:rPr>
          <w:rFonts w:eastAsia="IRNazanin" w:cs="IRNazanin"/>
          <w:color w:val="111111"/>
          <w:sz w:val="28"/>
          <w:szCs w:val="28"/>
          <w:lang w:bidi="fa-IR"/>
        </w:rPr>
        <w:t>15/364</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لِعلمی الّذی آتانی اللّه عزّ وجلّ حَمَلةً، لنشرت التوحید والإسلام</w:t>
      </w:r>
    </w:p>
    <w:p>
      <w:pPr>
        <w:pStyle w:val="BookText"/>
        <w:rPr/>
      </w:pPr>
      <w:r>
        <w:rPr>
          <w:rFonts w:ascii="Amiri" w:hAnsi="Amiri" w:eastAsia="Amiri" w:cs="Amiri"/>
          <w:color w:val="111111"/>
          <w:sz w:val="28"/>
          <w:sz w:val="28"/>
          <w:szCs w:val="28"/>
          <w:rtl w:val="true"/>
          <w:lang w:bidi="ar-SA"/>
        </w:rPr>
        <w:t xml:space="preserve">والدِّین والشرائع من الصّمد </w:t>
      </w:r>
      <w:r>
        <w:rPr>
          <w:rStyle w:val="FootnoteAnchor"/>
          <w:rtl w:val="true"/>
        </w:rPr>
        <w:footnoteReference w:id="8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لأعلم خبر السماء وخبر</w:t>
      </w:r>
    </w:p>
    <w:p>
      <w:pPr>
        <w:pStyle w:val="BookText"/>
        <w:rPr/>
      </w:pPr>
      <w:r>
        <w:rPr>
          <w:rFonts w:ascii="IRNazanin" w:hAnsi="IRNazanin" w:eastAsia="IRNazanin"/>
          <w:color w:val="111111"/>
          <w:sz w:val="28"/>
          <w:sz w:val="28"/>
          <w:szCs w:val="28"/>
          <w:rtl w:val="true"/>
          <w:lang w:bidi="fa-IR"/>
        </w:rPr>
        <w:t>الأرض وخبر ما کان وما هو کائن کأنّه فی کفّی،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کتاب اللّه أعلمه، إنّ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محمّد بن عیسی عن أبی عبداللّه المؤمن عن عبدالأعلی مولی آل سام،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انِّی لأعلم کتاب اللّه من أوّله إلی آخره کأ نّه فی کفّی، فیه خبر السماء وخبر الأرض وخبر ما کان وخبر ما هو 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أُصول الکافی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الکافی کتاب فضل العلم باب الردّ إلی الکتاب، الحدیث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ولدنی رسول اللّه صلی‌الله‌علیه‌و‌آله وأنا أعلم کتاب اللّه وفیه بدءُ الخلق وما هو کائن إلی یوم القیامة، وفیه خبر السماء وخبر الأرض وخبر الجنّة وخبر النّار وخبر ما کان وما هو کائن، أعلم ذلک کما انظر إلی کفّی، إنّ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تبیان کل شیء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روایة عن أبی عبداللّه عن رسول اللّه صلی‌الله‌علیه‌و‌آلهقال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شیء أبعد عن عقول الرجال من تفسیر القرآن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 ذلک تحیّر الخلائق أجمعون إلاّ ما شاء اللّه وإنّما أراد اللّه بتعمیة فی ذلک أن ینتهوا إلی بابه وصراطه، وأن یعبدوه وینتهوا إلی طاعة القوّام بکتابه والنّاطقین عن أمره وأن یستنبطوا لما احتاجوا إلیه من ذلک عنهم لا عن</w:t>
      </w:r>
    </w:p>
    <w:p>
      <w:pPr>
        <w:pStyle w:val="BookText"/>
        <w:rPr/>
      </w:pPr>
      <w:r>
        <w:rPr>
          <w:rFonts w:ascii="Amiri" w:hAnsi="Amiri" w:eastAsia="Amiri" w:cs="Amiri"/>
          <w:color w:val="111111"/>
          <w:sz w:val="28"/>
          <w:sz w:val="28"/>
          <w:szCs w:val="28"/>
          <w:rtl w:val="true"/>
          <w:lang w:bidi="ar-SA"/>
        </w:rPr>
        <w:t>أنفسهم،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رُدُّوهُ إِلَی الرَّسُولِ وَإِلَی أُولِی الأَمْرِ مِنْهُمْ، لَعَلِمَهُ الَّذِینَ یَسْتَنْبِطُونَهُ</w:t>
      </w:r>
    </w:p>
    <w:p>
      <w:pPr>
        <w:pStyle w:val="BookText"/>
        <w:rPr/>
      </w:pP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Style w:val="FootnoteAnchor"/>
          <w:rtl w:val="true"/>
        </w:rPr>
        <w:footnoteReference w:id="838"/>
      </w:r>
      <w:r>
        <w:rPr>
          <w:rFonts w:ascii="IRNazanin" w:hAnsi="IRNazanin" w:eastAsia="IRNazanin"/>
          <w:color w:val="111111"/>
          <w:sz w:val="28"/>
          <w:sz w:val="28"/>
          <w:szCs w:val="28"/>
          <w:rtl w:val="true"/>
          <w:lang w:bidi="fa-IR"/>
        </w:rPr>
        <w:t>، وأمّا غیرهم فلیس یعلم ذلک أبداً ولا یوجد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أنّه لا یستقیم أن یکون الخلق کلّهم ولاة الأمر إذا لا یجدون من یأتمرون علیه ولا من یبلغونه أمر اللّه ونهیه،</w:t>
      </w:r>
    </w:p>
    <w:p>
      <w:pPr>
        <w:pStyle w:val="BookText"/>
        <w:rPr/>
      </w:pPr>
      <w:r>
        <w:rPr>
          <w:rFonts w:ascii="IRNazanin" w:hAnsi="IRNazanin" w:eastAsia="IRNazanin"/>
          <w:color w:val="111111"/>
          <w:sz w:val="28"/>
          <w:sz w:val="28"/>
          <w:szCs w:val="28"/>
          <w:rtl w:val="true"/>
          <w:lang w:bidi="fa-IR"/>
        </w:rPr>
        <w:t>فجعل الولاة خواصاً لیقتدی بهم لم یخصّصهم بذلک، فافهم ذلک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 وتأویلَ</w:t>
      </w:r>
    </w:p>
    <w:p>
      <w:pPr>
        <w:pStyle w:val="BookText"/>
        <w:rPr/>
      </w:pPr>
      <w:r>
        <w:rPr>
          <w:rFonts w:ascii="IRNazanin" w:hAnsi="IRNazanin" w:eastAsia="IRNazanin"/>
          <w:color w:val="111111"/>
          <w:sz w:val="28"/>
          <w:sz w:val="28"/>
          <w:szCs w:val="28"/>
          <w:rtl w:val="true"/>
          <w:lang w:bidi="fa-IR"/>
        </w:rPr>
        <w:t>القرآن برأیک، فإنّ الناس غیر مشترکین فی علمه کاش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تراکهم فیما سواه من الأُمور، ولا</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قادرین علیه ولا علی تأویله إلاّ من حدّه وبابه الّذی جعله اللّه له، فافهم إن شاء اللّه، واطْلب الأمرَ من مکانه تجده إن شاء اللّه</w:t>
      </w:r>
      <w:r>
        <w:rPr>
          <w:rFonts w:eastAsia="IRNazanin" w:cs="IRNazanin"/>
          <w:color w:val="111111"/>
          <w:sz w:val="28"/>
          <w:szCs w:val="28"/>
          <w:rtl w:val="true"/>
          <w:lang w:bidi="fa-IR"/>
        </w:rPr>
        <w:t>.</w:t>
      </w:r>
      <w:bookmarkStart w:id="470" w:name="pg4391_51248"/>
    </w:p>
    <w:p>
      <w:pPr>
        <w:pStyle w:val="Heading5"/>
        <w:numPr>
          <w:ilvl w:val="4"/>
          <w:numId w:val="1"/>
        </w:numPr>
        <w:rPr/>
      </w:pPr>
      <w:bookmarkStart w:id="471" w:name="__RefHeading___Toc1438937_1479056682"/>
      <w:bookmarkStart w:id="472" w:name="_Toc177"/>
      <w:bookmarkEnd w:id="470"/>
      <w:bookmarkEnd w:id="471"/>
      <w:r>
        <w:rPr>
          <w:rtl w:val="true"/>
        </w:rPr>
        <w:t>الطُّرفة الثالثة والعشرون</w:t>
      </w:r>
      <w:r>
        <w:rPr>
          <w:rtl w:val="true"/>
        </w:rPr>
        <w:t xml:space="preserve">: </w:t>
      </w:r>
      <w:r>
        <w:rPr>
          <w:rtl w:val="true"/>
        </w:rPr>
        <w:t>فی أنّ جمیع القرآن فی الأئمّة وولایتهم ووجوب اتّباعهم وشؤونهم وشؤون أولیائهم وأعدائهم وتوضیحه</w:t>
      </w:r>
      <w:bookmarkEnd w:id="472"/>
    </w:p>
    <w:p>
      <w:pPr>
        <w:pStyle w:val="BookText"/>
        <w:rPr/>
      </w:pPr>
      <w:r>
        <w:rPr>
          <w:rFonts w:ascii="IRNazanin" w:hAnsi="IRNazanin" w:eastAsia="IRNazanin"/>
          <w:color w:val="111111"/>
          <w:sz w:val="28"/>
          <w:sz w:val="28"/>
          <w:szCs w:val="28"/>
          <w:rtl w:val="true"/>
          <w:lang w:bidi="fa-IR"/>
        </w:rPr>
        <w:t xml:space="preserve">قد استفاضت </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الرعایة فی علم الدرایة للشهید الثانی، 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یغایر بینهما بأن یُجْعَل المستفیض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اتّصف بذلک فی ابتدائه وانتهائه علی السواء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والمشهور أعمُّ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المصدر نفسه، ص</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المستفیض بالمشهور لوضوحه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تلخیص مقباس الهدایة ص</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عن الأئمّة الأطهار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جمیع القرآن فیهم وفی ولایتهم ووجوب اتّباعهم وشؤونهم وشؤون أولیائهم وأعدائهم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جابر بن عبداللّه رضی‌الله‌عنه عن‌النبیّ صلی‌الله‌علیه‌و‌آله 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محامد أهل بیته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معدن التنزیل ومعنی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وقریب منه ما روی عن أمیر المؤمنین علیه‌السلام فی حدیث طویل ذکر فیه صفات الإمام، ولا ینافی ذلک ما رواه الأصبغ بن نباتة</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الأصبغ بن‌نباتة من خاصّة أمیر المؤمنین علیه‌السلام وعمّر بعده وهو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الأصبغ بن نباتة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جاشِعیّ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نسبته إلی مُجاشِع بن دارم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خاصّة أمیر المؤمنین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أمیر المؤمنین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نزل علی أربعة أرباع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فینا، وربع فی عدوّنا، وربع سنن وأمثال، وربع فرائض وأحکام، ولنا کرائم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تفسیر فرات الکوفیّ، المقدّمة، ص</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أنزل فی علیّ کرائم القرآن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کرائم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89/114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عنه علیه‌السلام أنّه نزل أثلاثاً، ثلثا القرآن فینا وفی شیعتنا، فما کان من خیر فلنا ولشیعتنا، والثلث الباقی شارکنا</w:t>
      </w:r>
      <w:r>
        <w:rPr>
          <w:rStyle w:val="FootnoteAnchor"/>
          <w:rtl w:val="true"/>
        </w:rPr>
        <w:footnoteReference w:id="841"/>
      </w:r>
      <w:r>
        <w:rPr>
          <w:rFonts w:ascii="IRNazanin" w:hAnsi="IRNazanin" w:eastAsia="IRNazanin"/>
          <w:color w:val="111111"/>
          <w:sz w:val="28"/>
          <w:sz w:val="28"/>
          <w:szCs w:val="28"/>
          <w:rtl w:val="true"/>
          <w:lang w:bidi="fa-IR"/>
        </w:rPr>
        <w:t>فیه الناس، فما کان من شرّ فلعدوّنا، فإنّ الاختلاف بین الأخبار راجع إلی اختلاف اللحاظ والاعتبار، فباعتبار یکون جمیع ما ذکر فیه من مدح المؤمنین وثوابهم وذمّ الکفّار وعقابهم راجعاً إلی شیعتهم وأعدائهم، وجمیع الفرائض</w:t>
      </w:r>
    </w:p>
    <w:p>
      <w:pPr>
        <w:pStyle w:val="BookText"/>
        <w:rPr/>
      </w:pPr>
      <w:r>
        <w:rPr>
          <w:rFonts w:ascii="IRNazanin" w:hAnsi="IRNazanin" w:eastAsia="IRNazanin"/>
          <w:color w:val="111111"/>
          <w:sz w:val="28"/>
          <w:sz w:val="28"/>
          <w:szCs w:val="28"/>
          <w:rtl w:val="true"/>
          <w:lang w:bidi="fa-IR"/>
        </w:rPr>
        <w:t xml:space="preserve">والأحکام مرتبطاً بولایتهم وجمیع ما ذکر فیه من قصص الأنبیاء وأُممهم جاریاً فیهم </w:t>
      </w:r>
      <w:r>
        <w:rPr>
          <w:rStyle w:val="FootnoteAnchor"/>
          <w:rtl w:val="true"/>
        </w:rPr>
        <w:footnoteReference w:id="8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الکاظم علیه‌السلام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رَبِّیَ الفَوَاحِشَ مَا ظَهَرَ مِنْهَا وَمَا 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له ظهر وبطن، فجمیع ما حرّم اللّه فی الکتاب هو الظاهر، والباطن من ذلک أئ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مّة الجور،</w:t>
      </w:r>
    </w:p>
    <w:p>
      <w:pPr>
        <w:pStyle w:val="BookText"/>
        <w:rPr/>
      </w:pPr>
      <w:r>
        <w:rPr>
          <w:rFonts w:ascii="IRNazanin" w:hAnsi="IRNazanin" w:eastAsia="IRNazanin"/>
          <w:color w:val="111111"/>
          <w:sz w:val="28"/>
          <w:sz w:val="28"/>
          <w:szCs w:val="28"/>
          <w:rtl w:val="true"/>
          <w:lang w:bidi="fa-IR"/>
        </w:rPr>
        <w:t>وجمیع ما أحلّ اللّه فی الکتاب هو الظاهر، والباطن من ذلک أئمّة الحقّ</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وعن 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آیة تقود إلی الجنّة </w:t>
      </w:r>
      <w:r>
        <w:rPr>
          <w:rStyle w:val="FootnoteAnchor"/>
          <w:rtl w:val="true"/>
        </w:rPr>
        <w:footnoteReference w:id="844"/>
      </w:r>
      <w:r>
        <w:rPr>
          <w:rFonts w:ascii="IRNazanin" w:hAnsi="IRNazanin" w:eastAsia="IRNazanin"/>
          <w:color w:val="111111"/>
          <w:sz w:val="28"/>
          <w:sz w:val="28"/>
          <w:szCs w:val="28"/>
          <w:rtl w:val="true"/>
          <w:lang w:bidi="fa-IR"/>
        </w:rPr>
        <w:t xml:space="preserve">ویذکر أهلها بخیر إلاّ وهی فینا وفی شیعتنا، وما من آیة نزلت یذکر </w:t>
      </w:r>
      <w:r>
        <w:rPr>
          <w:rStyle w:val="FootnoteAnchor"/>
          <w:rtl w:val="true"/>
        </w:rPr>
        <w:footnoteReference w:id="845"/>
      </w:r>
      <w:r>
        <w:rPr>
          <w:rFonts w:ascii="IRNazanin" w:hAnsi="IRNazanin" w:eastAsia="IRNazanin"/>
          <w:color w:val="111111"/>
          <w:sz w:val="28"/>
          <w:sz w:val="28"/>
          <w:szCs w:val="28"/>
          <w:rtl w:val="true"/>
          <w:lang w:bidi="fa-IR"/>
        </w:rPr>
        <w:t xml:space="preserve">أهلها بشرّ وتسوق إلی النار إلاّ وهی فی عدوّنا ومن خالفنا </w:t>
      </w:r>
      <w:r>
        <w:rPr>
          <w:rStyle w:val="FootnoteAnchor"/>
          <w:rtl w:val="true"/>
        </w:rPr>
        <w:footnoteReference w:id="8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التوحید بأسانیده عنه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آیة تسوق إلی الجنّة إلاّ وهی فیالنبیّوالأئمّة علیهم‌السلاموأشیاعهم وأتباعهم، وما من آیة تسوق إلی النار إلاّ وهی فی أعدائهم ومخالفیهم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علیه‌السلاموکثیر من الصحابة والتابعین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w:t>
      </w:r>
    </w:p>
    <w:p>
      <w:pPr>
        <w:pStyle w:val="BookText"/>
        <w:rPr/>
      </w:pPr>
      <w:r>
        <w:rPr>
          <w:rFonts w:ascii="Amiri" w:hAnsi="Amiri" w:eastAsia="Amiri" w:cs="Amiri"/>
          <w:color w:val="111111"/>
          <w:sz w:val="28"/>
          <w:sz w:val="28"/>
          <w:szCs w:val="28"/>
          <w:rtl w:val="true"/>
          <w:lang w:bidi="ar-SA"/>
        </w:rPr>
        <w:t xml:space="preserve">آیة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یَآ أَ یُّها الَّذِینَ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وعلیّ بن أبی طالب أمیرها وقائدها وشریفها وأوّلها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الاحتجاج </w:t>
      </w:r>
      <w:r>
        <w:rPr>
          <w:rStyle w:val="FootnoteAnchor"/>
          <w:rtl w:val="true"/>
        </w:rPr>
        <w:footnoteReference w:id="84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علیّ أنصرکم لی وأحقّکم بی وأقربکم إلیَّ وأعزّکم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عزّ وجلّ وأنا عنه راضیان</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الباقر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قال‌النبیّ صلی‌الله‌علیه‌و‌آله فی خطبة یوم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علیّ أحقّکم بی، وأقربکم إلیَّ، اللّه وأنا عنه راضیان، وما نزلت آیة رضیً إلاّ فیه، وما</w:t>
      </w:r>
    </w:p>
    <w:p>
      <w:pPr>
        <w:pStyle w:val="BookText"/>
        <w:rPr/>
      </w:pPr>
      <w:r>
        <w:rPr>
          <w:rFonts w:ascii="IRNazanin" w:hAnsi="IRNazanin" w:eastAsia="IRNazanin"/>
          <w:color w:val="111111"/>
          <w:sz w:val="28"/>
          <w:sz w:val="28"/>
          <w:szCs w:val="28"/>
          <w:rtl w:val="true"/>
          <w:lang w:bidi="fa-IR"/>
        </w:rPr>
        <w:t>خاطب الّذین آمنوا إلاّ بدأ به، وما نزلت آیة مدح فی القرآن إلاّ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فضائل علیّ عند اللّه عزّ وجلّ قد أنزلها علیَّ فی القرآن أکثر من أن أحصیها فی مکان</w:t>
      </w:r>
    </w:p>
    <w:p>
      <w:pPr>
        <w:pStyle w:val="BookText"/>
        <w:rPr/>
      </w:pPr>
      <w:r>
        <w:rPr>
          <w:rFonts w:ascii="IRNazanin" w:hAnsi="IRNazanin" w:eastAsia="IRNazanin"/>
          <w:color w:val="111111"/>
          <w:sz w:val="28"/>
          <w:sz w:val="28"/>
          <w:szCs w:val="28"/>
          <w:rtl w:val="true"/>
          <w:lang w:bidi="fa-IR"/>
        </w:rPr>
        <w:t>واحد، فمن نبّأکم بها وعرفتها فصدّقوه</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37/210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وفیه اختلاف فی بعض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الاحتجاج والبحار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أنزلها فی القرآن أکثر من أحصیها فی مقام واحد فمن أنبأکم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کلّ ما نزل من الآیات فی فضائل علیّ علیه‌السلام فهو جار فی أوصیائه المعصومین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روی عن الباقر علیه‌السلام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القرآن للّذین نزل فیهم، وبطنه للّذین عملوا بمثل أعمالهم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عنه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 الآیة إذا نزلت فی قوم ثمّ مات أُولئک، ماتت الآیة لما بقی من القرآن شیء، ولکنّ القرآن یجری أوّله علی آخره مادامت السّماوات 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علیه‌السلامفی روایة قال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وَلِکُلِّ قَوْمٍ هَادٍ </w:t>
      </w:r>
      <w:r>
        <w:rPr>
          <w:rFonts w:eastAsia="IRNazanin" w:cs="IRNazanin"/>
          <w:color w:val="111111"/>
          <w:sz w:val="28"/>
          <w:szCs w:val="28"/>
          <w:rtl w:val="true"/>
          <w:lang w:bidi="fa-IR"/>
        </w:rPr>
        <w:t>»</w:t>
      </w:r>
      <w:r>
        <w:rPr>
          <w:rStyle w:val="FootnoteAnchor"/>
          <w:rtl w:val="true"/>
        </w:rPr>
        <w:footnoteReference w:id="8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الهادی ومنّا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جعلت فداک الهادی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إنّ القرآن حیّ لا یموت والآیة حیّة لا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کانت الآیة إذا نزلت فی الأقوام وماتوا ماتت الآیة، لمات القرآن، ولکن هی جاریة فی الباقین، کما جرت فی الماضین</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علیه‌السلام انّ القرآن حیّ لا یموت وأنّه یجری کما یجری اللّیل والنّهار، وکما یجری الشمس والقمر ویجری علی آخرنا کما یجری علی أوّلنا</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وبالجملة الروایات التی تدلّ علی أنّ جمیع القرآن فی شأن الأئمّة علیهم‌السلام وإیجاب ولایتهم کثیرةٌ جدّاً، بل وردت روایات فی آیات ظاهرها بیان الأحکام وباطنها بیان</w:t>
      </w:r>
    </w:p>
    <w:p>
      <w:pPr>
        <w:pStyle w:val="BookText"/>
        <w:rPr/>
      </w:pPr>
      <w:r>
        <w:rPr>
          <w:rFonts w:ascii="IRNazanin" w:hAnsi="IRNazanin" w:eastAsia="IRNazanin"/>
          <w:color w:val="111111"/>
          <w:sz w:val="28"/>
          <w:sz w:val="28"/>
          <w:szCs w:val="28"/>
          <w:rtl w:val="true"/>
          <w:lang w:bidi="fa-IR"/>
        </w:rPr>
        <w:t>شأنهم، کما روی عن عبداللّه بن سنان</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قال أبو داود فی رجاله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بن طریف مولی بنی هاشم، کوفیّ، ثقة، جلیل، منزّه عن الطعن،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الرجال، ص</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العلاّمة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سنان من موالی بنی هاشم، وکان خازنا للمنصور والمهدیّ والهادیّ والرشید، لا یطعن علیه فی شیءٍ، روی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 الصادق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أنّه یزید علی السنّ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الکشّیّ فی حدیث مرسل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العلاّمة الحلّیّ، ص</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رواها عنه جماعات من أصحابنا العظمة فی الطائفة الإمامیة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جامع الرواة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أبی الحسن موسی علیه‌السلام ولیس بثبت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فی تنقیح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یثبت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الصلاة الکبیر وکتاب فی سائر الأبواب من الحلال والحرام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الشیخ إلیه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عبیداللّه الغضائریّ، عن أحمد بن جعفر، عن حمید، عن الحسن بن سماعة، عن عبداللّه بن جبلة، عن عبداللّه 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ذریح المحاربیّ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هو ذَریح بن محمّد بن یزید، أبو الولید المحاربیّ، عربیّ مدنیّ من بنی محارب بن خصفة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وثّقه الشیخ فی الفهرست برقم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وذکره الکشّیّ أیضا برقم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راجع تنقیح المقال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عن أبی عبداللّه وأبی الحسن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عقده وابن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یرویه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الشیخ النجاشیّ إلی ذریح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حسین بن عبیداللّه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 شیخه فی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علیّ بن تمام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أحمد بن محمّد بن المثنّی قراءة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الحسین بن أبی الخطّاب، عن جعفر بن بشیر البجلیّ، عن ذریح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رجال النجاشیّ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سألت أبا عبداللّه علیه‌السلام عن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لْیَقْضُوا تَفَثَهُم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لقاء الإمام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أبا عبداللّه علیه‌السلام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قول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لْیَقْضُوا تَفَثَهُم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الشّارب وقصّ الأظفار وما أشبه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فحکیت له کلام ذریح،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ذریح وصدقتَ، إنّ للقرآن ظاهراً وباطناً، ومن یحتمل ما یحتمل ذریح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الفیض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جماعةً من أصحابنا صنّفوا کتباً فی تأویل القرآن علی هذا النحو، جمعوا فیها ما ورد عنهم علیهم‌السلام فی تأویل آیة آیة، إمّا بهم أو شیعتهم، أو بعدوّهم علی ترتیب</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رأیت منها کتاباً کاد یقرب من عشرین ألف بیت، وقد ذکر أصحابنا لذلک أسراراً أحسنها أنّه تعالی لمّا جعل الأنوار المقدّسة فی الخلق مظاهر لصفاته الجلالیّة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والجمالیّة بهم عُرِفَ اللّه وبهم عُبِدَ، فلا یحصل لأحد قربٌ إلی اللّه إلاّ بالقرب إلیهم، ولا</w:t>
      </w:r>
    </w:p>
    <w:p>
      <w:pPr>
        <w:pStyle w:val="BookText"/>
        <w:rPr/>
      </w:pPr>
      <w:r>
        <w:rPr>
          <w:rFonts w:ascii="IRNazanin" w:hAnsi="IRNazanin" w:eastAsia="IRNazanin"/>
          <w:color w:val="111111"/>
          <w:sz w:val="28"/>
          <w:sz w:val="28"/>
          <w:szCs w:val="28"/>
          <w:rtl w:val="true"/>
          <w:lang w:bidi="fa-IR"/>
        </w:rPr>
        <w:t>الإیمان باللّه إلاّ بالإیمان بهم، ولا یعرف اللّه إلاّ بمعرفتهم، ولا ینال أحدٌ درجةً عند اللّه إلاّ بولایتهم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أمر فی القرآن بالإیمان باللّه وبعرفانه وبالقرب إلیه یکون أمراً بالإیمان بهم وبعرفانهم، وبالقرب إلیهم، وکلّ تکلیف جعل مقرّباً إلی اللّه یکون مقرّباً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مدح یکون للمؤمنین، یکون لهم ولشیعتهم، وکلّ ذمٍّ ووعیدٍ یکون للکفّار، ولأعداء اللّه یکون</w:t>
      </w:r>
    </w:p>
    <w:p>
      <w:pPr>
        <w:pStyle w:val="BookText"/>
        <w:rPr/>
      </w:pPr>
      <w:r>
        <w:rPr>
          <w:rFonts w:ascii="IRNazanin" w:hAnsi="IRNazanin" w:eastAsia="IRNazanin"/>
          <w:color w:val="111111"/>
          <w:sz w:val="28"/>
          <w:sz w:val="28"/>
          <w:szCs w:val="28"/>
          <w:rtl w:val="true"/>
          <w:lang w:bidi="fa-IR"/>
        </w:rPr>
        <w:t>فی الواقع راجعاً إلی الکافرین بهم وإلی أعدائهم، وکلّ ما هو راجع إلی اللّه راجع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علیهم‌السلام مع اللّه‌ِ واللّه‌ُ معهم، لا یفارقونه فی شیء ولا یفارقهم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ویشهد لما ذکر الأخبار الواردة فی أنّ ولایتهم قرینةُ ولایة اللّه وتوحیده، وأنّهم علّةٌ غائیّةٌ لخلق العالَم، وأنّ جمیع الأنبیاء من أوّل الخلق کما کانوا مأمورین بدعوة أُممهم إلی التوحید، کانوا مأمورین</w:t>
      </w:r>
    </w:p>
    <w:p>
      <w:pPr>
        <w:pStyle w:val="BookText"/>
        <w:rPr/>
      </w:pPr>
      <w:r>
        <w:rPr>
          <w:rFonts w:ascii="IRNazanin" w:hAnsi="IRNazanin" w:eastAsia="IRNazanin"/>
          <w:color w:val="111111"/>
          <w:sz w:val="28"/>
          <w:sz w:val="28"/>
          <w:szCs w:val="28"/>
          <w:rtl w:val="true"/>
          <w:lang w:bidi="fa-IR"/>
        </w:rPr>
        <w:t>بدعوتهم إلی الإقرار بولایتهم، ومعرفة حقوقهم فی تفسیر الإمام علیه‌السلام،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محمّدٍ وآل محمّدٍ علیهم‌السلام هی الغرضُ الأقصی، والمراد الأفضل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أحداً من خلقه ولا بعث أحداً من رسله إلاّ لیدعوهم إلی ولایة محمّد وعلیّ وخلفائه علیهم‌السلام ویأخذ علیهم العهد لیقیموا علیه، ولیعلّموا به سائر عوامّ الأُمم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أمالی الشیخ عن محمّد بن عبدالرّحمان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ولایتنا ولایة اللّه التی لم یبعث نبیّ قطّ إلاّ بها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الکافی عن عبدالأعلی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علیه‌السلامیقول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جاء قطّ، إلاّ بمعرفة حقّنا وتفضیلنا علی من سوانا </w:t>
      </w:r>
      <w:r>
        <w:rPr>
          <w:rStyle w:val="FootnoteAnchor"/>
          <w:rtl w:val="true"/>
        </w:rPr>
        <w:footnoteReference w:id="8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أیضاً عن أبی الحسن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علیّ علیه‌السلاممکتوبة فی جمیع صحف الأنبیاء، ولم یبعث اللّه رسولاً إلاّ بنبوّة محمّد صلی‌الله‌علیه‌و‌آلهووصیّه علیّ علیه‌السلام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تفسیر العیّاشیّ عن الحسن بن علیّ علیهماالسلام،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دفع فضل أمیر المؤمنین علیه‌السلام، فقد کذّب بالتوراة والإنجیل والزّبور وصحف إبراهیم وموسی وسائر کتب اللّه المنزلة، فإنّه ما نزل شیء منها إلاّ وأهمّ ما فیه بعد الإقرار بتوحید اللّه عزّ وجلّ والإقرار بالنب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وّة، الاعتراف بولایة علیٍّ والطیِّبین من آله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قبض اللّه نبیّاً حتّی أمره أن یوصی إلی عشیرته من عصبته، وأمرنی أن أوصی،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p>
    <w:p>
      <w:pPr>
        <w:pStyle w:val="BookText"/>
        <w:rPr/>
      </w:pPr>
      <w:r>
        <w:rPr>
          <w:rFonts w:ascii="IRNazanin" w:hAnsi="IRNazanin" w:eastAsia="IRNazanin"/>
          <w:color w:val="111111"/>
          <w:sz w:val="28"/>
          <w:sz w:val="28"/>
          <w:szCs w:val="28"/>
          <w:rtl w:val="true"/>
          <w:lang w:bidi="fa-IR"/>
        </w:rPr>
        <w:t>من یا ربّ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عمّک علیّ بن أبی 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أثبتّه فی الکتب السالفة وکتبت فیها أنّه وصیّک، وعلی ذلک أخذت میثاق الخلائق، ومواثیق أنبیائی ورسلی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أخذت مواثیقهم لی بالرّبوبیة، ولک یا محمّد بالنبوّة، ولعلیّ بالولایة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کتاب سُلیم بن قیس الهلالیّ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هو سلیم بن قیس الهلالیّ له کتاب، یکنّی أبا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فی زمرة من ذکره من سلفنا الصالح فی الطبقة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 الشیخ فی رجاله فی أصحاب أمیر المؤمنین علیه‌السلام وفی أصحاب الحسن علیه‌السلام وفی أصحاب الحسین وفی أصحاب السجاد والباقر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القیس الهلالیّ العامریّ ؛ روی عن أبی عبداللّه والحسن والحسین وعلیّ بن الحسین علیهم‌السلاموینسب إلیه هذا الکتاب المشهور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المفید رحمه‌الله فی آخر کتاب 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ما تعلّقَ به أبو جعفر رحمه‌الله من حدیث سلیم الّذی رجع فیه إلی الکتاب المضاف إلیه بروایة أبان بن أبی عیاش، فالمعنی فیه صحیح، غیر أنّ هذا الکتاب غیر موثوق به، وقد حصل فیه تخلیط وتدلیس، فینبغی للمتدیّن أن یجتنب العمل بکلّ ما فیه ولا یعوّل علی جملته والتقلید لروایته، ولیفزع إلی العلماء فیما تضمّنه من الأحادیث لیوقفوه علی الصحیح منها والفاسد، انتهی قول الشیخ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النعمانیّ فی کتاب الغیبة فی باب ما روی فی أنّ الأئمّة اثنا عشر إماما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جمیع ما اشتمل علیه کتاب سلیم إنّما هو عن رسول اللّه صلی‌الله‌علیه‌و‌آلهوأمیر المؤمنین علیه‌السلام والمقداد وسلمان الفارسیّ وأبیذرّ ومن جری مجراهم ممّن شهد رسول اللّه صلی‌الله‌علیه‌و‌آلهوأمیر المؤمنین علیه‌السلام، وهو من الأُصول التی ترجع الشیعة إلیه وتعوّل علیها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فی الخلاصة القسم الأوّل من الباب الثامن من فصل السین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طلبه الحجّاج لیقتله فهرب وأوی إلی أبان بن أبی عیاش، فلمّا حضرته الوفاة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أعطاه کتابا، فلم یرو عن سلیم بن قیس أحد من الناس إلّا أبان بن أبی عیاش، وذکر أبان فی حدیثه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شیخا متعبّدا له نور یعلوه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معجم رجال الحدیث </w:t>
      </w:r>
      <w:r>
        <w:rPr>
          <w:rFonts w:eastAsia="IRNazanin" w:cs="IRNazanin"/>
          <w:color w:val="111111"/>
          <w:sz w:val="28"/>
          <w:szCs w:val="28"/>
          <w:lang w:bidi="fa-IR"/>
        </w:rPr>
        <w:t>8/216</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المقداد رضی‌الله‌عنهقال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صلی‌الله‌علیه‌و‌آله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استوجب آدم أن یخلقه اللّه وینفخ فیه من روحه، وأن یتوب علیه ویردّه إلی جنّته إلاّ بنبوّتی، والولایة لعلیّ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ما رأی إبراهیم</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ملکوت السّماوات ولا اتّخذه اللّه خلیلاً إلاّ بنبوّتی، ومعرفة علیٍّ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ما کلّم اللّه موسی تکلیماً ولا أقام عیسی آیةً للعالمین إلاّ بنبوّتی والإقرار لعلیٍّ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 نفسی بیده ما تَنَبَّأ نبیٍّ قطّ إلاّ بمعرفتی والإقرار لنا بالولایة، ولا استأهل خلق من اللّه النظر إلاّ بالعبودیة له والإقرار لعلیّ بعدی</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جابر الجعفی </w:t>
      </w:r>
      <w:r>
        <w:rPr>
          <w:rStyle w:val="FootnoteAnchor"/>
          <w:rtl w:val="true"/>
        </w:rPr>
        <w:footnoteReference w:id="859"/>
      </w:r>
    </w:p>
    <w:p>
      <w:pPr>
        <w:pStyle w:val="BookText"/>
        <w:rPr/>
      </w:pPr>
      <w:r>
        <w:rPr>
          <w:rFonts w:ascii="IRNazanin" w:hAnsi="IRNazanin" w:eastAsia="IRNazanin"/>
          <w:color w:val="111111"/>
          <w:sz w:val="28"/>
          <w:sz w:val="28"/>
          <w:szCs w:val="28"/>
          <w:rtl w:val="true"/>
          <w:lang w:bidi="fa-IR"/>
        </w:rPr>
        <w:t>هو جابر بن یزید بن الحرث بن عبد یغوث بن کعب بن الحرث بن معاویة بن وائل بن مرار بن الجعفیّ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الزرکلیّ فی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وائل بن مران الجعفیّ، راجع الأعلام </w:t>
      </w:r>
      <w:r>
        <w:rPr>
          <w:rFonts w:eastAsia="IRNazanin" w:cs="IRNazanin"/>
          <w:color w:val="111111"/>
          <w:sz w:val="28"/>
          <w:szCs w:val="28"/>
          <w:lang w:bidi="fa-IR"/>
        </w:rPr>
        <w:t>8/84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وترجمته فی ج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عربیّ قدیم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جابر بن یزید أبا جعفر وأبا عبداللّه علیهماالسلام، ومات فی أیّامه سنة ثمان وعشرین ومائة، روی عنه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شمر، مفضّل بن صالح، منخّل بن جمیل، یوسف بن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جابر فی نفسه مختلطا، وکان شیخنا أبو عبداللّه محمّد بن محمّد بن النّعمان رحمه‌اللهینشدنا أشعارا کثیرة فی معناه تدلّ علی الاختلاط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الشیخ إلیه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أخبرناه أحمد بن محمّد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محمّد بن سعید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أحمد خاقان النهدیّ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علیّ أبو سمینة الصّیرفیّ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أبو سمیّة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ربیع بن زکریّا الورّاق عن عبداللّه بن محمّد عن جابر بن یزید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 الفضائل، کتاب الجمل، کتاب صفّین، کتاب مقتل علیّ ومقتل الحسین علیهماالسلام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رجال النجاشیّ </w:t>
      </w:r>
      <w:r>
        <w:rPr>
          <w:rFonts w:eastAsia="IRNazanin" w:cs="IRNazanin"/>
          <w:color w:val="111111"/>
          <w:sz w:val="28"/>
          <w:szCs w:val="28"/>
          <w:lang w:bidi="fa-IR"/>
        </w:rPr>
        <w:t>1/313</w:t>
      </w:r>
      <w:r>
        <w:rPr>
          <w:rFonts w:eastAsia="IRNazanin" w:cs="IRNazanin"/>
          <w:color w:val="111111"/>
          <w:sz w:val="28"/>
          <w:szCs w:val="28"/>
          <w:rtl w:val="true"/>
          <w:lang w:bidi="fa-IR"/>
        </w:rPr>
        <w:t xml:space="preserve"> -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الباقر علیه‌السلام فی روایة طویلة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أوّل خلق اللّه وأوّل</w:t>
      </w:r>
    </w:p>
    <w:p>
      <w:pPr>
        <w:pStyle w:val="BookText"/>
        <w:rPr/>
      </w:pPr>
      <w:r>
        <w:rPr>
          <w:rFonts w:ascii="Amiri" w:hAnsi="Amiri" w:eastAsia="Amiri" w:cs="Amiri"/>
          <w:color w:val="111111"/>
          <w:sz w:val="28"/>
          <w:sz w:val="28"/>
          <w:szCs w:val="28"/>
          <w:rtl w:val="true"/>
          <w:lang w:bidi="ar-SA"/>
        </w:rPr>
        <w:t>خلق عَبَدَ اللّه‌َ وسَبَّحَهُ، ونحن سبب خلق اللّه الخلق، وسبب تسبیحهم وعبادتهم من</w:t>
      </w:r>
    </w:p>
    <w:p>
      <w:pPr>
        <w:pStyle w:val="BookText"/>
        <w:rPr/>
      </w:pPr>
      <w:r>
        <w:rPr>
          <w:rFonts w:ascii="Amiri" w:hAnsi="Amiri" w:eastAsia="Amiri" w:cs="Amiri"/>
          <w:color w:val="111111"/>
          <w:sz w:val="28"/>
          <w:sz w:val="28"/>
          <w:szCs w:val="28"/>
          <w:rtl w:val="true"/>
          <w:lang w:bidi="ar-SA"/>
        </w:rPr>
        <w:t>الملائکة والآدمیِّین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 عُرِفَ اللّه، وبنا عُبِدَ اللّه، وبنا وُحِّدَ اللّه، وبنا أکرم اللّه من أکرم من جمیع خلقه، وبنا أثاب اللّه، وبنا عاقَب من عاقَب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وَإِنَّا لَنَحْنُ الصَّافُّونَ</w:t>
      </w:r>
      <w:r>
        <w:rPr>
          <w:rStyle w:val="FootnoteAnchor"/>
          <w:rtl w:val="true"/>
        </w:rPr>
        <w:footnoteReference w:id="8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لَنَحْنُ المُسَبِّحُونَ </w:t>
      </w:r>
      <w:r>
        <w:rPr>
          <w:rFonts w:eastAsia="Amiri" w:cs="Amiri" w:ascii="Amiri" w:hAnsi="Amiri"/>
          <w:color w:val="111111"/>
          <w:sz w:val="28"/>
          <w:szCs w:val="28"/>
          <w:rtl w:val="true"/>
          <w:lang w:bidi="ar-SA"/>
        </w:rPr>
        <w:t>»</w:t>
      </w:r>
      <w:r>
        <w:rPr>
          <w:rStyle w:val="FootnoteAnchor"/>
          <w:rtl w:val="true"/>
        </w:rPr>
        <w:footnoteReference w:id="861"/>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 کانَ لِلرَّحْمنِ وَلَدٌ فَأَنَا أَوَّلُ العَابِدِینَ </w:t>
      </w:r>
      <w:r>
        <w:rPr>
          <w:rFonts w:eastAsia="Amiri" w:cs="Amiri" w:ascii="Amiri" w:hAnsi="Amiri"/>
          <w:color w:val="111111"/>
          <w:sz w:val="28"/>
          <w:szCs w:val="28"/>
          <w:rtl w:val="true"/>
          <w:lang w:bidi="ar-SA"/>
        </w:rPr>
        <w:t>»</w:t>
      </w:r>
      <w:r>
        <w:rPr>
          <w:rStyle w:val="FootnoteAnchor"/>
          <w:rtl w:val="true"/>
        </w:rPr>
        <w:footnoteReference w:id="862"/>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 اللّه أوّل من عبد اللّه وأوّل من أنکر أن یکون له ولد أو شریک، ثمّ نحن بعد رسول اللّه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من جمیع ما ذکر أ نّ حقیقة الدِّین وروح الأحکام معرفتهم وولایتهم، وجمیع الخلق راجع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آیات الکتاب یکون فیهم وما یتعلّق بهم</w:t>
      </w:r>
      <w:r>
        <w:rPr>
          <w:rFonts w:eastAsia="IRNazanin" w:cs="IRNazanin"/>
          <w:color w:val="111111"/>
          <w:sz w:val="28"/>
          <w:szCs w:val="28"/>
          <w:rtl w:val="true"/>
          <w:lang w:bidi="fa-IR"/>
        </w:rPr>
        <w:t>.</w:t>
      </w:r>
      <w:bookmarkStart w:id="473" w:name="pg4391_51255"/>
    </w:p>
    <w:p>
      <w:pPr>
        <w:pStyle w:val="Heading5"/>
        <w:numPr>
          <w:ilvl w:val="4"/>
          <w:numId w:val="1"/>
        </w:numPr>
        <w:rPr/>
      </w:pPr>
      <w:bookmarkStart w:id="474" w:name="__RefHeading___Toc1438939_1479056682"/>
      <w:bookmarkStart w:id="475" w:name="_Toc178"/>
      <w:bookmarkEnd w:id="473"/>
      <w:bookmarkEnd w:id="474"/>
      <w:r>
        <w:rPr>
          <w:rtl w:val="true"/>
        </w:rPr>
        <w:t>الطُّرفة الرابعة والعشرون</w:t>
      </w:r>
      <w:r>
        <w:rPr>
          <w:rtl w:val="true"/>
        </w:rPr>
        <w:t xml:space="preserve">: </w:t>
      </w:r>
      <w:r>
        <w:rPr>
          <w:rtl w:val="true"/>
        </w:rPr>
        <w:t>فی دفع توهّم استلزام اشتمال القرآن علی البطون واستعمال اللّفظ فی أکثر من معنیً</w:t>
      </w:r>
      <w:bookmarkEnd w:id="475"/>
    </w:p>
    <w:p>
      <w:pPr>
        <w:pStyle w:val="BookText"/>
        <w:rPr/>
      </w:pPr>
      <w:r>
        <w:rPr>
          <w:rFonts w:ascii="IRNazanin" w:hAnsi="IRNazanin" w:eastAsia="IRNazanin"/>
          <w:color w:val="111111"/>
          <w:sz w:val="28"/>
          <w:sz w:val="28"/>
          <w:szCs w:val="28"/>
          <w:rtl w:val="true"/>
          <w:lang w:bidi="fa-IR"/>
        </w:rPr>
        <w:t>قد یتوهّم المتوهِّم أنّه یلزم من إرادة المعانی الظاهریة والبطون الکثیرة من الآیات، إرادة المعانی الکثیرة من اللّفظ الواحد فی استعمالٍ واحد، وقد تقرّر فی علم الأُصول عدم جوازه، بل امتناعه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الإحاطة بما ذکرنا سابقاً من اختلاف جهات الدلالة واستنباط</w:t>
      </w:r>
    </w:p>
    <w:p>
      <w:pPr>
        <w:pStyle w:val="BookText"/>
        <w:rPr/>
      </w:pPr>
      <w:r>
        <w:rPr>
          <w:rFonts w:ascii="IRNazanin" w:hAnsi="IRNazanin" w:eastAsia="IRNazanin"/>
          <w:color w:val="111111"/>
          <w:sz w:val="28"/>
          <w:sz w:val="28"/>
          <w:szCs w:val="28"/>
          <w:rtl w:val="true"/>
          <w:lang w:bidi="fa-IR"/>
        </w:rPr>
        <w:t>المعانی منها یندفع هذا التوهّم، فإنّ الانتقال من اللفظ إلی المعنی واستفادة المطلب من الکلام لیس منحصراً فی الدلالة بجهة واحدة ووجهٍ فاردٍ، بل کلمّا استعملته الجمل المرکّبة من المفردات ترکیباً مفیداً فهی تدلّ علی معانیها الظاهریة مطابقةً، وعلی أجزائها</w:t>
      </w:r>
    </w:p>
    <w:p>
      <w:pPr>
        <w:pStyle w:val="BookText"/>
        <w:rPr/>
      </w:pPr>
      <w:r>
        <w:rPr>
          <w:rFonts w:ascii="IRNazanin" w:hAnsi="IRNazanin" w:eastAsia="IRNazanin"/>
          <w:color w:val="111111"/>
          <w:sz w:val="28"/>
          <w:sz w:val="28"/>
          <w:szCs w:val="28"/>
          <w:rtl w:val="true"/>
          <w:lang w:bidi="fa-IR"/>
        </w:rPr>
        <w:t>العقلیة والخارجیة تضمّناً، وعلی عللها وأجزاء عللها وشروطها إلی أن ینتهی إلی مبدأ المبادئ، وعلّة العلل ومعلولاتها إلی ما شاء اللّه التزاماً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بالنسبة إلی الجملة الواحدة بالنظر إلی الدلالات الثلاث مع قطع النظر عن انضمامها إلی الآیات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الدلالات الغیر الکلامیة من کیفیة الألفاظ وأعداد حروفها وسائر طرق الاستفادة منها التی لایعلمها إلاّ الراسخون فی العلم، فبتلک الوجوه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یکون لکلّ آیة ظاهر، وظاهرُ ظاهرٍ وباطنٌ، وباطنُ باطنٍ إلی ما شاء اللّه، وبها یجمع بین الأخبار المتنافیة الواردة فی تفسیر بعض الآیات کالمختلفات فی تفسیر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 یُّها الَّذِینَ آمَنُوا اصْبِرُوا وَصَابِرُوا وَرَابِطُوا </w:t>
      </w:r>
      <w:r>
        <w:rPr>
          <w:rFonts w:eastAsia="Amiri" w:cs="Amiri" w:ascii="Amiri" w:hAnsi="Amiri"/>
          <w:color w:val="111111"/>
          <w:sz w:val="28"/>
          <w:szCs w:val="28"/>
          <w:rtl w:val="true"/>
          <w:lang w:bidi="ar-SA"/>
        </w:rPr>
        <w:t xml:space="preserve">» </w:t>
      </w:r>
      <w:r>
        <w:rPr>
          <w:rStyle w:val="FootnoteAnchor"/>
          <w:rtl w:val="true"/>
        </w:rPr>
        <w:footnoteReference w:id="863"/>
      </w:r>
      <w:r>
        <w:rPr>
          <w:rFonts w:ascii="IRNazanin" w:hAnsi="IRNazanin" w:eastAsia="IRNazanin"/>
          <w:color w:val="111111"/>
          <w:sz w:val="28"/>
          <w:sz w:val="28"/>
          <w:szCs w:val="28"/>
          <w:rtl w:val="true"/>
          <w:lang w:bidi="fa-IR"/>
        </w:rPr>
        <w:t>، ففی بعضها أنّ المراد منه التوقّف فی الثغور وربط الخیل للتهیّؤ للجهاد، وفی بعضها الآخر أنّ المراد الانتظار للصلاة</w:t>
      </w:r>
    </w:p>
    <w:p>
      <w:pPr>
        <w:pStyle w:val="BookText"/>
        <w:rPr/>
      </w:pPr>
      <w:r>
        <w:rPr>
          <w:rFonts w:ascii="IRNazanin" w:hAnsi="IRNazanin" w:eastAsia="IRNazanin"/>
          <w:color w:val="111111"/>
          <w:sz w:val="28"/>
          <w:sz w:val="28"/>
          <w:szCs w:val="28"/>
          <w:rtl w:val="true"/>
          <w:lang w:bidi="fa-IR"/>
        </w:rPr>
        <w:t>بعد الصلاة، وثالث أنّه لقاء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التعارض بین الروایات الواردة فی تفسیر آیة من قبیل التعارض الّذی یجب الرجوع فیه إلی المرجّحات المنصوصة أو الغیر المنصوصة، وعند فقدها یلتزم بالتوقّف أو التخییر، فإنّ الجمع الدلالیّ ممکن فیها ومقدّم علی المرجّحات السندیّة، وکذا الروایات المختلفة الواردة فی شأن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محمولة</w:t>
      </w:r>
    </w:p>
    <w:p>
      <w:pPr>
        <w:pStyle w:val="BookText"/>
        <w:rPr/>
      </w:pPr>
      <w:r>
        <w:rPr>
          <w:rFonts w:ascii="IRNazanin" w:hAnsi="IRNazanin" w:eastAsia="IRNazanin"/>
          <w:color w:val="111111"/>
          <w:sz w:val="28"/>
          <w:sz w:val="28"/>
          <w:szCs w:val="28"/>
          <w:rtl w:val="true"/>
          <w:lang w:bidi="fa-IR"/>
        </w:rPr>
        <w:t>علی تقارن الوقائع وأنّ جمیعها کان سبباً للنّزول، أو علی أنّ النّزول کان متکرِّراً فانّه ممکن، بل واقعٌ، أو علی أنّها نزلت عند أوّل واقعة ثمّ وقعت وقائع أُخری، کلّ واحدٍ منها مناسب لمضمون الآیة، فقرأهاالنبیّ صلی‌الله‌علیه‌و‌آلهعنده، فتوهّم الرّاوی نزولها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یکون اختلاف الروایات فی کیفیة القراءة من التعارض الّذی لیس فیه جمع دلالیّ بناءً علی ما هو الحقّ المحقّق من بطلان القول بتعدّد القراءات التی نزل بها جبرئیل وفساد القول بأنّ القراءات السّبع متواترةٌ عن‌النبیّ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نزل علی</w:t>
      </w:r>
    </w:p>
    <w:p>
      <w:pPr>
        <w:pStyle w:val="BookText"/>
        <w:rPr/>
      </w:pPr>
      <w:r>
        <w:rPr>
          <w:rFonts w:ascii="IRNazanin" w:hAnsi="IRNazanin" w:eastAsia="IRNazanin"/>
          <w:color w:val="111111"/>
          <w:sz w:val="28"/>
          <w:sz w:val="28"/>
          <w:szCs w:val="28"/>
          <w:rtl w:val="true"/>
          <w:lang w:bidi="fa-IR"/>
        </w:rPr>
        <w:t>حرفٍ واحدٍ من عند إله واحد، کما نطق به بعض الروایات الواردة عن أهل البیت علیهم‌السلام، ولکن لا یمکن إثبات کیفیة القراءة بخبر الواحد، کما لا یمکن إثبات الآیة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یترتّب</w:t>
      </w:r>
    </w:p>
    <w:p>
      <w:pPr>
        <w:pStyle w:val="BookText"/>
        <w:rPr/>
      </w:pPr>
      <w:r>
        <w:rPr>
          <w:rFonts w:ascii="IRNazanin" w:hAnsi="IRNazanin" w:eastAsia="IRNazanin"/>
          <w:color w:val="111111"/>
          <w:sz w:val="28"/>
          <w:sz w:val="28"/>
          <w:szCs w:val="28"/>
          <w:rtl w:val="true"/>
          <w:lang w:bidi="fa-IR"/>
        </w:rPr>
        <w:t>علیه علی تقدیر استجماعه شروط الحجِّیّة الحکم الشرعیّ، الّذی یکون لمؤدّاه إن لم‌یکن</w:t>
      </w:r>
    </w:p>
    <w:p>
      <w:pPr>
        <w:pStyle w:val="BookText"/>
        <w:rPr/>
      </w:pPr>
      <w:r>
        <w:rPr>
          <w:rFonts w:ascii="IRNazanin" w:hAnsi="IRNazanin" w:eastAsia="IRNazanin"/>
          <w:color w:val="111111"/>
          <w:sz w:val="28"/>
          <w:sz w:val="28"/>
          <w:szCs w:val="28"/>
          <w:rtl w:val="true"/>
          <w:lang w:bidi="fa-IR"/>
        </w:rPr>
        <w:t>القراءة المشهورة متواترةً، وإلاّ فلا بدّ من طرح تلک الروایات والقراءة والعمل بالقراءة</w:t>
      </w:r>
    </w:p>
    <w:p>
      <w:pPr>
        <w:pStyle w:val="BookText"/>
        <w:rPr/>
      </w:pPr>
      <w:r>
        <w:rPr>
          <w:rFonts w:ascii="IRNazanin" w:hAnsi="IRNazanin" w:eastAsia="IRNazanin"/>
          <w:color w:val="111111"/>
          <w:sz w:val="28"/>
          <w:sz w:val="28"/>
          <w:szCs w:val="28"/>
          <w:rtl w:val="true"/>
          <w:lang w:bidi="fa-IR"/>
        </w:rPr>
        <w:t>المشهورة، وعند ذلک لا فائدة فی تلک الأخبار، خصوصاً مع قولهم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کما یقرأ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یجوز قراءة السُّوَر بالقراءات الغیر المشهورة فی الصّلاة الفریضة ولو کانت</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مرویّةً عن الأئمّة المعصومین علیهم‌السلام بسند صحیحٍ معتبرٍ</w:t>
      </w:r>
      <w:r>
        <w:rPr>
          <w:rFonts w:eastAsia="IRNazanin" w:cs="IRNazanin"/>
          <w:color w:val="111111"/>
          <w:sz w:val="28"/>
          <w:szCs w:val="28"/>
          <w:rtl w:val="true"/>
          <w:lang w:bidi="fa-IR"/>
        </w:rPr>
        <w:t>.</w:t>
      </w:r>
      <w:bookmarkStart w:id="476" w:name="pg4391_51257"/>
    </w:p>
    <w:p>
      <w:pPr>
        <w:pStyle w:val="Heading5"/>
        <w:numPr>
          <w:ilvl w:val="4"/>
          <w:numId w:val="1"/>
        </w:numPr>
        <w:rPr/>
      </w:pPr>
      <w:bookmarkStart w:id="477" w:name="__RefHeading___Toc1438941_1479056682"/>
      <w:bookmarkStart w:id="478" w:name="_Toc179"/>
      <w:bookmarkEnd w:id="476"/>
      <w:bookmarkEnd w:id="477"/>
      <w:r>
        <w:rPr>
          <w:rtl w:val="true"/>
        </w:rPr>
        <w:t>الطُّرفة الخامسة والعشرون</w:t>
      </w:r>
      <w:r>
        <w:rPr>
          <w:rtl w:val="true"/>
        </w:rPr>
        <w:t xml:space="preserve">: </w:t>
      </w:r>
      <w:r>
        <w:rPr>
          <w:rtl w:val="true"/>
        </w:rPr>
        <w:t>فی عدم حجیّة الأمارات الدالّة علی تفسیر الآیات الغیر المرتبطة بالأحکام الشّرعیة العملیّة</w:t>
      </w:r>
      <w:bookmarkEnd w:id="478"/>
    </w:p>
    <w:p>
      <w:pPr>
        <w:pStyle w:val="BookText"/>
        <w:rPr/>
      </w:pPr>
      <w:r>
        <w:rPr>
          <w:rFonts w:ascii="IRNazanin" w:hAnsi="IRNazanin" w:eastAsia="IRNazanin"/>
          <w:color w:val="111111"/>
          <w:sz w:val="28"/>
          <w:sz w:val="28"/>
          <w:szCs w:val="28"/>
          <w:rtl w:val="true"/>
          <w:lang w:bidi="fa-IR"/>
        </w:rPr>
        <w:t xml:space="preserve">لا شبهة فی عدم حجیّة الأمارات الشرعیة فی مورد لیس له بنفسه أو بتوسّط اللّوازم العقلیة أو العادیة حکم شرعیّ عملیّ، حیث أنّ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عبارة عن حکم شرعیٍّ تکلیفیٍّ طریقیٍّ بترتیب الأحکام العملیة الواقعیة علی مؤدِّی الأمارة الدالّة علیها، أو علی وجود موضوعها عند جهل المکلّف بها أو بموضوعها أو حکم وضعیّ، وجعل إنشائیّ ممّن له الحکم، والجعل یکون منشأ لاعتبار عُقلائیّ یستتبع الآثار العقلیة من تنجیز الأحکام</w:t>
      </w:r>
    </w:p>
    <w:p>
      <w:pPr>
        <w:pStyle w:val="BookText"/>
        <w:rPr/>
      </w:pPr>
      <w:r>
        <w:rPr>
          <w:rFonts w:ascii="IRNazanin" w:hAnsi="IRNazanin" w:eastAsia="IRNazanin"/>
          <w:color w:val="111111"/>
          <w:sz w:val="28"/>
          <w:sz w:val="28"/>
          <w:szCs w:val="28"/>
          <w:rtl w:val="true"/>
          <w:lang w:bidi="fa-IR"/>
        </w:rPr>
        <w:t>الشرعیة الواقعیة التی تکون مؤدِّیها أو العقلائیة کذلک، ولو بالوسائط العقلیّة أو العادیّة</w:t>
      </w:r>
    </w:p>
    <w:p>
      <w:pPr>
        <w:pStyle w:val="BookText"/>
        <w:rPr/>
      </w:pPr>
      <w:r>
        <w:rPr>
          <w:rFonts w:ascii="IRNazanin" w:hAnsi="IRNazanin" w:eastAsia="IRNazanin"/>
          <w:color w:val="111111"/>
          <w:sz w:val="28"/>
          <w:sz w:val="28"/>
          <w:szCs w:val="28"/>
          <w:rtl w:val="true"/>
          <w:lang w:bidi="fa-IR"/>
        </w:rPr>
        <w:t>عند الإصابة والعذر عند الخطأ والموافقة والتجرِّی عند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یتصوّر تحقّق مفهوم</w:t>
      </w:r>
    </w:p>
    <w:p>
      <w:pPr>
        <w:pStyle w:val="BookText"/>
        <w:rPr/>
      </w:pPr>
      <w:r>
        <w:rPr>
          <w:rFonts w:ascii="Amiri" w:hAnsi="Amiri" w:eastAsia="Amiri" w:cs="Amiri"/>
          <w:color w:val="111111"/>
          <w:sz w:val="28"/>
          <w:sz w:val="28"/>
          <w:szCs w:val="28"/>
          <w:rtl w:val="true"/>
          <w:lang w:bidi="ar-SA"/>
        </w:rPr>
        <w:t>الحجّیّة وجعلها، إلاّ لأمارةٍ کان مؤدِّیها حکم عملیّ أو موضوع ذا حکم ولو بواسطة أُمور</w:t>
      </w:r>
    </w:p>
    <w:p>
      <w:pPr>
        <w:pStyle w:val="BookText"/>
        <w:rPr/>
      </w:pPr>
      <w:r>
        <w:rPr>
          <w:rFonts w:ascii="IRNazanin" w:hAnsi="IRNazanin" w:eastAsia="IRNazanin"/>
          <w:color w:val="111111"/>
          <w:sz w:val="28"/>
          <w:sz w:val="28"/>
          <w:szCs w:val="28"/>
          <w:rtl w:val="true"/>
          <w:lang w:bidi="fa-IR"/>
        </w:rPr>
        <w:t>غیر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معنی لحجّیّة الأخبار الغیر العلمیة الواردة فی بیان شأن نزول الآیات أو تفسیرها أو بطونها وتأویلها إذا لم یترتّب علیها حکم شرعیّ ولم تکن لها دخل فی فهم الآیات الدالّة علی الأحکام التکلیفیة أو الوضعیة، ولا یجوز ترتیب أثر العلم علی تلک</w:t>
      </w:r>
    </w:p>
    <w:p>
      <w:pPr>
        <w:pStyle w:val="BookText"/>
        <w:rPr/>
      </w:pPr>
      <w:r>
        <w:rPr>
          <w:rFonts w:ascii="IRNazanin" w:hAnsi="IRNazanin" w:eastAsia="IRNazanin"/>
          <w:color w:val="111111"/>
          <w:sz w:val="28"/>
          <w:sz w:val="28"/>
          <w:szCs w:val="28"/>
          <w:rtl w:val="true"/>
          <w:lang w:bidi="fa-IR"/>
        </w:rPr>
        <w:t>الأمارات المجعولة ولو کان العلم مأخوذاً فیها علی جهة الکشف والطریقیة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المکلّف أن یرتّب علی الأمارات آثار المعلوم لا آثار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هذا لا یجوز الإخبار بتحقّق مؤدِّیها، لأنّ جواز الإخبار بالواقع من آثار العلم به لا من آثار نفسه، فإنّ دلیل الحجّیّة لا یفی بإثبات آثار العلم للأمارة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یثبت لها أثر الکشف عن الواقع الّذی للعلم، إلاّ أن یقوم دلیل غیر دلیل الحجّیّة علی جواز ترتیب أثر العلم علی الأمارة، فعلی</w:t>
      </w:r>
    </w:p>
    <w:p>
      <w:pPr>
        <w:pStyle w:val="BookText"/>
        <w:rPr/>
      </w:pPr>
      <w:r>
        <w:rPr>
          <w:rFonts w:ascii="IRNazanin" w:hAnsi="IRNazanin" w:eastAsia="IRNazanin"/>
          <w:color w:val="111111"/>
          <w:sz w:val="28"/>
          <w:sz w:val="28"/>
          <w:szCs w:val="28"/>
          <w:rtl w:val="true"/>
          <w:lang w:bidi="fa-IR"/>
        </w:rPr>
        <w:t>هذا لا یجوز الارتماس فی الماء للصائم ولا یجوز الإخبار بأنّ الارتماس مبطل الصّوم فی حکم اللّه الواقعیّ، لأ نّه کذب علی اللّه وعلی رسوله إذا کان الکذب هو الإخبار بشیء لا یعلم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رأیی أو رأی مقلّدی عدم جواز الارتماس حال الصوم، أو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الأخبار کذا،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أقوی دلیل حجّیّة الروایات هو بناء العقلاء</w:t>
      </w:r>
    </w:p>
    <w:p>
      <w:pPr>
        <w:pStyle w:val="BookText"/>
        <w:rPr/>
      </w:pPr>
      <w:r>
        <w:rPr>
          <w:rFonts w:ascii="IRNazanin" w:hAnsi="IRNazanin" w:eastAsia="IRNazanin"/>
          <w:color w:val="111111"/>
          <w:sz w:val="28"/>
          <w:sz w:val="28"/>
          <w:szCs w:val="28"/>
          <w:rtl w:val="true"/>
          <w:lang w:bidi="fa-IR"/>
        </w:rPr>
        <w:t>وسیرتهم علی العمل بالخبر الموثوق به، وکما أنّ سیرتهم قائمة علی جواز العمل کذلک قائمة علی جواز الإخبار بالواقع الّذی یکون مؤدّاه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أخبر أحد بشأن نزول آیة أو</w:t>
      </w:r>
    </w:p>
    <w:p>
      <w:pPr>
        <w:pStyle w:val="BookText"/>
        <w:rPr/>
      </w:pPr>
      <w:r>
        <w:rPr>
          <w:rFonts w:ascii="IRNazanin" w:hAnsi="IRNazanin" w:eastAsia="IRNazanin"/>
          <w:color w:val="111111"/>
          <w:sz w:val="28"/>
          <w:sz w:val="28"/>
          <w:szCs w:val="28"/>
          <w:rtl w:val="true"/>
          <w:lang w:bidi="fa-IR"/>
        </w:rPr>
        <w:t xml:space="preserve">تفسیرها أو تأویلها، أو بحکمٍ من أحکام اللّه الواقعی، ثمّ سُئِلَ عن مدرک أخباره، فأجاب بأ نّه ورد خبر معتبر به، لا یلام عند العقلاء علی إخباره مع عدم علمه به، ویؤیِّده الروایة فی جواز الشهادة علی الملک الواقعیّ بالاستصحاب </w:t>
      </w:r>
      <w:r>
        <w:rPr>
          <w:rStyle w:val="FootnoteAnchor"/>
          <w:rtl w:val="true"/>
        </w:rPr>
        <w:footnoteReference w:id="8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أُصول الفقه للمظفّر </w:t>
      </w:r>
      <w:r>
        <w:rPr>
          <w:rFonts w:eastAsia="IRNazanin" w:cs="IRNazanin"/>
          <w:color w:val="111111"/>
          <w:sz w:val="28"/>
          <w:szCs w:val="28"/>
          <w:lang w:bidi="fa-IR"/>
        </w:rPr>
        <w:t>2/242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الشهید الثانی فی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أن یثبت حکم فی وقت ثمّ یجیء وقت آخر ولا یقوم دلیلٌ علی انتفاء ذلک الحکم، فهل یُحکم ببقائه علی ما کان وهو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معالم الدین 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الحجج العقلائیّة من خبر الثقة وظواهر الألفاظ وغیرها سیرتین منهم، إحداهما علی جواز العمل بمؤدِّیها علی أنّه الواقع، وثانیتها علی جواز الإخبار</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بالواقع الّذی تکون أمارةٌ علیه</w:t>
      </w:r>
      <w:r>
        <w:rPr>
          <w:rFonts w:eastAsia="IRNazanin" w:cs="IRNazanin"/>
          <w:color w:val="111111"/>
          <w:sz w:val="28"/>
          <w:szCs w:val="28"/>
          <w:rtl w:val="true"/>
          <w:lang w:bidi="fa-IR"/>
        </w:rPr>
        <w:t>.</w:t>
      </w:r>
      <w:bookmarkStart w:id="479" w:name="pg4391_51259"/>
    </w:p>
    <w:p>
      <w:pPr>
        <w:pStyle w:val="Heading5"/>
        <w:numPr>
          <w:ilvl w:val="4"/>
          <w:numId w:val="1"/>
        </w:numPr>
        <w:rPr/>
      </w:pPr>
      <w:bookmarkStart w:id="480" w:name="__RefHeading___Toc1438943_1479056682"/>
      <w:bookmarkStart w:id="481" w:name="_Toc180"/>
      <w:bookmarkEnd w:id="479"/>
      <w:bookmarkEnd w:id="480"/>
      <w:r>
        <w:rPr>
          <w:rtl w:val="true"/>
        </w:rPr>
        <w:t>الطُّرفة السادسة والعشرون</w:t>
      </w:r>
      <w:r>
        <w:rPr>
          <w:rtl w:val="true"/>
        </w:rPr>
        <w:t xml:space="preserve">: </w:t>
      </w:r>
      <w:r>
        <w:rPr>
          <w:rtl w:val="true"/>
        </w:rPr>
        <w:t>فی دفع توهّم التناقض والتعارض بین الآیات الکریمة</w:t>
      </w:r>
      <w:bookmarkEnd w:id="481"/>
    </w:p>
    <w:p>
      <w:pPr>
        <w:pStyle w:val="BookText"/>
        <w:rPr/>
      </w:pPr>
      <w:r>
        <w:rPr>
          <w:rFonts w:ascii="Amiri" w:hAnsi="Amiri" w:eastAsia="Amiri" w:cs="Amiri"/>
          <w:color w:val="111111"/>
          <w:sz w:val="28"/>
          <w:sz w:val="28"/>
          <w:szCs w:val="28"/>
          <w:rtl w:val="true"/>
          <w:lang w:bidi="ar-SA"/>
        </w:rPr>
        <w:t>قد توهّم الجاهلون التناقض فی جملةٍ من آیات الکتاب العزیز والتعارض بین کثیر منها، مع بداهةِ أنّ کلامَه تعالی منزّهٌ عن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کانَ مِن عِنْدِ غَیْرِ اللّه‌ِ لَوَجَدُوا</w:t>
      </w:r>
    </w:p>
    <w:p>
      <w:pPr>
        <w:pStyle w:val="BookText"/>
        <w:rPr/>
      </w:pPr>
      <w:r>
        <w:rPr>
          <w:rFonts w:ascii="Amiri" w:hAnsi="Amiri" w:eastAsia="Amiri" w:cs="Amiri"/>
          <w:color w:val="111111"/>
          <w:sz w:val="28"/>
          <w:sz w:val="28"/>
          <w:szCs w:val="28"/>
          <w:rtl w:val="true"/>
          <w:lang w:bidi="ar-SA"/>
        </w:rPr>
        <w:t xml:space="preserve">فِیهِ اخْتِلاَفاً کَثِیراً </w:t>
      </w:r>
      <w:r>
        <w:rPr>
          <w:rFonts w:eastAsia="Amiri" w:cs="Amiri" w:ascii="Amiri" w:hAnsi="Amiri"/>
          <w:color w:val="111111"/>
          <w:sz w:val="28"/>
          <w:szCs w:val="28"/>
          <w:rtl w:val="true"/>
          <w:lang w:bidi="ar-SA"/>
        </w:rPr>
        <w:t xml:space="preserve">» </w:t>
      </w:r>
      <w:r>
        <w:rPr>
          <w:rStyle w:val="FootnoteAnchor"/>
          <w:rtl w:val="true"/>
        </w:rPr>
        <w:footnoteReference w:id="865"/>
      </w:r>
      <w:r>
        <w:rPr>
          <w:rFonts w:ascii="IRNazanin" w:hAnsi="IRNazanin" w:eastAsia="IRNazanin"/>
          <w:color w:val="111111"/>
          <w:sz w:val="28"/>
          <w:sz w:val="28"/>
          <w:szCs w:val="28"/>
          <w:rtl w:val="true"/>
          <w:lang w:bidi="fa-IR"/>
        </w:rPr>
        <w:t>، وقد تعرّض جمع من العلماء لذکر الآیات الموهمة لذلک، وبیان وجه الجمع بینها، ودفع التّوهّم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سعید بن جبیر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ابن عبّاس رضی‌الله‌عنه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أشیاءً تختلف علیَّ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أشکّ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بشکّ، ولکنّه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هات ما اختلف علیک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 تَکُن فِتْنَتُهُم إِلاَّ أَنْ قَالُوا وَاللّه‌ِ رَبِّنا مَا کُنَّا مُشْرِکِین </w:t>
      </w:r>
      <w:r>
        <w:rPr>
          <w:rFonts w:eastAsia="Amiri" w:cs="Amiri" w:ascii="Amiri" w:hAnsi="Amiri"/>
          <w:color w:val="111111"/>
          <w:sz w:val="28"/>
          <w:szCs w:val="28"/>
          <w:rtl w:val="true"/>
          <w:lang w:bidi="ar-SA"/>
        </w:rPr>
        <w:t xml:space="preserve">» </w:t>
      </w:r>
      <w:r>
        <w:rPr>
          <w:rStyle w:val="FootnoteAnchor"/>
          <w:rtl w:val="true"/>
        </w:rPr>
        <w:footnoteReference w:id="86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یَکْتُمُونَ اللّه‌َ حَدِیثاً </w:t>
      </w:r>
      <w:r>
        <w:rPr>
          <w:rFonts w:eastAsia="Amiri" w:cs="Amiri" w:ascii="Amiri" w:hAnsi="Amiri"/>
          <w:color w:val="111111"/>
          <w:sz w:val="28"/>
          <w:szCs w:val="28"/>
          <w:rtl w:val="true"/>
          <w:lang w:bidi="ar-SA"/>
        </w:rPr>
        <w:t xml:space="preserve">» </w:t>
      </w:r>
      <w:r>
        <w:rPr>
          <w:rStyle w:val="FootnoteAnchor"/>
          <w:rtl w:val="true"/>
        </w:rPr>
        <w:footnoteReference w:id="867"/>
      </w:r>
      <w:r>
        <w:rPr>
          <w:rFonts w:ascii="IRNazanin" w:hAnsi="IRNazanin" w:eastAsia="IRNazanin"/>
          <w:color w:val="111111"/>
          <w:sz w:val="28"/>
          <w:sz w:val="28"/>
          <w:szCs w:val="28"/>
          <w:rtl w:val="true"/>
          <w:lang w:bidi="fa-IR"/>
        </w:rPr>
        <w:t>فقد کتموا، وأسمعه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w:t>
      </w:r>
    </w:p>
    <w:p>
      <w:pPr>
        <w:pStyle w:val="BookText"/>
        <w:rPr/>
      </w:pPr>
      <w:r>
        <w:rPr>
          <w:rFonts w:ascii="Amiri" w:hAnsi="Amiri" w:eastAsia="Amiri" w:cs="Amiri"/>
          <w:color w:val="111111"/>
          <w:sz w:val="28"/>
          <w:sz w:val="28"/>
          <w:szCs w:val="28"/>
          <w:rtl w:val="true"/>
          <w:lang w:bidi="ar-SA"/>
        </w:rPr>
        <w:t xml:space="preserve">أَ نْسَابَ بَیْنَهُم یَوْمَئِذٍ وَلاَ یَتَسَاءَلُونَ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أَئِنَّکُم لَتَکْفُرُونَ بِالَّذِی خَلَقَ الأَرْضَ فِی یَوْمَیْنِ </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 xml:space="preserve">حتّی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طائعین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الآیة الأُخری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السَّماءُ بَنَاها </w:t>
      </w:r>
      <w:r>
        <w:rPr>
          <w:rFonts w:eastAsia="Amiri" w:cs="Amiri" w:ascii="Amiri" w:hAnsi="Amiri"/>
          <w:color w:val="111111"/>
          <w:sz w:val="28"/>
          <w:szCs w:val="28"/>
          <w:rtl w:val="true"/>
          <w:lang w:bidi="ar-SA"/>
        </w:rPr>
        <w:t xml:space="preserve">» </w:t>
      </w:r>
      <w:r>
        <w:rPr>
          <w:rStyle w:val="FootnoteAnchor"/>
          <w:rtl w:val="true"/>
        </w:rPr>
        <w:footnoteReference w:id="87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بَعْدَ ذلِکَ دَحَاها </w:t>
      </w:r>
      <w:r>
        <w:rPr>
          <w:rFonts w:eastAsia="Amiri" w:cs="Amiri" w:ascii="Amiri" w:hAnsi="Amiri"/>
          <w:color w:val="111111"/>
          <w:sz w:val="28"/>
          <w:szCs w:val="28"/>
          <w:rtl w:val="true"/>
          <w:lang w:bidi="ar-SA"/>
        </w:rPr>
        <w:t xml:space="preserve">» </w:t>
      </w:r>
      <w:r>
        <w:rPr>
          <w:rStyle w:val="FootnoteAnchor"/>
          <w:rtl w:val="true"/>
        </w:rPr>
        <w:footnoteReference w:id="872"/>
      </w:r>
      <w:r>
        <w:rPr>
          <w:rFonts w:ascii="IRNazanin" w:hAnsi="IRNazanin" w:eastAsia="IRNazanin"/>
          <w:color w:val="111111"/>
          <w:sz w:val="28"/>
          <w:sz w:val="28"/>
          <w:szCs w:val="28"/>
          <w:rtl w:val="true"/>
          <w:lang w:bidi="fa-IR"/>
        </w:rPr>
        <w:t>، وأسمعه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 ما شأنه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اللّه</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عبّاس رضی‌الله‌عنه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لَمْ تَکُنْ فِتْنَتُهُم إِلاَّ أَنْ قَالُوا وَاللّه‌ِ رَبِّنا مَا کُنَّا مُشْرِکِین </w:t>
      </w:r>
      <w:r>
        <w:rPr>
          <w:rFonts w:eastAsia="Amiri" w:cs="Amiri" w:ascii="Amiri" w:hAnsi="Amiri"/>
          <w:color w:val="111111"/>
          <w:sz w:val="28"/>
          <w:szCs w:val="28"/>
          <w:rtl w:val="true"/>
          <w:lang w:bidi="ar-SA"/>
        </w:rPr>
        <w:t>»</w:t>
      </w:r>
      <w:r>
        <w:rPr>
          <w:rStyle w:val="FootnoteAnchor"/>
          <w:rtl w:val="true"/>
        </w:rPr>
        <w:footnoteReference w:id="873"/>
      </w:r>
      <w:r>
        <w:rPr>
          <w:rFonts w:ascii="IRNazanin" w:hAnsi="IRNazanin" w:eastAsia="IRNazanin"/>
          <w:color w:val="111111"/>
          <w:sz w:val="28"/>
          <w:sz w:val="28"/>
          <w:szCs w:val="28"/>
          <w:rtl w:val="true"/>
          <w:lang w:bidi="fa-IR"/>
        </w:rPr>
        <w:t>فإنّهم لمّا رأوا یوم القیامة أنّ اللّه یغفر لأهل الإسلام ویغفر الذنوب ولا یتعاظمه ذنب أن</w:t>
      </w:r>
    </w:p>
    <w:p>
      <w:pPr>
        <w:pStyle w:val="BookText"/>
        <w:rPr/>
      </w:pPr>
      <w:r>
        <w:rPr>
          <w:rFonts w:ascii="IRNazanin" w:hAnsi="IRNazanin" w:eastAsia="IRNazanin"/>
          <w:color w:val="111111"/>
          <w:sz w:val="28"/>
          <w:sz w:val="28"/>
          <w:szCs w:val="28"/>
          <w:rtl w:val="true"/>
          <w:lang w:bidi="fa-IR"/>
        </w:rPr>
        <w:t>یغفره ولا یغفر شرکاً جحده المشرکون رجاءً أن یغفر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ربِّنا ما کنّا مشرکین،</w:t>
      </w:r>
    </w:p>
    <w:p>
      <w:pPr>
        <w:pStyle w:val="BookText"/>
        <w:rPr/>
      </w:pPr>
      <w:r>
        <w:rPr>
          <w:rFonts w:ascii="Amiri" w:hAnsi="Amiri" w:eastAsia="Amiri" w:cs="Amiri"/>
          <w:color w:val="111111"/>
          <w:sz w:val="28"/>
          <w:sz w:val="28"/>
          <w:szCs w:val="28"/>
          <w:rtl w:val="true"/>
          <w:lang w:bidi="ar-SA"/>
        </w:rPr>
        <w:t>فختم اللّه علی أفواههم، وتکلّمت أیدیهم وأرجلهم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ذلک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یَوَدُّ الَّذِینَ کَفَرُوا وَعَصَوُا الرَّسُولَ لَوْ تُسَوَّی بِهِمُ الأَرْضُ وَلاَ یَکْتُمُونَ اللّه‌َ حَدِیثاً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p>
    <w:p>
      <w:pPr>
        <w:pStyle w:val="BookText"/>
        <w:rPr/>
      </w:pPr>
      <w:r>
        <w:rPr>
          <w:rFonts w:ascii="Amiri" w:hAnsi="Amiri" w:eastAsia="Amiri" w:cs="Amiri"/>
          <w:color w:val="111111"/>
          <w:sz w:val="28"/>
          <w:sz w:val="28"/>
          <w:szCs w:val="28"/>
          <w:rtl w:val="true"/>
          <w:lang w:bidi="ar-SA"/>
        </w:rPr>
        <w:t xml:space="preserve">أَنْسَابَ بَیْنَهُم یَوْمَئِذٍ وَلاَ یَتَسَاءَلُونَ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ونُفِخَ فِی الصُّورِ فَصَعِقَ مَن فِی السَّمواتِ وَمَن فِی الأَرْضِ إِلاَّ مَن شَاءَ اللّه‌ُ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أَنْسَابَ بَیْنَهُم یَوْمَئِذٍ وَلاَ یَتَسَاءَلُون </w:t>
      </w:r>
      <w:r>
        <w:rPr>
          <w:rFonts w:eastAsia="Amiri" w:cs="Amiri" w:ascii="Amiri" w:hAnsi="Amiri"/>
          <w:color w:val="111111"/>
          <w:sz w:val="28"/>
          <w:szCs w:val="28"/>
          <w:rtl w:val="true"/>
          <w:lang w:bidi="ar-SA"/>
        </w:rPr>
        <w:t xml:space="preserve">»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نُفِخَ فِیهِ أُخْرَی فَإِذَا هُمْ قِیَامٌ یَنْظُرُونَ </w:t>
      </w:r>
      <w:r>
        <w:rPr>
          <w:rFonts w:eastAsia="Amiri" w:cs="Amiri" w:ascii="Amiri" w:hAnsi="Amiri"/>
          <w:color w:val="111111"/>
          <w:sz w:val="28"/>
          <w:szCs w:val="28"/>
          <w:rtl w:val="true"/>
          <w:lang w:bidi="ar-SA"/>
        </w:rPr>
        <w:t xml:space="preserve">» </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بَعْضُهُم عَلَی بَعْضٍ یَتَسَاءَلون </w:t>
      </w:r>
      <w:r>
        <w:rPr>
          <w:rFonts w:eastAsia="Amiri" w:cs="Amiri" w:ascii="Amiri" w:hAnsi="Amiri"/>
          <w:color w:val="111111"/>
          <w:sz w:val="28"/>
          <w:szCs w:val="28"/>
          <w:rtl w:val="true"/>
          <w:lang w:bidi="ar-SA"/>
        </w:rPr>
        <w:t xml:space="preserve">» </w:t>
      </w:r>
      <w:r>
        <w:rPr>
          <w:rStyle w:val="FootnoteAnchor"/>
          <w:rtl w:val="true"/>
        </w:rPr>
        <w:footnoteReference w:id="879"/>
      </w:r>
      <w:r>
        <w:rPr>
          <w:rFonts w:ascii="Amiri" w:hAnsi="Amiri" w:eastAsia="Amiri" w:cs="Amiri"/>
          <w:color w:val="111111"/>
          <w:sz w:val="28"/>
          <w:sz w:val="28"/>
          <w:szCs w:val="28"/>
          <w:rtl w:val="true"/>
          <w:lang w:bidi="ar-SA"/>
        </w:rPr>
        <w:t>، 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الأَرْضَ فِی یَوْمَیْنِ </w:t>
      </w:r>
      <w:r>
        <w:rPr>
          <w:rFonts w:eastAsia="Amiri" w:cs="Amiri" w:ascii="Amiri" w:hAnsi="Amiri"/>
          <w:color w:val="111111"/>
          <w:sz w:val="28"/>
          <w:szCs w:val="28"/>
          <w:rtl w:val="true"/>
          <w:lang w:bidi="ar-SA"/>
        </w:rPr>
        <w:t xml:space="preserve">» </w:t>
      </w:r>
      <w:r>
        <w:rPr>
          <w:rStyle w:val="FootnoteAnchor"/>
          <w:rtl w:val="true"/>
        </w:rPr>
        <w:footnoteReference w:id="880"/>
      </w:r>
      <w:r>
        <w:rPr>
          <w:rFonts w:ascii="Amiri" w:hAnsi="Amiri" w:eastAsia="Amiri" w:cs="Amiri"/>
          <w:color w:val="111111"/>
          <w:sz w:val="28"/>
          <w:sz w:val="28"/>
          <w:szCs w:val="28"/>
          <w:rtl w:val="true"/>
          <w:lang w:bidi="ar-SA"/>
        </w:rPr>
        <w:t xml:space="preserve">فإنّ الأرض خلقت قبل السّماء، وکانت السّماءُ دخاناً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فَسَوَّاهُنَّ</w:t>
      </w:r>
    </w:p>
    <w:p>
      <w:pPr>
        <w:pStyle w:val="BookText"/>
        <w:rPr/>
      </w:pPr>
      <w:r>
        <w:rPr>
          <w:rFonts w:ascii="Amiri" w:hAnsi="Amiri" w:eastAsia="Amiri" w:cs="Amiri"/>
          <w:color w:val="111111"/>
          <w:sz w:val="28"/>
          <w:sz w:val="28"/>
          <w:szCs w:val="28"/>
          <w:rtl w:val="true"/>
          <w:lang w:bidi="ar-SA"/>
        </w:rPr>
        <w:t xml:space="preserve">سَبْعَ سَمواتٍ فِی یَوْمَیْنِ </w:t>
      </w:r>
      <w:r>
        <w:rPr>
          <w:rFonts w:eastAsia="Amiri" w:cs="Amiri" w:ascii="Amiri" w:hAnsi="Amiri"/>
          <w:color w:val="111111"/>
          <w:sz w:val="28"/>
          <w:szCs w:val="28"/>
          <w:rtl w:val="true"/>
          <w:lang w:bidi="ar-SA"/>
        </w:rPr>
        <w:t xml:space="preserve">» </w:t>
      </w:r>
      <w:r>
        <w:rPr>
          <w:rStyle w:val="FootnoteAnchor"/>
          <w:rtl w:val="true"/>
        </w:rPr>
        <w:footnoteReference w:id="881"/>
      </w:r>
      <w:r>
        <w:rPr>
          <w:rFonts w:ascii="IRNazanin" w:hAnsi="IRNazanin" w:eastAsia="IRNazanin"/>
          <w:color w:val="111111"/>
          <w:sz w:val="28"/>
          <w:sz w:val="28"/>
          <w:szCs w:val="28"/>
          <w:rtl w:val="true"/>
          <w:lang w:bidi="fa-IR"/>
        </w:rPr>
        <w:t xml:space="preserve">بعد خلق الأرض </w:t>
      </w:r>
      <w:r>
        <w:rPr>
          <w:rStyle w:val="FootnoteAnchor"/>
          <w:rtl w:val="true"/>
        </w:rPr>
        <w:footnoteReference w:id="882"/>
      </w:r>
    </w:p>
    <w:p>
      <w:pPr>
        <w:pStyle w:val="BookText"/>
        <w:rPr/>
      </w:pPr>
      <w:r>
        <w:rPr>
          <w:rFonts w:ascii="Amiri" w:hAnsi="Amiri" w:eastAsia="Amiri" w:cs="Amiri"/>
          <w:color w:val="111111"/>
          <w:sz w:val="28"/>
          <w:sz w:val="28"/>
          <w:szCs w:val="28"/>
          <w:rtl w:val="true"/>
          <w:lang w:bidi="ar-SA"/>
        </w:rPr>
        <w:t>وعلیها مسرورتان فقضاهما داود أو صَنَع السّوابع تُبَّع</w:t>
      </w:r>
    </w:p>
    <w:p>
      <w:pPr>
        <w:pStyle w:val="BookText"/>
        <w:rPr/>
      </w:pPr>
      <w:r>
        <w:rPr>
          <w:rFonts w:ascii="IRNazanin" w:hAnsi="IRNazanin" w:eastAsia="IRNazanin"/>
          <w:color w:val="111111"/>
          <w:sz w:val="28"/>
          <w:sz w:val="28"/>
          <w:szCs w:val="28"/>
          <w:rtl w:val="true"/>
          <w:lang w:bidi="fa-IR"/>
        </w:rPr>
        <w:t>معناه عملهما وصنعهما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انظر معانی القرآن واعرابه للزجّاج </w:t>
      </w:r>
      <w:r>
        <w:rPr>
          <w:rFonts w:eastAsia="IRNazanin" w:cs="IRNazanin"/>
          <w:color w:val="111111"/>
          <w:sz w:val="28"/>
          <w:szCs w:val="28"/>
          <w:lang w:bidi="fa-IR"/>
        </w:rPr>
        <w:t>4/381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الزجّاج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خَلقهنّ وفرغ منهنّ، وجملة هذا الباب أنّ کلّ ما عمل عملاً محکما فقضی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قیل للحاکم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قاضٍ، لأ نّه إذا أمر أمرا لم یُرَدُّ أمره، فالقضاء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الأشیاء عن إحکامٍ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وقضینا إلیه ذلک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وأوحینا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المصدر نفسه </w:t>
      </w:r>
      <w:r>
        <w:rPr>
          <w:rFonts w:eastAsia="IRNazanin" w:cs="IRNazanin"/>
          <w:color w:val="111111"/>
          <w:sz w:val="28"/>
          <w:szCs w:val="28"/>
          <w:lang w:bidi="fa-IR"/>
        </w:rPr>
        <w:t>3/227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بَعْدَ ذلِکَ دَحَاها </w:t>
      </w:r>
      <w:r>
        <w:rPr>
          <w:rFonts w:eastAsia="Amiri" w:cs="Amiri" w:ascii="Amiri" w:hAnsi="Amiri"/>
          <w:color w:val="111111"/>
          <w:sz w:val="28"/>
          <w:szCs w:val="28"/>
          <w:rtl w:val="true"/>
          <w:lang w:bidi="ar-SA"/>
        </w:rPr>
        <w:t>»</w:t>
      </w:r>
      <w:r>
        <w:rPr>
          <w:rStyle w:val="FootnoteAnchor"/>
          <w:rtl w:val="true"/>
        </w:rPr>
        <w:footnoteReference w:id="883"/>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فیها جبلاً وجعل فیها نهراً وجعل فیها شجراً وجعل فیها بحوراً،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کان ولم یزل کذلک وهو کذلک عزیز حکیم علیم قدیر لم یزل کذلک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من الجواب الآخر أنّ الزمان لیس بداخل فی مفهوم الفعل وضعاً أو یکون داخلاً ولکن صار منسلخاً من الزمان هنا بالقرینة القطعیة،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w:t>
      </w:r>
    </w:p>
    <w:p>
      <w:pPr>
        <w:pStyle w:val="BookText"/>
        <w:rPr/>
      </w:pPr>
      <w:r>
        <w:rPr>
          <w:rFonts w:ascii="IRNazanin" w:hAnsi="IRNazanin" w:eastAsia="IRNazanin"/>
          <w:color w:val="111111"/>
          <w:sz w:val="28"/>
          <w:sz w:val="28"/>
          <w:szCs w:val="28"/>
          <w:rtl w:val="true"/>
          <w:lang w:bidi="fa-IR"/>
        </w:rPr>
        <w:t>اختلف علیک من القرآن فهو یشبه ما ذکرت لک، و أ نّ اللّه لم ینزل شیئاً إلاّ وقد أصاب</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أراد، ولکنّ أکثر الناس لا یعلمون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أبی ملیکة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ابن عبّاس رضی‌الله‌عنه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کَانَ مِقْدَارُهُ أَ لْفَ سَنَةٍ </w:t>
      </w:r>
      <w:r>
        <w:rPr>
          <w:rFonts w:eastAsia="Amiri" w:cs="Amiri" w:ascii="Amiri" w:hAnsi="Amiri"/>
          <w:color w:val="111111"/>
          <w:sz w:val="28"/>
          <w:szCs w:val="28"/>
          <w:rtl w:val="true"/>
          <w:lang w:bidi="ar-SA"/>
        </w:rPr>
        <w:t xml:space="preserve">» </w:t>
      </w:r>
      <w:r>
        <w:rPr>
          <w:rStyle w:val="FootnoteAnchor"/>
          <w:rtl w:val="true"/>
        </w:rPr>
        <w:footnoteReference w:id="885"/>
      </w:r>
      <w:r>
        <w:rPr>
          <w:rFonts w:ascii="Amiri" w:hAnsi="Amiri" w:eastAsia="Amiri" w:cs="Amiri"/>
          <w:color w:val="111111"/>
          <w:sz w:val="28"/>
          <w:sz w:val="28"/>
          <w:szCs w:val="28"/>
          <w:rtl w:val="true"/>
          <w:lang w:bidi="ar-SA"/>
        </w:rPr>
        <w:t>، وقوله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یَوْمٍ کَانَ مِقْدَارُهُ خَمْسِینَ أَ لْفَ سَنَةٍ </w:t>
      </w:r>
      <w:r>
        <w:rPr>
          <w:rFonts w:eastAsia="Amiri" w:cs="Amiri" w:ascii="Amiri" w:hAnsi="Amiri"/>
          <w:color w:val="111111"/>
          <w:sz w:val="28"/>
          <w:szCs w:val="28"/>
          <w:rtl w:val="true"/>
          <w:lang w:bidi="ar-SA"/>
        </w:rPr>
        <w:t xml:space="preserve">» </w:t>
      </w:r>
      <w:r>
        <w:rPr>
          <w:rStyle w:val="FootnoteAnchor"/>
          <w:rtl w:val="true"/>
        </w:rPr>
        <w:footnoteReference w:id="886"/>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 یومان ذکرهما اللّه فی کتابه، اللّه أعلم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أدری ما هو، وأکره أن أقول فیهما ما 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ملیکة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فضربت البعیر حتّی دخلت علی سعید بن المسیّب</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قال العلاّمة الحلِّیّ، روی الکشّیّ عن محمّد بن قولویه عن سعد بن عبداللّه بن أبی 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الحسین علیه‌السلاموذکر ما یدلّ علی أنّه من حواری علیّ بن الحسین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الحلِّیّص</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السیوطیّ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سعید بن المسیّب بن حَزن المخزومیّ، سیِّد التابعین ولد لسنتین مضتا من خلافة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 ص</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محمّد سعید بن المسیّب بن حَزن بن أبی وهب بن عمرو بن عائذ بن عمران بن مخزوم القرشیّ المدنیّ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سعید بن المسیّب أحد الفقهاء السبعة بالمدینة، وکان سیِّد التابعین من الطراز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الحدیث والفقه والزُّهد والعبادة والورع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أکثر روایته المسند عن أبی هریرة، وکان زوج 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تملؤوا أعینکم من أعوان الظلمة إلاّ بإنکار من قلوبکم لکی لا تحیط أعمالکم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سعید بن المسیّب بالمدینة سنة إحدی وتسعین للهجرة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انظر وفیات الأعیان لابن خلکان </w:t>
      </w:r>
      <w:r>
        <w:rPr>
          <w:rFonts w:eastAsia="IRNazanin" w:cs="IRNazanin"/>
          <w:color w:val="111111"/>
          <w:sz w:val="28"/>
          <w:szCs w:val="28"/>
          <w:lang w:bidi="fa-IR"/>
        </w:rPr>
        <w:t>2/375</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فسأل عن ذلک، فلم یدر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أخبرک بما حضرت من ابن عبّاس ؟ فأخبرته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المسیّب للسائل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ابن عبّاس قد اتّقی أن یقول فیها وهو أعلم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أُخری عن ابن عبّاس أنّ یوم الألف هو مقدار سیر الأمر وعروجه إلیه، ویوم الألف فی سورة الحجّ هو أحد الأیّام الستّة التی خلق اللّه فیها السّماوات، ویوم</w:t>
      </w:r>
    </w:p>
    <w:p>
      <w:pPr>
        <w:pStyle w:val="BookText"/>
        <w:rPr/>
      </w:pPr>
      <w:r>
        <w:rPr>
          <w:rFonts w:ascii="IRNazanin" w:hAnsi="IRNazanin" w:eastAsia="IRNazanin"/>
          <w:color w:val="111111"/>
          <w:sz w:val="28"/>
          <w:sz w:val="28"/>
          <w:szCs w:val="28"/>
          <w:rtl w:val="true"/>
          <w:lang w:bidi="fa-IR"/>
        </w:rPr>
        <w:t>الخمسین ألف هو یوم القیامة</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Amiri" w:hAnsi="Amiri" w:eastAsia="Amiri" w:cs="Amiri"/>
          <w:color w:val="111111"/>
          <w:sz w:val="28"/>
          <w:sz w:val="28"/>
          <w:szCs w:val="28"/>
          <w:rtl w:val="true"/>
          <w:lang w:bidi="ar-SA"/>
        </w:rPr>
        <w:t>وعن عکرمة عنه رضی‌الله‌عنه أنّ رجلاً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ما هؤلاء الآیات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یَوْمٍ کَانَ مِقْدَارُهُ خَمْسِینَ أَ لْفَ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 السَّماءِ إِلَی الأَرْضِ ثُمَّ یَعْرُجُ إلَیْهِ فِی یَوْمٍ کَانَ مِقْدَارُهُ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لْفَ سَنَةٍ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یوماً عند ربّک کألف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حساب خمسین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السَّموَاتِ وَالأَرْض فِی سِتَّةِ أَیَّامٍ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کلّ یوم یکون ألف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یُدَبِّرُ الأَمْرَ مِنَ</w:t>
      </w:r>
    </w:p>
    <w:p>
      <w:pPr>
        <w:pStyle w:val="BookText"/>
        <w:rPr/>
      </w:pPr>
      <w:r>
        <w:rPr>
          <w:rFonts w:ascii="Amiri" w:hAnsi="Amiri" w:eastAsia="Amiri" w:cs="Amiri"/>
          <w:color w:val="111111"/>
          <w:sz w:val="28"/>
          <w:sz w:val="28"/>
          <w:szCs w:val="28"/>
          <w:rtl w:val="true"/>
          <w:lang w:bidi="ar-SA"/>
        </w:rPr>
        <w:t>السَّماءِ إِلَی الأَرْضِ ثمّ یَعْرُجُ</w:t>
      </w:r>
      <w:r>
        <w:rPr>
          <w:rStyle w:val="FootnoteAnchor"/>
          <w:rtl w:val="true"/>
        </w:rPr>
        <w:footnoteReference w:id="890"/>
      </w:r>
      <w:r>
        <w:rPr>
          <w:rFonts w:ascii="Amiri" w:hAnsi="Amiri" w:eastAsia="Amiri" w:cs="Amiri"/>
          <w:color w:val="111111"/>
          <w:sz w:val="28"/>
          <w:sz w:val="28"/>
          <w:szCs w:val="28"/>
          <w:rtl w:val="true"/>
          <w:lang w:bidi="ar-SA"/>
        </w:rPr>
        <w:t xml:space="preserve">إلَیْهِ فِی یَوْمٍ کَانَ مِقْدَارُهُ أَ لْفَ سَنَةٍ </w:t>
      </w:r>
      <w:r>
        <w:rPr>
          <w:rFonts w:eastAsia="Amiri" w:cs="Amiri" w:ascii="Amiri" w:hAnsi="Amiri"/>
          <w:color w:val="111111"/>
          <w:sz w:val="28"/>
          <w:szCs w:val="28"/>
          <w:rtl w:val="true"/>
          <w:lang w:bidi="ar-SA"/>
        </w:rPr>
        <w:t>»</w:t>
      </w:r>
      <w:r>
        <w:rPr>
          <w:rStyle w:val="FootnoteAnchor"/>
          <w:rtl w:val="true"/>
        </w:rPr>
        <w:footnoteReference w:id="891"/>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مقدار السّیر </w:t>
      </w:r>
      <w:r>
        <w:rPr>
          <w:rStyle w:val="FootnoteAnchor"/>
          <w:rtl w:val="true"/>
        </w:rPr>
        <w:footnoteReference w:id="892"/>
      </w:r>
      <w:r>
        <w:rPr>
          <w:rFonts w:ascii="IRNazanin" w:hAnsi="IRNazanin" w:eastAsia="IRNazanin"/>
          <w:color w:val="111111"/>
          <w:sz w:val="28"/>
          <w:sz w:val="28"/>
          <w:szCs w:val="28"/>
          <w:rtl w:val="true"/>
          <w:lang w:bidi="fa-IR"/>
        </w:rPr>
        <w:t>،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جمیع الآیات یوم القیامة، وأنّ الاختلاف باعتبار اختلاف حال المؤمن والکافر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من ألف سنة سنین الآخرة، ومن خمسین ألف سنة سنین الدُّنیا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أنّه سأل رجل بعض العلماء عن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Style w:val="FootnoteAnchor"/>
          <w:rtl w:val="true"/>
        </w:rPr>
        <w:footnoteReference w:id="894"/>
      </w:r>
      <w:r>
        <w:rPr>
          <w:rFonts w:ascii="Amiri" w:hAnsi="Amiri" w:eastAsia="Amiri" w:cs="Amiri"/>
          <w:color w:val="111111"/>
          <w:sz w:val="28"/>
          <w:sz w:val="28"/>
          <w:szCs w:val="28"/>
          <w:rtl w:val="true"/>
          <w:lang w:bidi="ar-SA"/>
        </w:rPr>
        <w:t>، فأخبر اللّه أنّه لا یقسم به، ثمّ أقسم به فی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وَهذَا البَلَدِ الأَمِینِ </w:t>
      </w:r>
      <w:r>
        <w:rPr>
          <w:rFonts w:eastAsia="Amiri" w:cs="Amiri" w:ascii="Amiri" w:hAnsi="Amiri"/>
          <w:color w:val="111111"/>
          <w:sz w:val="28"/>
          <w:szCs w:val="28"/>
          <w:rtl w:val="true"/>
          <w:lang w:bidi="ar-SA"/>
        </w:rPr>
        <w:t xml:space="preserve">» </w:t>
      </w:r>
      <w:r>
        <w:rPr>
          <w:rStyle w:val="FootnoteAnchor"/>
          <w:rtl w:val="true"/>
        </w:rPr>
        <w:footnoteReference w:id="895"/>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أحبّ إلیک أجیبک ثمّ</w:t>
      </w:r>
    </w:p>
    <w:p>
      <w:pPr>
        <w:pStyle w:val="BookText"/>
        <w:rPr/>
      </w:pPr>
      <w:r>
        <w:rPr>
          <w:rFonts w:ascii="IRNazanin" w:hAnsi="IRNazanin" w:eastAsia="IRNazanin"/>
          <w:color w:val="111111"/>
          <w:sz w:val="28"/>
          <w:sz w:val="28"/>
          <w:szCs w:val="28"/>
          <w:rtl w:val="true"/>
          <w:lang w:bidi="fa-IR"/>
        </w:rPr>
        <w:t>أقطعک، أو اقطعک ثمّ أجیبک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أقطعنی ثمّ أجبنی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هذا القرآن نزل علی رسول اللّه صلی‌الله‌علیه‌و‌آلهبحضرة رجال وبین ظهرانیّ قوم کانوا أحرص الخلق علی أن یجدوا فیه مغمزاً، وعلیه مطعناً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کان هذا عندهم مناقضة، لتعلّقوا به وأسرعوا بالرّد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القوم علموا، وجهلت ولم ینکروا ما أنکرت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العرب قد تدخل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أثناء کلامها، وتلغی معناها، وأنشد فیه أبیاتاً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بعض العلماء </w:t>
      </w:r>
      <w:r>
        <w:rPr>
          <w:rStyle w:val="FootnoteAnchor"/>
          <w:rtl w:val="true"/>
        </w:rPr>
        <w:footnoteReference w:id="896"/>
      </w:r>
      <w:r>
        <w:rPr>
          <w:rFonts w:ascii="IRNazanin" w:hAnsi="IRNazanin" w:eastAsia="IRNazanin"/>
          <w:color w:val="111111"/>
          <w:sz w:val="28"/>
          <w:sz w:val="28"/>
          <w:szCs w:val="28"/>
          <w:rtl w:val="true"/>
          <w:lang w:bidi="fa-IR"/>
        </w:rPr>
        <w:t>فی المقام کلامٌ، ملخّصه أ نّ للاختلاف أسبابا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المخبر به علی أحوال مختلفة وتطویرات شتّی، کقوله فی خلق آدم مرّةً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تُرَابٍ </w:t>
      </w:r>
      <w:r>
        <w:rPr>
          <w:rFonts w:eastAsia="IRNazanin" w:cs="IRNazanin"/>
          <w:color w:val="111111"/>
          <w:sz w:val="28"/>
          <w:szCs w:val="28"/>
          <w:rtl w:val="true"/>
          <w:lang w:bidi="fa-IR"/>
        </w:rPr>
        <w:t>»</w:t>
      </w:r>
      <w:r>
        <w:rPr>
          <w:rStyle w:val="FootnoteAnchor"/>
          <w:rtl w:val="true"/>
        </w:rPr>
        <w:footnoteReference w:id="897"/>
      </w:r>
      <w:r>
        <w:rPr>
          <w:rFonts w:ascii="Amiri" w:hAnsi="Amiri" w:eastAsia="Amiri" w:cs="Amiri"/>
          <w:color w:val="111111"/>
          <w:sz w:val="28"/>
          <w:sz w:val="28"/>
          <w:szCs w:val="28"/>
          <w:rtl w:val="true"/>
          <w:lang w:bidi="ar-SA"/>
        </w:rPr>
        <w:t>، ومرّةً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حَمَإٍ مَسْنُون </w:t>
      </w:r>
      <w:r>
        <w:rPr>
          <w:rFonts w:eastAsia="Amiri" w:cs="Amiri" w:ascii="Amiri" w:hAnsi="Amiri"/>
          <w:color w:val="111111"/>
          <w:sz w:val="28"/>
          <w:szCs w:val="28"/>
          <w:rtl w:val="true"/>
          <w:lang w:bidi="ar-SA"/>
        </w:rPr>
        <w:t>»</w:t>
      </w:r>
      <w:r>
        <w:rPr>
          <w:rStyle w:val="FootnoteAnchor"/>
          <w:rtl w:val="true"/>
        </w:rPr>
        <w:footnoteReference w:id="898"/>
      </w:r>
      <w:r>
        <w:rPr>
          <w:rFonts w:ascii="Amiri" w:hAnsi="Amiri" w:eastAsia="Amiri" w:cs="Amiri"/>
          <w:color w:val="111111"/>
          <w:sz w:val="28"/>
          <w:sz w:val="28"/>
          <w:szCs w:val="28"/>
          <w:rtl w:val="true"/>
          <w:lang w:bidi="ar-SA"/>
        </w:rPr>
        <w:t xml:space="preserve">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طِینٍ لازِبٍ </w:t>
      </w:r>
      <w:r>
        <w:rPr>
          <w:rFonts w:eastAsia="Amiri" w:cs="Amiri" w:ascii="Amiri" w:hAnsi="Amiri"/>
          <w:color w:val="111111"/>
          <w:sz w:val="28"/>
          <w:szCs w:val="28"/>
          <w:rtl w:val="true"/>
          <w:lang w:bidi="ar-SA"/>
        </w:rPr>
        <w:t>»</w:t>
      </w:r>
      <w:r>
        <w:rPr>
          <w:rStyle w:val="FootnoteAnchor"/>
          <w:rtl w:val="true"/>
        </w:rPr>
        <w:footnoteReference w:id="899"/>
      </w:r>
      <w:r>
        <w:rPr>
          <w:rFonts w:ascii="Amiri" w:hAnsi="Amiri" w:eastAsia="Amiri" w:cs="Amiri"/>
          <w:color w:val="111111"/>
          <w:sz w:val="28"/>
          <w:sz w:val="28"/>
          <w:szCs w:val="28"/>
          <w:rtl w:val="true"/>
          <w:lang w:bidi="ar-SA"/>
        </w:rPr>
        <w:t xml:space="preserve">، ومرّةً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صَلصَالٍ </w:t>
      </w:r>
      <w:r>
        <w:rPr>
          <w:rFonts w:eastAsia="Amiri" w:cs="Amiri" w:ascii="Amiri" w:hAnsi="Amiri"/>
          <w:color w:val="111111"/>
          <w:sz w:val="28"/>
          <w:szCs w:val="28"/>
          <w:rtl w:val="true"/>
          <w:lang w:bidi="ar-SA"/>
        </w:rPr>
        <w:t>»</w:t>
      </w:r>
      <w:r>
        <w:rPr>
          <w:rStyle w:val="FootnoteAnchor"/>
          <w:rtl w:val="true"/>
        </w:rPr>
        <w:footnoteReference w:id="9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ألفاظ مختلفة ومعانیها فی أحوال مختلفة، إلاّ أنّ کلّها یرجع إلی أصل واحد وهو التراب، 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هِیَ ثُعْبَانٌ مُبِینٌ</w:t>
      </w:r>
      <w:r>
        <w:rPr>
          <w:rFonts w:eastAsia="Amiri" w:cs="Amiri" w:ascii="Amiri" w:hAnsi="Amiri"/>
          <w:color w:val="111111"/>
          <w:sz w:val="28"/>
          <w:szCs w:val="28"/>
          <w:rtl w:val="true"/>
          <w:lang w:bidi="ar-SA"/>
        </w:rPr>
        <w:t>»</w:t>
      </w:r>
      <w:r>
        <w:rPr>
          <w:rStyle w:val="FootnoteAnchor"/>
          <w:rtl w:val="true"/>
        </w:rPr>
        <w:footnoteReference w:id="901"/>
      </w:r>
      <w:r>
        <w:rPr>
          <w:rFonts w:ascii="Amiri" w:hAnsi="Amiri" w:eastAsia="Amiri" w:cs="Amiri"/>
          <w:color w:val="111111"/>
          <w:sz w:val="28"/>
          <w:sz w:val="28"/>
          <w:szCs w:val="28"/>
          <w:rtl w:val="true"/>
          <w:lang w:bidi="ar-SA"/>
        </w:rPr>
        <w:t xml:space="preserve">فی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تَهْتَزُّ کَأَ نَّها جَآنٌّ </w:t>
      </w:r>
      <w:r>
        <w:rPr>
          <w:rFonts w:eastAsia="Amiri" w:cs="Amiri" w:ascii="Amiri" w:hAnsi="Amiri"/>
          <w:color w:val="111111"/>
          <w:sz w:val="28"/>
          <w:szCs w:val="28"/>
          <w:rtl w:val="true"/>
          <w:lang w:bidi="ar-SA"/>
        </w:rPr>
        <w:t>»</w:t>
      </w:r>
      <w:r>
        <w:rPr>
          <w:rStyle w:val="FootnoteAnchor"/>
          <w:rtl w:val="true"/>
        </w:rPr>
        <w:footnoteReference w:id="902"/>
      </w:r>
      <w:r>
        <w:rPr>
          <w:rFonts w:ascii="IRNazanin" w:hAnsi="IRNazanin" w:eastAsia="IRNazanin"/>
          <w:color w:val="111111"/>
          <w:sz w:val="28"/>
          <w:sz w:val="28"/>
          <w:szCs w:val="28"/>
          <w:rtl w:val="true"/>
          <w:lang w:bidi="fa-IR"/>
        </w:rPr>
        <w:t>فی موضعٍ، والجانّ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 من الحیّات، والثعبان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منها، وذلک الاختلاف بلحاظ أنّ خلقها خلق الثعبان العظیم وحرکتها وخفّتها کحرکة الجانّ وخفّته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الموضع</w:t>
      </w:r>
      <w:r>
        <w:rPr>
          <w:rStyle w:val="FootnoteAnchor"/>
          <w:rtl w:val="true"/>
        </w:rPr>
        <w:footnoteReference w:id="903"/>
      </w:r>
      <w:r>
        <w:rPr>
          <w:rFonts w:ascii="Amiri" w:hAnsi="Amiri" w:eastAsia="Amiri" w:cs="Amiri"/>
          <w:color w:val="111111"/>
          <w:sz w:val="28"/>
          <w:sz w:val="28"/>
          <w:szCs w:val="28"/>
          <w:rtl w:val="true"/>
          <w:lang w:bidi="ar-SA"/>
        </w:rPr>
        <w:t>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w:t>
      </w:r>
      <w:r>
        <w:rPr>
          <w:rStyle w:val="FootnoteAnchor"/>
          <w:rtl w:val="true"/>
        </w:rPr>
        <w:footnoteReference w:id="904"/>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فَلَنَسْئَلَنَّ الَّذِینَ أُرْسِلَ إِلَیْهِم وَلَنَسْئَلَنَّ المُرْسَلِین </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فَیَوْمَئِذٍ لاَ یُسْئَلُ عَنْ ذَنْبِهِ إِنْسٌ وَلاَ جانٌّ</w:t>
      </w:r>
      <w:r>
        <w:rPr>
          <w:rFonts w:eastAsia="Amiri" w:cs="Amiri" w:ascii="Amiri" w:hAnsi="Amiri"/>
          <w:color w:val="111111"/>
          <w:sz w:val="28"/>
          <w:szCs w:val="28"/>
          <w:rtl w:val="true"/>
          <w:lang w:bidi="ar-SA"/>
        </w:rPr>
        <w:t>»</w:t>
      </w:r>
      <w:r>
        <w:rPr>
          <w:rStyle w:val="FootnoteAnchor"/>
          <w:rtl w:val="true"/>
        </w:rPr>
        <w:footnoteReference w:id="906"/>
      </w:r>
      <w:r>
        <w:rPr>
          <w:rFonts w:ascii="IRNazanin" w:hAnsi="IRNazanin" w:eastAsia="IRNazanin"/>
          <w:color w:val="111111"/>
          <w:sz w:val="28"/>
          <w:sz w:val="28"/>
          <w:szCs w:val="28"/>
          <w:rtl w:val="true"/>
          <w:lang w:bidi="fa-IR"/>
        </w:rPr>
        <w:t>وذلک بلحاظ اختلاف الأماکن، لأنّ فی القیامة مواقف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موضع یسألون، وفی آخر لا یسألون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المثبت سؤال تبکیتٍ وتوبیخ، والمنفی سؤال المعذرة</w:t>
      </w:r>
    </w:p>
    <w:p>
      <w:pPr>
        <w:pStyle w:val="BookText"/>
        <w:rPr/>
      </w:pPr>
      <w:r>
        <w:rPr>
          <w:rFonts w:ascii="IRNazanin" w:hAnsi="IRNazanin" w:eastAsia="IRNazanin"/>
          <w:color w:val="111111"/>
          <w:sz w:val="28"/>
          <w:sz w:val="28"/>
          <w:szCs w:val="28"/>
          <w:rtl w:val="true"/>
          <w:lang w:bidi="fa-IR"/>
        </w:rPr>
        <w:t>وبیان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السؤال الأوّل عن التوحید وتصدیق الرُّسل، والسؤال الثانی عمّا یستلزمه الإقرار بالنبوّات من شرائع الدِّین وفروعه، وکقوله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خِفْتُم أَنْ لاَ تَعْدِلُوا فَوَاحِدَةً </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وَلَنْ تَسْتَطِیعُوا أَنْ تَعْدِلُوا بَیْنَ النِّسَاءِ وَلَوْ حَرَصْتُم </w:t>
      </w:r>
      <w:r>
        <w:rPr>
          <w:rFonts w:eastAsia="Amiri" w:cs="Amiri" w:ascii="Amiri" w:hAnsi="Amiri"/>
          <w:color w:val="111111"/>
          <w:sz w:val="28"/>
          <w:szCs w:val="28"/>
          <w:rtl w:val="true"/>
          <w:lang w:bidi="ar-SA"/>
        </w:rPr>
        <w:t xml:space="preserve">» </w:t>
      </w:r>
      <w:r>
        <w:rPr>
          <w:rStyle w:val="FootnoteAnchor"/>
          <w:rtl w:val="true"/>
        </w:rPr>
        <w:footnoteReference w:id="908"/>
      </w:r>
      <w:r>
        <w:rPr>
          <w:rFonts w:ascii="IRNazanin" w:hAnsi="IRNazanin" w:eastAsia="IRNazanin"/>
          <w:color w:val="111111"/>
          <w:sz w:val="28"/>
          <w:sz w:val="28"/>
          <w:szCs w:val="28"/>
          <w:rtl w:val="true"/>
          <w:lang w:bidi="fa-IR"/>
        </w:rPr>
        <w:t>فمن الأُولی یفهم امکان العدل، ومن الثانیة عدم إمکانه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توفیة الحقوق والثانیة فی المیل القلبیّ،</w:t>
      </w:r>
    </w:p>
    <w:p>
      <w:pPr>
        <w:pStyle w:val="BookText"/>
        <w:rPr/>
      </w:pPr>
      <w:r>
        <w:rPr>
          <w:rFonts w:ascii="IRNazanin" w:hAnsi="IRNazanin" w:eastAsia="IRNazanin"/>
          <w:color w:val="111111"/>
          <w:sz w:val="28"/>
          <w:sz w:val="28"/>
          <w:szCs w:val="28"/>
          <w:rtl w:val="true"/>
          <w:lang w:bidi="fa-IR"/>
        </w:rPr>
        <w:t>ولیس فی قدرة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وقریب من هذا الوجه مرویّ عن الص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ادق علیه‌السلام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یَأْمُرُ بِالفَحْشَ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w:t>
      </w:r>
      <w:r>
        <w:rPr>
          <w:rFonts w:eastAsia="Amiri" w:cs="Amiri" w:ascii="Amiri" w:hAnsi="Amiri"/>
          <w:color w:val="111111"/>
          <w:sz w:val="28"/>
          <w:szCs w:val="28"/>
          <w:rtl w:val="true"/>
          <w:lang w:bidi="ar-SA"/>
        </w:rPr>
        <w:t>»</w:t>
      </w:r>
      <w:r>
        <w:rPr>
          <w:rStyle w:val="FootnoteAnchor"/>
          <w:rtl w:val="true"/>
        </w:rPr>
        <w:footnoteReference w:id="909"/>
      </w:r>
      <w:r>
        <w:rPr>
          <w:rFonts w:ascii="Amiri" w:hAnsi="Amiri" w:eastAsia="Amiri" w:cs="Amiri"/>
          <w:color w:val="111111"/>
          <w:sz w:val="28"/>
          <w:sz w:val="28"/>
          <w:szCs w:val="28"/>
          <w:rtl w:val="true"/>
          <w:lang w:bidi="ar-SA"/>
        </w:rPr>
        <w:t xml:space="preserve">،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مُتْرَفِیهَا فَفَسَقُوا فِیهَا </w:t>
      </w:r>
      <w:r>
        <w:rPr>
          <w:rFonts w:eastAsia="Amiri" w:cs="Amiri" w:ascii="Amiri" w:hAnsi="Amiri"/>
          <w:color w:val="111111"/>
          <w:sz w:val="28"/>
          <w:szCs w:val="28"/>
          <w:rtl w:val="true"/>
          <w:lang w:bidi="ar-SA"/>
        </w:rPr>
        <w:t xml:space="preserve">» </w:t>
      </w:r>
      <w:r>
        <w:rPr>
          <w:rStyle w:val="FootnoteAnchor"/>
          <w:rtl w:val="true"/>
        </w:rPr>
        <w:footnoteReference w:id="9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فالأُولی فی الأمر التشریعی والثانیة</w:t>
      </w:r>
    </w:p>
    <w:p>
      <w:pPr>
        <w:pStyle w:val="BookText"/>
        <w:rPr/>
      </w:pPr>
      <w:r>
        <w:rPr>
          <w:rFonts w:ascii="IRNazanin" w:hAnsi="IRNazanin" w:eastAsia="IRNazanin"/>
          <w:color w:val="111111"/>
          <w:sz w:val="28"/>
          <w:sz w:val="28"/>
          <w:szCs w:val="28"/>
          <w:rtl w:val="true"/>
          <w:lang w:bidi="fa-IR"/>
        </w:rPr>
        <w:t>فی الأمر التکوینیّ بمعنی القضاء والتّقدیر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فی جهتی الفعل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تَقْتُلُوهُم وَلکِنَّ اللّه‌َ قَتَلَهُم وَمَا رَمَیْتَ إِذْ رَمَیْتَ وَلکِنَّ اللّه‌َ رَمَی </w:t>
      </w:r>
      <w:r>
        <w:rPr>
          <w:rFonts w:eastAsia="Amiri" w:cs="Amiri" w:ascii="Amiri" w:hAnsi="Amiri"/>
          <w:color w:val="111111"/>
          <w:sz w:val="28"/>
          <w:szCs w:val="28"/>
          <w:rtl w:val="true"/>
          <w:lang w:bidi="ar-SA"/>
        </w:rPr>
        <w:t xml:space="preserve">» </w:t>
      </w:r>
      <w:r>
        <w:rPr>
          <w:rStyle w:val="FootnoteAnchor"/>
          <w:rtl w:val="true"/>
        </w:rPr>
        <w:footnoteReference w:id="911"/>
      </w:r>
      <w:r>
        <w:rPr>
          <w:rFonts w:ascii="IRNazanin" w:hAnsi="IRNazanin" w:eastAsia="IRNazanin"/>
          <w:color w:val="111111"/>
          <w:sz w:val="28"/>
          <w:sz w:val="28"/>
          <w:szCs w:val="28"/>
          <w:rtl w:val="true"/>
          <w:lang w:bidi="fa-IR"/>
        </w:rPr>
        <w:t xml:space="preserve">، أضیف القتل إلیهم والرّمی إلی‌النبیّ صلی‌الله‌علیه‌و‌آله علی جهة المباشرة، وینفی عنهم وعنه صلی‌الله‌علیه‌و‌آلهباعتبار الأسباب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فی الحقیقة والمجاز 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وَتَرَی النَّاسَ سُکَارَی </w:t>
      </w:r>
      <w:r>
        <w:rPr>
          <w:rFonts w:eastAsia="Amiri" w:cs="Amiri" w:ascii="Amiri" w:hAnsi="Amiri"/>
          <w:color w:val="111111"/>
          <w:sz w:val="28"/>
          <w:szCs w:val="28"/>
          <w:rtl w:val="true"/>
          <w:lang w:bidi="ar-SA"/>
        </w:rPr>
        <w:t xml:space="preserve">» </w:t>
      </w:r>
      <w:r>
        <w:rPr>
          <w:rStyle w:val="FootnoteAnchor"/>
          <w:rtl w:val="true"/>
        </w:rPr>
        <w:footnoteReference w:id="913"/>
      </w:r>
      <w:r>
        <w:rPr>
          <w:rFonts w:ascii="IRNazanin" w:hAnsi="IRNazanin" w:eastAsia="IRNazanin"/>
          <w:color w:val="111111"/>
          <w:sz w:val="28"/>
          <w:sz w:val="28"/>
          <w:szCs w:val="28"/>
          <w:rtl w:val="true"/>
          <w:lang w:bidi="fa-IR"/>
        </w:rPr>
        <w:t>، أی من</w:t>
      </w:r>
    </w:p>
    <w:p>
      <w:pPr>
        <w:pStyle w:val="BookText"/>
        <w:rPr/>
      </w:pPr>
      <w:r>
        <w:rPr>
          <w:rFonts w:ascii="Amiri" w:hAnsi="Amiri" w:eastAsia="Amiri" w:cs="Amiri"/>
          <w:color w:val="111111"/>
          <w:sz w:val="28"/>
          <w:sz w:val="28"/>
          <w:szCs w:val="28"/>
          <w:rtl w:val="true"/>
          <w:lang w:bidi="ar-SA"/>
        </w:rPr>
        <w:t>الأهوال مجازاً،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هُم بِسُکَاری </w:t>
      </w:r>
      <w:r>
        <w:rPr>
          <w:rFonts w:eastAsia="Amiri" w:cs="Amiri" w:ascii="Amiri" w:hAnsi="Amiri"/>
          <w:color w:val="111111"/>
          <w:sz w:val="28"/>
          <w:szCs w:val="28"/>
          <w:rtl w:val="true"/>
          <w:lang w:bidi="ar-SA"/>
        </w:rPr>
        <w:t xml:space="preserve">» </w:t>
      </w:r>
      <w:r>
        <w:rPr>
          <w:rStyle w:val="FootnoteAnchor"/>
          <w:rtl w:val="true"/>
        </w:rPr>
        <w:footnoteReference w:id="914"/>
      </w:r>
      <w:r>
        <w:rPr>
          <w:rFonts w:ascii="IRNazanin" w:hAnsi="IRNazanin" w:eastAsia="IRNazanin"/>
          <w:color w:val="111111"/>
          <w:sz w:val="28"/>
          <w:sz w:val="28"/>
          <w:szCs w:val="28"/>
          <w:rtl w:val="true"/>
          <w:lang w:bidi="fa-IR"/>
        </w:rPr>
        <w:t>، أی من المسکر حقیقةً</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الوجه والاعتبار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فَبَصَرُکَ الیَوْمَ حَدِیدٌ </w:t>
      </w:r>
      <w:r>
        <w:rPr>
          <w:rFonts w:eastAsia="Amiri" w:cs="Amiri" w:ascii="Amiri" w:hAnsi="Amiri"/>
          <w:color w:val="111111"/>
          <w:sz w:val="28"/>
          <w:szCs w:val="28"/>
          <w:rtl w:val="true"/>
          <w:lang w:bidi="ar-SA"/>
        </w:rPr>
        <w:t xml:space="preserve">» </w:t>
      </w:r>
      <w:r>
        <w:rPr>
          <w:rStyle w:val="FootnoteAnchor"/>
          <w:rtl w:val="true"/>
        </w:rPr>
        <w:footnoteReference w:id="915"/>
      </w:r>
      <w:r>
        <w:rPr>
          <w:rFonts w:ascii="IRNazanin" w:hAnsi="IRNazanin" w:eastAsia="IRNazanin"/>
          <w:color w:val="111111"/>
          <w:sz w:val="28"/>
          <w:sz w:val="28"/>
          <w:szCs w:val="28"/>
          <w:rtl w:val="true"/>
          <w:lang w:bidi="fa-IR"/>
        </w:rPr>
        <w:t>، مع قوله</w:t>
      </w:r>
    </w:p>
    <w:p>
      <w:pPr>
        <w:pStyle w:val="BookText"/>
        <w:rPr/>
      </w:pP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خَاشِعِینَ مِنَ الذُّلِّ یَنْظُرُونَ مِنْ طَرْفٍ خَفِیٍّ </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فالأوّل باعتبار زوال المانع، والثانی باعتبار الخوف، وکقوله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الَّذِینَ آمَنُوا وَتَطْمَئِنُّ قُلُوبُهُم بِذِکْرِ اللّه‌ِ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مع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الَّذِینَ إِذَا ذُکِرَ اللّه‌ُ وَجِلَتْ</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 xml:space="preserve">قال الشاعر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معن بن أوس الحزنیّ، ترجمته فی الکامل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لعمرک ما أدری وإنِّی لأوجل علی أیّنا تعدو المنیّة أوّل</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وَجِل، یَوْجَلُ وَجَلا، 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تَوْجَل إنّا نُبَشِّرک بِغُلامٍ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زادتهم إیمانا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زادتهم تصدیقا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 معانی القرآن وإعرابه </w:t>
      </w:r>
      <w:r>
        <w:rPr>
          <w:rFonts w:eastAsia="Amiri" w:cs="Amiri" w:ascii="Amiri" w:hAnsi="Amiri"/>
          <w:color w:val="111111"/>
          <w:sz w:val="28"/>
          <w:szCs w:val="28"/>
          <w:lang w:bidi="ar-SA"/>
        </w:rPr>
        <w:t>2/400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وفیات العلماء،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9/687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فی القرن الرابع عشر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w:t>
      </w:r>
      <w:r>
        <w:rPr>
          <w:rFonts w:eastAsia="IRNazanin" w:cs="IRNazanin"/>
          <w:b w:val="false"/>
          <w:bCs w:val="false"/>
          <w:i w:val="false"/>
          <w:iCs w:val="false"/>
          <w:color w:val="333333"/>
          <w:sz w:val="20"/>
          <w:szCs w:val="20"/>
        </w:rPr>
        <w:t>7/470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w:t>
      </w:r>
      <w:r>
        <w:rPr>
          <w:rFonts w:eastAsia="IRNazanin" w:cs="IRNazanin"/>
          <w:b w:val="false"/>
          <w:bCs w:val="false"/>
          <w:i w:val="false"/>
          <w:iCs w:val="false"/>
          <w:color w:val="333333"/>
          <w:sz w:val="20"/>
          <w:szCs w:val="20"/>
        </w:rPr>
        <w:t>9/687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فی القرن الرابع عشر </w:t>
      </w:r>
      <w:r>
        <w:rPr>
          <w:rFonts w:eastAsia="IRNazanin" w:cs="IRNazanin"/>
          <w:b w:val="false"/>
          <w:bCs w:val="false"/>
          <w:i w:val="false"/>
          <w:iCs w:val="false"/>
          <w:color w:val="333333"/>
          <w:sz w:val="20"/>
          <w:szCs w:val="20"/>
        </w:rPr>
        <w:t>3/1108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9/1006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w:t>
      </w:r>
      <w:r>
        <w:rPr>
          <w:rFonts w:eastAsia="IRNazanin" w:cs="IRNazanin"/>
          <w:b w:val="false"/>
          <w:bCs w:val="false"/>
          <w:i w:val="false"/>
          <w:iCs w:val="false"/>
          <w:color w:val="333333"/>
          <w:sz w:val="20"/>
          <w:szCs w:val="20"/>
        </w:rPr>
        <w:t>9/687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نسخه‌های خطّی کتابخانه آیة اللّه مرعشی نجفی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رضویه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فهرست خان بابا مُشار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نقباء البشر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ج</w:t>
      </w:r>
      <w:r>
        <w:rPr>
          <w:rFonts w:eastAsia="IRNazanin" w:cs="IRNazanin"/>
          <w:b w:val="false"/>
          <w:bCs w:val="false"/>
          <w:i w:val="false"/>
          <w:iCs w:val="false"/>
          <w:color w:val="333333"/>
          <w:sz w:val="20"/>
          <w:szCs w:val="20"/>
        </w:rPr>
        <w:t>9/1006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رضویه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مربوط به چاپ این کتاب در فهرست خان‌بابا مُشار </w:t>
      </w:r>
      <w:r>
        <w:rPr>
          <w:rFonts w:eastAsia="IRNazanin" w:cs="IRNazanin"/>
          <w:b w:val="false"/>
          <w:bCs w:val="false"/>
          <w:i w:val="false"/>
          <w:iCs w:val="false"/>
          <w:color w:val="333333"/>
          <w:sz w:val="20"/>
          <w:szCs w:val="20"/>
        </w:rPr>
        <w:t>5/566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مختصر آمده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گنجینه دانشمندان،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چاپ این کتاب آمده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از اصالت و درستی نسبت این کتابها به محمّد بن عبدالرّحیم نهاوندی،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w:t>
      </w:r>
      <w:r>
        <w:rPr>
          <w:rFonts w:eastAsia="IRNazanin" w:cs="IRNazanin"/>
          <w:b w:val="false"/>
          <w:bCs w:val="false"/>
          <w:i w:val="false"/>
          <w:iCs w:val="false"/>
          <w:color w:val="333333"/>
          <w:sz w:val="20"/>
          <w:szCs w:val="20"/>
        </w:rPr>
        <w:t>6/266</w:t>
      </w:r>
      <w:r>
        <w:rPr>
          <w:rFonts w:ascii="IRNazanin" w:hAnsi="IRNazanin" w:eastAsia="IRNazanin"/>
          <w:b w:val="false"/>
          <w:b w:val="false"/>
          <w:bCs w:val="false"/>
          <w:i w:val="false"/>
          <w:i w:val="false"/>
          <w:iCs w:val="false"/>
          <w:color w:val="333333"/>
          <w:sz w:val="20"/>
          <w:sz w:val="20"/>
          <w:szCs w:val="20"/>
          <w:rtl w:val="true"/>
        </w:rPr>
        <w:t xml:space="preserve">؛ فهرست خان بابا مشار </w:t>
      </w:r>
      <w:r>
        <w:rPr>
          <w:rFonts w:eastAsia="IRNazanin" w:cs="IRNazanin"/>
          <w:b w:val="false"/>
          <w:bCs w:val="false"/>
          <w:i w:val="false"/>
          <w:iCs w:val="false"/>
          <w:color w:val="333333"/>
          <w:sz w:val="20"/>
          <w:szCs w:val="20"/>
        </w:rPr>
        <w:t>5/566</w:t>
      </w:r>
      <w:r>
        <w:rPr>
          <w:rFonts w:ascii="IRNazanin" w:hAnsi="IRNazanin" w:eastAsia="IRNazanin"/>
          <w:b w:val="false"/>
          <w:b w:val="false"/>
          <w:bCs w:val="false"/>
          <w:i w:val="false"/>
          <w:i w:val="false"/>
          <w:iCs w:val="false"/>
          <w:color w:val="333333"/>
          <w:sz w:val="20"/>
          <w:sz w:val="20"/>
          <w:szCs w:val="20"/>
          <w:rtl w:val="true"/>
        </w:rPr>
        <w:t xml:space="preserve">؛ الذریعه </w:t>
      </w:r>
      <w:r>
        <w:rPr>
          <w:rFonts w:eastAsia="IRNazanin" w:cs="IRNazanin"/>
          <w:b w:val="false"/>
          <w:bCs w:val="false"/>
          <w:i w:val="false"/>
          <w:iCs w:val="false"/>
          <w:color w:val="333333"/>
          <w:sz w:val="20"/>
          <w:szCs w:val="20"/>
        </w:rPr>
        <w:t>9/1006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9/687</w:t>
      </w:r>
      <w:r>
        <w:rPr>
          <w:rFonts w:ascii="IRNazanin" w:hAnsi="IRNazanin" w:eastAsia="IRNazanin"/>
          <w:b w:val="false"/>
          <w:b w:val="false"/>
          <w:bCs w:val="false"/>
          <w:i w:val="false"/>
          <w:i w:val="false"/>
          <w:iCs w:val="false"/>
          <w:color w:val="333333"/>
          <w:sz w:val="20"/>
          <w:sz w:val="20"/>
          <w:szCs w:val="20"/>
          <w:rtl w:val="true"/>
        </w:rPr>
        <w:t xml:space="preserve">؛ گنجینه دانشمندان </w:t>
      </w:r>
      <w:r>
        <w:rPr>
          <w:rFonts w:eastAsia="IRNazanin" w:cs="IRNazanin"/>
          <w:b w:val="false"/>
          <w:bCs w:val="false"/>
          <w:i w:val="false"/>
          <w:iCs w:val="false"/>
          <w:color w:val="333333"/>
          <w:sz w:val="20"/>
          <w:szCs w:val="20"/>
        </w:rPr>
        <w:t>7/193</w:t>
      </w:r>
      <w:r>
        <w:rPr>
          <w:rFonts w:ascii="IRNazanin" w:hAnsi="IRNazanin" w:eastAsia="IRNazanin"/>
          <w:b w:val="false"/>
          <w:b w:val="false"/>
          <w:bCs w:val="false"/>
          <w:i w:val="false"/>
          <w:i w:val="false"/>
          <w:iCs w:val="false"/>
          <w:color w:val="333333"/>
          <w:sz w:val="20"/>
          <w:sz w:val="20"/>
          <w:szCs w:val="20"/>
          <w:rtl w:val="true"/>
        </w:rPr>
        <w:t>؛ نقباء البشر</w:t>
      </w:r>
      <w:r>
        <w:rPr>
          <w:rFonts w:eastAsia="IRNazanin" w:cs="IRNazanin"/>
          <w:b w:val="false"/>
          <w:bCs w:val="false"/>
          <w:i w:val="false"/>
          <w:iCs w:val="false"/>
          <w:color w:val="333333"/>
          <w:sz w:val="20"/>
          <w:szCs w:val="20"/>
        </w:rPr>
        <w:t>3/1108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 فی تفسیر القرآن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منابع تفسیر نفحات الرّحمن، همین تحقیق</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الطُرفه الثالثة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علّت فراوانی این نقص در سرتاسر کتاب، از ذکر تفصیلی و جزیی مصادیق آن خودداری می‌شود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سوره مجادله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سطر</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سطر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سطر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سطر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تفسیری و کتاب شناسی نفحات الرّحمن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طُرفه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دانشگاه دمشق، تفسیر او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در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بیروت به وسیله دو ناشر به نامهای دار الفکر بیروت و دار الفکر دمشق چاپ شده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دوم همین کتاب صص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مقدّمه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از طرق عامّه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 xml:space="preserve">؛ الإتقان فی علوم القرآن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مقدّمتان فی علوم القرآن،</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خلاصه شده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شرح‌حال ابن عباس</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الرعایة فی علم الدرایة للشهید الثانی،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4/256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محمّدرضا مظفّر؛ نشر دانش اسلامی، قم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محقّق حلّی،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به نقل از اصول الفقه مظفّر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المظفّر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المظفّر،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آگاهی بیشتر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أصول الفقه، المظفّر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الفقه، المظفّر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 قمی،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مقدمه؛ الصافی فی تفسیر القرآن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دوم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ملاحظه بقیه روایات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طُرفه چهارم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طُرفه چهارم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النیشابوری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جریان گفت و گوی عمر با ابوبکر در باره گردآوری قرآن پس از واقعه یمامه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تحقیق و تصحیح مقدمه نفحات الرّحمن، طُرفه پنجم در همین کتاب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ج</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اُصول الکافی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اعتقادنا، شیخ صدوق،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الصافی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البرهان فی تفسیر القرآن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مقدمه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اوایل المقالات للشیخ المفید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مطبعة الرضائی، تبریز،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الطُّرفة الثانیة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الطُّرفة الثانیة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کتابفروشی اسلامیه،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الاعتقاد، کتابفروشی اسلامیه،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روایت نبوی در الاتقان </w:t>
      </w:r>
      <w:r>
        <w:rPr>
          <w:rFonts w:eastAsia="IRNazanin" w:cs="IRNazanin"/>
          <w:b w:val="false"/>
          <w:bCs w:val="false"/>
          <w:i w:val="false"/>
          <w:iCs w:val="false"/>
          <w:color w:val="333333"/>
          <w:sz w:val="20"/>
          <w:szCs w:val="20"/>
        </w:rPr>
        <w:t>2/197</w:t>
      </w:r>
      <w:r>
        <w:rPr>
          <w:rFonts w:ascii="IRNazanin" w:hAnsi="IRNazanin" w:eastAsia="IRNazanin"/>
          <w:b w:val="false"/>
          <w:b w:val="false"/>
          <w:bCs w:val="false"/>
          <w:i w:val="false"/>
          <w:i w:val="false"/>
          <w:iCs w:val="false"/>
          <w:color w:val="333333"/>
          <w:sz w:val="20"/>
          <w:sz w:val="20"/>
          <w:szCs w:val="20"/>
          <w:rtl w:val="true"/>
        </w:rPr>
        <w:t xml:space="preserve">؛ سخنی از علیّ بن ابی طالب علیه‌السلام در نهج البلاغه،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روایتی از امام رضا علیه‌السلام بحار الأنوار </w:t>
      </w:r>
      <w:r>
        <w:rPr>
          <w:rFonts w:eastAsia="IRNazanin" w:cs="IRNazanin"/>
          <w:b w:val="false"/>
          <w:bCs w:val="false"/>
          <w:i w:val="false"/>
          <w:iCs w:val="false"/>
          <w:color w:val="333333"/>
          <w:sz w:val="20"/>
          <w:szCs w:val="20"/>
        </w:rPr>
        <w:t>89/14</w:t>
      </w:r>
      <w:r>
        <w:rPr>
          <w:rFonts w:ascii="IRNazanin" w:hAnsi="IRNazanin" w:eastAsia="IRNazanin"/>
          <w:b w:val="false"/>
          <w:b w:val="false"/>
          <w:bCs w:val="false"/>
          <w:i w:val="false"/>
          <w:i w:val="false"/>
          <w:iCs w:val="false"/>
          <w:color w:val="333333"/>
          <w:sz w:val="20"/>
          <w:sz w:val="20"/>
          <w:szCs w:val="20"/>
          <w:rtl w:val="true"/>
        </w:rPr>
        <w:t xml:space="preserve">، و خطبه فاطمه س در خصوص فدک، الاحتجاج، طبرسی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الطرفة الثالثة،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الاسلامیة </w:t>
      </w:r>
      <w:r>
        <w:rPr>
          <w:rFonts w:eastAsia="IRNazanin" w:cs="IRNazanin"/>
          <w:b w:val="false"/>
          <w:bCs w:val="false"/>
          <w:i w:val="false"/>
          <w:iCs w:val="false"/>
          <w:color w:val="333333"/>
          <w:sz w:val="20"/>
          <w:szCs w:val="20"/>
        </w:rPr>
        <w:t>5/357</w:t>
      </w:r>
      <w:r>
        <w:rPr>
          <w:rFonts w:ascii="IRNazanin" w:hAnsi="IRNazanin" w:eastAsia="IRNazanin"/>
          <w:b w:val="false"/>
          <w:b w:val="false"/>
          <w:bCs w:val="false"/>
          <w:i w:val="false"/>
          <w:i w:val="false"/>
          <w:iCs w:val="false"/>
          <w:color w:val="333333"/>
          <w:sz w:val="20"/>
          <w:sz w:val="20"/>
          <w:szCs w:val="20"/>
          <w:rtl w:val="true"/>
        </w:rPr>
        <w:t>، عنوان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العلمی، أمین الخولی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مطلب را از کتاب احیاء علوم الدین غزالی، الباب الرابع فی فهم القرآن و تفسیره گرفته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و با اقتباس از جواهر القرآن غزالی،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مفسّر،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مجمع البیان لعلوم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مفسّر،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فرقان، 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کتاب، 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ذکر،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تنزیل، برگرفته از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وانّه لتنزیل ربّ العالمین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النوع السابع</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النوع الخامس عشر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طاهر جزایری در التبیان به نقل از علیّ بن احمد بن حسن تجیبی معروف به حرالی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پژوهشی در تاریخ قرآن کریم، سیّد محمّدباقر حجّتی،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الطُّرفة التاسعة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الطُّرفة السابعة والعشرون</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جامع الأخبار،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از امیر المؤمنان علیه‌السلام ،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الفنّ السادس؛ الاتقان فی علوم القرآن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الثانی والسبعون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w:t>
      </w:r>
      <w:r>
        <w:rPr>
          <w:rFonts w:eastAsia="IRNazanin" w:cs="IRNazanin"/>
          <w:b w:val="false"/>
          <w:bCs w:val="false"/>
          <w:i w:val="false"/>
          <w:iCs w:val="false"/>
          <w:color w:val="333333"/>
          <w:sz w:val="20"/>
          <w:szCs w:val="20"/>
        </w:rPr>
        <w:t>2/606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الطُّرفة السادسة والثلاثون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الطُّرفة السادسة والثلاثون، أقول</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فضایل القرآن، به نقل از الاتقان فی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89/259</w:t>
      </w:r>
      <w:r>
        <w:rPr>
          <w:rFonts w:ascii="IRNazanin" w:hAnsi="IRNazanin" w:eastAsia="IRNazanin"/>
          <w:b w:val="false"/>
          <w:b w:val="false"/>
          <w:bCs w:val="false"/>
          <w:i w:val="false"/>
          <w:i w:val="false"/>
          <w:iCs w:val="false"/>
          <w:color w:val="333333"/>
          <w:sz w:val="20"/>
          <w:sz w:val="20"/>
          <w:szCs w:val="20"/>
          <w:rtl w:val="true"/>
        </w:rPr>
        <w:t xml:space="preserve">؛ الاتقان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از سنن ترمذی و مستدرک حاکم</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89/336</w:t>
      </w:r>
      <w:r>
        <w:rPr>
          <w:rFonts w:ascii="IRNazanin" w:hAnsi="IRNazanin" w:eastAsia="IRNazanin"/>
          <w:b w:val="false"/>
          <w:b w:val="false"/>
          <w:bCs w:val="false"/>
          <w:i w:val="false"/>
          <w:i w:val="false"/>
          <w:iCs w:val="false"/>
          <w:color w:val="333333"/>
          <w:sz w:val="20"/>
          <w:sz w:val="20"/>
          <w:szCs w:val="20"/>
          <w:rtl w:val="true"/>
        </w:rPr>
        <w:t xml:space="preserve">، امّا نهاوندی این روایت را از الاتقان گزارش کرده است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89/302</w:t>
      </w:r>
      <w:r>
        <w:rPr>
          <w:rFonts w:ascii="IRNazanin" w:hAnsi="IRNazanin" w:eastAsia="IRNazanin"/>
          <w:b w:val="false"/>
          <w:b w:val="false"/>
          <w:bCs w:val="false"/>
          <w:i w:val="false"/>
          <w:i w:val="false"/>
          <w:iCs w:val="false"/>
          <w:color w:val="333333"/>
          <w:sz w:val="20"/>
          <w:sz w:val="20"/>
          <w:szCs w:val="20"/>
          <w:rtl w:val="true"/>
        </w:rPr>
        <w:t xml:space="preserve">؛ اُصول الکافی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از قول صفوان بن یحیی و او از امام صادق علیه‌السلام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النوع الثانی والسبعون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این سخن از طریق ابی امامه به پیامبر صلی‌الله‌علیه‌و‌آله‌وسلم نسبت داده شده است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لعلوم القرآن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الطُّرفة الثامنة والثلاثون</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الطُّرفة الثامنة والثلاثون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الطُّرفة التاسعة والثلاثون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 ّحمن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الطُّرفة الثامنة والعشرون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89/186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w:t>
      </w:r>
      <w:r>
        <w:rPr>
          <w:rFonts w:eastAsia="IRNazanin" w:cs="IRNazanin"/>
          <w:b w:val="false"/>
          <w:bCs w:val="false"/>
          <w:i w:val="false"/>
          <w:iCs w:val="false"/>
          <w:color w:val="333333"/>
          <w:sz w:val="20"/>
          <w:szCs w:val="20"/>
        </w:rPr>
        <w:t>4/825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جامع الاخبار،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 الفنّ السادس ؛ بحار الأنوار </w:t>
      </w:r>
      <w:r>
        <w:rPr>
          <w:rFonts w:eastAsia="IRNazanin" w:cs="IRNazanin"/>
          <w:b w:val="false"/>
          <w:bCs w:val="false"/>
          <w:i w:val="false"/>
          <w:iCs w:val="false"/>
          <w:color w:val="333333"/>
          <w:sz w:val="20"/>
          <w:szCs w:val="20"/>
        </w:rPr>
        <w:t>89/184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الاتقان فی علوم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الثانی والسبعون ؛ کنز العمال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89/19</w:t>
      </w:r>
      <w:r>
        <w:rPr>
          <w:rFonts w:ascii="IRNazanin" w:hAnsi="IRNazanin" w:eastAsia="IRNazanin"/>
          <w:b w:val="false"/>
          <w:b w:val="false"/>
          <w:bCs w:val="false"/>
          <w:i w:val="false"/>
          <w:i w:val="false"/>
          <w:iCs w:val="false"/>
          <w:color w:val="333333"/>
          <w:sz w:val="20"/>
          <w:sz w:val="20"/>
          <w:szCs w:val="20"/>
          <w:rtl w:val="true"/>
        </w:rPr>
        <w:t>، در بحار این گونه آمده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استظهر القرآن وحفظه وأحلّ حلاله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الفنّ السادس، عن ابن عباس؛ أمالی الشیخ الصدوق،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 فی تفسیر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سند آن چنین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از محمّد بن ابراهیم بن اسحاق، از احمد بن محمّد بن سعید مولی بنی هاشم، از علیّ بن حسن بن علیّ بن فضال او از پدرش از علیّ‌بن‌موسی‌الرضا علیه‌السلام</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تفسیرالقرآن، ص</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روح المعانی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الخمسة،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 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کتاب فضایل القرآن، البیان فی تفسیر القرآن،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البیان لعلوم القرآن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این نظر را پذیرفته است؛ التبیان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لعلوم القرآن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نظر استاد سیّد جعفر سامی الدبونی است که در یکی از ملاقاتهایی که نگارنده در خصوص این کتاب با ایشان داشت، بیان کردند و در این جا مورد بررسی قرار گرفت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3/364</w:t>
      </w:r>
      <w:r>
        <w:rPr>
          <w:rFonts w:ascii="IRNazanin" w:hAnsi="IRNazanin" w:eastAsia="IRNazanin"/>
          <w:b w:val="false"/>
          <w:b w:val="false"/>
          <w:bCs w:val="false"/>
          <w:i w:val="false"/>
          <w:i w:val="false"/>
          <w:iCs w:val="false"/>
          <w:color w:val="333333"/>
          <w:sz w:val="20"/>
          <w:sz w:val="20"/>
          <w:szCs w:val="20"/>
          <w:rtl w:val="true"/>
        </w:rPr>
        <w:t xml:space="preserve">؛ مجمع البیان لعلوم القرآن </w:t>
      </w:r>
      <w:r>
        <w:rPr>
          <w:rFonts w:eastAsia="IRNazanin" w:cs="IRNazanin"/>
          <w:b w:val="false"/>
          <w:bCs w:val="false"/>
          <w:i w:val="false"/>
          <w:iCs w:val="false"/>
          <w:color w:val="333333"/>
          <w:sz w:val="20"/>
          <w:szCs w:val="20"/>
        </w:rPr>
        <w:t>3/197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سدّی،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عباس،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بخش دوم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الفخر الرازی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نفحات الرّحمن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10/148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لعلوم القرآن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اکراه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تخلطون و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واعتصموا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تمسّکوا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السّرّاء والضّرّاء</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آیه ولایت و تحلیل سخن مخالفان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بسیاری موارد دیگر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لعلوم القرآن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قراءات قرآن کریم، عبدالهادی فضلی، مترجم،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 ابوالقاسم خوئی،ص</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حقی بن مصطفی اسلامبولی، معروف به مولی ابو الفداء در گذشته به سال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مفسّری است صوفی مسلک، حنفی مذهب و ترک زبان که کتابهایی به زبان عربی و ترکی دارد و نیز تفسیر روح البیان، معروف به تفسیر حقی است که طیّ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توسّط دار احیاء التراث العربی بیروت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المفسّران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البیان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6/407</w:t>
      </w:r>
      <w:r>
        <w:rPr>
          <w:rFonts w:ascii="IRNazanin" w:hAnsi="IRNazanin" w:eastAsia="IRNazanin"/>
          <w:b w:val="false"/>
          <w:b w:val="false"/>
          <w:bCs w:val="false"/>
          <w:i w:val="false"/>
          <w:i w:val="false"/>
          <w:iCs w:val="false"/>
          <w:color w:val="333333"/>
          <w:sz w:val="20"/>
          <w:sz w:val="20"/>
          <w:szCs w:val="20"/>
          <w:rtl w:val="true"/>
        </w:rPr>
        <w:t xml:space="preserve">، برخی تضمینات فارسی این کتاب به خاطر نقل و اقتباس از متون تفسیری فارسی است و برخی نیز شامل نقل قولهایی از مولوی، حافظ، سعدی و دیگران است، مثل </w:t>
      </w:r>
      <w:r>
        <w:rPr>
          <w:rFonts w:eastAsia="IRNazanin" w:cs="IRNazanin"/>
          <w:b w:val="false"/>
          <w:bCs w:val="false"/>
          <w:i w:val="false"/>
          <w:iCs w:val="false"/>
          <w:color w:val="333333"/>
          <w:sz w:val="20"/>
          <w:szCs w:val="20"/>
        </w:rPr>
        <w:t>6/456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1/136</w:t>
      </w:r>
      <w:r>
        <w:rPr>
          <w:rFonts w:ascii="IRNazanin" w:hAnsi="IRNazanin" w:eastAsia="IRNazanin"/>
          <w:b w:val="false"/>
          <w:b w:val="false"/>
          <w:bCs w:val="false"/>
          <w:i w:val="false"/>
          <w:i w:val="false"/>
          <w:iCs w:val="false"/>
          <w:color w:val="333333"/>
          <w:sz w:val="20"/>
          <w:sz w:val="20"/>
          <w:szCs w:val="20"/>
          <w:rtl w:val="true"/>
        </w:rPr>
        <w:t xml:space="preserve">،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اُنزل فیه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1/308</w:t>
      </w:r>
      <w:r>
        <w:rPr>
          <w:rFonts w:ascii="IRNazanin" w:hAnsi="IRNazanin" w:eastAsia="IRNazanin"/>
          <w:b w:val="false"/>
          <w:b w:val="false"/>
          <w:bCs w:val="false"/>
          <w:i w:val="false"/>
          <w:i w:val="false"/>
          <w:iCs w:val="false"/>
          <w:color w:val="333333"/>
          <w:sz w:val="20"/>
          <w:sz w:val="20"/>
          <w:szCs w:val="20"/>
          <w:rtl w:val="true"/>
        </w:rPr>
        <w:t xml:space="preserve">، در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فلهُنّ ثلثا ما ترک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حافظوا علی الصَّلَوَاتِ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سیجزی اللّه الشّاکرین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تفس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یرد ثواب الدُّنی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 نؤته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کلمه عفو</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سرقت را مصداق اثم می‌داند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استنادات نهاوندی به مفسّران عهد صحابه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اغلب مفسّران مورد مراجعه نهاوندی در تحقیق مقدّمه، در بخش دوم این رساله گزارش 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طُرفه‌های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لعلوم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فی تفسیر القرآن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شرح حال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w:t>
      </w:r>
      <w:r>
        <w:rPr>
          <w:rFonts w:eastAsia="IRNazanin" w:cs="IRNazanin"/>
          <w:b w:val="false"/>
          <w:bCs w:val="false"/>
          <w:i w:val="false"/>
          <w:iCs w:val="false"/>
          <w:color w:val="333333"/>
          <w:sz w:val="20"/>
          <w:szCs w:val="20"/>
        </w:rPr>
        <w:t>1/280</w:t>
      </w:r>
      <w:r>
        <w:rPr>
          <w:rFonts w:ascii="IRNazanin" w:hAnsi="IRNazanin" w:eastAsia="IRNazanin"/>
          <w:b w:val="false"/>
          <w:b w:val="false"/>
          <w:bCs w:val="false"/>
          <w:i w:val="false"/>
          <w:i w:val="false"/>
          <w:iCs w:val="false"/>
          <w:color w:val="333333"/>
          <w:sz w:val="20"/>
          <w:sz w:val="20"/>
          <w:szCs w:val="20"/>
          <w:rtl w:val="true"/>
        </w:rPr>
        <w:t xml:space="preserve">؛ تذکرة الحفاظ </w:t>
      </w:r>
      <w:r>
        <w:rPr>
          <w:rFonts w:eastAsia="IRNazanin" w:cs="IRNazanin"/>
          <w:b w:val="false"/>
          <w:bCs w:val="false"/>
          <w:i w:val="false"/>
          <w:iCs w:val="false"/>
          <w:color w:val="333333"/>
          <w:sz w:val="20"/>
          <w:szCs w:val="20"/>
        </w:rPr>
        <w:t>4/137</w:t>
      </w:r>
      <w:r>
        <w:rPr>
          <w:rFonts w:ascii="IRNazanin" w:hAnsi="IRNazanin" w:eastAsia="IRNazanin"/>
          <w:b w:val="false"/>
          <w:b w:val="false"/>
          <w:bCs w:val="false"/>
          <w:i w:val="false"/>
          <w:i w:val="false"/>
          <w:iCs w:val="false"/>
          <w:color w:val="333333"/>
          <w:sz w:val="20"/>
          <w:sz w:val="20"/>
          <w:szCs w:val="20"/>
          <w:rtl w:val="true"/>
        </w:rPr>
        <w:t xml:space="preserve">؛ الاعلام </w:t>
      </w:r>
      <w:r>
        <w:rPr>
          <w:rFonts w:eastAsia="IRNazanin" w:cs="IRNazanin"/>
          <w:b w:val="false"/>
          <w:bCs w:val="false"/>
          <w:i w:val="false"/>
          <w:iCs w:val="false"/>
          <w:color w:val="333333"/>
          <w:sz w:val="20"/>
          <w:szCs w:val="20"/>
        </w:rPr>
        <w:t>3/312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علی بن خضر بن هارون غسانی معروف به ابن عسکر، ادیب و مورخ و عالم علوم حدیث در قرن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الاعلام </w:t>
      </w:r>
      <w:r>
        <w:rPr>
          <w:rFonts w:eastAsia="IRNazanin" w:cs="IRNazanin"/>
          <w:b w:val="false"/>
          <w:bCs w:val="false"/>
          <w:i w:val="false"/>
          <w:iCs w:val="false"/>
          <w:color w:val="333333"/>
          <w:sz w:val="20"/>
          <w:szCs w:val="20"/>
        </w:rPr>
        <w:t>6/281</w:t>
      </w:r>
      <w:r>
        <w:rPr>
          <w:rFonts w:ascii="IRNazanin" w:hAnsi="IRNazanin" w:eastAsia="IRNazanin"/>
          <w:b w:val="false"/>
          <w:b w:val="false"/>
          <w:bCs w:val="false"/>
          <w:i w:val="false"/>
          <w:i w:val="false"/>
          <w:iCs w:val="false"/>
          <w:color w:val="333333"/>
          <w:sz w:val="20"/>
          <w:sz w:val="20"/>
          <w:szCs w:val="20"/>
          <w:rtl w:val="true"/>
        </w:rPr>
        <w:t>؛ قضات اندلس،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هامش البرهان زرکشی</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بدرالدین زرکشی </w:t>
      </w:r>
      <w:r>
        <w:rPr>
          <w:rFonts w:eastAsia="IRNazanin" w:cs="IRNazanin"/>
          <w:b w:val="false"/>
          <w:bCs w:val="false"/>
          <w:i w:val="false"/>
          <w:iCs w:val="false"/>
          <w:color w:val="333333"/>
          <w:sz w:val="20"/>
          <w:szCs w:val="20"/>
        </w:rPr>
        <w:t>1/201</w:t>
      </w:r>
      <w:r>
        <w:rPr>
          <w:rFonts w:ascii="IRNazanin" w:hAnsi="IRNazanin" w:eastAsia="IRNazanin"/>
          <w:b w:val="false"/>
          <w:b w:val="false"/>
          <w:bCs w:val="false"/>
          <w:i w:val="false"/>
          <w:i w:val="false"/>
          <w:iCs w:val="false"/>
          <w:color w:val="333333"/>
          <w:sz w:val="20"/>
          <w:sz w:val="20"/>
          <w:szCs w:val="20"/>
          <w:rtl w:val="true"/>
        </w:rPr>
        <w:t>، نوع ششم، عبدالقادر عطاء، انتشارات دار الفکر بیروت</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نوع هفتادم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با تحقیق ایاد خالد طباع در دار المصحف دمشق به سال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 چاپ شد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تخصّصی بیّنات، شماره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قم،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پی‌نویس قبل نیز از همینمأخذ است</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زرکشی در البرهان هفت دلیل در راز ابهام‌گویی در قرآن بر می‌شمارد و برای هر دلیل، مثالی از آیات ذکر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نیز عینا همان دلایل را بدون تغییر در الاتقان گزارش و ادّعا می‌کند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مبهم در قرآن وجود دارد، 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الرّحمن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أی نازَعَهم و طلب مباراتهم فی هذاالأمر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 من الأصل</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 ذکره المصنف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أعرابیّ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یؤثر عن العرب تفعیل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 خ 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المأثور عنهم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شَحَذَ السیفَ و نحوَهُ شَحْذا، و أشحذَهُ، أی أحدَّ نصلَهُ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شیءٍ مستحدث عجیب</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العَرافة بفتح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عَرُفَ یَعرُفُ، أی صار عریفا، و بکسر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عَرَفَ یَعرُفُ علی القوم، أی دبّر أمرهم وساسهم، و کلاهما لایناسب السیاق، و حریّ به أن یذکر عِرفانا أو معرفةً، مصدرا عَرَفَ الشیءَ یَعرِفُهُ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أدرکه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کَانَ اللّه‌ُ لِیُعْجِزَهُ مِنْ شَی‌ءٍ فِی السَّموات وَلاَ فِی الأَرْضِ إِنَّهُ کَانَ عَلِیما 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عبدُاللّه بنِ عبّاس بن عبدالمطّلب بن هاشم بن عبد مناف، أبو العبّاس، القرشیّ الهاشمیّ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 رسول‌اللّه صلی‌الله‌علیه‌و‌آله کنّی بابنه العبّاس، أُمَّه لُبَابة الکبری بنت الحارث بن حَزن الهِلالیّة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یسمّی البحر وحبر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عکرمة 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ضمّنی رسول اللّه صلی‌الله‌علیه‌و‌آله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عَلِّمه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أهل البیت شجرة النبوّة ومختلف الملائکة وأهل بیت الرسالة وأهل بیت الرّحمة ومَعدن العلم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عُتْبةُ بنُ ربیعةُ بن خالد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عتبة بن ربیعة بن خالد بن معاویة البَهْرائیّ، حلیف الأوس</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فی تفسیر القرآن </w:t>
      </w:r>
      <w:r>
        <w:rPr>
          <w:rFonts w:eastAsia="IRNazanin" w:cs="IRNazanin"/>
          <w:b w:val="false"/>
          <w:bCs w:val="false"/>
          <w:i w:val="false"/>
          <w:iCs w:val="false"/>
          <w:color w:val="333333"/>
          <w:sz w:val="20"/>
          <w:szCs w:val="20"/>
        </w:rPr>
        <w:t>8/242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مَظعون بن حبیب بن وهب بن حُذافة، أسلم بعد ثلاثة عشر رجلاً وهاجر إلی الحبشة هو وابنه السائب الهجرة الأُولی مع جماعة من المسلمین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أبی العوجاء وفتنته</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89/107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فضل القرآن</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w:t>
      </w:r>
      <w:r>
        <w:rPr>
          <w:rFonts w:eastAsia="IRNazanin" w:cs="IRNazanin"/>
          <w:b w:val="false"/>
          <w:bCs w:val="false"/>
          <w:i w:val="false"/>
          <w:iCs w:val="false"/>
          <w:color w:val="333333"/>
          <w:sz w:val="20"/>
          <w:szCs w:val="20"/>
        </w:rPr>
        <w:t>89/25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البخاریّ فی الصحیح ونقله السیوطیّ فی الإتقان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89/15</w:t>
      </w:r>
      <w:r>
        <w:rPr>
          <w:rFonts w:ascii="IRNazanin" w:hAnsi="IRNazanin" w:eastAsia="IRNazanin"/>
          <w:b w:val="false"/>
          <w:b w:val="false"/>
          <w:bCs w:val="false"/>
          <w:i w:val="false"/>
          <w:i w:val="false"/>
          <w:iCs w:val="false"/>
          <w:color w:val="333333"/>
          <w:sz w:val="20"/>
          <w:sz w:val="20"/>
          <w:szCs w:val="20"/>
          <w:rtl w:val="true"/>
        </w:rPr>
        <w:t xml:space="preserve">، نقله عن عیون الأخبار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تحقیق الدکتور صبحیالصالح،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89/14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الاعجاز واستعمالها فی الدراسات التفسیریة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إبطال</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فیالأصل،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لعدم وجود تفعیل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السماع</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الثلب والطعن</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بدّ للنبیّ من إقامة المعجزة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غیر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المتشدّد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التوبیخ واللوم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مرّة کریهة الرائحة، ثمرها طعام أهل النار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له شوک کبار،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الشبرق</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الحارّ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وإلیکم بعض الروایات الّتی أشارت إلی اشتمال القرآن علی مبادئ العلوم والحکم وکلّ ما یحتاج الناس إلیه ممّا جاء فی القرآن أو فی السنّة</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للکلینیّ </w:t>
      </w:r>
      <w:r>
        <w:rPr>
          <w:rFonts w:eastAsia="IRNazanin" w:cs="IRNazanin"/>
          <w:b w:val="false"/>
          <w:bCs w:val="false"/>
          <w:i w:val="false"/>
          <w:iCs w:val="false"/>
          <w:color w:val="333333"/>
          <w:sz w:val="20"/>
          <w:szCs w:val="20"/>
        </w:rPr>
        <w:t>2/600</w:t>
      </w:r>
      <w:r>
        <w:rPr>
          <w:rFonts w:ascii="IRNazanin" w:hAnsi="IRNazanin" w:eastAsia="IRNazanin"/>
          <w:b w:val="false"/>
          <w:b w:val="false"/>
          <w:bCs w:val="false"/>
          <w:i w:val="false"/>
          <w:i w:val="false"/>
          <w:iCs w:val="false"/>
          <w:color w:val="333333"/>
          <w:sz w:val="20"/>
          <w:sz w:val="20"/>
          <w:szCs w:val="20"/>
          <w:rtl w:val="true"/>
        </w:rPr>
        <w:t xml:space="preserve">، تفسیر علیّ بن إبراهیم القمّی،ص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xml:space="preserve">، مجمع البیان لعلوم القرآن للطبرسیّ </w:t>
      </w:r>
      <w:r>
        <w:rPr>
          <w:rFonts w:eastAsia="IRNazanin" w:cs="IRNazanin"/>
          <w:b w:val="false"/>
          <w:bCs w:val="false"/>
          <w:i w:val="false"/>
          <w:iCs w:val="false"/>
          <w:color w:val="333333"/>
          <w:sz w:val="20"/>
          <w:szCs w:val="20"/>
        </w:rPr>
        <w:t>10/786</w:t>
      </w:r>
      <w:r>
        <w:rPr>
          <w:rFonts w:ascii="IRNazanin" w:hAnsi="IRNazanin" w:eastAsia="IRNazanin"/>
          <w:b w:val="false"/>
          <w:b w:val="false"/>
          <w:bCs w:val="false"/>
          <w:i w:val="false"/>
          <w:i w:val="false"/>
          <w:iCs w:val="false"/>
          <w:color w:val="333333"/>
          <w:sz w:val="20"/>
          <w:sz w:val="20"/>
          <w:szCs w:val="20"/>
          <w:rtl w:val="true"/>
        </w:rPr>
        <w:t xml:space="preserve">، التبیان فی تفسیر القرآن للشیخ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التفسیر الکبیرللرازیّ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32/27</w:t>
      </w:r>
      <w:r>
        <w:rPr>
          <w:rFonts w:ascii="IRNazanin" w:hAnsi="IRNazanin" w:eastAsia="IRNazanin"/>
          <w:b w:val="false"/>
          <w:b w:val="false"/>
          <w:bCs w:val="false"/>
          <w:i w:val="false"/>
          <w:i w:val="false"/>
          <w:iCs w:val="false"/>
          <w:color w:val="333333"/>
          <w:sz w:val="20"/>
          <w:sz w:val="20"/>
          <w:szCs w:val="20"/>
          <w:rtl w:val="true"/>
        </w:rPr>
        <w:t xml:space="preserve">، الکشّاف للزمخشریّ </w:t>
      </w:r>
      <w:r>
        <w:rPr>
          <w:rFonts w:eastAsia="IRNazanin" w:cs="IRNazanin"/>
          <w:b w:val="false"/>
          <w:bCs w:val="false"/>
          <w:i w:val="false"/>
          <w:iCs w:val="false"/>
          <w:color w:val="333333"/>
          <w:sz w:val="20"/>
          <w:szCs w:val="20"/>
        </w:rPr>
        <w:t>4/273</w:t>
      </w:r>
      <w:r>
        <w:rPr>
          <w:rFonts w:ascii="IRNazanin" w:hAnsi="IRNazanin" w:eastAsia="IRNazanin"/>
          <w:b w:val="false"/>
          <w:b w:val="false"/>
          <w:bCs w:val="false"/>
          <w:i w:val="false"/>
          <w:i w:val="false"/>
          <w:iCs w:val="false"/>
          <w:color w:val="333333"/>
          <w:sz w:val="20"/>
          <w:sz w:val="20"/>
          <w:szCs w:val="20"/>
          <w:rtl w:val="true"/>
        </w:rPr>
        <w:t xml:space="preserve">، الإتقان فی علوم القرآن للسیوطیّ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النوع السادس عشر</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أبو شامة فی المرشد الوجیز، وذکره السیوطیّ فی الإتقان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الترمذیّ، ذکره السیوطیّ فی الإتقان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السخاویّ فی جمال القرّاء، ذکره السیوطیّ فی الإتقان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إنساخهم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لعدم وجود إفعال من هذه المادة فی السماع</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النفسیّ واللفظیّ والکتبیّ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فی تفسیر القرآن للفیض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التاسعة</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فی علوم القرآن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الزعزعة والهزّ والجذب والنقض، نتقَ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جذبه واقتلعه</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أطبق علیک فهو ظُلَّة وکذلک کلّ ما أظلَّک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تکملةٌ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علی الصحیحین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 رسول اللّه‌کان یأتی علیه الزمان تنزل علیه السور ذوات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عدد</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فظننت انّها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المستدرک بل فی الکنز</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ابن أبی داود وابن الأنباریّ فی المصاحف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 ص</w:t>
      </w:r>
      <w:r>
        <w:rPr>
          <w:rFonts w:eastAsia="IRNazanin" w:cs="IRNazanin"/>
          <w:b w:val="false"/>
          <w:bCs w:val="false"/>
          <w:i w:val="false"/>
          <w:iCs w:val="false"/>
          <w:color w:val="333333"/>
          <w:sz w:val="20"/>
          <w:szCs w:val="20"/>
        </w:rPr>
        <w:t>745</w:t>
      </w:r>
      <w:r>
        <w:rPr>
          <w:rFonts w:ascii="IRNazanin" w:hAnsi="IRNazanin" w:eastAsia="IRNazanin"/>
          <w:b w:val="false"/>
          <w:b w:val="false"/>
          <w:bCs w:val="false"/>
          <w:i w:val="false"/>
          <w:i w:val="false"/>
          <w:iCs w:val="false"/>
          <w:color w:val="333333"/>
          <w:sz w:val="20"/>
          <w:sz w:val="20"/>
          <w:szCs w:val="20"/>
          <w:rtl w:val="true"/>
        </w:rPr>
        <w:t xml:space="preserve">، تفسیر الصافی للفیض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الثانیة، البرهان فی تفسیر القرآنللبحرانیّ، المقدّمة،ص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المصدرین المذکورین فی 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الصفحة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ختم</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الأدلّة التی تثبت أمر الکتابة فی زمن النبیّ صلی‌الله‌علیه‌و‌آله ، ذکر أدوات التحریر والکتابة فی القرآن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صحیح البخاریّ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مسروق، مسند ابن حنبل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أُسد الغابة فی معرفة الصحابة لابن الأثیر </w:t>
      </w:r>
      <w:r>
        <w:rPr>
          <w:rFonts w:eastAsia="IRNazanin" w:cs="IRNazanin"/>
          <w:b w:val="false"/>
          <w:bCs w:val="false"/>
          <w:i w:val="false"/>
          <w:iCs w:val="false"/>
          <w:color w:val="333333"/>
          <w:sz w:val="20"/>
          <w:szCs w:val="20"/>
        </w:rPr>
        <w:t>4/418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عبداللّه بن عمر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مَسْعودِ</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 بنُ مالک</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قَیْسُ بنُ أبی صَعْصَعَة صحابیّ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أبی صعصعة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زید بن عوف بن مبذول الأنصاریّ الخزرجیّ المازنیّ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زید سعد بن عبید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وقیل سعید </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المصحف علی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الأدلّة التی أثبت القول بجمع القرآن فی حیاة النبیّ صلی‌الله‌علیه‌و‌آله، إطلاق المصحف علی کتاب اللّه الکریم وصدور الروایات منه فی استحباب النظر فی المصحف، وإلیکم تفصیلها</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ونحن ورثناه</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قد أطلق عنوان القارئ علی الحفّاظ فی زمن النبیّ صلی‌الله‌علیه‌و‌آله، إذن کلّ من کان قارئا فهو من حفّاظ القرآن، قُتِل فی وقعة بئر معونة وواقعة الیمامة سبعون من القرّاء أی من الحفّاظ</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فی علوم القرآن، النوع الخامس والثلاثون من المجلّد الأوّل، أیضا الإتقان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القرطبی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وصحیحه محمّد بن کعب القُرَظیّ، وهو من وجوه الصحابة وخیار التابعین الذین رووا أنّ علیّا علیه‌السلام أوّل من أسلم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أیّوب الأنصاریّ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بن جَاریة صحابیّ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الصحابیّات وجمع القرآن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وَرَقَة بنت عبداللّه صحابیّة </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أبی داود، نقلاً عن الإتقان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للبحرانیّ، المقدّمة،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اختلافٍ فی الألفاظ، قال 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أبی داود من طریق ابن سیرین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 علیه‌السلام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لمّا مات رسول اللّه صلی‌الله‌علیه‌و‌آلهآلیتُ ألاّ آخُذَ ردائی إلاّ لصلاة الجمعة حتّی أجمع القرآن فجمعته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للطبرسیّ، ط مرتضویة،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الصافی فی تفسیر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السادسة، 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فوثب عمر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علیّ اردده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یرحمک اللّه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الصواب ما أثبتناه کما فی الاحتجاج</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اللّه جلّ وعلا</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عندی باملاء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وتأویل کلّ آیة أنزلها اللّه علی محمّد وکلّ حرام وحلال أو حدٍّ أو حکمٍ أو شیءٍ تحتاج إلیه الأُمّة إلی یوم القیامة مکتوب باملاء الرسول وخطّ یدی، حتّی أرش الخدش</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العلم یفتح من کلّ بابٍ أ لف باب، ولو أنّ الأُمّة</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فاخبرونی عمّا کتب</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حسبی أمّا إذا</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 عمّا فی یدک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الاحتجاج 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مع القرآن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علی أهل اللّجاج،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مرتضویة،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احتجاج أمیر المؤمنین مع جماعة من الأنصار والمهاجرین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عبداللّه الأنصاریّ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الثقلین متواتر عند الخاصّة والعامّة، وإلیک بعض مصادره، مع بعض اختلاف فی الألفاظ</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المرتضی علم الهدی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التّسویف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التأخیر، من قولک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 أنّ النبیّ صلی‌الله‌علیه‌و‌آله لَعَنَ المسوَّفة من النِّساء وهی التی لا تجیب زوجَها إذا دعاها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سوف أفعل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لسان العرب لابن منظور </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والتّسویف هاهنا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التأخیر فی جمع القرآن وإرجاع الأمر إلی مرور الزمان</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وکتابه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یَستحرَّ القتل بالقرّاء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یشتدّ القتل</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بالمواطن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تفعل</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واللّه خیرٌ</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یزل عمر یراجعنی</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ذلک الّذی</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شاب</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فاجمعه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تفعلون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نفس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له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صحیح البخاری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غیره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تقطیع فی الخبر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بشاهدی عدل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طریق یحیی بن عبدالرّحمان بن حاطب، انظر المصاحف لابن أبی داود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أبی داود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مناهل العرفان للزرقانیّ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الحاکم فی المستدرک علی الصحیحین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زید بن ثابت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 عند رسول اللّه صلی‌الله‌علیه‌و‌آلهنؤلِّف القرآن من الرقاع إذ 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لأیِّ شیء ؟</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للبخاریّ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الإتقان، النوع الثامن عشر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للبخاریّ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نقله النهاوندیّ من الإتقان</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الأُمّة</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الکتاب اختلاف الیهود و</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عثمان</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رهط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 وقبیلتهُ، والرهط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عددٌ یجمع من ثلاثة إلی عشرةٍ</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نزل بلسانهم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تدوین القرآن بحضرة النبیّ، والقول بتأخیر تدوین القرآن الکریم إلی عصر الخلفاء رأی سقیم، بل الإصراره علیه کان ینتهی بتقویة قول التحریف المفتعل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وعندنا قد جمع القرآن بحضره‌النبیّ صلی‌الله‌علیه‌و‌آلهوخلافه مخالف للکتاب والسنّة والإجماع والعقل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یمکن القول بالتحریف أن یستدلّ به علی دعواه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سلّمنا أنّ جمع القرآن کان قد وقع بعد ارتحال النبیّ صلی‌الله‌علیه‌و‌آله ، فلا ینبغی الشکّ فی أنّ کیفیة الجمع المذکورة فی روایات جمع القرآن، مجعولة، وأنّ جمعَ القرآن کان مستندا إلی التواتر بین المسلمین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وغایة الأمر أنّ الجامع قد دوّن فی المصاحف ما کان محفوظا فی الصدور علی نحو التواتر</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المستدرک علی الصحیحین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وجاء فیه</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سبق ذکر مآخذه، الإتقان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ترتیب النزول</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لعلوم القرآن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المقدّمة، الفنّ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فی تفسیر القرآن الکریم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السادسة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فی تفسیر القرآن،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فی رسائل الشریف المرتضی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بالنظم التوقیفیّ للآیات والسور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الکتب والمحقِّقین الّذین بحثوا حول علم المناسبة بین الآیات والسور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براعة الاستهلال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افتتاح الکلام بنظمٍ باهر وجمالٍ ظاهر، وفیه حلاوةٌ جاذبة، یهتدی به المستمع إلی مقاصد الکلام، کالبراعة فی افتتاح القرآن بالحمد للّه ربّ العالمین</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 آل عمران، النِّساء، المائدة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النوع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جلال الدین عبدالرحمان السیوطیّ فی الإتقان وبدرالدین الزرکشیّ فی البرهان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أُصول‌الکافی للکلینیّ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أبو جعفر محمّد، فی أُصول الکافی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وصدر هذا الخبر کما یلی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صحیح هذا الخبر علی ما قال فی الکافی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رسائل الشریف المرتضی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الطرابلسیّات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العلم بتفصیل القرآن، مقدّمة التفسیر،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کذلک القول فی کتاب المزنیّ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أهل الحشو، لقب تحقیر أطلق علی أُولئک الفریق من أصحاب الحدیث، الّذین اعتقدوا صحّة الأحادیث المسرفة فی التجسیم بغیر نقدٍ، بل فضّلوها علی غیرها وأخذوها بظاهر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الشهرستانیّ أسماء نفر منهم، ولم‌ینتسبوا إلی الکرّامیة ولا إلی الشیعة</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الفیض الکاشانیّ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فی تفسیر القرآن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السادسة</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یوجب علما ولا عملاً</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الاعتقادات للشیخ الصدوق، الباب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الصافی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البرهان للبحرانیّ، المقدّمة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هو معطوف علی خلاف ما أنزل اللّه</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أُمّة یقتلون</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والحسین بن علیّ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سألوا اللّه عظیما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یجعلهم إماما للمتّقین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محرّف عنه </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أُنزلت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وتری الّذین ظلموا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الصافی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کلام علیّ بن إبراهیم القمّیّ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الطوسیّ فی التبیان فی تفسیر القرآن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یوجب علما ولا عملاً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البرهان للبحرانیّ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وإلیکم بعض أمثاله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الانطماس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ادخال الشیء من تحته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مؤلفّه، کاشف الغطاء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مقدّمة محمّد جواد البلاغیّ علی مجمع البیان لعلوم القرآن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اللّه الشوشتریّ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أوائل المقالات للشیخ المفید،ص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روایات العامّة قول عمر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الشیخ والشیخة إذا زنیا فارجموهما ألبتّةً نکالاً مِن اللّه واللّه عزیز حکیم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الشیخ الطوسیّ فی التبیان،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فینبغی أن نتشاغل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ونترک ما سواه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ما شاع عند أهل الحدیث خاصّة دون غیرهم، بأن ینقله منهم رواةٌ کثیرون، ولا یعلم هذا القسم إلاّ أهل 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عندهم وعند غیرهم کحدیث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الأعمالُ بالنیِّات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وأمرهُ واضح وهو بهذا المعنی أعمٌ من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عند غیرهم خاصّةً ولا أصل له عندهم وهو کثیرٌ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طاووس التّابعیّ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سفیان بن عیینة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للزرکشیّ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عن المستدرک للحاکم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بالسیف لأنّه لیس فیه أمان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تمام الخبر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فکان إذا نزل علیه الشیء دعا بعض من کان یکتب، فیقول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ضعوا هؤلاء الآیات فی السورة التی یذکر فیها کذا وکذا، وکانت الأنفال من أوائل ما نزل بالمدینة، وکانت براءة من آخر القرآن نزولاً، وکانت قصّتها شبیهة بقصّتها، فظننت أنّها منها</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من شیعة أمیر المؤمنین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بحارالأنوار للمجلسی </w:t>
      </w:r>
      <w:r>
        <w:rPr>
          <w:rFonts w:eastAsia="IRNazanin" w:cs="IRNazanin"/>
          <w:b w:val="false"/>
          <w:bCs w:val="false"/>
          <w:i w:val="false"/>
          <w:iCs w:val="false"/>
          <w:color w:val="333333"/>
          <w:sz w:val="20"/>
          <w:szCs w:val="20"/>
        </w:rPr>
        <w:t>89/277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لعلوم القرآن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سور القرآن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وقیل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أنّ عدد سور القرآن، مائة و أربع عشرة وغیره من الأعداد یرجع إلی اختلاف المصاحف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سورتا الأنفال وبراءة کسورة واحدة، فحینئذٍ عدد سور القرآن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عکرمة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للزرکشیّ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فی وجه تسمیة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 أن تسأل ما الحکمة فی تسمیة سور القرآن بالأسامی المعیّنة والمستقلّة ؟ وما هی حکمتها ؟ أجاب بعض الباحثین ومنهم الزرکشیّ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للکلینیّ </w:t>
      </w:r>
      <w:r>
        <w:rPr>
          <w:rFonts w:eastAsia="IRNazanin" w:cs="IRNazanin"/>
          <w:b w:val="false"/>
          <w:bCs w:val="false"/>
          <w:i w:val="false"/>
          <w:iCs w:val="false"/>
          <w:color w:val="333333"/>
          <w:sz w:val="20"/>
          <w:szCs w:val="20"/>
        </w:rPr>
        <w:t>2/575</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للمجلسیّ </w:t>
      </w:r>
      <w:r>
        <w:rPr>
          <w:rFonts w:eastAsia="IRNazanin" w:cs="IRNazanin"/>
          <w:b w:val="false"/>
          <w:bCs w:val="false"/>
          <w:i w:val="false"/>
          <w:iCs w:val="false"/>
          <w:color w:val="333333"/>
          <w:sz w:val="20"/>
          <w:szCs w:val="20"/>
        </w:rPr>
        <w:t>89/27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مقطوع فی الکافی، لم یذکر فیه اسم أبی جعفر علیه‌السلام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قلیلٍ</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جبیر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1/109</w:t>
      </w:r>
      <w:r>
        <w:rPr>
          <w:rFonts w:ascii="IRNazanin" w:hAnsi="IRNazanin" w:eastAsia="IRNazanin"/>
          <w:b w:val="false"/>
          <w:b w:val="false"/>
          <w:bCs w:val="false"/>
          <w:i w:val="false"/>
          <w:i w:val="false"/>
          <w:iCs w:val="false"/>
          <w:color w:val="333333"/>
          <w:sz w:val="20"/>
          <w:sz w:val="20"/>
          <w:szCs w:val="20"/>
          <w:rtl w:val="true"/>
        </w:rPr>
        <w:t>، أخرجه الحاکم والنِّسائیّ وغیرهما عن ابن عبّاس</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الکاشانیّ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 سورة الحمد فی هذا المصحف</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بن أحمد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للزرکشیّ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فرسخا، وانتهی إلی رأس بریّة نفّس ذلک منه ونشّطه للمسیر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الإتقان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حذق السور، أی إذا أوغَلَ فی ممارسة حتّی مهر فیه، فهو حاذق</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الإتقان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ثمّ کانت القراءة</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البرهان للزرکشیّ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التفصیل یُسبّبُ</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الزرکشیّ فی البرهان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سورة إبراهیم والبراءة تترجم عن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الأصل، والصواب شروط، لأنّ شرائطا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شریط</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الشریف الجرجانیّ فی کلمة تسویر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تفصیله سورا وسوره آیات، فسیأتی فی الکتاب أنّ فیه تنشیط القارئ واغتباط الحافظ وتلاحق الأشکال والنظائر إلی غیر ذلک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الوافی فی تفسیر القرآن للفیض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العیّاشیّ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أظهروها وهی بسم اللّه الرّحمن الرّحیم، مجمع البیان لعلوم القرآن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عبداللّه علیه‌السلام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ولَقَد آتَینَاکَ سَبعا مِنَ المَثَانی والقُرْآن العَظِیم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89/227</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للمتّقی الهندیّ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معاویة بن عمّار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عمران من أصحاب الصادق علیه‌السلام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النیسابوریّ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العامّة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اللسان عن الأزهریّ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سعد یدلُّ علی أنّ التعزیرَ هو التوقیف علی الدِّین، لأ 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رأیتنی مع رسول اللّه صلی‌الله‌علیه‌و‌آله وما لنا 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أصبحت بنو سعد تعزّرنی علی الإسلام، أی توقّفنی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بالسیف، عزّرتموهم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عظّمتموهم ونصرتموهم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89/382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مُجاهد بن جبر المکّیّ التابعیّ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الربیع</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الصافی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لسعة رحمته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وعِلْمه بما یحدثه المبطلون من تغییر کلامه</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وفیه عن الصادق علیه‌السلام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والراسخون فی العلم هم آل محمّد صلی‌الله‌علیه‌و‌آله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الصافی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انظر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 المفسِّر الوجه الثالث من قول رسول اللّه صلی‌الله‌علیه‌و‌آله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الطبرانیّ فی الکبیر علی ما نقله السیوطیّ فی 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مردویه عن عمرو بن شعیب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الرسول صلی‌الله‌علیه‌و‌آله ، علی ما نقله السیوطیّ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رویت هذه الروایة بشکل آخر عن أبی بصیر عن الصادق علیه‌السلام قال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90/57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عن أمیر المؤمنین فی أصناف آیات القرآن وأنواعها وتفسیر بعض آیاتها بروایة النعمانیّ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فی تفسیر القرآن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نقله عن الاحتجاج للطبرسیّ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فخرالدین الرازیّ فی تفسیره المسمّی بالتفسیر الکبیر خمسة وجوه فی فوائد اشتمال القرآن للمتشابهات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التفسیر الکبیر </w:t>
      </w:r>
      <w:r>
        <w:rPr>
          <w:rFonts w:eastAsia="IRNazanin" w:cs="IRNazanin"/>
          <w:b w:val="false"/>
          <w:bCs w:val="false"/>
          <w:i w:val="false"/>
          <w:iCs w:val="false"/>
          <w:color w:val="333333"/>
          <w:sz w:val="20"/>
          <w:szCs w:val="20"/>
        </w:rPr>
        <w:t>7/185</w:t>
      </w:r>
      <w:r>
        <w:rPr>
          <w:rFonts w:ascii="IRNazanin" w:hAnsi="IRNazanin" w:eastAsia="IRNazanin"/>
          <w:b w:val="false"/>
          <w:b w:val="false"/>
          <w:bCs w:val="false"/>
          <w:i w:val="false"/>
          <w:i w:val="false"/>
          <w:iCs w:val="false"/>
          <w:color w:val="333333"/>
          <w:sz w:val="20"/>
          <w:sz w:val="20"/>
          <w:szCs w:val="20"/>
          <w:rtl w:val="true"/>
        </w:rPr>
        <w:t xml:space="preserve">، أیضا نقله السیوطیّ فی الإتقان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حکمة اشتمال القرآن علی المتشابهات فی</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السُّدّیّ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الزَّجّاج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إسحاق إبراهیم بن محمّد بن السریّ بن سهل الزّجّاج النحویّ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أهل العلم بالأدب والدین المتین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صنّف کتابا فی معانی القرآن وله کتاب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الأدب عن المبرّد وثعلب، کان یخرط الزّجاج ثمّ ترکه واشتغل بالأدب فنسب إلیه، واختصّ بصحبة الوزیر عبیداللّه بن سلیمان بن وهب وعلّم ولده القاسم الأدب، ولمّا استوزر القاسمُ أفاد بطریقه مالاً جزیلاً</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التکنیة والکنیة والکنایة من أصل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الکنیة علی ثلاثة أوجهٍ</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1/112</w:t>
      </w:r>
      <w:r>
        <w:rPr>
          <w:rFonts w:ascii="IRNazanin" w:hAnsi="IRNazanin" w:eastAsia="IRNazanin"/>
          <w:b w:val="false"/>
          <w:b w:val="false"/>
          <w:bCs w:val="false"/>
          <w:i w:val="false"/>
          <w:i w:val="false"/>
          <w:iCs w:val="false"/>
          <w:color w:val="333333"/>
          <w:sz w:val="20"/>
          <w:sz w:val="20"/>
          <w:szCs w:val="20"/>
          <w:rtl w:val="true"/>
        </w:rPr>
        <w:t xml:space="preserve">،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العالیة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نافع بن عبدالرحمان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المجمع للطبرسیّ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أسألک یا کهیعص </w:t>
      </w:r>
      <w:r>
        <w:rPr>
          <w:rFonts w:eastAsia="IRNazanin" w:cs="IRNazanin"/>
          <w:b w:val="false"/>
          <w:bCs w:val="false"/>
          <w:i w:val="false"/>
          <w:iCs w:val="false"/>
          <w:color w:val="333333"/>
          <w:sz w:val="20"/>
          <w:szCs w:val="20"/>
        </w:rPr>
        <w:t>6/775</w:t>
      </w:r>
      <w:r>
        <w:rPr>
          <w:rFonts w:ascii="IRNazanin" w:hAnsi="IRNazanin" w:eastAsia="IRNazanin"/>
          <w:b w:val="false"/>
          <w:b w:val="false"/>
          <w:bCs w:val="false"/>
          <w:i w:val="false"/>
          <w:i w:val="false"/>
          <w:iCs w:val="false"/>
          <w:color w:val="333333"/>
          <w:sz w:val="20"/>
          <w:sz w:val="20"/>
          <w:szCs w:val="20"/>
          <w:rtl w:val="true"/>
        </w:rPr>
        <w:t>، وفی التبیان للطوسیّ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سألتک یا کهیعص </w:t>
      </w:r>
      <w:r>
        <w:rPr>
          <w:rFonts w:eastAsia="IRNazanin" w:cs="IRNazanin"/>
          <w:b w:val="false"/>
          <w:bCs w:val="false"/>
          <w:i w:val="false"/>
          <w:iCs w:val="false"/>
          <w:color w:val="333333"/>
          <w:sz w:val="20"/>
          <w:szCs w:val="20"/>
        </w:rPr>
        <w:t>7/103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للشیخ الصدوق،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 لشیعتنا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معانی الأخبار،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معانی الأخبار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إبراهیم بن إسحاق الطالقانیّ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حدّثنا جعفر بن محمّد بن ُعمارة عن أبیه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عند جعفر بن محمّد الباقر علیه‌السلام، فدخل علیه رجل فسأله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کهیعص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فقال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 لشیعتنا،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بأهل طاعتنا،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لهم وعدهم حتّی یبلغ بهم المنزلة التی وعدها إیّاهم فی بطن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 من کریم، والهاء من هادٍ، والیاء من حکیم، والعین من علیم، والصاد من صادق</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معانی الأخبار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89/374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معانی الأخبار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89/374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معانی الأخبار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وبحار الأنوار </w:t>
      </w:r>
      <w:r>
        <w:rPr>
          <w:rFonts w:eastAsia="IRNazanin" w:cs="IRNazanin"/>
          <w:b w:val="false"/>
          <w:bCs w:val="false"/>
          <w:i w:val="false"/>
          <w:iCs w:val="false"/>
          <w:color w:val="333333"/>
          <w:sz w:val="20"/>
          <w:szCs w:val="20"/>
        </w:rPr>
        <w:t>89/374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إبراهیم القمّی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معانی الأخبار،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بروایة الشیخ فی المعانی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المظفّر بن جعفر بن المظفّر العلویّ السمرقندیّ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أتی رجل من بنی أُمیّة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 زندیقا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محمّد علیه‌السلام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 عزّ وجلّ فی کتابه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أراد بهذا ؟ وأیّ شیء فیه من الحلال والحرام ؟ وأیُّ شیءٍ فیه ممّا ینتفع به الناس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فاغتاض من ذلک جعفر بن محمّد علیه‌السلامفقال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أمسک ویحک،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أربعون،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تسعون، الخبر، وستّون فیه الثلاثون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52/106</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وقیام قائمٍ من بنی هاشم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معانی الأخبار،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وفیه اختلاف فی الألفاظ ممّا ذکره المجلسیّ والسیوطیّ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89/374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تجلّی همُّه، وانسری عنه الهمّ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انکشف عنه</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وانجلی کربه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بکاءٌ شدید یصحبه صوت</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تفسیر نور الثقلین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طویل عن الباقر علیه‌السلام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وهب بن وهب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الصادق علیه‌السلامیقول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 وفد من فلسطین علی الباقر علیه‌السلامفسألوه عن مسائل فأجابهم، ثمّ سألوه عن الصمد، فقال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تفسیر 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اتّباع الصدق بالصدق، ووعد بالصدق دار الصدق</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 وهو التنفّس الطویل من همٍّ أو تعبٍ أو تأسّفٍ</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تحقیق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صبحی صالح،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 کمیل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 إنّ هنا لعلما جمّا وأشار بیده إلی صدره لو أصَبتُ له حَمَلَةً، بلی أصبت لقنا غیر مأمونٍ علیه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الّذین کفروا لا تسمعوا لهذا القرآن والْغوا فیه لعلّکم تغلبون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الإتقان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المستأصل، وبتّ علیه القضاء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أدخله اللّه الجنّة ألبتّةً، أی قطعا وحتما،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أفعله بَتّة، أی ولا أفعله ألبتّةً، لکلّ أمر لا رجعه فیه، ونصبه علی المصدر</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السیوطی فی الإتقان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أُحتیج إلی التفسیر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سیذکر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شروط لها</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فیحتاج الشارح</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 عن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عَدِیُّ بنُ حَاتِم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قبل الألفاظ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الخوئیّ من مفسِّری العامّة قبل السیوطیّ</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عسر یسیر</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بقیة الکلام 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تفسِّره بعلمٍ،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اجتیاحه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 فلان جوحا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 مال أقربائه وعدل عن المحجّة إلی غیرها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جاحت الجائحة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أهلکت مالهم واستأصلته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الجائحة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المصیبة تحلُّ بالرجل فی ماله فتجتاحه کلّه</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ویحک یا قتادة </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یهوانا قلبه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وأُمِّی، وفیه فَسمِّهم لی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الثانیة</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وسائل الشیعة للحرّ العاملیّ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القضاء،الباب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عبدالرحمان السّلمیّ أنّ علیّا علیه‌السلام مرّ علی قاضٍ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 تعرف الناسخ من المنسوخ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هلکتَ وأهلکتَ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تأویل کل حرفٍ من القرآن علی وجوهٍ</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 القمّیّ،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السیوطیّ فی الإتقان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لیست الآیة منسوخة بل تخصیص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الإتقان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ترجمة الرازیّ، فخرالدین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الفخر وبعض المآخذ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یعملوا ویتکلّموا 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7/135</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للرازیّ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 تموتنّ إلاّ وأنتم مسلمون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قال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نسخ فیه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للشیخ الطوسیّ </w:t>
      </w:r>
      <w:r>
        <w:rPr>
          <w:rFonts w:eastAsia="IRNazanin" w:cs="IRNazanin"/>
          <w:b w:val="false"/>
          <w:bCs w:val="false"/>
          <w:i w:val="false"/>
          <w:iCs w:val="false"/>
          <w:color w:val="333333"/>
          <w:sz w:val="20"/>
          <w:szCs w:val="20"/>
        </w:rPr>
        <w:t>9/396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ومنهم السیِّد أبوالقاسم الخوئیّ فی البیان فی تفسیر القرآن،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الأخبار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5/132</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للمجلسیّ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ظاهر القرآن، الحدیث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w:t>
      </w:r>
      <w:r>
        <w:rPr>
          <w:rFonts w:eastAsia="IRNazanin" w:cs="IRNazanin"/>
          <w:b w:val="false"/>
          <w:bCs w:val="false"/>
          <w:i w:val="false"/>
          <w:iCs w:val="false"/>
          <w:color w:val="333333"/>
          <w:sz w:val="20"/>
          <w:szCs w:val="20"/>
        </w:rPr>
        <w:t>89/20</w:t>
      </w:r>
      <w:r>
        <w:rPr>
          <w:rFonts w:ascii="IRNazanin" w:hAnsi="IRNazanin" w:eastAsia="IRNazanin"/>
          <w:b w:val="false"/>
          <w:b w:val="false"/>
          <w:bCs w:val="false"/>
          <w:i w:val="false"/>
          <w:i w:val="false"/>
          <w:iCs w:val="false"/>
          <w:color w:val="333333"/>
          <w:sz w:val="20"/>
          <w:sz w:val="20"/>
          <w:szCs w:val="20"/>
          <w:rtl w:val="true"/>
        </w:rPr>
        <w:t xml:space="preserve">،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البحار </w:t>
      </w:r>
      <w:r>
        <w:rPr>
          <w:rFonts w:eastAsia="IRNazanin" w:cs="IRNazanin"/>
          <w:b w:val="false"/>
          <w:bCs w:val="false"/>
          <w:i w:val="false"/>
          <w:iCs w:val="false"/>
          <w:color w:val="333333"/>
          <w:sz w:val="20"/>
          <w:szCs w:val="20"/>
        </w:rPr>
        <w:t>89/107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تجلّی اللّه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المقدّمة الحادیة عشرة</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الرابعة،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 خلقَ الحبّة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تفسیر الصافی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الرابعة</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مُعَلّی بنَ خُنَیْس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 علیه‌السلام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وجدتُ له حَمَلَةً، قد سبق ذکر مآخذه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وقع سهو فی بیان المفسِّر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فألحقته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 هذا الخبر جماعة من المحدِّثین والمصنّفین مع اختلافٍ فی بعض الألفاظ</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آخوندی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تمام الخبر</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المستفیض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الشهید فی الرعایة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خبرٌ زادت رواته عن ثلاثةٍ فی کلّ مرتبةٍ أی فی کلّ طبقة من الرواة أو زادت عن اثنین عند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مأخوذٌ مِن فاض الماء یفیضُ فیضا</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الأصبغ بن نباتة حیُّ فی سنة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اشترکنا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والصواب ما أثبتناه</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تفسیر البرهان،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اختلافٍ فی الألفاظ</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أُصول‌الکافی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بعض الألفاظ والقائل</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فروع الکافی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تذکّر</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فرات الکوفیّ، المقدّمة،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تسعة أحادیث مضمونها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علیّ أمیرها وشریفها وقائدها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الاحتجاج،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لأبی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أنت منذر ولکلّ قوم هادٍ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اللّه‌المنذر وعلیُّ الهادی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أبا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من هاد الیوم ؟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 فداک، ما زال منکم هادٍ وبعد هادٍ حتّی دفعت إلیک،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رحمک اللّه یا أبا محمّد، لو کانت إذا نزلت آیة علی رجلٍ ثمّ مات ذلک الرجل ماتت الآیة، مات الکتاب، ولکنّه حیٌّ یجری فیمن بقی کما جری فیمن مضی</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أصحاب الصادق علیه‌السلام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بن یزید الجعفیّ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 فی معنی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المسبّحون، الصّافّون، أی نحن المصلّون والمسبّحون، أی الموحّدون للّه الّذین یُنزّهونه عن السوء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الاستصحاب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مأخوذة فی أصل اشتقاقها من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الاستفعال، وفی اصطلاح الأُصولیین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العامل بها یتّخذ ما تَیقَّن به سابقا صحیبا له إلی الزمان اللاّحق فی مقام العمل</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فقضیهُنّ سبع سموات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خَلَقهنّ وصَنَعَهُنّ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 قول أبی ذُؤَیب قال</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بن المسیّب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النوع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 فی معنی یعرج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ینزل ویصعَدُ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عرجتُ فی السِّلم، أعرجُ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عَرِج یعرُجُ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صار أعرج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معانی القرآن واعرابه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الإتقان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النوع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ومنهم الزرکشیّ فی البرهان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 للزرکشیّ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الموضوع،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 للزرکشیّ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ونفاه عنهم باعتبار التأثیر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الزجّاج فی معنی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تأویل 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ذکرت عظمة اللّه وقدرته وما خوّف به من عصاه، وَجِلت قلوبهم، أی فَزِعَت لذلک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image" Target="media/image2.jpeg"/><Relationship Id="rId358" Type="http://schemas.openxmlformats.org/officeDocument/2006/relationships/image" Target="media/image2.jpeg"/><Relationship Id="rId359" Type="http://schemas.openxmlformats.org/officeDocument/2006/relationships/footer" Target="footer352.xml"/><Relationship Id="rId360" Type="http://schemas.openxmlformats.org/officeDocument/2006/relationships/footnotes" Target="footnotes.xml"/><Relationship Id="rId361" Type="http://schemas.openxmlformats.org/officeDocument/2006/relationships/numbering" Target="numbering.xml"/><Relationship Id="rId362" Type="http://schemas.openxmlformats.org/officeDocument/2006/relationships/fontTable" Target="fontTable.xml"/><Relationship Id="rId363" Type="http://schemas.openxmlformats.org/officeDocument/2006/relationships/settings" Target="settings.xml"/><Relationship Id="rId3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367</Pages>
  <Words>90213</Words>
  <Characters>379975</Characters>
  <CharactersWithSpaces>466831</CharactersWithSpaces>
  <Paragraphs>3358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2026-08-18T12:07:55Z</dcterms:created>
  <dc:creator>ghaemiyeh.com</dc:creator>
  <dc:description/>
  <dc:language>en-US</dc:language>
  <cp:lastModifiedBy/>
  <dcterms:modified xsi:type="dcterms:W3CDTF">2026-08-18T15:38:08Z</dcterms:modified>
  <cp:revision>1</cp:revision>
  <dc:subject/>
  <dc:title>تصحیح و نقد کتاب نفحات الرحمن فی تفسیر القرآن</dc:title>
</cp:coreProperties>
</file>

<file path=docProps/custom.xml><?xml version="1.0" encoding="utf-8"?>
<Properties xmlns="http://schemas.openxmlformats.org/officeDocument/2006/custom-properties" xmlns:vt="http://schemas.openxmlformats.org/officeDocument/2006/docPropsVTypes"/>
</file>