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برگزیده دانش نامه دین ارتباطات و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5990_228174162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655992_228174162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655994_2281741623">
            <w:r>
              <w:rPr>
                <w:webHidden/>
                <w:rStyle w:val="IndexLink"/>
                <w:rtl w:val="true"/>
              </w:rPr>
              <w:t>به جای 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655996_2281741623">
            <w:r>
              <w:rPr>
                <w:webHidden/>
                <w:rStyle w:val="IndexLink"/>
                <w:rtl w:val="true"/>
              </w:rPr>
              <w:t>درباره کتاب</w:t>
            </w:r>
            <w:r>
              <w:rPr>
                <w:rStyle w:val="IndexLink"/>
                <w:rtl w:val="true"/>
              </w:rPr>
              <w:tab/>
            </w:r>
            <w:r>
              <w:rPr>
                <w:rStyle w:val="IndexLink"/>
              </w:rPr>
              <w:t>17</w:t>
            </w:r>
          </w:hyperlink>
        </w:p>
        <w:p>
          <w:pPr>
            <w:pStyle w:val="Contents3"/>
            <w:tabs>
              <w:tab w:val="clear" w:pos="8459"/>
              <w:tab w:val="right" w:pos="9026" w:leader="dot"/>
            </w:tabs>
            <w:rPr/>
          </w:pPr>
          <w:hyperlink w:anchor="__RefHeading___Toc1655998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56000_2281741623">
            <w:r>
              <w:rPr>
                <w:webHidden/>
                <w:rStyle w:val="IndexLink"/>
                <w:rtl w:val="true"/>
              </w:rPr>
              <w:t>چرا برگزیده؟</w:t>
            </w:r>
            <w:r>
              <w:rPr>
                <w:rStyle w:val="IndexLink"/>
                <w:rtl w:val="true"/>
              </w:rPr>
              <w:tab/>
            </w:r>
            <w:r>
              <w:rPr>
                <w:rStyle w:val="IndexLink"/>
              </w:rPr>
              <w:t>18</w:t>
            </w:r>
          </w:hyperlink>
        </w:p>
        <w:p>
          <w:pPr>
            <w:pStyle w:val="Contents2"/>
            <w:tabs>
              <w:tab w:val="clear" w:pos="8743"/>
              <w:tab w:val="right" w:pos="9026" w:leader="dot"/>
            </w:tabs>
            <w:rPr/>
          </w:pPr>
          <w:hyperlink w:anchor="__RefHeading___Toc1656002_2281741623">
            <w:r>
              <w:rPr>
                <w:webHidden/>
                <w:rStyle w:val="IndexLink"/>
                <w:rtl w:val="true"/>
              </w:rPr>
              <w:t>درآمد</w:t>
            </w:r>
            <w:r>
              <w:rPr>
                <w:rStyle w:val="IndexLink"/>
                <w:rtl w:val="true"/>
              </w:rPr>
              <w:tab/>
            </w:r>
            <w:r>
              <w:rPr>
                <w:rStyle w:val="IndexLink"/>
              </w:rPr>
              <w:t>21</w:t>
            </w:r>
          </w:hyperlink>
        </w:p>
        <w:p>
          <w:pPr>
            <w:pStyle w:val="Contents3"/>
            <w:tabs>
              <w:tab w:val="clear" w:pos="8459"/>
              <w:tab w:val="right" w:pos="9026" w:leader="dot"/>
            </w:tabs>
            <w:rPr/>
          </w:pPr>
          <w:hyperlink w:anchor="__RefHeading___Toc1656004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656006_2281741623">
            <w:r>
              <w:rPr>
                <w:webHidden/>
                <w:rStyle w:val="IndexLink"/>
                <w:rtl w:val="true"/>
              </w:rPr>
              <w:t>منبعی برای نظریه پردازی</w:t>
            </w:r>
            <w:r>
              <w:rPr>
                <w:rStyle w:val="IndexLink"/>
                <w:rtl w:val="true"/>
              </w:rPr>
              <w:tab/>
            </w:r>
            <w:r>
              <w:rPr>
                <w:rStyle w:val="IndexLink"/>
              </w:rPr>
              <w:t>24</w:t>
            </w:r>
          </w:hyperlink>
        </w:p>
        <w:p>
          <w:pPr>
            <w:pStyle w:val="Contents3"/>
            <w:tabs>
              <w:tab w:val="clear" w:pos="8459"/>
              <w:tab w:val="right" w:pos="9026" w:leader="dot"/>
            </w:tabs>
            <w:rPr/>
          </w:pPr>
          <w:hyperlink w:anchor="__RefHeading___Toc1656008_2281741623">
            <w:r>
              <w:rPr>
                <w:webHidden/>
                <w:rStyle w:val="IndexLink"/>
                <w:rtl w:val="true"/>
              </w:rPr>
              <w:t>جامعه اطلاعاتی</w:t>
            </w:r>
            <w:r>
              <w:rPr>
                <w:rStyle w:val="IndexLink"/>
                <w:rtl w:val="true"/>
              </w:rPr>
              <w:tab/>
            </w:r>
            <w:r>
              <w:rPr>
                <w:rStyle w:val="IndexLink"/>
              </w:rPr>
              <w:t>24</w:t>
            </w:r>
          </w:hyperlink>
        </w:p>
        <w:p>
          <w:pPr>
            <w:pStyle w:val="Contents3"/>
            <w:tabs>
              <w:tab w:val="clear" w:pos="8459"/>
              <w:tab w:val="right" w:pos="9026" w:leader="dot"/>
            </w:tabs>
            <w:rPr/>
          </w:pPr>
          <w:hyperlink w:anchor="__RefHeading___Toc1656010_2281741623">
            <w:r>
              <w:rPr>
                <w:webHidden/>
                <w:rStyle w:val="IndexLink"/>
                <w:rtl w:val="true"/>
              </w:rPr>
              <w:t>پیدایش بازارهای مذهبی</w:t>
            </w:r>
            <w:r>
              <w:rPr>
                <w:rStyle w:val="IndexLink"/>
                <w:rtl w:val="true"/>
              </w:rPr>
              <w:tab/>
            </w:r>
            <w:r>
              <w:rPr>
                <w:rStyle w:val="IndexLink"/>
              </w:rPr>
              <w:t>25</w:t>
            </w:r>
          </w:hyperlink>
        </w:p>
        <w:p>
          <w:pPr>
            <w:pStyle w:val="Contents3"/>
            <w:tabs>
              <w:tab w:val="clear" w:pos="8459"/>
              <w:tab w:val="right" w:pos="9026" w:leader="dot"/>
            </w:tabs>
            <w:rPr/>
          </w:pPr>
          <w:hyperlink w:anchor="__RefHeading___Toc1656012_2281741623">
            <w:r>
              <w:rPr>
                <w:webHidden/>
                <w:rStyle w:val="IndexLink"/>
                <w:rtl w:val="true"/>
              </w:rPr>
              <w:t>پیدایش مذهب فرهنگی یا پسامدرن</w:t>
            </w:r>
            <w:r>
              <w:rPr>
                <w:rStyle w:val="IndexLink"/>
                <w:rtl w:val="true"/>
              </w:rPr>
              <w:tab/>
            </w:r>
            <w:r>
              <w:rPr>
                <w:rStyle w:val="IndexLink"/>
              </w:rPr>
              <w:t>26</w:t>
            </w:r>
          </w:hyperlink>
        </w:p>
        <w:p>
          <w:pPr>
            <w:pStyle w:val="Contents3"/>
            <w:tabs>
              <w:tab w:val="clear" w:pos="8459"/>
              <w:tab w:val="right" w:pos="9026" w:leader="dot"/>
            </w:tabs>
            <w:rPr/>
          </w:pPr>
          <w:hyperlink w:anchor="__RefHeading___Toc1656014_2281741623">
            <w:r>
              <w:rPr>
                <w:webHidden/>
                <w:rStyle w:val="IndexLink"/>
                <w:rtl w:val="true"/>
              </w:rPr>
              <w:t>جنبش سواد رسانه ای مذهبی</w:t>
            </w:r>
            <w:r>
              <w:rPr>
                <w:rStyle w:val="IndexLink"/>
                <w:rtl w:val="true"/>
              </w:rPr>
              <w:tab/>
            </w:r>
            <w:r>
              <w:rPr>
                <w:rStyle w:val="IndexLink"/>
              </w:rPr>
              <w:t>27</w:t>
            </w:r>
          </w:hyperlink>
        </w:p>
        <w:p>
          <w:pPr>
            <w:pStyle w:val="Contents3"/>
            <w:tabs>
              <w:tab w:val="clear" w:pos="8459"/>
              <w:tab w:val="right" w:pos="9026" w:leader="dot"/>
            </w:tabs>
            <w:rPr/>
          </w:pPr>
          <w:hyperlink w:anchor="__RefHeading___Toc1656016_2281741623">
            <w:r>
              <w:rPr>
                <w:webHidden/>
                <w:rStyle w:val="IndexLink"/>
                <w:rtl w:val="true"/>
              </w:rPr>
              <w:t>دانش نامه ای برای پندار تحقیق</w:t>
            </w:r>
            <w:r>
              <w:rPr>
                <w:rStyle w:val="IndexLink"/>
                <w:rtl w:val="true"/>
              </w:rPr>
              <w:t xml:space="preserve">: </w:t>
            </w:r>
            <w:r>
              <w:rPr>
                <w:rStyle w:val="IndexLink"/>
                <w:rtl w:val="true"/>
              </w:rPr>
              <w:t>فرای ورق زدن</w:t>
            </w:r>
            <w:r>
              <w:rPr>
                <w:rStyle w:val="IndexLink"/>
                <w:rtl w:val="true"/>
              </w:rPr>
              <w:tab/>
            </w:r>
            <w:r>
              <w:rPr>
                <w:rStyle w:val="IndexLink"/>
              </w:rPr>
              <w:t>28</w:t>
            </w:r>
          </w:hyperlink>
        </w:p>
        <w:p>
          <w:pPr>
            <w:pStyle w:val="Contents2"/>
            <w:tabs>
              <w:tab w:val="clear" w:pos="8743"/>
              <w:tab w:val="right" w:pos="9026" w:leader="dot"/>
            </w:tabs>
            <w:rPr/>
          </w:pPr>
          <w:hyperlink w:anchor="__RefHeading___Toc1656018_2281741623">
            <w:r>
              <w:rPr>
                <w:webHidden/>
                <w:rStyle w:val="IndexLink"/>
                <w:rtl w:val="true"/>
              </w:rPr>
              <w:t>ادبیات دینی</w:t>
            </w:r>
            <w:r>
              <w:rPr>
                <w:rStyle w:val="IndexLink"/>
                <w:rtl w:val="true"/>
              </w:rPr>
              <w:tab/>
            </w:r>
            <w:r>
              <w:rPr>
                <w:rStyle w:val="IndexLink"/>
              </w:rPr>
              <w:t>31</w:t>
            </w:r>
          </w:hyperlink>
        </w:p>
        <w:p>
          <w:pPr>
            <w:pStyle w:val="Contents3"/>
            <w:tabs>
              <w:tab w:val="clear" w:pos="8459"/>
              <w:tab w:val="right" w:pos="9026" w:leader="dot"/>
            </w:tabs>
            <w:rPr/>
          </w:pPr>
          <w:hyperlink w:anchor="__RefHeading___Toc1656020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656022_2281741623">
            <w:r>
              <w:rPr>
                <w:webHidden/>
                <w:rStyle w:val="IndexLink"/>
                <w:rtl w:val="true"/>
              </w:rPr>
              <w:t>چیزی بیش از پول</w:t>
            </w:r>
            <w:r>
              <w:rPr>
                <w:rStyle w:val="IndexLink"/>
                <w:rtl w:val="true"/>
              </w:rPr>
              <w:tab/>
            </w:r>
            <w:r>
              <w:rPr>
                <w:rStyle w:val="IndexLink"/>
              </w:rPr>
              <w:t>32</w:t>
            </w:r>
          </w:hyperlink>
        </w:p>
        <w:p>
          <w:pPr>
            <w:pStyle w:val="Contents3"/>
            <w:tabs>
              <w:tab w:val="clear" w:pos="8459"/>
              <w:tab w:val="right" w:pos="9026" w:leader="dot"/>
            </w:tabs>
            <w:rPr/>
          </w:pPr>
          <w:hyperlink w:anchor="__RefHeading___Toc1656024_2281741623">
            <w:r>
              <w:rPr>
                <w:webHidden/>
                <w:rStyle w:val="IndexLink"/>
                <w:rtl w:val="true"/>
              </w:rPr>
              <w:t>گونه های ادبیات دینی</w:t>
            </w:r>
            <w:r>
              <w:rPr>
                <w:rStyle w:val="IndexLink"/>
                <w:rtl w:val="true"/>
              </w:rPr>
              <w:tab/>
            </w:r>
            <w:r>
              <w:rPr>
                <w:rStyle w:val="IndexLink"/>
              </w:rPr>
              <w:t>33</w:t>
            </w:r>
          </w:hyperlink>
        </w:p>
        <w:p>
          <w:pPr>
            <w:pStyle w:val="Contents3"/>
            <w:tabs>
              <w:tab w:val="clear" w:pos="8459"/>
              <w:tab w:val="right" w:pos="9026" w:leader="dot"/>
            </w:tabs>
            <w:rPr/>
          </w:pPr>
          <w:hyperlink w:anchor="__RefHeading___Toc1656026_2281741623">
            <w:r>
              <w:rPr>
                <w:webHidden/>
                <w:rStyle w:val="IndexLink"/>
                <w:rtl w:val="true"/>
              </w:rPr>
              <w:t>ویژگی های این نوع ادبیات</w:t>
            </w:r>
            <w:r>
              <w:rPr>
                <w:rStyle w:val="IndexLink"/>
                <w:rtl w:val="true"/>
              </w:rPr>
              <w:tab/>
            </w:r>
            <w:r>
              <w:rPr>
                <w:rStyle w:val="IndexLink"/>
              </w:rPr>
              <w:t>34</w:t>
            </w:r>
          </w:hyperlink>
        </w:p>
        <w:p>
          <w:pPr>
            <w:pStyle w:val="Contents3"/>
            <w:tabs>
              <w:tab w:val="clear" w:pos="8459"/>
              <w:tab w:val="right" w:pos="9026" w:leader="dot"/>
            </w:tabs>
            <w:rPr/>
          </w:pPr>
          <w:hyperlink w:anchor="__RefHeading___Toc1656028_2281741623">
            <w:r>
              <w:rPr>
                <w:webHidden/>
                <w:rStyle w:val="IndexLink"/>
                <w:rtl w:val="true"/>
              </w:rPr>
              <w:t>مضامین عمومی بین دینی</w:t>
            </w:r>
            <w:r>
              <w:rPr>
                <w:rStyle w:val="IndexLink"/>
                <w:rtl w:val="true"/>
              </w:rPr>
              <w:tab/>
            </w:r>
            <w:r>
              <w:rPr>
                <w:rStyle w:val="IndexLink"/>
              </w:rPr>
              <w:t>35</w:t>
            </w:r>
          </w:hyperlink>
        </w:p>
        <w:p>
          <w:pPr>
            <w:pStyle w:val="Contents3"/>
            <w:tabs>
              <w:tab w:val="clear" w:pos="8459"/>
              <w:tab w:val="right" w:pos="9026" w:leader="dot"/>
            </w:tabs>
            <w:rPr/>
          </w:pPr>
          <w:hyperlink w:anchor="__RefHeading___Toc1656030_2281741623">
            <w:r>
              <w:rPr>
                <w:webHidden/>
                <w:rStyle w:val="IndexLink"/>
                <w:rtl w:val="true"/>
              </w:rPr>
              <w:t>شرح حال نویسی</w:t>
            </w:r>
            <w:r>
              <w:rPr>
                <w:rStyle w:val="IndexLink"/>
                <w:rtl w:val="true"/>
              </w:rPr>
              <w:tab/>
            </w:r>
            <w:r>
              <w:rPr>
                <w:rStyle w:val="IndexLink"/>
              </w:rPr>
              <w:t>37</w:t>
            </w:r>
          </w:hyperlink>
        </w:p>
        <w:p>
          <w:pPr>
            <w:pStyle w:val="Contents3"/>
            <w:tabs>
              <w:tab w:val="clear" w:pos="8459"/>
              <w:tab w:val="right" w:pos="9026" w:leader="dot"/>
            </w:tabs>
            <w:rPr/>
          </w:pPr>
          <w:hyperlink w:anchor="__RefHeading___Toc1656032_2281741623">
            <w:r>
              <w:rPr>
                <w:webHidden/>
                <w:rStyle w:val="IndexLink"/>
                <w:rtl w:val="true"/>
              </w:rPr>
              <w:t>جغرافیای داستانی و روحانی</w:t>
            </w:r>
            <w:r>
              <w:rPr>
                <w:rStyle w:val="IndexLink"/>
                <w:rtl w:val="true"/>
              </w:rPr>
              <w:tab/>
            </w:r>
            <w:r>
              <w:rPr>
                <w:rStyle w:val="IndexLink"/>
              </w:rPr>
              <w:t>38</w:t>
            </w:r>
          </w:hyperlink>
        </w:p>
        <w:p>
          <w:pPr>
            <w:pStyle w:val="Contents3"/>
            <w:tabs>
              <w:tab w:val="clear" w:pos="8459"/>
              <w:tab w:val="right" w:pos="9026" w:leader="dot"/>
            </w:tabs>
            <w:rPr/>
          </w:pPr>
          <w:hyperlink w:anchor="__RefHeading___Toc1656034_2281741623">
            <w:r>
              <w:rPr>
                <w:webHidden/>
                <w:rStyle w:val="IndexLink"/>
                <w:rtl w:val="true"/>
              </w:rPr>
              <w:t>گزیده ای از اعترافات آگوستین قدیس</w:t>
            </w:r>
            <w:r>
              <w:rPr>
                <w:rStyle w:val="IndexLink"/>
                <w:rtl w:val="true"/>
              </w:rPr>
              <w:tab/>
            </w:r>
            <w:r>
              <w:rPr>
                <w:rStyle w:val="IndexLink"/>
              </w:rPr>
              <w:t>40</w:t>
            </w:r>
          </w:hyperlink>
        </w:p>
        <w:p>
          <w:pPr>
            <w:pStyle w:val="Contents3"/>
            <w:tabs>
              <w:tab w:val="clear" w:pos="8459"/>
              <w:tab w:val="right" w:pos="9026" w:leader="dot"/>
            </w:tabs>
            <w:rPr/>
          </w:pPr>
          <w:hyperlink w:anchor="__RefHeading___Toc1656036_2281741623">
            <w:r>
              <w:rPr>
                <w:webHidden/>
                <w:rStyle w:val="IndexLink"/>
                <w:rtl w:val="true"/>
              </w:rPr>
              <w:t>سفرنامه ها</w:t>
            </w:r>
            <w:r>
              <w:rPr>
                <w:rStyle w:val="IndexLink"/>
                <w:rtl w:val="true"/>
              </w:rPr>
              <w:tab/>
            </w:r>
            <w:r>
              <w:rPr>
                <w:rStyle w:val="IndexLink"/>
              </w:rPr>
              <w:t>41</w:t>
            </w:r>
          </w:hyperlink>
        </w:p>
        <w:p>
          <w:pPr>
            <w:pStyle w:val="Contents3"/>
            <w:tabs>
              <w:tab w:val="clear" w:pos="8459"/>
              <w:tab w:val="right" w:pos="9026" w:leader="dot"/>
            </w:tabs>
            <w:rPr/>
          </w:pPr>
          <w:hyperlink w:anchor="__RefHeading___Toc1656038_2281741623">
            <w:r>
              <w:rPr>
                <w:webHidden/>
                <w:rStyle w:val="IndexLink"/>
                <w:rtl w:val="true"/>
              </w:rPr>
              <w:t>ژورنالیسم معنوی</w:t>
            </w:r>
            <w:r>
              <w:rPr>
                <w:rStyle w:val="IndexLink"/>
                <w:rtl w:val="true"/>
              </w:rPr>
              <w:tab/>
            </w:r>
            <w:r>
              <w:rPr>
                <w:rStyle w:val="IndexLink"/>
              </w:rPr>
              <w:t>42</w:t>
            </w:r>
          </w:hyperlink>
        </w:p>
        <w:p>
          <w:pPr>
            <w:pStyle w:val="Contents3"/>
            <w:tabs>
              <w:tab w:val="clear" w:pos="8459"/>
              <w:tab w:val="right" w:pos="9026" w:leader="dot"/>
            </w:tabs>
            <w:rPr/>
          </w:pPr>
          <w:hyperlink w:anchor="__RefHeading___Toc1656040_2281741623">
            <w:r>
              <w:rPr>
                <w:webHidden/>
                <w:rStyle w:val="IndexLink"/>
                <w:rtl w:val="true"/>
              </w:rPr>
              <w:t>طرح ریزی خط سیر داستان</w:t>
            </w:r>
            <w:r>
              <w:rPr>
                <w:rStyle w:val="IndexLink"/>
                <w:rtl w:val="true"/>
              </w:rPr>
              <w:tab/>
            </w:r>
            <w:r>
              <w:rPr>
                <w:rStyle w:val="IndexLink"/>
              </w:rPr>
              <w:t>44</w:t>
            </w:r>
          </w:hyperlink>
        </w:p>
        <w:p>
          <w:pPr>
            <w:pStyle w:val="Contents3"/>
            <w:tabs>
              <w:tab w:val="clear" w:pos="8459"/>
              <w:tab w:val="right" w:pos="9026" w:leader="dot"/>
            </w:tabs>
            <w:rPr/>
          </w:pPr>
          <w:hyperlink w:anchor="__RefHeading___Toc1656042_2281741623">
            <w:r>
              <w:rPr>
                <w:webHidden/>
                <w:rStyle w:val="IndexLink"/>
                <w:rtl w:val="true"/>
              </w:rPr>
              <w:t>برای مطالعۀ بیشتر</w:t>
            </w:r>
            <w:r>
              <w:rPr>
                <w:rStyle w:val="IndexLink"/>
                <w:rtl w:val="true"/>
              </w:rPr>
              <w:tab/>
            </w:r>
            <w:r>
              <w:rPr>
                <w:rStyle w:val="IndexLink"/>
              </w:rPr>
              <w:t>46</w:t>
            </w:r>
          </w:hyperlink>
        </w:p>
        <w:p>
          <w:pPr>
            <w:pStyle w:val="Contents2"/>
            <w:tabs>
              <w:tab w:val="clear" w:pos="8743"/>
              <w:tab w:val="right" w:pos="9026" w:leader="dot"/>
            </w:tabs>
            <w:rPr/>
          </w:pPr>
          <w:hyperlink w:anchor="__RefHeading___Toc1656044_2281741623">
            <w:r>
              <w:rPr>
                <w:webHidden/>
                <w:rStyle w:val="IndexLink"/>
                <w:rtl w:val="true"/>
              </w:rPr>
              <w:t>ادبیات سکولار</w:t>
            </w:r>
            <w:r>
              <w:rPr>
                <w:rStyle w:val="IndexLink"/>
                <w:rtl w:val="true"/>
              </w:rPr>
              <w:tab/>
            </w:r>
            <w:r>
              <w:rPr>
                <w:rStyle w:val="IndexLink"/>
              </w:rPr>
              <w:t>47</w:t>
            </w:r>
          </w:hyperlink>
        </w:p>
        <w:p>
          <w:pPr>
            <w:pStyle w:val="Contents3"/>
            <w:tabs>
              <w:tab w:val="clear" w:pos="8459"/>
              <w:tab w:val="right" w:pos="9026" w:leader="dot"/>
            </w:tabs>
            <w:rPr/>
          </w:pPr>
          <w:hyperlink w:anchor="__RefHeading___Toc1656046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656048_2281741623">
            <w:r>
              <w:rPr>
                <w:webHidden/>
                <w:rStyle w:val="IndexLink"/>
                <w:rtl w:val="true"/>
              </w:rPr>
              <w:t>استفاده از اصطلاح سکولار در جایگاه اصطلاح تعریفی</w:t>
            </w:r>
            <w:r>
              <w:rPr>
                <w:rStyle w:val="IndexLink"/>
                <w:rtl w:val="true"/>
              </w:rPr>
              <w:tab/>
            </w:r>
            <w:r>
              <w:rPr>
                <w:rStyle w:val="IndexLink"/>
              </w:rPr>
              <w:t>48</w:t>
            </w:r>
          </w:hyperlink>
        </w:p>
        <w:p>
          <w:pPr>
            <w:pStyle w:val="Contents3"/>
            <w:tabs>
              <w:tab w:val="clear" w:pos="8459"/>
              <w:tab w:val="right" w:pos="9026" w:leader="dot"/>
            </w:tabs>
            <w:rPr/>
          </w:pPr>
          <w:hyperlink w:anchor="__RefHeading___Toc1656050_2281741623">
            <w:r>
              <w:rPr>
                <w:webHidden/>
                <w:rStyle w:val="IndexLink"/>
                <w:rtl w:val="true"/>
              </w:rPr>
              <w:t>استفاده از واژة ادبیات در جایگاه اصطلاح تعریفی</w:t>
            </w:r>
            <w:r>
              <w:rPr>
                <w:rStyle w:val="IndexLink"/>
                <w:rtl w:val="true"/>
              </w:rPr>
              <w:tab/>
            </w:r>
            <w:r>
              <w:rPr>
                <w:rStyle w:val="IndexLink"/>
              </w:rPr>
              <w:t>51</w:t>
            </w:r>
          </w:hyperlink>
        </w:p>
        <w:p>
          <w:pPr>
            <w:pStyle w:val="Contents3"/>
            <w:tabs>
              <w:tab w:val="clear" w:pos="8459"/>
              <w:tab w:val="right" w:pos="9026" w:leader="dot"/>
            </w:tabs>
            <w:rPr/>
          </w:pPr>
          <w:hyperlink w:anchor="__RefHeading___Toc1656052_2281741623">
            <w:r>
              <w:rPr>
                <w:webHidden/>
                <w:rStyle w:val="IndexLink"/>
                <w:rtl w:val="true"/>
              </w:rPr>
              <w:t>ادبیات سکولار</w:t>
            </w:r>
            <w:r>
              <w:rPr>
                <w:rStyle w:val="IndexLink"/>
                <w:rtl w:val="true"/>
              </w:rPr>
              <w:tab/>
            </w:r>
            <w:r>
              <w:rPr>
                <w:rStyle w:val="IndexLink"/>
              </w:rPr>
              <w:t>52</w:t>
            </w:r>
          </w:hyperlink>
        </w:p>
        <w:p>
          <w:pPr>
            <w:pStyle w:val="Contents3"/>
            <w:tabs>
              <w:tab w:val="clear" w:pos="8459"/>
              <w:tab w:val="right" w:pos="9026" w:leader="dot"/>
            </w:tabs>
            <w:rPr/>
          </w:pPr>
          <w:hyperlink w:anchor="__RefHeading___Toc1656054_2281741623">
            <w:r>
              <w:rPr>
                <w:webHidden/>
                <w:rStyle w:val="IndexLink"/>
                <w:rtl w:val="true"/>
              </w:rPr>
              <w:t>بافت دینی در برابر بافتی تمام سکولار</w:t>
            </w:r>
            <w:r>
              <w:rPr>
                <w:rStyle w:val="IndexLink"/>
                <w:rtl w:val="true"/>
              </w:rPr>
              <w:tab/>
            </w:r>
            <w:r>
              <w:rPr>
                <w:rStyle w:val="IndexLink"/>
              </w:rPr>
              <w:t>52</w:t>
            </w:r>
          </w:hyperlink>
        </w:p>
        <w:p>
          <w:pPr>
            <w:pStyle w:val="Contents3"/>
            <w:tabs>
              <w:tab w:val="clear" w:pos="8459"/>
              <w:tab w:val="right" w:pos="9026" w:leader="dot"/>
            </w:tabs>
            <w:rPr/>
          </w:pPr>
          <w:hyperlink w:anchor="__RefHeading___Toc1656056_2281741623">
            <w:r>
              <w:rPr>
                <w:webHidden/>
                <w:rStyle w:val="IndexLink"/>
                <w:rtl w:val="true"/>
              </w:rPr>
              <w:t>تعهد بدون وابستگی</w:t>
            </w:r>
            <w:r>
              <w:rPr>
                <w:rStyle w:val="IndexLink"/>
                <w:rtl w:val="true"/>
              </w:rPr>
              <w:tab/>
            </w:r>
            <w:r>
              <w:rPr>
                <w:rStyle w:val="IndexLink"/>
              </w:rPr>
              <w:t>53</w:t>
            </w:r>
          </w:hyperlink>
        </w:p>
        <w:p>
          <w:pPr>
            <w:pStyle w:val="Contents3"/>
            <w:tabs>
              <w:tab w:val="clear" w:pos="8459"/>
              <w:tab w:val="right" w:pos="9026" w:leader="dot"/>
            </w:tabs>
            <w:rPr/>
          </w:pPr>
          <w:hyperlink w:anchor="__RefHeading___Toc1656058_2281741623">
            <w:r>
              <w:rPr>
                <w:webHidden/>
                <w:rStyle w:val="IndexLink"/>
                <w:rtl w:val="true"/>
              </w:rPr>
              <w:t>کاربرد ادبیات سکولار در نقد تعصب دینی</w:t>
            </w:r>
            <w:r>
              <w:rPr>
                <w:rStyle w:val="IndexLink"/>
                <w:rtl w:val="true"/>
              </w:rPr>
              <w:tab/>
            </w:r>
            <w:r>
              <w:rPr>
                <w:rStyle w:val="IndexLink"/>
              </w:rPr>
              <w:t>54</w:t>
            </w:r>
          </w:hyperlink>
        </w:p>
        <w:p>
          <w:pPr>
            <w:pStyle w:val="Contents3"/>
            <w:tabs>
              <w:tab w:val="clear" w:pos="8459"/>
              <w:tab w:val="right" w:pos="9026" w:leader="dot"/>
            </w:tabs>
            <w:rPr/>
          </w:pPr>
          <w:hyperlink w:anchor="__RefHeading___Toc1656060_2281741623">
            <w:r>
              <w:rPr>
                <w:webHidden/>
                <w:rStyle w:val="IndexLink"/>
                <w:rtl w:val="true"/>
              </w:rPr>
              <w:t>قدرت نمادهای دینی در ادبیات</w:t>
            </w:r>
            <w:r>
              <w:rPr>
                <w:rStyle w:val="IndexLink"/>
                <w:rtl w:val="true"/>
              </w:rPr>
              <w:tab/>
            </w:r>
            <w:r>
              <w:rPr>
                <w:rStyle w:val="IndexLink"/>
              </w:rPr>
              <w:t>55</w:t>
            </w:r>
          </w:hyperlink>
        </w:p>
        <w:p>
          <w:pPr>
            <w:pStyle w:val="Contents3"/>
            <w:tabs>
              <w:tab w:val="clear" w:pos="8459"/>
              <w:tab w:val="right" w:pos="9026" w:leader="dot"/>
            </w:tabs>
            <w:rPr/>
          </w:pPr>
          <w:hyperlink w:anchor="__RefHeading___Toc1656062_2281741623">
            <w:r>
              <w:rPr>
                <w:webHidden/>
                <w:rStyle w:val="IndexLink"/>
                <w:rtl w:val="true"/>
              </w:rPr>
              <w:t>برای مطالعۀ بیشتر</w:t>
            </w:r>
            <w:r>
              <w:rPr>
                <w:rStyle w:val="IndexLink"/>
                <w:rtl w:val="true"/>
              </w:rPr>
              <w:tab/>
            </w:r>
            <w:r>
              <w:rPr>
                <w:rStyle w:val="IndexLink"/>
              </w:rPr>
              <w:t>56</w:t>
            </w:r>
          </w:hyperlink>
        </w:p>
        <w:p>
          <w:pPr>
            <w:pStyle w:val="Contents2"/>
            <w:tabs>
              <w:tab w:val="clear" w:pos="8743"/>
              <w:tab w:val="right" w:pos="9026" w:leader="dot"/>
            </w:tabs>
            <w:rPr/>
          </w:pPr>
          <w:hyperlink w:anchor="__RefHeading___Toc1656064_2281741623">
            <w:r>
              <w:rPr>
                <w:webHidden/>
                <w:rStyle w:val="IndexLink"/>
                <w:rtl w:val="true"/>
              </w:rPr>
              <w:t>ارتباطات</w:t>
            </w:r>
            <w:r>
              <w:rPr>
                <w:rStyle w:val="IndexLink"/>
                <w:rtl w:val="true"/>
              </w:rPr>
              <w:tab/>
            </w:r>
            <w:r>
              <w:rPr>
                <w:rStyle w:val="IndexLink"/>
              </w:rPr>
              <w:t>58</w:t>
            </w:r>
          </w:hyperlink>
        </w:p>
        <w:p>
          <w:pPr>
            <w:pStyle w:val="Contents3"/>
            <w:tabs>
              <w:tab w:val="clear" w:pos="8459"/>
              <w:tab w:val="right" w:pos="9026" w:leader="dot"/>
            </w:tabs>
            <w:rPr/>
          </w:pPr>
          <w:hyperlink w:anchor="__RefHeading___Toc1656066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656068_2281741623">
            <w:r>
              <w:rPr>
                <w:webHidden/>
                <w:rStyle w:val="IndexLink"/>
                <w:rtl w:val="true"/>
              </w:rPr>
              <w:t>دورآگاهی</w:t>
            </w:r>
            <w:r>
              <w:rPr>
                <w:rStyle w:val="IndexLink"/>
                <w:rtl w:val="true"/>
              </w:rPr>
              <w:t>(</w:t>
            </w:r>
            <w:r>
              <w:rPr>
                <w:rStyle w:val="IndexLink"/>
                <w:rtl w:val="true"/>
              </w:rPr>
              <w:t>تله پاتی</w:t>
            </w:r>
            <w:r>
              <w:rPr>
                <w:rStyle w:val="IndexLink"/>
                <w:rtl w:val="true"/>
              </w:rPr>
              <w:t>)</w:t>
              <w:tab/>
            </w:r>
            <w:r>
              <w:rPr>
                <w:rStyle w:val="IndexLink"/>
              </w:rPr>
              <w:t>59</w:t>
            </w:r>
          </w:hyperlink>
        </w:p>
        <w:p>
          <w:pPr>
            <w:pStyle w:val="Contents3"/>
            <w:tabs>
              <w:tab w:val="clear" w:pos="8459"/>
              <w:tab w:val="right" w:pos="9026" w:leader="dot"/>
            </w:tabs>
            <w:rPr/>
          </w:pPr>
          <w:hyperlink w:anchor="__RefHeading___Toc1656070_2281741623">
            <w:r>
              <w:rPr>
                <w:webHidden/>
                <w:rStyle w:val="IndexLink"/>
                <w:rtl w:val="true"/>
              </w:rPr>
              <w:t>رابطۀ فضا و زمان</w:t>
            </w:r>
            <w:r>
              <w:rPr>
                <w:rStyle w:val="IndexLink"/>
                <w:rtl w:val="true"/>
              </w:rPr>
              <w:tab/>
            </w:r>
            <w:r>
              <w:rPr>
                <w:rStyle w:val="IndexLink"/>
              </w:rPr>
              <w:t>60</w:t>
            </w:r>
          </w:hyperlink>
        </w:p>
        <w:p>
          <w:pPr>
            <w:pStyle w:val="Contents3"/>
            <w:tabs>
              <w:tab w:val="clear" w:pos="8459"/>
              <w:tab w:val="right" w:pos="9026" w:leader="dot"/>
            </w:tabs>
            <w:rPr/>
          </w:pPr>
          <w:hyperlink w:anchor="__RefHeading___Toc1656072_2281741623">
            <w:r>
              <w:rPr>
                <w:webHidden/>
                <w:rStyle w:val="IndexLink"/>
                <w:rtl w:val="true"/>
              </w:rPr>
              <w:t>گفت وگو</w:t>
            </w:r>
            <w:r>
              <w:rPr>
                <w:rStyle w:val="IndexLink"/>
                <w:rtl w:val="true"/>
              </w:rPr>
              <w:tab/>
            </w:r>
            <w:r>
              <w:rPr>
                <w:rStyle w:val="IndexLink"/>
              </w:rPr>
              <w:t>62</w:t>
            </w:r>
          </w:hyperlink>
        </w:p>
        <w:p>
          <w:pPr>
            <w:pStyle w:val="Contents3"/>
            <w:tabs>
              <w:tab w:val="clear" w:pos="8459"/>
              <w:tab w:val="right" w:pos="9026" w:leader="dot"/>
            </w:tabs>
            <w:rPr/>
          </w:pPr>
          <w:hyperlink w:anchor="__RefHeading___Toc1656074_2281741623">
            <w:r>
              <w:rPr>
                <w:webHidden/>
                <w:rStyle w:val="IndexLink"/>
                <w:rtl w:val="true"/>
              </w:rPr>
              <w:t>اشاعه</w:t>
            </w:r>
            <w:r>
              <w:rPr>
                <w:rStyle w:val="IndexLink"/>
                <w:rtl w:val="true"/>
              </w:rPr>
              <w:tab/>
            </w:r>
            <w:r>
              <w:rPr>
                <w:rStyle w:val="IndexLink"/>
              </w:rPr>
              <w:t>63</w:t>
            </w:r>
          </w:hyperlink>
        </w:p>
        <w:p>
          <w:pPr>
            <w:pStyle w:val="Contents3"/>
            <w:tabs>
              <w:tab w:val="clear" w:pos="8459"/>
              <w:tab w:val="right" w:pos="9026" w:leader="dot"/>
            </w:tabs>
            <w:rPr/>
          </w:pPr>
          <w:hyperlink w:anchor="__RefHeading___Toc1656076_2281741623">
            <w:r>
              <w:rPr>
                <w:webHidden/>
                <w:rStyle w:val="IndexLink"/>
                <w:rtl w:val="true"/>
              </w:rPr>
              <w:t>آیین</w:t>
            </w:r>
            <w:r>
              <w:rPr>
                <w:rStyle w:val="IndexLink"/>
                <w:rtl w:val="true"/>
              </w:rPr>
              <w:tab/>
            </w:r>
            <w:r>
              <w:rPr>
                <w:rStyle w:val="IndexLink"/>
              </w:rPr>
              <w:t>65</w:t>
            </w:r>
          </w:hyperlink>
        </w:p>
        <w:p>
          <w:pPr>
            <w:pStyle w:val="Contents3"/>
            <w:tabs>
              <w:tab w:val="clear" w:pos="8459"/>
              <w:tab w:val="right" w:pos="9026" w:leader="dot"/>
            </w:tabs>
            <w:rPr/>
          </w:pPr>
          <w:hyperlink w:anchor="__RefHeading___Toc1656078_2281741623">
            <w:r>
              <w:rPr>
                <w:webHidden/>
                <w:rStyle w:val="IndexLink"/>
                <w:rtl w:val="true"/>
              </w:rPr>
              <w:t>برای مطالعۀ بیشتر</w:t>
            </w:r>
            <w:r>
              <w:rPr>
                <w:rStyle w:val="IndexLink"/>
                <w:rtl w:val="true"/>
              </w:rPr>
              <w:tab/>
            </w:r>
            <w:r>
              <w:rPr>
                <w:rStyle w:val="IndexLink"/>
              </w:rPr>
              <w:t>67</w:t>
            </w:r>
          </w:hyperlink>
        </w:p>
        <w:p>
          <w:pPr>
            <w:pStyle w:val="Contents2"/>
            <w:tabs>
              <w:tab w:val="clear" w:pos="8743"/>
              <w:tab w:val="right" w:pos="9026" w:leader="dot"/>
            </w:tabs>
            <w:rPr/>
          </w:pPr>
          <w:hyperlink w:anchor="__RefHeading___Toc1656080_2281741623">
            <w:r>
              <w:rPr>
                <w:webHidden/>
                <w:rStyle w:val="IndexLink"/>
                <w:rtl w:val="true"/>
              </w:rPr>
              <w:t>ارتباطات غیرمقدس</w:t>
            </w:r>
            <w:r>
              <w:rPr>
                <w:rStyle w:val="IndexLink"/>
                <w:rtl w:val="true"/>
              </w:rPr>
              <w:tab/>
            </w:r>
            <w:r>
              <w:rPr>
                <w:rStyle w:val="IndexLink"/>
              </w:rPr>
              <w:t>69</w:t>
            </w:r>
          </w:hyperlink>
        </w:p>
        <w:p>
          <w:pPr>
            <w:pStyle w:val="Contents3"/>
            <w:tabs>
              <w:tab w:val="clear" w:pos="8459"/>
              <w:tab w:val="right" w:pos="9026" w:leader="dot"/>
            </w:tabs>
            <w:rPr/>
          </w:pPr>
          <w:hyperlink w:anchor="__RefHeading___Toc1656082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656084_2281741623">
            <w:r>
              <w:rPr>
                <w:webHidden/>
                <w:rStyle w:val="IndexLink"/>
                <w:rtl w:val="true"/>
              </w:rPr>
              <w:t>تعریف</w:t>
            </w:r>
            <w:r>
              <w:rPr>
                <w:rStyle w:val="IndexLink"/>
                <w:rtl w:val="true"/>
              </w:rPr>
              <w:tab/>
            </w:r>
            <w:r>
              <w:rPr>
                <w:rStyle w:val="IndexLink"/>
              </w:rPr>
              <w:t>69</w:t>
            </w:r>
          </w:hyperlink>
        </w:p>
        <w:p>
          <w:pPr>
            <w:pStyle w:val="Contents3"/>
            <w:tabs>
              <w:tab w:val="clear" w:pos="8459"/>
              <w:tab w:val="right" w:pos="9026" w:leader="dot"/>
            </w:tabs>
            <w:rPr/>
          </w:pPr>
          <w:hyperlink w:anchor="__RefHeading___Toc1656086_2281741623">
            <w:r>
              <w:rPr>
                <w:webHidden/>
                <w:rStyle w:val="IndexLink"/>
                <w:rtl w:val="true"/>
              </w:rPr>
              <w:t>مشکل ارائۀ تعریفی واحد</w:t>
            </w:r>
            <w:r>
              <w:rPr>
                <w:rStyle w:val="IndexLink"/>
                <w:rtl w:val="true"/>
              </w:rPr>
              <w:tab/>
            </w:r>
            <w:r>
              <w:rPr>
                <w:rStyle w:val="IndexLink"/>
              </w:rPr>
              <w:t>71</w:t>
            </w:r>
          </w:hyperlink>
        </w:p>
        <w:p>
          <w:pPr>
            <w:pStyle w:val="Contents3"/>
            <w:tabs>
              <w:tab w:val="clear" w:pos="8459"/>
              <w:tab w:val="right" w:pos="9026" w:leader="dot"/>
            </w:tabs>
            <w:rPr/>
          </w:pPr>
          <w:hyperlink w:anchor="__RefHeading___Toc1656088_2281741623">
            <w:r>
              <w:rPr>
                <w:webHidden/>
                <w:rStyle w:val="IndexLink"/>
                <w:rtl w:val="true"/>
              </w:rPr>
              <w:t>معانی ثالثیه</w:t>
            </w:r>
            <w:r>
              <w:rPr>
                <w:rStyle w:val="IndexLink"/>
                <w:rtl w:val="true"/>
              </w:rPr>
              <w:tab/>
            </w:r>
            <w:r>
              <w:rPr>
                <w:rStyle w:val="IndexLink"/>
              </w:rPr>
              <w:t>72</w:t>
            </w:r>
          </w:hyperlink>
        </w:p>
        <w:p>
          <w:pPr>
            <w:pStyle w:val="Contents3"/>
            <w:tabs>
              <w:tab w:val="clear" w:pos="8459"/>
              <w:tab w:val="right" w:pos="9026" w:leader="dot"/>
            </w:tabs>
            <w:rPr/>
          </w:pPr>
          <w:hyperlink w:anchor="__RefHeading___Toc1656090_2281741623">
            <w:r>
              <w:rPr>
                <w:webHidden/>
                <w:rStyle w:val="IndexLink"/>
                <w:rtl w:val="true"/>
              </w:rPr>
              <w:t>تعریفی مدرن از کفرگویی</w:t>
            </w:r>
            <w:r>
              <w:rPr>
                <w:rStyle w:val="IndexLink"/>
                <w:rtl w:val="true"/>
              </w:rPr>
              <w:tab/>
            </w:r>
            <w:r>
              <w:rPr>
                <w:rStyle w:val="IndexLink"/>
              </w:rPr>
              <w:t>73</w:t>
            </w:r>
          </w:hyperlink>
        </w:p>
        <w:p>
          <w:pPr>
            <w:pStyle w:val="Contents3"/>
            <w:tabs>
              <w:tab w:val="clear" w:pos="8459"/>
              <w:tab w:val="right" w:pos="9026" w:leader="dot"/>
            </w:tabs>
            <w:rPr/>
          </w:pPr>
          <w:hyperlink w:anchor="__RefHeading___Toc1656092_2281741623">
            <w:r>
              <w:rPr>
                <w:webHidden/>
                <w:rStyle w:val="IndexLink"/>
                <w:rtl w:val="true"/>
              </w:rPr>
              <w:t>پیشینه</w:t>
            </w:r>
            <w:r>
              <w:rPr>
                <w:rStyle w:val="IndexLink"/>
                <w:rtl w:val="true"/>
              </w:rPr>
              <w:tab/>
            </w:r>
            <w:r>
              <w:rPr>
                <w:rStyle w:val="IndexLink"/>
              </w:rPr>
              <w:t>74</w:t>
            </w:r>
          </w:hyperlink>
        </w:p>
        <w:p>
          <w:pPr>
            <w:pStyle w:val="Contents3"/>
            <w:tabs>
              <w:tab w:val="clear" w:pos="8459"/>
              <w:tab w:val="right" w:pos="9026" w:leader="dot"/>
            </w:tabs>
            <w:rPr/>
          </w:pPr>
          <w:hyperlink w:anchor="__RefHeading___Toc1656094_2281741623">
            <w:r>
              <w:rPr>
                <w:webHidden/>
                <w:rStyle w:val="IndexLink"/>
                <w:rtl w:val="true"/>
              </w:rPr>
              <w:t>آینده</w:t>
            </w:r>
            <w:r>
              <w:rPr>
                <w:rStyle w:val="IndexLink"/>
                <w:rtl w:val="true"/>
              </w:rPr>
              <w:tab/>
            </w:r>
            <w:r>
              <w:rPr>
                <w:rStyle w:val="IndexLink"/>
              </w:rPr>
              <w:t>76</w:t>
            </w:r>
          </w:hyperlink>
        </w:p>
        <w:p>
          <w:pPr>
            <w:pStyle w:val="Contents3"/>
            <w:tabs>
              <w:tab w:val="clear" w:pos="8459"/>
              <w:tab w:val="right" w:pos="9026" w:leader="dot"/>
            </w:tabs>
            <w:rPr/>
          </w:pPr>
          <w:hyperlink w:anchor="__RefHeading___Toc1656096_2281741623">
            <w:r>
              <w:rPr>
                <w:webHidden/>
                <w:rStyle w:val="IndexLink"/>
                <w:rtl w:val="true"/>
              </w:rPr>
              <w:t>برای مطالعۀ بیشتر</w:t>
            </w:r>
            <w:r>
              <w:rPr>
                <w:rStyle w:val="IndexLink"/>
                <w:rtl w:val="true"/>
              </w:rPr>
              <w:tab/>
            </w:r>
            <w:r>
              <w:rPr>
                <w:rStyle w:val="IndexLink"/>
              </w:rPr>
              <w:t>77</w:t>
            </w:r>
          </w:hyperlink>
        </w:p>
        <w:p>
          <w:pPr>
            <w:pStyle w:val="Contents2"/>
            <w:tabs>
              <w:tab w:val="clear" w:pos="8743"/>
              <w:tab w:val="right" w:pos="9026" w:leader="dot"/>
            </w:tabs>
            <w:rPr/>
          </w:pPr>
          <w:hyperlink w:anchor="__RefHeading___Toc1656098_2281741623">
            <w:r>
              <w:rPr>
                <w:webHidden/>
                <w:rStyle w:val="IndexLink"/>
                <w:rtl w:val="true"/>
              </w:rPr>
              <w:t>ارتباطات ماهواره ای</w:t>
            </w:r>
            <w:r>
              <w:rPr>
                <w:rStyle w:val="IndexLink"/>
                <w:rtl w:val="true"/>
              </w:rPr>
              <w:tab/>
            </w:r>
            <w:r>
              <w:rPr>
                <w:rStyle w:val="IndexLink"/>
              </w:rPr>
              <w:t>78</w:t>
            </w:r>
          </w:hyperlink>
        </w:p>
        <w:p>
          <w:pPr>
            <w:pStyle w:val="Contents3"/>
            <w:tabs>
              <w:tab w:val="clear" w:pos="8459"/>
              <w:tab w:val="right" w:pos="9026" w:leader="dot"/>
            </w:tabs>
            <w:rPr/>
          </w:pPr>
          <w:hyperlink w:anchor="__RefHeading___Toc1656100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656102_2281741623">
            <w:r>
              <w:rPr>
                <w:webHidden/>
                <w:rStyle w:val="IndexLink"/>
                <w:rtl w:val="true"/>
              </w:rPr>
              <w:t>تبشیر با تلویزیون ماهواره ای</w:t>
            </w:r>
            <w:r>
              <w:rPr>
                <w:rStyle w:val="IndexLink"/>
                <w:rtl w:val="true"/>
              </w:rPr>
              <w:tab/>
            </w:r>
            <w:r>
              <w:rPr>
                <w:rStyle w:val="IndexLink"/>
              </w:rPr>
              <w:t>79</w:t>
            </w:r>
          </w:hyperlink>
        </w:p>
        <w:p>
          <w:pPr>
            <w:pStyle w:val="Contents3"/>
            <w:tabs>
              <w:tab w:val="clear" w:pos="8459"/>
              <w:tab w:val="right" w:pos="9026" w:leader="dot"/>
            </w:tabs>
            <w:rPr/>
          </w:pPr>
          <w:hyperlink w:anchor="__RefHeading___Toc1656104_2281741623">
            <w:r>
              <w:rPr>
                <w:webHidden/>
                <w:rStyle w:val="IndexLink"/>
                <w:rtl w:val="true"/>
              </w:rPr>
              <w:t>بناکردن گروه های دینی</w:t>
            </w:r>
            <w:r>
              <w:rPr>
                <w:rStyle w:val="IndexLink"/>
                <w:rtl w:val="true"/>
              </w:rPr>
              <w:tab/>
            </w:r>
            <w:r>
              <w:rPr>
                <w:rStyle w:val="IndexLink"/>
              </w:rPr>
              <w:t>83</w:t>
            </w:r>
          </w:hyperlink>
        </w:p>
        <w:p>
          <w:pPr>
            <w:pStyle w:val="Contents3"/>
            <w:tabs>
              <w:tab w:val="clear" w:pos="8459"/>
              <w:tab w:val="right" w:pos="9026" w:leader="dot"/>
            </w:tabs>
            <w:rPr/>
          </w:pPr>
          <w:hyperlink w:anchor="__RefHeading___Toc1656106_2281741623">
            <w:r>
              <w:rPr>
                <w:webHidden/>
                <w:rStyle w:val="IndexLink"/>
                <w:rtl w:val="true"/>
              </w:rPr>
              <w:t>دسترسی مستقیم به بینندگان</w:t>
            </w:r>
            <w:r>
              <w:rPr>
                <w:rStyle w:val="IndexLink"/>
                <w:rtl w:val="true"/>
              </w:rPr>
              <w:tab/>
            </w:r>
            <w:r>
              <w:rPr>
                <w:rStyle w:val="IndexLink"/>
              </w:rPr>
              <w:t>85</w:t>
            </w:r>
          </w:hyperlink>
        </w:p>
        <w:p>
          <w:pPr>
            <w:pStyle w:val="Contents3"/>
            <w:tabs>
              <w:tab w:val="clear" w:pos="8459"/>
              <w:tab w:val="right" w:pos="9026" w:leader="dot"/>
            </w:tabs>
            <w:rPr/>
          </w:pPr>
          <w:hyperlink w:anchor="__RefHeading___Toc1656108_2281741623">
            <w:r>
              <w:rPr>
                <w:webHidden/>
                <w:rStyle w:val="IndexLink"/>
                <w:rtl w:val="true"/>
              </w:rPr>
              <w:t>ایجاد ایمان از راه فضا</w:t>
            </w:r>
            <w:r>
              <w:rPr>
                <w:rStyle w:val="IndexLink"/>
                <w:rtl w:val="true"/>
              </w:rPr>
              <w:tab/>
            </w:r>
            <w:r>
              <w:rPr>
                <w:rStyle w:val="IndexLink"/>
              </w:rPr>
              <w:t>87</w:t>
            </w:r>
          </w:hyperlink>
        </w:p>
        <w:p>
          <w:pPr>
            <w:pStyle w:val="Contents3"/>
            <w:tabs>
              <w:tab w:val="clear" w:pos="8459"/>
              <w:tab w:val="right" w:pos="9026" w:leader="dot"/>
            </w:tabs>
            <w:rPr/>
          </w:pPr>
          <w:hyperlink w:anchor="__RefHeading___Toc1656110_2281741623">
            <w:r>
              <w:rPr>
                <w:webHidden/>
                <w:rStyle w:val="IndexLink"/>
                <w:rtl w:val="true"/>
              </w:rPr>
              <w:t>برای مطالعۀ بیشتر</w:t>
            </w:r>
            <w:r>
              <w:rPr>
                <w:rStyle w:val="IndexLink"/>
                <w:rtl w:val="true"/>
              </w:rPr>
              <w:tab/>
            </w:r>
            <w:r>
              <w:rPr>
                <w:rStyle w:val="IndexLink"/>
              </w:rPr>
              <w:t>88</w:t>
            </w:r>
          </w:hyperlink>
        </w:p>
        <w:p>
          <w:pPr>
            <w:pStyle w:val="Contents2"/>
            <w:tabs>
              <w:tab w:val="clear" w:pos="8743"/>
              <w:tab w:val="right" w:pos="9026" w:leader="dot"/>
            </w:tabs>
            <w:rPr/>
          </w:pPr>
          <w:hyperlink w:anchor="__RefHeading___Toc1656112_2281741623">
            <w:r>
              <w:rPr>
                <w:webHidden/>
                <w:rStyle w:val="IndexLink"/>
                <w:rtl w:val="true"/>
              </w:rPr>
              <w:t>ارتباطات مقدس</w:t>
            </w:r>
            <w:r>
              <w:rPr>
                <w:rStyle w:val="IndexLink"/>
                <w:rtl w:val="true"/>
              </w:rPr>
              <w:tab/>
            </w:r>
            <w:r>
              <w:rPr>
                <w:rStyle w:val="IndexLink"/>
              </w:rPr>
              <w:t>90</w:t>
            </w:r>
          </w:hyperlink>
        </w:p>
        <w:p>
          <w:pPr>
            <w:pStyle w:val="Contents3"/>
            <w:tabs>
              <w:tab w:val="clear" w:pos="8459"/>
              <w:tab w:val="right" w:pos="9026" w:leader="dot"/>
            </w:tabs>
            <w:rPr/>
          </w:pPr>
          <w:hyperlink w:anchor="__RefHeading___Toc1656114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656116_2281741623">
            <w:r>
              <w:rPr>
                <w:webHidden/>
                <w:rStyle w:val="IndexLink"/>
                <w:rtl w:val="true"/>
              </w:rPr>
              <w:t>خطابه و سنت بلاغی</w:t>
            </w:r>
            <w:r>
              <w:rPr>
                <w:rStyle w:val="IndexLink"/>
                <w:rtl w:val="true"/>
              </w:rPr>
              <w:tab/>
            </w:r>
            <w:r>
              <w:rPr>
                <w:rStyle w:val="IndexLink"/>
              </w:rPr>
              <w:t>91</w:t>
            </w:r>
          </w:hyperlink>
        </w:p>
        <w:p>
          <w:pPr>
            <w:pStyle w:val="Contents3"/>
            <w:tabs>
              <w:tab w:val="clear" w:pos="8459"/>
              <w:tab w:val="right" w:pos="9026" w:leader="dot"/>
            </w:tabs>
            <w:rPr/>
          </w:pPr>
          <w:hyperlink w:anchor="__RefHeading___Toc1656118_2281741623">
            <w:r>
              <w:rPr>
                <w:webHidden/>
                <w:rStyle w:val="IndexLink"/>
                <w:rtl w:val="true"/>
              </w:rPr>
              <w:t>نشانه شناسی و شمایل مقدس</w:t>
            </w:r>
            <w:r>
              <w:rPr>
                <w:rStyle w:val="IndexLink"/>
                <w:rtl w:val="true"/>
              </w:rPr>
              <w:tab/>
            </w:r>
            <w:r>
              <w:rPr>
                <w:rStyle w:val="IndexLink"/>
              </w:rPr>
              <w:t>92</w:t>
            </w:r>
          </w:hyperlink>
        </w:p>
        <w:p>
          <w:pPr>
            <w:pStyle w:val="Contents3"/>
            <w:tabs>
              <w:tab w:val="clear" w:pos="8459"/>
              <w:tab w:val="right" w:pos="9026" w:leader="dot"/>
            </w:tabs>
            <w:rPr/>
          </w:pPr>
          <w:hyperlink w:anchor="__RefHeading___Toc1656120_2281741623">
            <w:r>
              <w:rPr>
                <w:webHidden/>
                <w:rStyle w:val="IndexLink"/>
                <w:rtl w:val="true"/>
              </w:rPr>
              <w:t>نیایش به منزلۀ گفتمانی اجتماعی ـ روانی</w:t>
            </w:r>
            <w:r>
              <w:rPr>
                <w:rStyle w:val="IndexLink"/>
                <w:rtl w:val="true"/>
              </w:rPr>
              <w:tab/>
            </w:r>
            <w:r>
              <w:rPr>
                <w:rStyle w:val="IndexLink"/>
              </w:rPr>
              <w:t>93</w:t>
            </w:r>
          </w:hyperlink>
        </w:p>
        <w:p>
          <w:pPr>
            <w:pStyle w:val="Contents3"/>
            <w:tabs>
              <w:tab w:val="clear" w:pos="8459"/>
              <w:tab w:val="right" w:pos="9026" w:leader="dot"/>
            </w:tabs>
            <w:rPr/>
          </w:pPr>
          <w:hyperlink w:anchor="__RefHeading___Toc1656122_2281741623">
            <w:r>
              <w:rPr>
                <w:webHidden/>
                <w:rStyle w:val="IndexLink"/>
                <w:rtl w:val="true"/>
              </w:rPr>
              <w:t>پدیدارشناسی و گفت وگوی مقدس</w:t>
            </w:r>
            <w:r>
              <w:rPr>
                <w:rStyle w:val="IndexLink"/>
                <w:rtl w:val="true"/>
              </w:rPr>
              <w:tab/>
            </w:r>
            <w:r>
              <w:rPr>
                <w:rStyle w:val="IndexLink"/>
              </w:rPr>
              <w:t>95</w:t>
            </w:r>
          </w:hyperlink>
        </w:p>
        <w:p>
          <w:pPr>
            <w:pStyle w:val="Contents3"/>
            <w:tabs>
              <w:tab w:val="clear" w:pos="8459"/>
              <w:tab w:val="right" w:pos="9026" w:leader="dot"/>
            </w:tabs>
            <w:rPr/>
          </w:pPr>
          <w:hyperlink w:anchor="__RefHeading___Toc1656124_2281741623">
            <w:r>
              <w:rPr>
                <w:webHidden/>
                <w:rStyle w:val="IndexLink"/>
                <w:rtl w:val="true"/>
              </w:rPr>
              <w:t>مناسک و ارتباطات اجتماعی ـ فرهنگی</w:t>
            </w:r>
            <w:r>
              <w:rPr>
                <w:rStyle w:val="IndexLink"/>
                <w:rtl w:val="true"/>
              </w:rPr>
              <w:tab/>
            </w:r>
            <w:r>
              <w:rPr>
                <w:rStyle w:val="IndexLink"/>
              </w:rPr>
              <w:t>97</w:t>
            </w:r>
          </w:hyperlink>
        </w:p>
        <w:p>
          <w:pPr>
            <w:pStyle w:val="Contents3"/>
            <w:tabs>
              <w:tab w:val="clear" w:pos="8459"/>
              <w:tab w:val="right" w:pos="9026" w:leader="dot"/>
            </w:tabs>
            <w:rPr/>
          </w:pPr>
          <w:hyperlink w:anchor="__RefHeading___Toc1656126_2281741623">
            <w:r>
              <w:rPr>
                <w:webHidden/>
                <w:rStyle w:val="IndexLink"/>
                <w:rtl w:val="true"/>
              </w:rPr>
              <w:t>کاوش های بیشترِ گفتمان مقدس</w:t>
            </w:r>
            <w:r>
              <w:rPr>
                <w:rStyle w:val="IndexLink"/>
                <w:rtl w:val="true"/>
              </w:rPr>
              <w:tab/>
            </w:r>
            <w:r>
              <w:rPr>
                <w:rStyle w:val="IndexLink"/>
              </w:rPr>
              <w:t>98</w:t>
            </w:r>
          </w:hyperlink>
        </w:p>
        <w:p>
          <w:pPr>
            <w:pStyle w:val="Contents3"/>
            <w:tabs>
              <w:tab w:val="clear" w:pos="8459"/>
              <w:tab w:val="right" w:pos="9026" w:leader="dot"/>
            </w:tabs>
            <w:rPr/>
          </w:pPr>
          <w:hyperlink w:anchor="__RefHeading___Toc1656128_2281741623">
            <w:r>
              <w:rPr>
                <w:webHidden/>
                <w:rStyle w:val="IndexLink"/>
                <w:rtl w:val="true"/>
              </w:rPr>
              <w:t>برای مطالعۀ بیشتر</w:t>
            </w:r>
            <w:r>
              <w:rPr>
                <w:rStyle w:val="IndexLink"/>
                <w:rtl w:val="true"/>
              </w:rPr>
              <w:tab/>
            </w:r>
            <w:r>
              <w:rPr>
                <w:rStyle w:val="IndexLink"/>
              </w:rPr>
              <w:t>100</w:t>
            </w:r>
          </w:hyperlink>
        </w:p>
        <w:p>
          <w:pPr>
            <w:pStyle w:val="Contents2"/>
            <w:tabs>
              <w:tab w:val="clear" w:pos="8743"/>
              <w:tab w:val="right" w:pos="9026" w:leader="dot"/>
            </w:tabs>
            <w:rPr/>
          </w:pPr>
          <w:hyperlink w:anchor="__RefHeading___Toc1656130_2281741623">
            <w:r>
              <w:rPr>
                <w:webHidden/>
                <w:rStyle w:val="IndexLink"/>
                <w:rtl w:val="true"/>
              </w:rPr>
              <w:t>اسطوره ها</w:t>
            </w:r>
            <w:r>
              <w:rPr>
                <w:rStyle w:val="IndexLink"/>
                <w:rtl w:val="true"/>
              </w:rPr>
              <w:tab/>
            </w:r>
            <w:r>
              <w:rPr>
                <w:rStyle w:val="IndexLink"/>
              </w:rPr>
              <w:t>104</w:t>
            </w:r>
          </w:hyperlink>
        </w:p>
        <w:p>
          <w:pPr>
            <w:pStyle w:val="Contents3"/>
            <w:tabs>
              <w:tab w:val="clear" w:pos="8459"/>
              <w:tab w:val="right" w:pos="9026" w:leader="dot"/>
            </w:tabs>
            <w:rPr/>
          </w:pPr>
          <w:hyperlink w:anchor="__RefHeading___Toc1656132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656134_2281741623">
            <w:r>
              <w:rPr>
                <w:webHidden/>
                <w:rStyle w:val="IndexLink"/>
                <w:rtl w:val="true"/>
              </w:rPr>
              <w:t>کارکرد اسطوره ها</w:t>
            </w:r>
            <w:r>
              <w:rPr>
                <w:rStyle w:val="IndexLink"/>
                <w:rtl w:val="true"/>
              </w:rPr>
              <w:tab/>
            </w:r>
            <w:r>
              <w:rPr>
                <w:rStyle w:val="IndexLink"/>
              </w:rPr>
              <w:t>105</w:t>
            </w:r>
          </w:hyperlink>
        </w:p>
        <w:p>
          <w:pPr>
            <w:pStyle w:val="Contents3"/>
            <w:tabs>
              <w:tab w:val="clear" w:pos="8459"/>
              <w:tab w:val="right" w:pos="9026" w:leader="dot"/>
            </w:tabs>
            <w:rPr/>
          </w:pPr>
          <w:hyperlink w:anchor="__RefHeading___Toc1656136_2281741623">
            <w:r>
              <w:rPr>
                <w:webHidden/>
                <w:rStyle w:val="IndexLink"/>
                <w:rtl w:val="true"/>
              </w:rPr>
              <w:t>اسطوره و ادبیات</w:t>
            </w:r>
            <w:r>
              <w:rPr>
                <w:rStyle w:val="IndexLink"/>
                <w:rtl w:val="true"/>
              </w:rPr>
              <w:tab/>
            </w:r>
            <w:r>
              <w:rPr>
                <w:rStyle w:val="IndexLink"/>
              </w:rPr>
              <w:t>106</w:t>
            </w:r>
          </w:hyperlink>
        </w:p>
        <w:p>
          <w:pPr>
            <w:pStyle w:val="Contents3"/>
            <w:tabs>
              <w:tab w:val="clear" w:pos="8459"/>
              <w:tab w:val="right" w:pos="9026" w:leader="dot"/>
            </w:tabs>
            <w:rPr/>
          </w:pPr>
          <w:hyperlink w:anchor="__RefHeading___Toc1656138_2281741623">
            <w:r>
              <w:rPr>
                <w:webHidden/>
                <w:rStyle w:val="IndexLink"/>
                <w:rtl w:val="true"/>
              </w:rPr>
              <w:t>اسطوره و روان شناسی</w:t>
            </w:r>
            <w:r>
              <w:rPr>
                <w:rStyle w:val="IndexLink"/>
                <w:rtl w:val="true"/>
              </w:rPr>
              <w:tab/>
            </w:r>
            <w:r>
              <w:rPr>
                <w:rStyle w:val="IndexLink"/>
              </w:rPr>
              <w:t>107</w:t>
            </w:r>
          </w:hyperlink>
        </w:p>
        <w:p>
          <w:pPr>
            <w:pStyle w:val="Contents3"/>
            <w:tabs>
              <w:tab w:val="clear" w:pos="8459"/>
              <w:tab w:val="right" w:pos="9026" w:leader="dot"/>
            </w:tabs>
            <w:rPr/>
          </w:pPr>
          <w:hyperlink w:anchor="__RefHeading___Toc1656140_2281741623">
            <w:r>
              <w:rPr>
                <w:webHidden/>
                <w:rStyle w:val="IndexLink"/>
                <w:rtl w:val="true"/>
              </w:rPr>
              <w:t>رویکردهای کهن</w:t>
            </w:r>
            <w:r>
              <w:rPr>
                <w:rStyle w:val="IndexLink"/>
                <w:rtl w:val="true"/>
              </w:rPr>
              <w:tab/>
            </w:r>
            <w:r>
              <w:rPr>
                <w:rStyle w:val="IndexLink"/>
              </w:rPr>
              <w:t>108</w:t>
            </w:r>
          </w:hyperlink>
        </w:p>
        <w:p>
          <w:pPr>
            <w:pStyle w:val="Contents3"/>
            <w:tabs>
              <w:tab w:val="clear" w:pos="8459"/>
              <w:tab w:val="right" w:pos="9026" w:leader="dot"/>
            </w:tabs>
            <w:rPr/>
          </w:pPr>
          <w:hyperlink w:anchor="__RefHeading___Toc1656142_2281741623">
            <w:r>
              <w:rPr>
                <w:webHidden/>
                <w:rStyle w:val="IndexLink"/>
                <w:rtl w:val="true"/>
              </w:rPr>
              <w:t>اسطوره و رسانه های مردمی</w:t>
            </w:r>
            <w:r>
              <w:rPr>
                <w:rStyle w:val="IndexLink"/>
                <w:rtl w:val="true"/>
              </w:rPr>
              <w:tab/>
            </w:r>
            <w:r>
              <w:rPr>
                <w:rStyle w:val="IndexLink"/>
              </w:rPr>
              <w:t>108</w:t>
            </w:r>
          </w:hyperlink>
        </w:p>
        <w:p>
          <w:pPr>
            <w:pStyle w:val="Contents3"/>
            <w:tabs>
              <w:tab w:val="clear" w:pos="8459"/>
              <w:tab w:val="right" w:pos="9026" w:leader="dot"/>
            </w:tabs>
            <w:rPr/>
          </w:pPr>
          <w:hyperlink w:anchor="__RefHeading___Toc1656144_2281741623">
            <w:r>
              <w:rPr>
                <w:webHidden/>
                <w:rStyle w:val="IndexLink"/>
                <w:rtl w:val="true"/>
              </w:rPr>
              <w:t>اسطورۀ خلقت مردم توکانو</w:t>
            </w:r>
            <w:r>
              <w:rPr>
                <w:rStyle w:val="IndexLink"/>
                <w:rtl w:val="true"/>
              </w:rPr>
              <w:tab/>
            </w:r>
            <w:r>
              <w:rPr>
                <w:rStyle w:val="IndexLink"/>
              </w:rPr>
              <w:t>110</w:t>
            </w:r>
          </w:hyperlink>
        </w:p>
        <w:p>
          <w:pPr>
            <w:pStyle w:val="Contents3"/>
            <w:tabs>
              <w:tab w:val="clear" w:pos="8459"/>
              <w:tab w:val="right" w:pos="9026" w:leader="dot"/>
            </w:tabs>
            <w:rPr/>
          </w:pPr>
          <w:hyperlink w:anchor="__RefHeading___Toc1656146_2281741623">
            <w:r>
              <w:rPr>
                <w:webHidden/>
                <w:rStyle w:val="IndexLink"/>
                <w:rtl w:val="true"/>
              </w:rPr>
              <w:t>اسطورۀ مبدأ</w:t>
            </w:r>
            <w:r>
              <w:rPr>
                <w:rStyle w:val="IndexLink"/>
                <w:rtl w:val="true"/>
              </w:rPr>
              <w:tab/>
            </w:r>
            <w:r>
              <w:rPr>
                <w:rStyle w:val="IndexLink"/>
              </w:rPr>
              <w:t>111</w:t>
            </w:r>
          </w:hyperlink>
        </w:p>
        <w:p>
          <w:pPr>
            <w:pStyle w:val="Contents3"/>
            <w:tabs>
              <w:tab w:val="clear" w:pos="8459"/>
              <w:tab w:val="right" w:pos="9026" w:leader="dot"/>
            </w:tabs>
            <w:rPr/>
          </w:pPr>
          <w:hyperlink w:anchor="__RefHeading___Toc1656148_2281741623">
            <w:r>
              <w:rPr>
                <w:webHidden/>
                <w:rStyle w:val="IndexLink"/>
                <w:rtl w:val="true"/>
              </w:rPr>
              <w:t>اشارات</w:t>
            </w:r>
            <w:r>
              <w:rPr>
                <w:rStyle w:val="IndexLink"/>
                <w:rtl w:val="true"/>
              </w:rPr>
              <w:tab/>
            </w:r>
            <w:r>
              <w:rPr>
                <w:rStyle w:val="IndexLink"/>
              </w:rPr>
              <w:t>112</w:t>
            </w:r>
          </w:hyperlink>
        </w:p>
        <w:p>
          <w:pPr>
            <w:pStyle w:val="Contents3"/>
            <w:tabs>
              <w:tab w:val="clear" w:pos="8459"/>
              <w:tab w:val="right" w:pos="9026" w:leader="dot"/>
            </w:tabs>
            <w:rPr/>
          </w:pPr>
          <w:hyperlink w:anchor="__RefHeading___Toc1656150_2281741623">
            <w:r>
              <w:rPr>
                <w:webHidden/>
                <w:rStyle w:val="IndexLink"/>
                <w:rtl w:val="true"/>
              </w:rPr>
              <w:t>برای مطالعۀ بیشتر</w:t>
            </w:r>
            <w:r>
              <w:rPr>
                <w:rStyle w:val="IndexLink"/>
                <w:rtl w:val="true"/>
              </w:rPr>
              <w:tab/>
            </w:r>
            <w:r>
              <w:rPr>
                <w:rStyle w:val="IndexLink"/>
              </w:rPr>
              <w:t>113</w:t>
            </w:r>
          </w:hyperlink>
        </w:p>
        <w:p>
          <w:pPr>
            <w:pStyle w:val="Contents2"/>
            <w:tabs>
              <w:tab w:val="clear" w:pos="8743"/>
              <w:tab w:val="right" w:pos="9026" w:leader="dot"/>
            </w:tabs>
            <w:rPr/>
          </w:pPr>
          <w:hyperlink w:anchor="__RefHeading___Toc1656152_2281741623">
            <w:r>
              <w:rPr>
                <w:webHidden/>
                <w:rStyle w:val="IndexLink"/>
                <w:rtl w:val="true"/>
              </w:rPr>
              <w:t>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1656154_228174162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656156_2281741623">
            <w:r>
              <w:rPr>
                <w:webHidden/>
                <w:rStyle w:val="IndexLink"/>
                <w:rtl w:val="true"/>
              </w:rPr>
              <w:t>مذاهب اسلامی</w:t>
            </w:r>
            <w:r>
              <w:rPr>
                <w:rStyle w:val="IndexLink"/>
                <w:rtl w:val="true"/>
              </w:rPr>
              <w:tab/>
            </w:r>
            <w:r>
              <w:rPr>
                <w:rStyle w:val="IndexLink"/>
              </w:rPr>
              <w:t>117</w:t>
            </w:r>
          </w:hyperlink>
        </w:p>
        <w:p>
          <w:pPr>
            <w:pStyle w:val="Contents3"/>
            <w:tabs>
              <w:tab w:val="clear" w:pos="8459"/>
              <w:tab w:val="right" w:pos="9026" w:leader="dot"/>
            </w:tabs>
            <w:rPr/>
          </w:pPr>
          <w:hyperlink w:anchor="__RefHeading___Toc1656158_2281741623">
            <w:r>
              <w:rPr>
                <w:webHidden/>
                <w:rStyle w:val="IndexLink"/>
                <w:rtl w:val="true"/>
              </w:rPr>
              <w:t>پاسخ به تصورهای کلیشه ای منفی</w:t>
            </w:r>
            <w:r>
              <w:rPr>
                <w:rStyle w:val="IndexLink"/>
                <w:rtl w:val="true"/>
              </w:rPr>
              <w:tab/>
            </w:r>
            <w:r>
              <w:rPr>
                <w:rStyle w:val="IndexLink"/>
              </w:rPr>
              <w:t>119</w:t>
            </w:r>
          </w:hyperlink>
        </w:p>
        <w:p>
          <w:pPr>
            <w:pStyle w:val="Contents3"/>
            <w:tabs>
              <w:tab w:val="clear" w:pos="8459"/>
              <w:tab w:val="right" w:pos="9026" w:leader="dot"/>
            </w:tabs>
            <w:rPr/>
          </w:pPr>
          <w:hyperlink w:anchor="__RefHeading___Toc1656160_2281741623">
            <w:r>
              <w:rPr>
                <w:webHidden/>
                <w:rStyle w:val="IndexLink"/>
                <w:rtl w:val="true"/>
              </w:rPr>
              <w:t>تحلیل تصویر کلیشه ای رسانه</w:t>
            </w:r>
            <w:r>
              <w:rPr>
                <w:rStyle w:val="IndexLink"/>
                <w:rtl w:val="true"/>
              </w:rPr>
              <w:tab/>
            </w:r>
            <w:r>
              <w:rPr>
                <w:rStyle w:val="IndexLink"/>
              </w:rPr>
              <w:t>122</w:t>
            </w:r>
          </w:hyperlink>
        </w:p>
        <w:p>
          <w:pPr>
            <w:pStyle w:val="Contents3"/>
            <w:tabs>
              <w:tab w:val="clear" w:pos="8459"/>
              <w:tab w:val="right" w:pos="9026" w:leader="dot"/>
            </w:tabs>
            <w:rPr/>
          </w:pPr>
          <w:hyperlink w:anchor="__RefHeading___Toc1656162_2281741623">
            <w:r>
              <w:rPr>
                <w:webHidden/>
                <w:rStyle w:val="IndexLink"/>
                <w:rtl w:val="true"/>
              </w:rPr>
              <w:t>رسانه های اسلامی مردم سالار</w:t>
            </w:r>
            <w:r>
              <w:rPr>
                <w:rStyle w:val="IndexLink"/>
                <w:rtl w:val="true"/>
              </w:rPr>
              <w:tab/>
            </w:r>
            <w:r>
              <w:rPr>
                <w:rStyle w:val="IndexLink"/>
              </w:rPr>
              <w:t>124</w:t>
            </w:r>
          </w:hyperlink>
        </w:p>
        <w:p>
          <w:pPr>
            <w:pStyle w:val="Contents3"/>
            <w:tabs>
              <w:tab w:val="clear" w:pos="8459"/>
              <w:tab w:val="right" w:pos="9026" w:leader="dot"/>
            </w:tabs>
            <w:rPr/>
          </w:pPr>
          <w:hyperlink w:anchor="__RefHeading___Toc1656164_2281741623">
            <w:r>
              <w:rPr>
                <w:webHidden/>
                <w:rStyle w:val="IndexLink"/>
                <w:rtl w:val="true"/>
              </w:rPr>
              <w:t>برای مطالعۀ بیشتر</w:t>
            </w:r>
            <w:r>
              <w:rPr>
                <w:rStyle w:val="IndexLink"/>
                <w:rtl w:val="true"/>
              </w:rPr>
              <w:tab/>
            </w:r>
            <w:r>
              <w:rPr>
                <w:rStyle w:val="IndexLink"/>
              </w:rPr>
              <w:t>126</w:t>
            </w:r>
          </w:hyperlink>
        </w:p>
        <w:p>
          <w:pPr>
            <w:pStyle w:val="Contents2"/>
            <w:tabs>
              <w:tab w:val="clear" w:pos="8743"/>
              <w:tab w:val="right" w:pos="9026" w:leader="dot"/>
            </w:tabs>
            <w:rPr/>
          </w:pPr>
          <w:hyperlink w:anchor="__RefHeading___Toc1656166_2281741623">
            <w:r>
              <w:rPr>
                <w:webHidden/>
                <w:rStyle w:val="IndexLink"/>
                <w:rtl w:val="true"/>
              </w:rPr>
              <w:t>اینترنت و محیط های مجازی</w:t>
            </w:r>
            <w:r>
              <w:rPr>
                <w:rStyle w:val="IndexLink"/>
                <w:rtl w:val="true"/>
              </w:rPr>
              <w:tab/>
            </w:r>
            <w:r>
              <w:rPr>
                <w:rStyle w:val="IndexLink"/>
              </w:rPr>
              <w:t>128</w:t>
            </w:r>
          </w:hyperlink>
        </w:p>
        <w:p>
          <w:pPr>
            <w:pStyle w:val="Contents3"/>
            <w:tabs>
              <w:tab w:val="clear" w:pos="8459"/>
              <w:tab w:val="right" w:pos="9026" w:leader="dot"/>
            </w:tabs>
            <w:rPr/>
          </w:pPr>
          <w:hyperlink w:anchor="__RefHeading___Toc1656168_228174162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656170_2281741623">
            <w:r>
              <w:rPr>
                <w:webHidden/>
                <w:rStyle w:val="IndexLink"/>
                <w:rtl w:val="true"/>
              </w:rPr>
              <w:t>ظهور مذهب آن لاین</w:t>
            </w:r>
            <w:r>
              <w:rPr>
                <w:rStyle w:val="IndexLink"/>
                <w:rtl w:val="true"/>
              </w:rPr>
              <w:tab/>
            </w:r>
            <w:r>
              <w:rPr>
                <w:rStyle w:val="IndexLink"/>
              </w:rPr>
              <w:t>130</w:t>
            </w:r>
          </w:hyperlink>
        </w:p>
        <w:p>
          <w:pPr>
            <w:pStyle w:val="Contents3"/>
            <w:tabs>
              <w:tab w:val="clear" w:pos="8459"/>
              <w:tab w:val="right" w:pos="9026" w:leader="dot"/>
            </w:tabs>
            <w:rPr/>
          </w:pPr>
          <w:hyperlink w:anchor="__RefHeading___Toc1656172_2281741623">
            <w:r>
              <w:rPr>
                <w:webHidden/>
                <w:rStyle w:val="IndexLink"/>
                <w:rtl w:val="true"/>
              </w:rPr>
              <w:t>کلیساهای مجازی و معابد مجازی</w:t>
            </w:r>
            <w:r>
              <w:rPr>
                <w:rStyle w:val="IndexLink"/>
                <w:rtl w:val="true"/>
              </w:rPr>
              <w:tab/>
            </w:r>
            <w:r>
              <w:rPr>
                <w:rStyle w:val="IndexLink"/>
              </w:rPr>
              <w:t>132</w:t>
            </w:r>
          </w:hyperlink>
        </w:p>
        <w:p>
          <w:pPr>
            <w:pStyle w:val="Contents3"/>
            <w:tabs>
              <w:tab w:val="clear" w:pos="8459"/>
              <w:tab w:val="right" w:pos="9026" w:leader="dot"/>
            </w:tabs>
            <w:rPr/>
          </w:pPr>
          <w:hyperlink w:anchor="__RefHeading___Toc1656174_2281741623">
            <w:r>
              <w:rPr>
                <w:webHidden/>
                <w:rStyle w:val="IndexLink"/>
                <w:rtl w:val="true"/>
              </w:rPr>
              <w:t>آیین های آن لاین</w:t>
            </w:r>
            <w:r>
              <w:rPr>
                <w:rStyle w:val="IndexLink"/>
                <w:rtl w:val="true"/>
              </w:rPr>
              <w:tab/>
            </w:r>
            <w:r>
              <w:rPr>
                <w:rStyle w:val="IndexLink"/>
              </w:rPr>
              <w:t>134</w:t>
            </w:r>
          </w:hyperlink>
        </w:p>
        <w:p>
          <w:pPr>
            <w:pStyle w:val="Contents3"/>
            <w:tabs>
              <w:tab w:val="clear" w:pos="8459"/>
              <w:tab w:val="right" w:pos="9026" w:leader="dot"/>
            </w:tabs>
            <w:rPr/>
          </w:pPr>
          <w:hyperlink w:anchor="__RefHeading___Toc1656176_2281741623">
            <w:r>
              <w:rPr>
                <w:webHidden/>
                <w:rStyle w:val="IndexLink"/>
                <w:rtl w:val="true"/>
              </w:rPr>
              <w:t>انجمن های مذهبی آن لاین</w:t>
            </w:r>
            <w:r>
              <w:rPr>
                <w:rStyle w:val="IndexLink"/>
                <w:rtl w:val="true"/>
              </w:rPr>
              <w:tab/>
            </w:r>
            <w:r>
              <w:rPr>
                <w:rStyle w:val="IndexLink"/>
              </w:rPr>
              <w:t>136</w:t>
            </w:r>
          </w:hyperlink>
        </w:p>
        <w:p>
          <w:pPr>
            <w:pStyle w:val="Contents3"/>
            <w:tabs>
              <w:tab w:val="clear" w:pos="8459"/>
              <w:tab w:val="right" w:pos="9026" w:leader="dot"/>
            </w:tabs>
            <w:rPr/>
          </w:pPr>
          <w:hyperlink w:anchor="__RefHeading___Toc1656178_2281741623">
            <w:r>
              <w:rPr>
                <w:webHidden/>
                <w:rStyle w:val="IndexLink"/>
                <w:rtl w:val="true"/>
              </w:rPr>
              <w:t xml:space="preserve">شاهدان آن لاین </w:t>
            </w:r>
            <w:r>
              <w:rPr>
                <w:rStyle w:val="IndexLink"/>
                <w:rtl w:val="true"/>
              </w:rPr>
              <w:t>(</w:t>
            </w:r>
            <w:r>
              <w:rPr>
                <w:rStyle w:val="IndexLink"/>
                <w:rtl w:val="true"/>
              </w:rPr>
              <w:t>اِونجلیسم</w:t>
            </w:r>
            <w:r>
              <w:rPr>
                <w:rStyle w:val="IndexLink"/>
                <w:rtl w:val="true"/>
              </w:rPr>
              <w:t>)</w:t>
              <w:tab/>
            </w:r>
            <w:r>
              <w:rPr>
                <w:rStyle w:val="IndexLink"/>
              </w:rPr>
              <w:t>138</w:t>
            </w:r>
          </w:hyperlink>
        </w:p>
        <w:p>
          <w:pPr>
            <w:pStyle w:val="Contents3"/>
            <w:tabs>
              <w:tab w:val="clear" w:pos="8459"/>
              <w:tab w:val="right" w:pos="9026" w:leader="dot"/>
            </w:tabs>
            <w:rPr/>
          </w:pPr>
          <w:hyperlink w:anchor="__RefHeading___Toc1656180_2281741623">
            <w:r>
              <w:rPr>
                <w:webHidden/>
                <w:rStyle w:val="IndexLink"/>
                <w:rtl w:val="true"/>
              </w:rPr>
              <w:t>مطالعۀ مذاهب شبکه ای</w:t>
            </w:r>
            <w:r>
              <w:rPr>
                <w:rStyle w:val="IndexLink"/>
                <w:rtl w:val="true"/>
              </w:rPr>
              <w:tab/>
            </w:r>
            <w:r>
              <w:rPr>
                <w:rStyle w:val="IndexLink"/>
              </w:rPr>
              <w:t>139</w:t>
            </w:r>
          </w:hyperlink>
        </w:p>
        <w:p>
          <w:pPr>
            <w:pStyle w:val="Contents3"/>
            <w:tabs>
              <w:tab w:val="clear" w:pos="8459"/>
              <w:tab w:val="right" w:pos="9026" w:leader="dot"/>
            </w:tabs>
            <w:rPr/>
          </w:pPr>
          <w:hyperlink w:anchor="__RefHeading___Toc1656182_2281741623">
            <w:r>
              <w:rPr>
                <w:webHidden/>
                <w:rStyle w:val="IndexLink"/>
                <w:rtl w:val="true"/>
              </w:rPr>
              <w:t>چالش های مذهب آن لاین</w:t>
            </w:r>
            <w:r>
              <w:rPr>
                <w:rStyle w:val="IndexLink"/>
                <w:rtl w:val="true"/>
              </w:rPr>
              <w:tab/>
            </w:r>
            <w:r>
              <w:rPr>
                <w:rStyle w:val="IndexLink"/>
              </w:rPr>
              <w:t>142</w:t>
            </w:r>
          </w:hyperlink>
        </w:p>
        <w:p>
          <w:pPr>
            <w:pStyle w:val="Contents3"/>
            <w:tabs>
              <w:tab w:val="clear" w:pos="8459"/>
              <w:tab w:val="right" w:pos="9026" w:leader="dot"/>
            </w:tabs>
            <w:rPr/>
          </w:pPr>
          <w:hyperlink w:anchor="__RefHeading___Toc1656184_2281741623">
            <w:r>
              <w:rPr>
                <w:webHidden/>
                <w:rStyle w:val="IndexLink"/>
                <w:rtl w:val="true"/>
              </w:rPr>
              <w:t>برای مطالعۀ بیشتر</w:t>
            </w:r>
            <w:r>
              <w:rPr>
                <w:rStyle w:val="IndexLink"/>
                <w:rtl w:val="true"/>
              </w:rPr>
              <w:tab/>
            </w:r>
            <w:r>
              <w:rPr>
                <w:rStyle w:val="IndexLink"/>
              </w:rPr>
              <w:t>143</w:t>
            </w:r>
          </w:hyperlink>
        </w:p>
        <w:p>
          <w:pPr>
            <w:pStyle w:val="Contents2"/>
            <w:tabs>
              <w:tab w:val="clear" w:pos="8743"/>
              <w:tab w:val="right" w:pos="9026" w:leader="dot"/>
            </w:tabs>
            <w:rPr/>
          </w:pPr>
          <w:hyperlink w:anchor="__RefHeading___Toc1656186_2281741623">
            <w:r>
              <w:rPr>
                <w:webHidden/>
                <w:rStyle w:val="IndexLink"/>
                <w:rtl w:val="true"/>
              </w:rPr>
              <w:t>بت پرستی</w:t>
            </w:r>
            <w:r>
              <w:rPr>
                <w:rStyle w:val="IndexLink"/>
                <w:rtl w:val="true"/>
              </w:rPr>
              <w:tab/>
            </w:r>
            <w:r>
              <w:rPr>
                <w:rStyle w:val="IndexLink"/>
              </w:rPr>
              <w:t>147</w:t>
            </w:r>
          </w:hyperlink>
        </w:p>
        <w:p>
          <w:pPr>
            <w:pStyle w:val="Contents3"/>
            <w:tabs>
              <w:tab w:val="clear" w:pos="8459"/>
              <w:tab w:val="right" w:pos="9026" w:leader="dot"/>
            </w:tabs>
            <w:rPr/>
          </w:pPr>
          <w:hyperlink w:anchor="__RefHeading___Toc1656188_228174162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656190_2281741623">
            <w:r>
              <w:rPr>
                <w:webHidden/>
                <w:rStyle w:val="IndexLink"/>
                <w:rtl w:val="true"/>
              </w:rPr>
              <w:t>بت پرستی و ادیان توحیدی</w:t>
            </w:r>
            <w:r>
              <w:rPr>
                <w:rStyle w:val="IndexLink"/>
                <w:rtl w:val="true"/>
              </w:rPr>
              <w:tab/>
            </w:r>
            <w:r>
              <w:rPr>
                <w:rStyle w:val="IndexLink"/>
              </w:rPr>
              <w:t>150</w:t>
            </w:r>
          </w:hyperlink>
        </w:p>
        <w:p>
          <w:pPr>
            <w:pStyle w:val="Contents3"/>
            <w:tabs>
              <w:tab w:val="clear" w:pos="8459"/>
              <w:tab w:val="right" w:pos="9026" w:leader="dot"/>
            </w:tabs>
            <w:rPr/>
          </w:pPr>
          <w:hyperlink w:anchor="__RefHeading___Toc1656192_2281741623">
            <w:r>
              <w:rPr>
                <w:webHidden/>
                <w:rStyle w:val="IndexLink"/>
                <w:rtl w:val="true"/>
              </w:rPr>
              <w:t>بت پرستی و بت شکنی</w:t>
            </w:r>
            <w:r>
              <w:rPr>
                <w:rStyle w:val="IndexLink"/>
                <w:rtl w:val="true"/>
              </w:rPr>
              <w:tab/>
            </w:r>
            <w:r>
              <w:rPr>
                <w:rStyle w:val="IndexLink"/>
              </w:rPr>
              <w:t>152</w:t>
            </w:r>
          </w:hyperlink>
        </w:p>
        <w:p>
          <w:pPr>
            <w:pStyle w:val="Contents3"/>
            <w:tabs>
              <w:tab w:val="clear" w:pos="8459"/>
              <w:tab w:val="right" w:pos="9026" w:leader="dot"/>
            </w:tabs>
            <w:rPr/>
          </w:pPr>
          <w:hyperlink w:anchor="__RefHeading___Toc1656194_2281741623">
            <w:r>
              <w:rPr>
                <w:webHidden/>
                <w:rStyle w:val="IndexLink"/>
                <w:rtl w:val="true"/>
              </w:rPr>
              <w:t>بت پرستی و هنر</w:t>
            </w:r>
            <w:r>
              <w:rPr>
                <w:rStyle w:val="IndexLink"/>
                <w:rtl w:val="true"/>
              </w:rPr>
              <w:tab/>
            </w:r>
            <w:r>
              <w:rPr>
                <w:rStyle w:val="IndexLink"/>
              </w:rPr>
              <w:t>155</w:t>
            </w:r>
          </w:hyperlink>
        </w:p>
        <w:p>
          <w:pPr>
            <w:pStyle w:val="Contents3"/>
            <w:tabs>
              <w:tab w:val="clear" w:pos="8459"/>
              <w:tab w:val="right" w:pos="9026" w:leader="dot"/>
            </w:tabs>
            <w:rPr/>
          </w:pPr>
          <w:hyperlink w:anchor="__RefHeading___Toc1656196_2281741623">
            <w:r>
              <w:rPr>
                <w:webHidden/>
                <w:rStyle w:val="IndexLink"/>
                <w:rtl w:val="true"/>
              </w:rPr>
              <w:t>برای مطالعۀ بیشتر</w:t>
            </w:r>
            <w:r>
              <w:rPr>
                <w:rStyle w:val="IndexLink"/>
                <w:rtl w:val="true"/>
              </w:rPr>
              <w:tab/>
            </w:r>
            <w:r>
              <w:rPr>
                <w:rStyle w:val="IndexLink"/>
              </w:rPr>
              <w:t>157</w:t>
            </w:r>
          </w:hyperlink>
        </w:p>
        <w:p>
          <w:pPr>
            <w:pStyle w:val="Contents2"/>
            <w:tabs>
              <w:tab w:val="clear" w:pos="8743"/>
              <w:tab w:val="right" w:pos="9026" w:leader="dot"/>
            </w:tabs>
            <w:rPr/>
          </w:pPr>
          <w:hyperlink w:anchor="__RefHeading___Toc1656198_2281741623">
            <w:r>
              <w:rPr>
                <w:webHidden/>
                <w:rStyle w:val="IndexLink"/>
                <w:rtl w:val="true"/>
              </w:rPr>
              <w:t>بنیادگرایی</w:t>
            </w:r>
            <w:r>
              <w:rPr>
                <w:rStyle w:val="IndexLink"/>
                <w:rtl w:val="true"/>
              </w:rPr>
              <w:tab/>
            </w:r>
            <w:r>
              <w:rPr>
                <w:rStyle w:val="IndexLink"/>
              </w:rPr>
              <w:t>159</w:t>
            </w:r>
          </w:hyperlink>
        </w:p>
        <w:p>
          <w:pPr>
            <w:pStyle w:val="Contents3"/>
            <w:tabs>
              <w:tab w:val="clear" w:pos="8459"/>
              <w:tab w:val="right" w:pos="9026" w:leader="dot"/>
            </w:tabs>
            <w:rPr/>
          </w:pPr>
          <w:hyperlink w:anchor="__RefHeading___Toc1656200_228174162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656202_2281741623">
            <w:r>
              <w:rPr>
                <w:webHidden/>
                <w:rStyle w:val="IndexLink"/>
                <w:rtl w:val="true"/>
              </w:rPr>
              <w:t>شکل گیری بنیادگرایان مسیحی</w:t>
            </w:r>
            <w:r>
              <w:rPr>
                <w:rStyle w:val="IndexLink"/>
                <w:rtl w:val="true"/>
              </w:rPr>
              <w:tab/>
            </w:r>
            <w:r>
              <w:rPr>
                <w:rStyle w:val="IndexLink"/>
              </w:rPr>
              <w:t>160</w:t>
            </w:r>
          </w:hyperlink>
        </w:p>
        <w:p>
          <w:pPr>
            <w:pStyle w:val="Contents3"/>
            <w:tabs>
              <w:tab w:val="clear" w:pos="8459"/>
              <w:tab w:val="right" w:pos="9026" w:leader="dot"/>
            </w:tabs>
            <w:rPr/>
          </w:pPr>
          <w:hyperlink w:anchor="__RefHeading___Toc1656204_2281741623">
            <w:r>
              <w:rPr>
                <w:webHidden/>
                <w:rStyle w:val="IndexLink"/>
                <w:rtl w:val="true"/>
              </w:rPr>
              <w:t>آن سوی قالب مسیحی</w:t>
            </w:r>
            <w:r>
              <w:rPr>
                <w:rStyle w:val="IndexLink"/>
                <w:rtl w:val="true"/>
              </w:rPr>
              <w:tab/>
            </w:r>
            <w:r>
              <w:rPr>
                <w:rStyle w:val="IndexLink"/>
              </w:rPr>
              <w:t>167</w:t>
            </w:r>
          </w:hyperlink>
        </w:p>
        <w:p>
          <w:pPr>
            <w:pStyle w:val="Contents3"/>
            <w:tabs>
              <w:tab w:val="clear" w:pos="8459"/>
              <w:tab w:val="right" w:pos="9026" w:leader="dot"/>
            </w:tabs>
            <w:rPr/>
          </w:pPr>
          <w:hyperlink w:anchor="__RefHeading___Toc1656206_2281741623">
            <w:r>
              <w:rPr>
                <w:webHidden/>
                <w:rStyle w:val="IndexLink"/>
                <w:rtl w:val="true"/>
              </w:rPr>
              <w:t>آیندۀ بنیادگرایی</w:t>
            </w:r>
            <w:r>
              <w:rPr>
                <w:rStyle w:val="IndexLink"/>
                <w:rtl w:val="true"/>
              </w:rPr>
              <w:tab/>
            </w:r>
            <w:r>
              <w:rPr>
                <w:rStyle w:val="IndexLink"/>
              </w:rPr>
              <w:t>171</w:t>
            </w:r>
          </w:hyperlink>
        </w:p>
        <w:p>
          <w:pPr>
            <w:pStyle w:val="Contents3"/>
            <w:tabs>
              <w:tab w:val="clear" w:pos="8459"/>
              <w:tab w:val="right" w:pos="9026" w:leader="dot"/>
            </w:tabs>
            <w:rPr/>
          </w:pPr>
          <w:hyperlink w:anchor="__RefHeading___Toc1656208_2281741623">
            <w:r>
              <w:rPr>
                <w:webHidden/>
                <w:rStyle w:val="IndexLink"/>
                <w:rtl w:val="true"/>
              </w:rPr>
              <w:t>برای مطالعۀ بیشتر</w:t>
            </w:r>
            <w:r>
              <w:rPr>
                <w:rStyle w:val="IndexLink"/>
                <w:rtl w:val="true"/>
              </w:rPr>
              <w:tab/>
            </w:r>
            <w:r>
              <w:rPr>
                <w:rStyle w:val="IndexLink"/>
              </w:rPr>
              <w:t>173</w:t>
            </w:r>
          </w:hyperlink>
        </w:p>
        <w:p>
          <w:pPr>
            <w:pStyle w:val="Contents2"/>
            <w:tabs>
              <w:tab w:val="clear" w:pos="8743"/>
              <w:tab w:val="right" w:pos="9026" w:leader="dot"/>
            </w:tabs>
            <w:rPr/>
          </w:pPr>
          <w:hyperlink w:anchor="__RefHeading___Toc1656210_2281741623">
            <w:r>
              <w:rPr>
                <w:webHidden/>
                <w:rStyle w:val="IndexLink"/>
                <w:rtl w:val="true"/>
              </w:rPr>
              <w:t>تبشیرگری</w:t>
            </w:r>
            <w:r>
              <w:rPr>
                <w:rStyle w:val="IndexLink"/>
                <w:rtl w:val="true"/>
              </w:rPr>
              <w:tab/>
            </w:r>
            <w:r>
              <w:rPr>
                <w:rStyle w:val="IndexLink"/>
              </w:rPr>
              <w:t>177</w:t>
            </w:r>
          </w:hyperlink>
        </w:p>
        <w:p>
          <w:pPr>
            <w:pStyle w:val="Contents3"/>
            <w:tabs>
              <w:tab w:val="clear" w:pos="8459"/>
              <w:tab w:val="right" w:pos="9026" w:leader="dot"/>
            </w:tabs>
            <w:rPr/>
          </w:pPr>
          <w:hyperlink w:anchor="__RefHeading___Toc1656212_228174162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656214_2281741623">
            <w:r>
              <w:rPr>
                <w:webHidden/>
                <w:rStyle w:val="IndexLink"/>
                <w:rtl w:val="true"/>
              </w:rPr>
              <w:t>تبشیرگرایان چه کسانی هستند؟</w:t>
            </w:r>
            <w:r>
              <w:rPr>
                <w:rStyle w:val="IndexLink"/>
                <w:rtl w:val="true"/>
              </w:rPr>
              <w:tab/>
            </w:r>
            <w:r>
              <w:rPr>
                <w:rStyle w:val="IndexLink"/>
              </w:rPr>
              <w:t>177</w:t>
            </w:r>
          </w:hyperlink>
        </w:p>
        <w:p>
          <w:pPr>
            <w:pStyle w:val="Contents3"/>
            <w:tabs>
              <w:tab w:val="clear" w:pos="8459"/>
              <w:tab w:val="right" w:pos="9026" w:leader="dot"/>
            </w:tabs>
            <w:rPr/>
          </w:pPr>
          <w:hyperlink w:anchor="__RefHeading___Toc1656216_2281741623">
            <w:r>
              <w:rPr>
                <w:webHidden/>
                <w:rStyle w:val="IndexLink"/>
                <w:rtl w:val="true"/>
              </w:rPr>
              <w:t>تبشیرگرایان دربارۀ رسانه چگونه رفتار می کنند؟</w:t>
            </w:r>
            <w:r>
              <w:rPr>
                <w:rStyle w:val="IndexLink"/>
                <w:rtl w:val="true"/>
              </w:rPr>
              <w:tab/>
            </w:r>
            <w:r>
              <w:rPr>
                <w:rStyle w:val="IndexLink"/>
              </w:rPr>
              <w:t>178</w:t>
            </w:r>
          </w:hyperlink>
        </w:p>
        <w:p>
          <w:pPr>
            <w:pStyle w:val="Contents3"/>
            <w:tabs>
              <w:tab w:val="clear" w:pos="8459"/>
              <w:tab w:val="right" w:pos="9026" w:leader="dot"/>
            </w:tabs>
            <w:rPr/>
          </w:pPr>
          <w:hyperlink w:anchor="__RefHeading___Toc1656218_2281741623">
            <w:r>
              <w:rPr>
                <w:webHidden/>
                <w:rStyle w:val="IndexLink"/>
                <w:rtl w:val="true"/>
              </w:rPr>
              <w:t>وعظ هم چون یک رسانۀ جمعی</w:t>
            </w:r>
            <w:r>
              <w:rPr>
                <w:rStyle w:val="IndexLink"/>
                <w:rtl w:val="true"/>
              </w:rPr>
              <w:tab/>
            </w:r>
            <w:r>
              <w:rPr>
                <w:rStyle w:val="IndexLink"/>
              </w:rPr>
              <w:t>181</w:t>
            </w:r>
          </w:hyperlink>
        </w:p>
        <w:p>
          <w:pPr>
            <w:pStyle w:val="Contents3"/>
            <w:tabs>
              <w:tab w:val="clear" w:pos="8459"/>
              <w:tab w:val="right" w:pos="9026" w:leader="dot"/>
            </w:tabs>
            <w:rPr/>
          </w:pPr>
          <w:hyperlink w:anchor="__RefHeading___Toc1656220_2281741623">
            <w:r>
              <w:rPr>
                <w:webHidden/>
                <w:rStyle w:val="IndexLink"/>
                <w:rtl w:val="true"/>
              </w:rPr>
              <w:t>رسانه های چاپی</w:t>
            </w:r>
            <w:r>
              <w:rPr>
                <w:rStyle w:val="IndexLink"/>
                <w:rtl w:val="true"/>
              </w:rPr>
              <w:tab/>
            </w:r>
            <w:r>
              <w:rPr>
                <w:rStyle w:val="IndexLink"/>
              </w:rPr>
              <w:t>181</w:t>
            </w:r>
          </w:hyperlink>
        </w:p>
        <w:p>
          <w:pPr>
            <w:pStyle w:val="Contents3"/>
            <w:tabs>
              <w:tab w:val="clear" w:pos="8459"/>
              <w:tab w:val="right" w:pos="9026" w:leader="dot"/>
            </w:tabs>
            <w:rPr/>
          </w:pPr>
          <w:hyperlink w:anchor="__RefHeading___Toc1656222_2281741623">
            <w:r>
              <w:rPr>
                <w:webHidden/>
                <w:rStyle w:val="IndexLink"/>
                <w:rtl w:val="true"/>
              </w:rPr>
              <w:t>رسانه‌های الکترونیک</w:t>
            </w:r>
            <w:r>
              <w:rPr>
                <w:rStyle w:val="IndexLink"/>
                <w:rtl w:val="true"/>
              </w:rPr>
              <w:tab/>
            </w:r>
            <w:r>
              <w:rPr>
                <w:rStyle w:val="IndexLink"/>
              </w:rPr>
              <w:t>183</w:t>
            </w:r>
          </w:hyperlink>
        </w:p>
        <w:p>
          <w:pPr>
            <w:pStyle w:val="Contents3"/>
            <w:tabs>
              <w:tab w:val="clear" w:pos="8459"/>
              <w:tab w:val="right" w:pos="9026" w:leader="dot"/>
            </w:tabs>
            <w:rPr/>
          </w:pPr>
          <w:hyperlink w:anchor="__RefHeading___Toc1656224_2281741623">
            <w:r>
              <w:rPr>
                <w:webHidden/>
                <w:rStyle w:val="IndexLink"/>
                <w:rtl w:val="true"/>
              </w:rPr>
              <w:t>باب جونز پسر</w:t>
            </w:r>
            <w:r>
              <w:rPr>
                <w:rStyle w:val="IndexLink"/>
                <w:rtl w:val="true"/>
              </w:rPr>
              <w:tab/>
            </w:r>
            <w:r>
              <w:rPr>
                <w:rStyle w:val="IndexLink"/>
              </w:rPr>
              <w:t>185</w:t>
            </w:r>
          </w:hyperlink>
        </w:p>
        <w:p>
          <w:pPr>
            <w:pStyle w:val="Contents3"/>
            <w:tabs>
              <w:tab w:val="clear" w:pos="8459"/>
              <w:tab w:val="right" w:pos="9026" w:leader="dot"/>
            </w:tabs>
            <w:rPr/>
          </w:pPr>
          <w:hyperlink w:anchor="__RefHeading___Toc1656226_2281741623">
            <w:r>
              <w:rPr>
                <w:webHidden/>
                <w:rStyle w:val="IndexLink"/>
                <w:rtl w:val="true"/>
              </w:rPr>
              <w:t>اخبار مربوط به تبشیریون</w:t>
            </w:r>
            <w:r>
              <w:rPr>
                <w:rStyle w:val="IndexLink"/>
                <w:rtl w:val="true"/>
              </w:rPr>
              <w:tab/>
            </w:r>
            <w:r>
              <w:rPr>
                <w:rStyle w:val="IndexLink"/>
              </w:rPr>
              <w:t>188</w:t>
            </w:r>
          </w:hyperlink>
        </w:p>
        <w:p>
          <w:pPr>
            <w:pStyle w:val="Contents3"/>
            <w:tabs>
              <w:tab w:val="clear" w:pos="8459"/>
              <w:tab w:val="right" w:pos="9026" w:leader="dot"/>
            </w:tabs>
            <w:rPr/>
          </w:pPr>
          <w:hyperlink w:anchor="__RefHeading___Toc1656228_2281741623">
            <w:r>
              <w:rPr>
                <w:webHidden/>
                <w:rStyle w:val="IndexLink"/>
                <w:rtl w:val="true"/>
              </w:rPr>
              <w:t>فن آوری های نوپدید در رسانه ها</w:t>
            </w:r>
            <w:r>
              <w:rPr>
                <w:rStyle w:val="IndexLink"/>
                <w:rtl w:val="true"/>
              </w:rPr>
              <w:tab/>
            </w:r>
            <w:r>
              <w:rPr>
                <w:rStyle w:val="IndexLink"/>
              </w:rPr>
              <w:t>190</w:t>
            </w:r>
          </w:hyperlink>
        </w:p>
        <w:p>
          <w:pPr>
            <w:pStyle w:val="Contents3"/>
            <w:tabs>
              <w:tab w:val="clear" w:pos="8459"/>
              <w:tab w:val="right" w:pos="9026" w:leader="dot"/>
            </w:tabs>
            <w:rPr/>
          </w:pPr>
          <w:hyperlink w:anchor="__RefHeading___Toc1656230_2281741623">
            <w:r>
              <w:rPr>
                <w:webHidden/>
                <w:rStyle w:val="IndexLink"/>
                <w:rtl w:val="true"/>
              </w:rPr>
              <w:t>آینده</w:t>
            </w:r>
            <w:r>
              <w:rPr>
                <w:rStyle w:val="IndexLink"/>
                <w:rtl w:val="true"/>
              </w:rPr>
              <w:tab/>
            </w:r>
            <w:r>
              <w:rPr>
                <w:rStyle w:val="IndexLink"/>
              </w:rPr>
              <w:t>191</w:t>
            </w:r>
          </w:hyperlink>
        </w:p>
        <w:p>
          <w:pPr>
            <w:pStyle w:val="Contents3"/>
            <w:tabs>
              <w:tab w:val="clear" w:pos="8459"/>
              <w:tab w:val="right" w:pos="9026" w:leader="dot"/>
            </w:tabs>
            <w:rPr/>
          </w:pPr>
          <w:hyperlink w:anchor="__RefHeading___Toc1656232_2281741623">
            <w:r>
              <w:rPr>
                <w:webHidden/>
                <w:rStyle w:val="IndexLink"/>
                <w:rtl w:val="true"/>
              </w:rPr>
              <w:t>برای مطالعۀ بیشتر</w:t>
            </w:r>
            <w:r>
              <w:rPr>
                <w:rStyle w:val="IndexLink"/>
                <w:rtl w:val="true"/>
              </w:rPr>
              <w:tab/>
            </w:r>
            <w:r>
              <w:rPr>
                <w:rStyle w:val="IndexLink"/>
              </w:rPr>
              <w:t>192</w:t>
            </w:r>
          </w:hyperlink>
        </w:p>
        <w:p>
          <w:pPr>
            <w:pStyle w:val="Contents2"/>
            <w:tabs>
              <w:tab w:val="clear" w:pos="8743"/>
              <w:tab w:val="right" w:pos="9026" w:leader="dot"/>
            </w:tabs>
            <w:rPr/>
          </w:pPr>
          <w:hyperlink w:anchor="__RefHeading___Toc1656234_2281741623">
            <w:r>
              <w:rPr>
                <w:webHidden/>
                <w:rStyle w:val="IndexLink"/>
                <w:rtl w:val="true"/>
              </w:rPr>
              <w:t>تبشیرگری تلویزیونی</w:t>
            </w:r>
            <w:r>
              <w:rPr>
                <w:rStyle w:val="IndexLink"/>
                <w:rtl w:val="true"/>
              </w:rPr>
              <w:tab/>
            </w:r>
            <w:r>
              <w:rPr>
                <w:rStyle w:val="IndexLink"/>
              </w:rPr>
              <w:t>196</w:t>
            </w:r>
          </w:hyperlink>
        </w:p>
        <w:p>
          <w:pPr>
            <w:pStyle w:val="Contents3"/>
            <w:tabs>
              <w:tab w:val="clear" w:pos="8459"/>
              <w:tab w:val="right" w:pos="9026" w:leader="dot"/>
            </w:tabs>
            <w:rPr/>
          </w:pPr>
          <w:hyperlink w:anchor="__RefHeading___Toc1656236_228174162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656238_2281741623">
            <w:r>
              <w:rPr>
                <w:webHidden/>
                <w:rStyle w:val="IndexLink"/>
                <w:rtl w:val="true"/>
              </w:rPr>
              <w:t>خبرهای خوبِ بشارت مسیحی</w:t>
            </w:r>
            <w:r>
              <w:rPr>
                <w:rStyle w:val="IndexLink"/>
                <w:rtl w:val="true"/>
              </w:rPr>
              <w:tab/>
            </w:r>
            <w:r>
              <w:rPr>
                <w:rStyle w:val="IndexLink"/>
              </w:rPr>
              <w:t>197</w:t>
            </w:r>
          </w:hyperlink>
        </w:p>
        <w:p>
          <w:pPr>
            <w:pStyle w:val="Contents3"/>
            <w:tabs>
              <w:tab w:val="clear" w:pos="8459"/>
              <w:tab w:val="right" w:pos="9026" w:leader="dot"/>
            </w:tabs>
            <w:rPr/>
          </w:pPr>
          <w:hyperlink w:anchor="__RefHeading___Toc1656240_2281741623">
            <w:r>
              <w:rPr>
                <w:webHidden/>
                <w:rStyle w:val="IndexLink"/>
                <w:rtl w:val="true"/>
              </w:rPr>
              <w:t>رادیو زمینه را آماده می کند</w:t>
            </w:r>
            <w:r>
              <w:rPr>
                <w:rStyle w:val="IndexLink"/>
                <w:rtl w:val="true"/>
              </w:rPr>
              <w:tab/>
            </w:r>
            <w:r>
              <w:rPr>
                <w:rStyle w:val="IndexLink"/>
              </w:rPr>
              <w:t>200</w:t>
            </w:r>
          </w:hyperlink>
        </w:p>
        <w:p>
          <w:pPr>
            <w:pStyle w:val="Contents3"/>
            <w:tabs>
              <w:tab w:val="clear" w:pos="8459"/>
              <w:tab w:val="right" w:pos="9026" w:leader="dot"/>
            </w:tabs>
            <w:rPr/>
          </w:pPr>
          <w:hyperlink w:anchor="__RefHeading___Toc1656242_2281741623">
            <w:r>
              <w:rPr>
                <w:webHidden/>
                <w:rStyle w:val="IndexLink"/>
                <w:rtl w:val="true"/>
              </w:rPr>
              <w:t>کشمکش ها</w:t>
            </w:r>
            <w:r>
              <w:rPr>
                <w:rStyle w:val="IndexLink"/>
                <w:rtl w:val="true"/>
              </w:rPr>
              <w:tab/>
            </w:r>
            <w:r>
              <w:rPr>
                <w:rStyle w:val="IndexLink"/>
              </w:rPr>
              <w:t>202</w:t>
            </w:r>
          </w:hyperlink>
        </w:p>
        <w:p>
          <w:pPr>
            <w:pStyle w:val="Contents3"/>
            <w:tabs>
              <w:tab w:val="clear" w:pos="8459"/>
              <w:tab w:val="right" w:pos="9026" w:leader="dot"/>
            </w:tabs>
            <w:rPr/>
          </w:pPr>
          <w:hyperlink w:anchor="__RefHeading___Toc1656244_2281741623">
            <w:r>
              <w:rPr>
                <w:webHidden/>
                <w:rStyle w:val="IndexLink"/>
                <w:rtl w:val="true"/>
              </w:rPr>
              <w:t>صداهای دیگر</w:t>
            </w:r>
            <w:r>
              <w:rPr>
                <w:rStyle w:val="IndexLink"/>
                <w:rtl w:val="true"/>
              </w:rPr>
              <w:tab/>
            </w:r>
            <w:r>
              <w:rPr>
                <w:rStyle w:val="IndexLink"/>
              </w:rPr>
              <w:t>204</w:t>
            </w:r>
          </w:hyperlink>
        </w:p>
        <w:p>
          <w:pPr>
            <w:pStyle w:val="Contents3"/>
            <w:tabs>
              <w:tab w:val="clear" w:pos="8459"/>
              <w:tab w:val="right" w:pos="9026" w:leader="dot"/>
            </w:tabs>
            <w:rPr/>
          </w:pPr>
          <w:hyperlink w:anchor="__RefHeading___Toc1656246_2281741623">
            <w:r>
              <w:rPr>
                <w:webHidden/>
                <w:rStyle w:val="IndexLink"/>
                <w:rtl w:val="true"/>
              </w:rPr>
              <w:t>مناقشه ها</w:t>
            </w:r>
            <w:r>
              <w:rPr>
                <w:rStyle w:val="IndexLink"/>
                <w:rtl w:val="true"/>
              </w:rPr>
              <w:tab/>
            </w:r>
            <w:r>
              <w:rPr>
                <w:rStyle w:val="IndexLink"/>
              </w:rPr>
              <w:t>206</w:t>
            </w:r>
          </w:hyperlink>
        </w:p>
        <w:p>
          <w:pPr>
            <w:pStyle w:val="Contents3"/>
            <w:tabs>
              <w:tab w:val="clear" w:pos="8459"/>
              <w:tab w:val="right" w:pos="9026" w:leader="dot"/>
            </w:tabs>
            <w:rPr/>
          </w:pPr>
          <w:hyperlink w:anchor="__RefHeading___Toc1656248_2281741623">
            <w:r>
              <w:rPr>
                <w:webHidden/>
                <w:rStyle w:val="IndexLink"/>
                <w:rtl w:val="true"/>
              </w:rPr>
              <w:t>جهت گیری های جدید</w:t>
            </w:r>
            <w:r>
              <w:rPr>
                <w:rStyle w:val="IndexLink"/>
                <w:rtl w:val="true"/>
              </w:rPr>
              <w:tab/>
            </w:r>
            <w:r>
              <w:rPr>
                <w:rStyle w:val="IndexLink"/>
              </w:rPr>
              <w:t>208</w:t>
            </w:r>
          </w:hyperlink>
        </w:p>
        <w:p>
          <w:pPr>
            <w:pStyle w:val="Contents3"/>
            <w:tabs>
              <w:tab w:val="clear" w:pos="8459"/>
              <w:tab w:val="right" w:pos="9026" w:leader="dot"/>
            </w:tabs>
            <w:rPr/>
          </w:pPr>
          <w:hyperlink w:anchor="__RefHeading___Toc1656250_2281741623">
            <w:r>
              <w:rPr>
                <w:webHidden/>
                <w:rStyle w:val="IndexLink"/>
                <w:rtl w:val="true"/>
              </w:rPr>
              <w:t>آینده</w:t>
            </w:r>
            <w:r>
              <w:rPr>
                <w:rStyle w:val="IndexLink"/>
                <w:rtl w:val="true"/>
              </w:rPr>
              <w:tab/>
            </w:r>
            <w:r>
              <w:rPr>
                <w:rStyle w:val="IndexLink"/>
              </w:rPr>
              <w:t>208</w:t>
            </w:r>
          </w:hyperlink>
        </w:p>
        <w:p>
          <w:pPr>
            <w:pStyle w:val="Contents3"/>
            <w:tabs>
              <w:tab w:val="clear" w:pos="8459"/>
              <w:tab w:val="right" w:pos="9026" w:leader="dot"/>
            </w:tabs>
            <w:rPr/>
          </w:pPr>
          <w:hyperlink w:anchor="__RefHeading___Toc1656252_2281741623">
            <w:r>
              <w:rPr>
                <w:webHidden/>
                <w:rStyle w:val="IndexLink"/>
                <w:rtl w:val="true"/>
              </w:rPr>
              <w:t>برای مطالعۀ بیشتر</w:t>
            </w:r>
            <w:r>
              <w:rPr>
                <w:rStyle w:val="IndexLink"/>
                <w:rtl w:val="true"/>
              </w:rPr>
              <w:tab/>
            </w:r>
            <w:r>
              <w:rPr>
                <w:rStyle w:val="IndexLink"/>
              </w:rPr>
              <w:t>209</w:t>
            </w:r>
          </w:hyperlink>
        </w:p>
        <w:p>
          <w:pPr>
            <w:pStyle w:val="Contents2"/>
            <w:tabs>
              <w:tab w:val="clear" w:pos="8743"/>
              <w:tab w:val="right" w:pos="9026" w:leader="dot"/>
            </w:tabs>
            <w:rPr/>
          </w:pPr>
          <w:hyperlink w:anchor="__RefHeading___Toc1656254_2281741623">
            <w:r>
              <w:rPr>
                <w:webHidden/>
                <w:rStyle w:val="IndexLink"/>
                <w:rtl w:val="true"/>
              </w:rPr>
              <w:t>تحریم ها</w:t>
            </w:r>
            <w:r>
              <w:rPr>
                <w:rStyle w:val="IndexLink"/>
                <w:rtl w:val="true"/>
              </w:rPr>
              <w:tab/>
            </w:r>
            <w:r>
              <w:rPr>
                <w:rStyle w:val="IndexLink"/>
              </w:rPr>
              <w:t>212</w:t>
            </w:r>
          </w:hyperlink>
        </w:p>
        <w:p>
          <w:pPr>
            <w:pStyle w:val="Contents3"/>
            <w:tabs>
              <w:tab w:val="clear" w:pos="8459"/>
              <w:tab w:val="right" w:pos="9026" w:leader="dot"/>
            </w:tabs>
            <w:rPr/>
          </w:pPr>
          <w:hyperlink w:anchor="__RefHeading___Toc1656256_2281741623">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656258_2281741623">
            <w:r>
              <w:rPr>
                <w:webHidden/>
                <w:rStyle w:val="IndexLink"/>
                <w:rtl w:val="true"/>
              </w:rPr>
              <w:t>روش های گوناگون</w:t>
            </w:r>
            <w:r>
              <w:rPr>
                <w:rStyle w:val="IndexLink"/>
                <w:rtl w:val="true"/>
              </w:rPr>
              <w:tab/>
            </w:r>
            <w:r>
              <w:rPr>
                <w:rStyle w:val="IndexLink"/>
              </w:rPr>
              <w:t>213</w:t>
            </w:r>
          </w:hyperlink>
        </w:p>
        <w:p>
          <w:pPr>
            <w:pStyle w:val="Contents3"/>
            <w:tabs>
              <w:tab w:val="clear" w:pos="8459"/>
              <w:tab w:val="right" w:pos="9026" w:leader="dot"/>
            </w:tabs>
            <w:rPr/>
          </w:pPr>
          <w:hyperlink w:anchor="__RefHeading___Toc1656260_2281741623">
            <w:r>
              <w:rPr>
                <w:webHidden/>
                <w:rStyle w:val="IndexLink"/>
                <w:rtl w:val="true"/>
              </w:rPr>
              <w:t>تحریم های بازاری</w:t>
            </w:r>
            <w:r>
              <w:rPr>
                <w:rStyle w:val="IndexLink"/>
                <w:rtl w:val="true"/>
              </w:rPr>
              <w:tab/>
            </w:r>
            <w:r>
              <w:rPr>
                <w:rStyle w:val="IndexLink"/>
              </w:rPr>
              <w:t>213</w:t>
            </w:r>
          </w:hyperlink>
        </w:p>
        <w:p>
          <w:pPr>
            <w:pStyle w:val="Contents3"/>
            <w:tabs>
              <w:tab w:val="clear" w:pos="8459"/>
              <w:tab w:val="right" w:pos="9026" w:leader="dot"/>
            </w:tabs>
            <w:rPr/>
          </w:pPr>
          <w:hyperlink w:anchor="__RefHeading___Toc1656262_2281741623">
            <w:r>
              <w:rPr>
                <w:webHidden/>
                <w:rStyle w:val="IndexLink"/>
                <w:rtl w:val="true"/>
              </w:rPr>
              <w:t>تلاقی و تضاد</w:t>
            </w:r>
            <w:r>
              <w:rPr>
                <w:rStyle w:val="IndexLink"/>
                <w:rtl w:val="true"/>
              </w:rPr>
              <w:tab/>
            </w:r>
            <w:r>
              <w:rPr>
                <w:rStyle w:val="IndexLink"/>
              </w:rPr>
              <w:t>214</w:t>
            </w:r>
          </w:hyperlink>
        </w:p>
        <w:p>
          <w:pPr>
            <w:pStyle w:val="Contents3"/>
            <w:tabs>
              <w:tab w:val="clear" w:pos="8459"/>
              <w:tab w:val="right" w:pos="9026" w:leader="dot"/>
            </w:tabs>
            <w:rPr/>
          </w:pPr>
          <w:hyperlink w:anchor="__RefHeading___Toc1656264_2281741623">
            <w:r>
              <w:rPr>
                <w:webHidden/>
                <w:rStyle w:val="IndexLink"/>
                <w:rtl w:val="true"/>
              </w:rPr>
              <w:t>چرخش در استراتژی</w:t>
            </w:r>
            <w:r>
              <w:rPr>
                <w:rStyle w:val="IndexLink"/>
                <w:rtl w:val="true"/>
              </w:rPr>
              <w:tab/>
            </w:r>
            <w:r>
              <w:rPr>
                <w:rStyle w:val="IndexLink"/>
              </w:rPr>
              <w:t>219</w:t>
            </w:r>
          </w:hyperlink>
        </w:p>
        <w:p>
          <w:pPr>
            <w:pStyle w:val="Contents3"/>
            <w:tabs>
              <w:tab w:val="clear" w:pos="8459"/>
              <w:tab w:val="right" w:pos="9026" w:leader="dot"/>
            </w:tabs>
            <w:rPr/>
          </w:pPr>
          <w:hyperlink w:anchor="__RefHeading___Toc1656266_2281741623">
            <w:r>
              <w:rPr>
                <w:webHidden/>
                <w:rStyle w:val="IndexLink"/>
                <w:rtl w:val="true"/>
              </w:rPr>
              <w:t>برای مطالعۀ بیشتر</w:t>
            </w:r>
            <w:r>
              <w:rPr>
                <w:rStyle w:val="IndexLink"/>
                <w:rtl w:val="true"/>
              </w:rPr>
              <w:tab/>
            </w:r>
            <w:r>
              <w:rPr>
                <w:rStyle w:val="IndexLink"/>
              </w:rPr>
              <w:t>221</w:t>
            </w:r>
          </w:hyperlink>
        </w:p>
        <w:p>
          <w:pPr>
            <w:pStyle w:val="Contents2"/>
            <w:tabs>
              <w:tab w:val="clear" w:pos="8743"/>
              <w:tab w:val="right" w:pos="9026" w:leader="dot"/>
            </w:tabs>
            <w:rPr/>
          </w:pPr>
          <w:hyperlink w:anchor="__RefHeading___Toc1656268_2281741623">
            <w:r>
              <w:rPr>
                <w:webHidden/>
                <w:rStyle w:val="IndexLink"/>
                <w:rtl w:val="true"/>
              </w:rPr>
              <w:t>تساهل</w:t>
            </w:r>
            <w:r>
              <w:rPr>
                <w:rStyle w:val="IndexLink"/>
                <w:rtl w:val="true"/>
              </w:rPr>
              <w:tab/>
            </w:r>
            <w:r>
              <w:rPr>
                <w:rStyle w:val="IndexLink"/>
              </w:rPr>
              <w:t>222</w:t>
            </w:r>
          </w:hyperlink>
        </w:p>
        <w:p>
          <w:pPr>
            <w:pStyle w:val="Contents3"/>
            <w:tabs>
              <w:tab w:val="clear" w:pos="8459"/>
              <w:tab w:val="right" w:pos="9026" w:leader="dot"/>
            </w:tabs>
            <w:rPr/>
          </w:pPr>
          <w:hyperlink w:anchor="__RefHeading___Toc1656270_2281741623">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656272_2281741623">
            <w:r>
              <w:rPr>
                <w:webHidden/>
                <w:rStyle w:val="IndexLink"/>
                <w:rtl w:val="true"/>
              </w:rPr>
              <w:t>تناقضها</w:t>
            </w:r>
            <w:r>
              <w:rPr>
                <w:rStyle w:val="IndexLink"/>
                <w:rtl w:val="true"/>
              </w:rPr>
              <w:tab/>
            </w:r>
            <w:r>
              <w:rPr>
                <w:rStyle w:val="IndexLink"/>
              </w:rPr>
              <w:t>224</w:t>
            </w:r>
          </w:hyperlink>
        </w:p>
        <w:p>
          <w:pPr>
            <w:pStyle w:val="Contents3"/>
            <w:tabs>
              <w:tab w:val="clear" w:pos="8459"/>
              <w:tab w:val="right" w:pos="9026" w:leader="dot"/>
            </w:tabs>
            <w:rPr/>
          </w:pPr>
          <w:hyperlink w:anchor="__RefHeading___Toc1656274_2281741623">
            <w:r>
              <w:rPr>
                <w:webHidden/>
                <w:rStyle w:val="IndexLink"/>
                <w:rtl w:val="true"/>
              </w:rPr>
              <w:t xml:space="preserve">بند </w:t>
            </w:r>
            <w:r>
              <w:rPr>
                <w:rStyle w:val="IndexLink"/>
              </w:rPr>
              <w:t>18</w:t>
            </w:r>
            <w:r>
              <w:rPr>
                <w:rStyle w:val="IndexLink"/>
                <w:rtl w:val="true"/>
              </w:rPr>
              <w:t xml:space="preserve"> </w:t>
            </w:r>
            <w:r>
              <w:rPr>
                <w:rStyle w:val="IndexLink"/>
                <w:rtl w:val="true"/>
              </w:rPr>
              <w:t>اعلامیۀ جهانی حقوق بشر</w:t>
            </w:r>
            <w:r>
              <w:rPr>
                <w:rStyle w:val="IndexLink"/>
                <w:rtl w:val="true"/>
              </w:rPr>
              <w:tab/>
            </w:r>
            <w:r>
              <w:rPr>
                <w:rStyle w:val="IndexLink"/>
              </w:rPr>
              <w:t>226</w:t>
            </w:r>
          </w:hyperlink>
        </w:p>
        <w:p>
          <w:pPr>
            <w:pStyle w:val="Contents3"/>
            <w:tabs>
              <w:tab w:val="clear" w:pos="8459"/>
              <w:tab w:val="right" w:pos="9026" w:leader="dot"/>
            </w:tabs>
            <w:rPr/>
          </w:pPr>
          <w:hyperlink w:anchor="__RefHeading___Toc1656276_2281741623">
            <w:r>
              <w:rPr>
                <w:webHidden/>
                <w:rStyle w:val="IndexLink"/>
                <w:rtl w:val="true"/>
              </w:rPr>
              <w:t>محدودیت های تساهل</w:t>
            </w:r>
            <w:r>
              <w:rPr>
                <w:rStyle w:val="IndexLink"/>
                <w:rtl w:val="true"/>
              </w:rPr>
              <w:tab/>
            </w:r>
            <w:r>
              <w:rPr>
                <w:rStyle w:val="IndexLink"/>
              </w:rPr>
              <w:t>226</w:t>
            </w:r>
          </w:hyperlink>
        </w:p>
        <w:p>
          <w:pPr>
            <w:pStyle w:val="Contents3"/>
            <w:tabs>
              <w:tab w:val="clear" w:pos="8459"/>
              <w:tab w:val="right" w:pos="9026" w:leader="dot"/>
            </w:tabs>
            <w:rPr/>
          </w:pPr>
          <w:hyperlink w:anchor="__RefHeading___Toc1656278_2281741623">
            <w:r>
              <w:rPr>
                <w:webHidden/>
                <w:rStyle w:val="IndexLink"/>
                <w:rtl w:val="true"/>
              </w:rPr>
              <w:t>پارادوکس دینی</w:t>
            </w:r>
            <w:r>
              <w:rPr>
                <w:rStyle w:val="IndexLink"/>
                <w:rtl w:val="true"/>
              </w:rPr>
              <w:tab/>
            </w:r>
            <w:r>
              <w:rPr>
                <w:rStyle w:val="IndexLink"/>
              </w:rPr>
              <w:t>229</w:t>
            </w:r>
          </w:hyperlink>
        </w:p>
        <w:p>
          <w:pPr>
            <w:pStyle w:val="Contents3"/>
            <w:tabs>
              <w:tab w:val="clear" w:pos="8459"/>
              <w:tab w:val="right" w:pos="9026" w:leader="dot"/>
            </w:tabs>
            <w:rPr/>
          </w:pPr>
          <w:hyperlink w:anchor="__RefHeading___Toc1656280_2281741623">
            <w:r>
              <w:rPr>
                <w:webHidden/>
                <w:rStyle w:val="IndexLink"/>
                <w:rtl w:val="true"/>
              </w:rPr>
              <w:t>برای مطالعۀ بیشتر</w:t>
            </w:r>
            <w:r>
              <w:rPr>
                <w:rStyle w:val="IndexLink"/>
                <w:rtl w:val="true"/>
              </w:rPr>
              <w:tab/>
            </w:r>
            <w:r>
              <w:rPr>
                <w:rStyle w:val="IndexLink"/>
              </w:rPr>
              <w:t>233</w:t>
            </w:r>
          </w:hyperlink>
        </w:p>
        <w:p>
          <w:pPr>
            <w:pStyle w:val="Contents2"/>
            <w:tabs>
              <w:tab w:val="clear" w:pos="8743"/>
              <w:tab w:val="right" w:pos="9026" w:leader="dot"/>
            </w:tabs>
            <w:rPr/>
          </w:pPr>
          <w:hyperlink w:anchor="__RefHeading___Toc1656282_2281741623">
            <w:r>
              <w:rPr>
                <w:webHidden/>
                <w:rStyle w:val="IndexLink"/>
                <w:rtl w:val="true"/>
              </w:rPr>
              <w:t>تلویزیون</w:t>
            </w:r>
            <w:r>
              <w:rPr>
                <w:rStyle w:val="IndexLink"/>
                <w:rtl w:val="true"/>
              </w:rPr>
              <w:tab/>
            </w:r>
            <w:r>
              <w:rPr>
                <w:rStyle w:val="IndexLink"/>
              </w:rPr>
              <w:t>234</w:t>
            </w:r>
          </w:hyperlink>
        </w:p>
        <w:p>
          <w:pPr>
            <w:pStyle w:val="Contents3"/>
            <w:tabs>
              <w:tab w:val="clear" w:pos="8459"/>
              <w:tab w:val="right" w:pos="9026" w:leader="dot"/>
            </w:tabs>
            <w:rPr/>
          </w:pPr>
          <w:hyperlink w:anchor="__RefHeading___Toc1656284_228174162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656286_2281741623">
            <w:r>
              <w:rPr>
                <w:webHidden/>
                <w:rStyle w:val="IndexLink"/>
                <w:rtl w:val="true"/>
              </w:rPr>
              <w:t>هشدار</w:t>
            </w:r>
            <w:r>
              <w:rPr>
                <w:rStyle w:val="IndexLink"/>
                <w:rtl w:val="true"/>
              </w:rPr>
              <w:tab/>
            </w:r>
            <w:r>
              <w:rPr>
                <w:rStyle w:val="IndexLink"/>
              </w:rPr>
              <w:t>235</w:t>
            </w:r>
          </w:hyperlink>
        </w:p>
        <w:p>
          <w:pPr>
            <w:pStyle w:val="Contents3"/>
            <w:tabs>
              <w:tab w:val="clear" w:pos="8459"/>
              <w:tab w:val="right" w:pos="9026" w:leader="dot"/>
            </w:tabs>
            <w:rPr/>
          </w:pPr>
          <w:hyperlink w:anchor="__RefHeading___Toc1656288_2281741623">
            <w:r>
              <w:rPr>
                <w:webHidden/>
                <w:rStyle w:val="IndexLink"/>
                <w:rtl w:val="true"/>
              </w:rPr>
              <w:t>کنترل دولت یا کنترل بازار</w:t>
            </w:r>
            <w:r>
              <w:rPr>
                <w:rStyle w:val="IndexLink"/>
                <w:rtl w:val="true"/>
              </w:rPr>
              <w:tab/>
            </w:r>
            <w:r>
              <w:rPr>
                <w:rStyle w:val="IndexLink"/>
              </w:rPr>
              <w:t>235</w:t>
            </w:r>
          </w:hyperlink>
        </w:p>
        <w:p>
          <w:pPr>
            <w:pStyle w:val="Contents3"/>
            <w:tabs>
              <w:tab w:val="clear" w:pos="8459"/>
              <w:tab w:val="right" w:pos="9026" w:leader="dot"/>
            </w:tabs>
            <w:rPr/>
          </w:pPr>
          <w:hyperlink w:anchor="__RefHeading___Toc1656290_2281741623">
            <w:r>
              <w:rPr>
                <w:webHidden/>
                <w:rStyle w:val="IndexLink"/>
                <w:rtl w:val="true"/>
              </w:rPr>
              <w:t>تلویزیون و دین در آمریکا</w:t>
            </w:r>
            <w:r>
              <w:rPr>
                <w:rStyle w:val="IndexLink"/>
                <w:rtl w:val="true"/>
              </w:rPr>
              <w:tab/>
            </w:r>
            <w:r>
              <w:rPr>
                <w:rStyle w:val="IndexLink"/>
              </w:rPr>
              <w:t>236</w:t>
            </w:r>
          </w:hyperlink>
        </w:p>
        <w:p>
          <w:pPr>
            <w:pStyle w:val="Contents3"/>
            <w:tabs>
              <w:tab w:val="clear" w:pos="8459"/>
              <w:tab w:val="right" w:pos="9026" w:leader="dot"/>
            </w:tabs>
            <w:rPr/>
          </w:pPr>
          <w:hyperlink w:anchor="__RefHeading___Toc1656292_2281741623">
            <w:r>
              <w:rPr>
                <w:webHidden/>
                <w:rStyle w:val="IndexLink"/>
                <w:rtl w:val="true"/>
              </w:rPr>
              <w:t>تلویزیون دینی در چهارچوب نظام های ملی متعیّن</w:t>
            </w:r>
            <w:r>
              <w:rPr>
                <w:rStyle w:val="IndexLink"/>
                <w:rtl w:val="true"/>
              </w:rPr>
              <w:tab/>
            </w:r>
            <w:r>
              <w:rPr>
                <w:rStyle w:val="IndexLink"/>
              </w:rPr>
              <w:t>240</w:t>
            </w:r>
          </w:hyperlink>
        </w:p>
        <w:p>
          <w:pPr>
            <w:pStyle w:val="Contents3"/>
            <w:tabs>
              <w:tab w:val="clear" w:pos="8459"/>
              <w:tab w:val="right" w:pos="9026" w:leader="dot"/>
            </w:tabs>
            <w:rPr/>
          </w:pPr>
          <w:hyperlink w:anchor="__RefHeading___Toc1656294_2281741623">
            <w:r>
              <w:rPr>
                <w:webHidden/>
                <w:rStyle w:val="IndexLink"/>
                <w:rtl w:val="true"/>
              </w:rPr>
              <w:t>نقد تلویزیون دینی و دین در تلویزیون</w:t>
            </w:r>
            <w:r>
              <w:rPr>
                <w:rStyle w:val="IndexLink"/>
                <w:rtl w:val="true"/>
              </w:rPr>
              <w:tab/>
            </w:r>
            <w:r>
              <w:rPr>
                <w:rStyle w:val="IndexLink"/>
              </w:rPr>
              <w:t>241</w:t>
            </w:r>
          </w:hyperlink>
        </w:p>
        <w:p>
          <w:pPr>
            <w:pStyle w:val="Contents3"/>
            <w:tabs>
              <w:tab w:val="clear" w:pos="8459"/>
              <w:tab w:val="right" w:pos="9026" w:leader="dot"/>
            </w:tabs>
            <w:rPr/>
          </w:pPr>
          <w:hyperlink w:anchor="__RefHeading___Toc1656296_2281741623">
            <w:r>
              <w:rPr>
                <w:webHidden/>
                <w:rStyle w:val="IndexLink"/>
                <w:rtl w:val="true"/>
              </w:rPr>
              <w:t>چالش ها</w:t>
            </w:r>
            <w:r>
              <w:rPr>
                <w:rStyle w:val="IndexLink"/>
                <w:rtl w:val="true"/>
              </w:rPr>
              <w:tab/>
            </w:r>
            <w:r>
              <w:rPr>
                <w:rStyle w:val="IndexLink"/>
              </w:rPr>
              <w:t>242</w:t>
            </w:r>
          </w:hyperlink>
        </w:p>
        <w:p>
          <w:pPr>
            <w:pStyle w:val="Contents3"/>
            <w:tabs>
              <w:tab w:val="clear" w:pos="8459"/>
              <w:tab w:val="right" w:pos="9026" w:leader="dot"/>
            </w:tabs>
            <w:rPr/>
          </w:pPr>
          <w:hyperlink w:anchor="__RefHeading___Toc1656298_2281741623">
            <w:r>
              <w:rPr>
                <w:webHidden/>
                <w:rStyle w:val="IndexLink"/>
                <w:rtl w:val="true"/>
              </w:rPr>
              <w:t>برای مطالعۀ بیشتر</w:t>
            </w:r>
            <w:r>
              <w:rPr>
                <w:rStyle w:val="IndexLink"/>
                <w:rtl w:val="true"/>
              </w:rPr>
              <w:tab/>
            </w:r>
            <w:r>
              <w:rPr>
                <w:rStyle w:val="IndexLink"/>
              </w:rPr>
              <w:t>245</w:t>
            </w:r>
          </w:hyperlink>
        </w:p>
        <w:p>
          <w:pPr>
            <w:pStyle w:val="Contents2"/>
            <w:tabs>
              <w:tab w:val="clear" w:pos="8743"/>
              <w:tab w:val="right" w:pos="9026" w:leader="dot"/>
            </w:tabs>
            <w:rPr/>
          </w:pPr>
          <w:hyperlink w:anchor="__RefHeading___Toc1656300_2281741623">
            <w:r>
              <w:rPr>
                <w:webHidden/>
                <w:rStyle w:val="IndexLink"/>
                <w:rtl w:val="true"/>
              </w:rPr>
              <w:t>جامعۀ اطلاعاتی</w:t>
            </w:r>
            <w:r>
              <w:rPr>
                <w:rStyle w:val="IndexLink"/>
                <w:rtl w:val="true"/>
              </w:rPr>
              <w:tab/>
            </w:r>
            <w:r>
              <w:rPr>
                <w:rStyle w:val="IndexLink"/>
              </w:rPr>
              <w:t>247</w:t>
            </w:r>
          </w:hyperlink>
        </w:p>
        <w:p>
          <w:pPr>
            <w:pStyle w:val="Contents3"/>
            <w:tabs>
              <w:tab w:val="clear" w:pos="8459"/>
              <w:tab w:val="right" w:pos="9026" w:leader="dot"/>
            </w:tabs>
            <w:rPr/>
          </w:pPr>
          <w:hyperlink w:anchor="__RefHeading___Toc1656302_228174162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656304_2281741623">
            <w:r>
              <w:rPr>
                <w:webHidden/>
                <w:rStyle w:val="IndexLink"/>
                <w:rtl w:val="true"/>
              </w:rPr>
              <w:t>تأثیرات تجاری</w:t>
            </w:r>
            <w:r>
              <w:rPr>
                <w:rStyle w:val="IndexLink"/>
                <w:rtl w:val="true"/>
              </w:rPr>
              <w:tab/>
            </w:r>
            <w:r>
              <w:rPr>
                <w:rStyle w:val="IndexLink"/>
              </w:rPr>
              <w:t>248</w:t>
            </w:r>
          </w:hyperlink>
        </w:p>
        <w:p>
          <w:pPr>
            <w:pStyle w:val="Contents3"/>
            <w:tabs>
              <w:tab w:val="clear" w:pos="8459"/>
              <w:tab w:val="right" w:pos="9026" w:leader="dot"/>
            </w:tabs>
            <w:rPr/>
          </w:pPr>
          <w:hyperlink w:anchor="__RefHeading___Toc1656306_2281741623">
            <w:r>
              <w:rPr>
                <w:webHidden/>
                <w:rStyle w:val="IndexLink"/>
                <w:rtl w:val="true"/>
              </w:rPr>
              <w:t>بازتولید نمادهای مذهبی</w:t>
            </w:r>
            <w:r>
              <w:rPr>
                <w:rStyle w:val="IndexLink"/>
                <w:rtl w:val="true"/>
              </w:rPr>
              <w:tab/>
            </w:r>
            <w:r>
              <w:rPr>
                <w:rStyle w:val="IndexLink"/>
              </w:rPr>
              <w:t>249</w:t>
            </w:r>
          </w:hyperlink>
        </w:p>
        <w:p>
          <w:pPr>
            <w:pStyle w:val="Contents3"/>
            <w:tabs>
              <w:tab w:val="clear" w:pos="8459"/>
              <w:tab w:val="right" w:pos="9026" w:leader="dot"/>
            </w:tabs>
            <w:rPr/>
          </w:pPr>
          <w:hyperlink w:anchor="__RefHeading___Toc1656308_2281741623">
            <w:r>
              <w:rPr>
                <w:webHidden/>
                <w:rStyle w:val="IndexLink"/>
                <w:rtl w:val="true"/>
              </w:rPr>
              <w:t>تأثیرات اینترنت</w:t>
            </w:r>
            <w:r>
              <w:rPr>
                <w:rStyle w:val="IndexLink"/>
                <w:rtl w:val="true"/>
              </w:rPr>
              <w:tab/>
            </w:r>
            <w:r>
              <w:rPr>
                <w:rStyle w:val="IndexLink"/>
              </w:rPr>
              <w:t>249</w:t>
            </w:r>
          </w:hyperlink>
        </w:p>
        <w:p>
          <w:pPr>
            <w:pStyle w:val="Contents3"/>
            <w:tabs>
              <w:tab w:val="clear" w:pos="8459"/>
              <w:tab w:val="right" w:pos="9026" w:leader="dot"/>
            </w:tabs>
            <w:rPr/>
          </w:pPr>
          <w:hyperlink w:anchor="__RefHeading___Toc1656310_2281741623">
            <w:r>
              <w:rPr>
                <w:webHidden/>
                <w:rStyle w:val="IndexLink"/>
                <w:rtl w:val="true"/>
              </w:rPr>
              <w:t>استفاده از رسانه</w:t>
            </w:r>
            <w:r>
              <w:rPr>
                <w:rStyle w:val="IndexLink"/>
                <w:rtl w:val="true"/>
              </w:rPr>
              <w:tab/>
            </w:r>
            <w:r>
              <w:rPr>
                <w:rStyle w:val="IndexLink"/>
              </w:rPr>
              <w:t>250</w:t>
            </w:r>
          </w:hyperlink>
        </w:p>
        <w:p>
          <w:pPr>
            <w:pStyle w:val="Contents3"/>
            <w:tabs>
              <w:tab w:val="clear" w:pos="8459"/>
              <w:tab w:val="right" w:pos="9026" w:leader="dot"/>
            </w:tabs>
            <w:rPr/>
          </w:pPr>
          <w:hyperlink w:anchor="__RefHeading___Toc1656312_2281741623">
            <w:r>
              <w:rPr>
                <w:webHidden/>
                <w:rStyle w:val="IndexLink"/>
                <w:rtl w:val="true"/>
              </w:rPr>
              <w:t>برای مطالعۀ بیشتر</w:t>
            </w:r>
            <w:r>
              <w:rPr>
                <w:rStyle w:val="IndexLink"/>
                <w:rtl w:val="true"/>
              </w:rPr>
              <w:tab/>
            </w:r>
            <w:r>
              <w:rPr>
                <w:rStyle w:val="IndexLink"/>
              </w:rPr>
              <w:t>251</w:t>
            </w:r>
          </w:hyperlink>
        </w:p>
        <w:p>
          <w:pPr>
            <w:pStyle w:val="Contents2"/>
            <w:tabs>
              <w:tab w:val="clear" w:pos="8743"/>
              <w:tab w:val="right" w:pos="9026" w:leader="dot"/>
            </w:tabs>
            <w:rPr/>
          </w:pPr>
          <w:hyperlink w:anchor="__RefHeading___Toc1656314_2281741623">
            <w:r>
              <w:rPr>
                <w:webHidden/>
                <w:rStyle w:val="IndexLink"/>
                <w:rtl w:val="true"/>
              </w:rPr>
              <w:t>جامعۀ تفسیر گر</w:t>
            </w:r>
            <w:r>
              <w:rPr>
                <w:rStyle w:val="IndexLink"/>
                <w:rtl w:val="true"/>
              </w:rPr>
              <w:tab/>
            </w:r>
            <w:r>
              <w:rPr>
                <w:rStyle w:val="IndexLink"/>
              </w:rPr>
              <w:t>253</w:t>
            </w:r>
          </w:hyperlink>
        </w:p>
        <w:p>
          <w:pPr>
            <w:pStyle w:val="Contents3"/>
            <w:tabs>
              <w:tab w:val="clear" w:pos="8459"/>
              <w:tab w:val="right" w:pos="9026" w:leader="dot"/>
            </w:tabs>
            <w:rPr/>
          </w:pPr>
          <w:hyperlink w:anchor="__RefHeading___Toc1656316_228174162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656318_2281741623">
            <w:r>
              <w:rPr>
                <w:webHidden/>
                <w:rStyle w:val="IndexLink"/>
                <w:rtl w:val="true"/>
              </w:rPr>
              <w:t>خاستگاه این مفهوم</w:t>
            </w:r>
            <w:r>
              <w:rPr>
                <w:rStyle w:val="IndexLink"/>
                <w:rtl w:val="true"/>
              </w:rPr>
              <w:tab/>
            </w:r>
            <w:r>
              <w:rPr>
                <w:rStyle w:val="IndexLink"/>
              </w:rPr>
              <w:t>254</w:t>
            </w:r>
          </w:hyperlink>
        </w:p>
        <w:p>
          <w:pPr>
            <w:pStyle w:val="Contents3"/>
            <w:tabs>
              <w:tab w:val="clear" w:pos="8459"/>
              <w:tab w:val="right" w:pos="9026" w:leader="dot"/>
            </w:tabs>
            <w:rPr/>
          </w:pPr>
          <w:hyperlink w:anchor="__RefHeading___Toc1656320_2281741623">
            <w:r>
              <w:rPr>
                <w:webHidden/>
                <w:rStyle w:val="IndexLink"/>
                <w:rtl w:val="true"/>
              </w:rPr>
              <w:t>جامعۀ تفسیرگر و مطالعات رسانه</w:t>
            </w:r>
            <w:r>
              <w:rPr>
                <w:rStyle w:val="IndexLink"/>
                <w:rtl w:val="true"/>
              </w:rPr>
              <w:tab/>
            </w:r>
            <w:r>
              <w:rPr>
                <w:rStyle w:val="IndexLink"/>
              </w:rPr>
              <w:t>255</w:t>
            </w:r>
          </w:hyperlink>
        </w:p>
        <w:p>
          <w:pPr>
            <w:pStyle w:val="Contents3"/>
            <w:tabs>
              <w:tab w:val="clear" w:pos="8459"/>
              <w:tab w:val="right" w:pos="9026" w:leader="dot"/>
            </w:tabs>
            <w:rPr/>
          </w:pPr>
          <w:hyperlink w:anchor="__RefHeading___Toc1656322_2281741623">
            <w:r>
              <w:rPr>
                <w:webHidden/>
                <w:rStyle w:val="IndexLink"/>
                <w:rtl w:val="true"/>
              </w:rPr>
              <w:t>مخاطب مذهبی و جامعۀ تفسیرگر</w:t>
            </w:r>
            <w:r>
              <w:rPr>
                <w:rStyle w:val="IndexLink"/>
                <w:rtl w:val="true"/>
              </w:rPr>
              <w:tab/>
            </w:r>
            <w:r>
              <w:rPr>
                <w:rStyle w:val="IndexLink"/>
              </w:rPr>
              <w:t>258</w:t>
            </w:r>
          </w:hyperlink>
        </w:p>
        <w:p>
          <w:pPr>
            <w:pStyle w:val="Contents3"/>
            <w:tabs>
              <w:tab w:val="clear" w:pos="8459"/>
              <w:tab w:val="right" w:pos="9026" w:leader="dot"/>
            </w:tabs>
            <w:rPr/>
          </w:pPr>
          <w:hyperlink w:anchor="__RefHeading___Toc1656324_2281741623">
            <w:r>
              <w:rPr>
                <w:webHidden/>
                <w:rStyle w:val="IndexLink"/>
                <w:rtl w:val="true"/>
              </w:rPr>
              <w:t>مسیر پژوهش ها</w:t>
            </w:r>
            <w:r>
              <w:rPr>
                <w:rStyle w:val="IndexLink"/>
                <w:rtl w:val="true"/>
              </w:rPr>
              <w:tab/>
            </w:r>
            <w:r>
              <w:rPr>
                <w:rStyle w:val="IndexLink"/>
              </w:rPr>
              <w:t>260</w:t>
            </w:r>
          </w:hyperlink>
        </w:p>
        <w:p>
          <w:pPr>
            <w:pStyle w:val="Contents3"/>
            <w:tabs>
              <w:tab w:val="clear" w:pos="8459"/>
              <w:tab w:val="right" w:pos="9026" w:leader="dot"/>
            </w:tabs>
            <w:rPr/>
          </w:pPr>
          <w:hyperlink w:anchor="__RefHeading___Toc1656326_2281741623">
            <w:r>
              <w:rPr>
                <w:webHidden/>
                <w:rStyle w:val="IndexLink"/>
                <w:rtl w:val="true"/>
              </w:rPr>
              <w:t>برای مطالعۀ بیشتر</w:t>
            </w:r>
            <w:r>
              <w:rPr>
                <w:rStyle w:val="IndexLink"/>
                <w:rtl w:val="true"/>
              </w:rPr>
              <w:tab/>
            </w:r>
            <w:r>
              <w:rPr>
                <w:rStyle w:val="IndexLink"/>
              </w:rPr>
              <w:t>262</w:t>
            </w:r>
          </w:hyperlink>
        </w:p>
        <w:p>
          <w:pPr>
            <w:pStyle w:val="Contents2"/>
            <w:tabs>
              <w:tab w:val="clear" w:pos="8743"/>
              <w:tab w:val="right" w:pos="9026" w:leader="dot"/>
            </w:tabs>
            <w:rPr/>
          </w:pPr>
          <w:hyperlink w:anchor="__RefHeading___Toc1656328_2281741623">
            <w:r>
              <w:rPr>
                <w:webHidden/>
                <w:rStyle w:val="IndexLink"/>
                <w:rtl w:val="true"/>
              </w:rPr>
              <w:t>جهاد</w:t>
            </w:r>
            <w:r>
              <w:rPr>
                <w:rStyle w:val="IndexLink"/>
                <w:rtl w:val="true"/>
              </w:rPr>
              <w:tab/>
            </w:r>
            <w:r>
              <w:rPr>
                <w:rStyle w:val="IndexLink"/>
              </w:rPr>
              <w:t>264</w:t>
            </w:r>
          </w:hyperlink>
        </w:p>
        <w:p>
          <w:pPr>
            <w:pStyle w:val="Contents3"/>
            <w:tabs>
              <w:tab w:val="clear" w:pos="8459"/>
              <w:tab w:val="right" w:pos="9026" w:leader="dot"/>
            </w:tabs>
            <w:rPr/>
          </w:pPr>
          <w:hyperlink w:anchor="__RefHeading___Toc1656330_228174162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656332_2281741623">
            <w:r>
              <w:rPr>
                <w:webHidden/>
                <w:rStyle w:val="IndexLink"/>
                <w:rtl w:val="true"/>
              </w:rPr>
              <w:t>تطور تاریخی</w:t>
            </w:r>
            <w:r>
              <w:rPr>
                <w:rStyle w:val="IndexLink"/>
                <w:rtl w:val="true"/>
              </w:rPr>
              <w:tab/>
            </w:r>
            <w:r>
              <w:rPr>
                <w:rStyle w:val="IndexLink"/>
              </w:rPr>
              <w:t>264</w:t>
            </w:r>
          </w:hyperlink>
        </w:p>
        <w:p>
          <w:pPr>
            <w:pStyle w:val="Contents3"/>
            <w:tabs>
              <w:tab w:val="clear" w:pos="8459"/>
              <w:tab w:val="right" w:pos="9026" w:leader="dot"/>
            </w:tabs>
            <w:rPr/>
          </w:pPr>
          <w:hyperlink w:anchor="__RefHeading___Toc1656334_2281741623">
            <w:r>
              <w:rPr>
                <w:webHidden/>
                <w:rStyle w:val="IndexLink"/>
                <w:rtl w:val="true"/>
              </w:rPr>
              <w:t>روشنگری قرآنی</w:t>
            </w:r>
            <w:r>
              <w:rPr>
                <w:rStyle w:val="IndexLink"/>
                <w:rtl w:val="true"/>
              </w:rPr>
              <w:tab/>
            </w:r>
            <w:r>
              <w:rPr>
                <w:rStyle w:val="IndexLink"/>
              </w:rPr>
              <w:t>265</w:t>
            </w:r>
          </w:hyperlink>
        </w:p>
        <w:p>
          <w:pPr>
            <w:pStyle w:val="Contents3"/>
            <w:tabs>
              <w:tab w:val="clear" w:pos="8459"/>
              <w:tab w:val="right" w:pos="9026" w:leader="dot"/>
            </w:tabs>
            <w:rPr/>
          </w:pPr>
          <w:hyperlink w:anchor="__RefHeading___Toc1656336_2281741623">
            <w:r>
              <w:rPr>
                <w:webHidden/>
                <w:rStyle w:val="IndexLink"/>
                <w:rtl w:val="true"/>
              </w:rPr>
              <w:t>دوران قرون وسطی</w:t>
            </w:r>
            <w:r>
              <w:rPr>
                <w:rStyle w:val="IndexLink"/>
                <w:rtl w:val="true"/>
              </w:rPr>
              <w:tab/>
            </w:r>
            <w:r>
              <w:rPr>
                <w:rStyle w:val="IndexLink"/>
              </w:rPr>
              <w:t>266</w:t>
            </w:r>
          </w:hyperlink>
        </w:p>
        <w:p>
          <w:pPr>
            <w:pStyle w:val="Contents3"/>
            <w:tabs>
              <w:tab w:val="clear" w:pos="8459"/>
              <w:tab w:val="right" w:pos="9026" w:leader="dot"/>
            </w:tabs>
            <w:rPr/>
          </w:pPr>
          <w:hyperlink w:anchor="__RefHeading___Toc1656338_2281741623">
            <w:r>
              <w:rPr>
                <w:webHidden/>
                <w:rStyle w:val="IndexLink"/>
                <w:rtl w:val="true"/>
              </w:rPr>
              <w:t>تفسیرهای مدرن</w:t>
            </w:r>
            <w:r>
              <w:rPr>
                <w:rStyle w:val="IndexLink"/>
                <w:rtl w:val="true"/>
              </w:rPr>
              <w:tab/>
            </w:r>
            <w:r>
              <w:rPr>
                <w:rStyle w:val="IndexLink"/>
              </w:rPr>
              <w:t>267</w:t>
            </w:r>
          </w:hyperlink>
        </w:p>
        <w:p>
          <w:pPr>
            <w:pStyle w:val="Contents3"/>
            <w:tabs>
              <w:tab w:val="clear" w:pos="8459"/>
              <w:tab w:val="right" w:pos="9026" w:leader="dot"/>
            </w:tabs>
            <w:rPr/>
          </w:pPr>
          <w:hyperlink w:anchor="__RefHeading___Toc1656340_2281741623">
            <w:r>
              <w:rPr>
                <w:webHidden/>
                <w:rStyle w:val="IndexLink"/>
                <w:rtl w:val="true"/>
              </w:rPr>
              <w:t>اسلام سیاسی</w:t>
            </w:r>
            <w:r>
              <w:rPr>
                <w:rStyle w:val="IndexLink"/>
                <w:rtl w:val="true"/>
              </w:rPr>
              <w:tab/>
            </w:r>
            <w:r>
              <w:rPr>
                <w:rStyle w:val="IndexLink"/>
              </w:rPr>
              <w:t>268</w:t>
            </w:r>
          </w:hyperlink>
        </w:p>
        <w:p>
          <w:pPr>
            <w:pStyle w:val="Contents3"/>
            <w:tabs>
              <w:tab w:val="clear" w:pos="8459"/>
              <w:tab w:val="right" w:pos="9026" w:leader="dot"/>
            </w:tabs>
            <w:rPr/>
          </w:pPr>
          <w:hyperlink w:anchor="__RefHeading___Toc1656342_2281741623">
            <w:r>
              <w:rPr>
                <w:webHidden/>
                <w:rStyle w:val="IndexLink"/>
                <w:rtl w:val="true"/>
              </w:rPr>
              <w:t>نظام ارتباطی جهادی</w:t>
            </w:r>
            <w:r>
              <w:rPr>
                <w:rStyle w:val="IndexLink"/>
                <w:rtl w:val="true"/>
              </w:rPr>
              <w:tab/>
            </w:r>
            <w:r>
              <w:rPr>
                <w:rStyle w:val="IndexLink"/>
              </w:rPr>
              <w:t>269</w:t>
            </w:r>
          </w:hyperlink>
        </w:p>
        <w:p>
          <w:pPr>
            <w:pStyle w:val="Contents3"/>
            <w:tabs>
              <w:tab w:val="clear" w:pos="8459"/>
              <w:tab w:val="right" w:pos="9026" w:leader="dot"/>
            </w:tabs>
            <w:rPr/>
          </w:pPr>
          <w:hyperlink w:anchor="__RefHeading___Toc1656344_2281741623">
            <w:r>
              <w:rPr>
                <w:webHidden/>
                <w:rStyle w:val="IndexLink"/>
                <w:rtl w:val="true"/>
              </w:rPr>
              <w:t>عملیات های نظامی و انتقال اطلاعات</w:t>
            </w:r>
            <w:r>
              <w:rPr>
                <w:rStyle w:val="IndexLink"/>
                <w:rtl w:val="true"/>
              </w:rPr>
              <w:tab/>
            </w:r>
            <w:r>
              <w:rPr>
                <w:rStyle w:val="IndexLink"/>
              </w:rPr>
              <w:t>269</w:t>
            </w:r>
          </w:hyperlink>
        </w:p>
        <w:p>
          <w:pPr>
            <w:pStyle w:val="Contents3"/>
            <w:tabs>
              <w:tab w:val="clear" w:pos="8459"/>
              <w:tab w:val="right" w:pos="9026" w:leader="dot"/>
            </w:tabs>
            <w:rPr/>
          </w:pPr>
          <w:hyperlink w:anchor="__RefHeading___Toc1656346_2281741623">
            <w:r>
              <w:rPr>
                <w:webHidden/>
                <w:rStyle w:val="IndexLink"/>
                <w:rtl w:val="true"/>
              </w:rPr>
              <w:t xml:space="preserve">پروپاگاندا </w:t>
            </w:r>
            <w:r>
              <w:rPr>
                <w:rStyle w:val="IndexLink"/>
                <w:rtl w:val="true"/>
              </w:rPr>
              <w:t>(</w:t>
            </w:r>
            <w:r>
              <w:rPr>
                <w:rStyle w:val="IndexLink"/>
                <w:rtl w:val="true"/>
              </w:rPr>
              <w:t>تبلیغات</w:t>
            </w:r>
            <w:r>
              <w:rPr>
                <w:rStyle w:val="IndexLink"/>
                <w:rtl w:val="true"/>
              </w:rPr>
              <w:t>)</w:t>
              <w:tab/>
            </w:r>
            <w:r>
              <w:rPr>
                <w:rStyle w:val="IndexLink"/>
              </w:rPr>
              <w:t>270</w:t>
            </w:r>
          </w:hyperlink>
        </w:p>
        <w:p>
          <w:pPr>
            <w:pStyle w:val="Contents3"/>
            <w:tabs>
              <w:tab w:val="clear" w:pos="8459"/>
              <w:tab w:val="right" w:pos="9026" w:leader="dot"/>
            </w:tabs>
            <w:rPr/>
          </w:pPr>
          <w:hyperlink w:anchor="__RefHeading___Toc1656348_2281741623">
            <w:r>
              <w:rPr>
                <w:webHidden/>
                <w:rStyle w:val="IndexLink"/>
                <w:rtl w:val="true"/>
              </w:rPr>
              <w:t>الجزیره</w:t>
            </w:r>
            <w:r>
              <w:rPr>
                <w:rStyle w:val="IndexLink"/>
                <w:rtl w:val="true"/>
              </w:rPr>
              <w:t xml:space="preserve">: </w:t>
            </w:r>
            <w:r>
              <w:rPr>
                <w:rStyle w:val="IndexLink"/>
                <w:rtl w:val="true"/>
              </w:rPr>
              <w:t>یک بررسی موردی</w:t>
            </w:r>
            <w:r>
              <w:rPr>
                <w:rStyle w:val="IndexLink"/>
                <w:rtl w:val="true"/>
              </w:rPr>
              <w:tab/>
            </w:r>
            <w:r>
              <w:rPr>
                <w:rStyle w:val="IndexLink"/>
              </w:rPr>
              <w:t>270</w:t>
            </w:r>
          </w:hyperlink>
        </w:p>
        <w:p>
          <w:pPr>
            <w:pStyle w:val="Contents3"/>
            <w:tabs>
              <w:tab w:val="clear" w:pos="8459"/>
              <w:tab w:val="right" w:pos="9026" w:leader="dot"/>
            </w:tabs>
            <w:rPr/>
          </w:pPr>
          <w:hyperlink w:anchor="__RefHeading___Toc1656350_2281741623">
            <w:r>
              <w:rPr>
                <w:webHidden/>
                <w:rStyle w:val="IndexLink"/>
                <w:rtl w:val="true"/>
              </w:rPr>
              <w:t>چشم انداز</w:t>
            </w:r>
            <w:r>
              <w:rPr>
                <w:rStyle w:val="IndexLink"/>
                <w:rtl w:val="true"/>
              </w:rPr>
              <w:tab/>
            </w:r>
            <w:r>
              <w:rPr>
                <w:rStyle w:val="IndexLink"/>
              </w:rPr>
              <w:t>271</w:t>
            </w:r>
          </w:hyperlink>
        </w:p>
        <w:p>
          <w:pPr>
            <w:pStyle w:val="Contents3"/>
            <w:tabs>
              <w:tab w:val="clear" w:pos="8459"/>
              <w:tab w:val="right" w:pos="9026" w:leader="dot"/>
            </w:tabs>
            <w:rPr/>
          </w:pPr>
          <w:hyperlink w:anchor="__RefHeading___Toc1656352_2281741623">
            <w:r>
              <w:rPr>
                <w:webHidden/>
                <w:rStyle w:val="IndexLink"/>
                <w:rtl w:val="true"/>
              </w:rPr>
              <w:t>برای مطالعۀ بیشتر</w:t>
            </w:r>
            <w:r>
              <w:rPr>
                <w:rStyle w:val="IndexLink"/>
                <w:rtl w:val="true"/>
              </w:rPr>
              <w:tab/>
            </w:r>
            <w:r>
              <w:rPr>
                <w:rStyle w:val="IndexLink"/>
              </w:rPr>
              <w:t>272</w:t>
            </w:r>
          </w:hyperlink>
        </w:p>
        <w:p>
          <w:pPr>
            <w:pStyle w:val="Contents2"/>
            <w:tabs>
              <w:tab w:val="clear" w:pos="8743"/>
              <w:tab w:val="right" w:pos="9026" w:leader="dot"/>
            </w:tabs>
            <w:rPr/>
          </w:pPr>
          <w:hyperlink w:anchor="__RefHeading___Toc1656354_2281741623">
            <w:r>
              <w:rPr>
                <w:webHidden/>
                <w:rStyle w:val="IndexLink"/>
                <w:rtl w:val="true"/>
              </w:rPr>
              <w:t>درام</w:t>
            </w:r>
            <w:r>
              <w:rPr>
                <w:rStyle w:val="IndexLink"/>
                <w:rtl w:val="true"/>
              </w:rPr>
              <w:tab/>
            </w:r>
            <w:r>
              <w:rPr>
                <w:rStyle w:val="IndexLink"/>
              </w:rPr>
              <w:t>274</w:t>
            </w:r>
          </w:hyperlink>
        </w:p>
        <w:p>
          <w:pPr>
            <w:pStyle w:val="Contents3"/>
            <w:tabs>
              <w:tab w:val="clear" w:pos="8459"/>
              <w:tab w:val="right" w:pos="9026" w:leader="dot"/>
            </w:tabs>
            <w:rPr/>
          </w:pPr>
          <w:hyperlink w:anchor="__RefHeading___Toc1656356_2281741623">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656358_2281741623">
            <w:r>
              <w:rPr>
                <w:webHidden/>
                <w:rStyle w:val="IndexLink"/>
                <w:rtl w:val="true"/>
              </w:rPr>
              <w:t>ریشه های دینی تئاتر</w:t>
            </w:r>
            <w:r>
              <w:rPr>
                <w:rStyle w:val="IndexLink"/>
                <w:rtl w:val="true"/>
              </w:rPr>
              <w:tab/>
            </w:r>
            <w:r>
              <w:rPr>
                <w:rStyle w:val="IndexLink"/>
              </w:rPr>
              <w:t>274</w:t>
            </w:r>
          </w:hyperlink>
        </w:p>
        <w:p>
          <w:pPr>
            <w:pStyle w:val="Contents3"/>
            <w:tabs>
              <w:tab w:val="clear" w:pos="8459"/>
              <w:tab w:val="right" w:pos="9026" w:leader="dot"/>
            </w:tabs>
            <w:rPr/>
          </w:pPr>
          <w:hyperlink w:anchor="__RefHeading___Toc1656360_2281741623">
            <w:r>
              <w:rPr>
                <w:webHidden/>
                <w:rStyle w:val="IndexLink"/>
                <w:rtl w:val="true"/>
              </w:rPr>
              <w:t>تمایز تئاتر و آیین های مذهبی</w:t>
            </w:r>
            <w:r>
              <w:rPr>
                <w:rStyle w:val="IndexLink"/>
                <w:rtl w:val="true"/>
              </w:rPr>
              <w:tab/>
            </w:r>
            <w:r>
              <w:rPr>
                <w:rStyle w:val="IndexLink"/>
              </w:rPr>
              <w:t>277</w:t>
            </w:r>
          </w:hyperlink>
        </w:p>
        <w:p>
          <w:pPr>
            <w:pStyle w:val="Contents3"/>
            <w:tabs>
              <w:tab w:val="clear" w:pos="8459"/>
              <w:tab w:val="right" w:pos="9026" w:leader="dot"/>
            </w:tabs>
            <w:rPr/>
          </w:pPr>
          <w:hyperlink w:anchor="__RefHeading___Toc1656362_2281741623">
            <w:r>
              <w:rPr>
                <w:webHidden/>
                <w:rStyle w:val="IndexLink"/>
                <w:rtl w:val="true"/>
              </w:rPr>
              <w:t>بازگشت معنویت به تئاتر</w:t>
            </w:r>
            <w:r>
              <w:rPr>
                <w:rStyle w:val="IndexLink"/>
                <w:rtl w:val="true"/>
              </w:rPr>
              <w:tab/>
            </w:r>
            <w:r>
              <w:rPr>
                <w:rStyle w:val="IndexLink"/>
              </w:rPr>
              <w:t>280</w:t>
            </w:r>
          </w:hyperlink>
        </w:p>
        <w:p>
          <w:pPr>
            <w:pStyle w:val="Contents3"/>
            <w:tabs>
              <w:tab w:val="clear" w:pos="8459"/>
              <w:tab w:val="right" w:pos="9026" w:leader="dot"/>
            </w:tabs>
            <w:rPr/>
          </w:pPr>
          <w:hyperlink w:anchor="__RefHeading___Toc1656364_2281741623">
            <w:r>
              <w:rPr>
                <w:webHidden/>
                <w:rStyle w:val="IndexLink"/>
                <w:rtl w:val="true"/>
              </w:rPr>
              <w:t>روابط کنونی میان تئاتر و دین</w:t>
            </w:r>
            <w:r>
              <w:rPr>
                <w:rStyle w:val="IndexLink"/>
                <w:rtl w:val="true"/>
              </w:rPr>
              <w:tab/>
            </w:r>
            <w:r>
              <w:rPr>
                <w:rStyle w:val="IndexLink"/>
              </w:rPr>
              <w:t>282</w:t>
            </w:r>
          </w:hyperlink>
        </w:p>
        <w:p>
          <w:pPr>
            <w:pStyle w:val="Contents3"/>
            <w:tabs>
              <w:tab w:val="clear" w:pos="8459"/>
              <w:tab w:val="right" w:pos="9026" w:leader="dot"/>
            </w:tabs>
            <w:rPr/>
          </w:pPr>
          <w:hyperlink w:anchor="__RefHeading___Toc1656366_2281741623">
            <w:r>
              <w:rPr>
                <w:webHidden/>
                <w:rStyle w:val="IndexLink"/>
                <w:rtl w:val="true"/>
              </w:rPr>
              <w:t>برای مطالعة بیشتر</w:t>
            </w:r>
            <w:r>
              <w:rPr>
                <w:rStyle w:val="IndexLink"/>
                <w:rtl w:val="true"/>
              </w:rPr>
              <w:tab/>
            </w:r>
            <w:r>
              <w:rPr>
                <w:rStyle w:val="IndexLink"/>
              </w:rPr>
              <w:t>283</w:t>
            </w:r>
          </w:hyperlink>
        </w:p>
        <w:p>
          <w:pPr>
            <w:pStyle w:val="Contents2"/>
            <w:tabs>
              <w:tab w:val="clear" w:pos="8743"/>
              <w:tab w:val="right" w:pos="9026" w:leader="dot"/>
            </w:tabs>
            <w:rPr/>
          </w:pPr>
          <w:hyperlink w:anchor="__RefHeading___Toc1656368_2281741623">
            <w:r>
              <w:rPr>
                <w:webHidden/>
                <w:rStyle w:val="IndexLink"/>
                <w:rtl w:val="true"/>
              </w:rPr>
              <w:t>رادیو</w:t>
            </w:r>
            <w:r>
              <w:rPr>
                <w:rStyle w:val="IndexLink"/>
                <w:rtl w:val="true"/>
              </w:rPr>
              <w:tab/>
            </w:r>
            <w:r>
              <w:rPr>
                <w:rStyle w:val="IndexLink"/>
              </w:rPr>
              <w:t>284</w:t>
            </w:r>
          </w:hyperlink>
        </w:p>
        <w:p>
          <w:pPr>
            <w:pStyle w:val="Contents3"/>
            <w:tabs>
              <w:tab w:val="clear" w:pos="8459"/>
              <w:tab w:val="right" w:pos="9026" w:leader="dot"/>
            </w:tabs>
            <w:rPr/>
          </w:pPr>
          <w:hyperlink w:anchor="__RefHeading___Toc1656370_228174162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656372_2281741623">
            <w:r>
              <w:rPr>
                <w:webHidden/>
                <w:rStyle w:val="IndexLink"/>
                <w:rtl w:val="true"/>
              </w:rPr>
              <w:t>رادیوی دینی جهانی</w:t>
            </w:r>
            <w:r>
              <w:rPr>
                <w:rStyle w:val="IndexLink"/>
                <w:rtl w:val="true"/>
              </w:rPr>
              <w:tab/>
            </w:r>
            <w:r>
              <w:rPr>
                <w:rStyle w:val="IndexLink"/>
              </w:rPr>
              <w:t>285</w:t>
            </w:r>
          </w:hyperlink>
        </w:p>
        <w:p>
          <w:pPr>
            <w:pStyle w:val="Contents3"/>
            <w:tabs>
              <w:tab w:val="clear" w:pos="8459"/>
              <w:tab w:val="right" w:pos="9026" w:leader="dot"/>
            </w:tabs>
            <w:rPr/>
          </w:pPr>
          <w:hyperlink w:anchor="__RefHeading___Toc1656374_2281741623">
            <w:r>
              <w:rPr>
                <w:webHidden/>
                <w:rStyle w:val="IndexLink"/>
                <w:rtl w:val="true"/>
              </w:rPr>
              <w:t>تولد رادیو</w:t>
            </w:r>
            <w:r>
              <w:rPr>
                <w:rStyle w:val="IndexLink"/>
                <w:rtl w:val="true"/>
              </w:rPr>
              <w:tab/>
            </w:r>
            <w:r>
              <w:rPr>
                <w:rStyle w:val="IndexLink"/>
              </w:rPr>
              <w:t>286</w:t>
            </w:r>
          </w:hyperlink>
        </w:p>
        <w:p>
          <w:pPr>
            <w:pStyle w:val="Contents3"/>
            <w:tabs>
              <w:tab w:val="clear" w:pos="8459"/>
              <w:tab w:val="right" w:pos="9026" w:leader="dot"/>
            </w:tabs>
            <w:rPr/>
          </w:pPr>
          <w:hyperlink w:anchor="__RefHeading___Toc1656376_2281741623">
            <w:r>
              <w:rPr>
                <w:webHidden/>
                <w:rStyle w:val="IndexLink"/>
                <w:rtl w:val="true"/>
              </w:rPr>
              <w:t>روزهای نخست رادیو</w:t>
            </w:r>
            <w:r>
              <w:rPr>
                <w:rStyle w:val="IndexLink"/>
                <w:rtl w:val="true"/>
              </w:rPr>
              <w:tab/>
            </w:r>
            <w:r>
              <w:rPr>
                <w:rStyle w:val="IndexLink"/>
              </w:rPr>
              <w:t>287</w:t>
            </w:r>
          </w:hyperlink>
        </w:p>
        <w:p>
          <w:pPr>
            <w:pStyle w:val="Contents3"/>
            <w:tabs>
              <w:tab w:val="clear" w:pos="8459"/>
              <w:tab w:val="right" w:pos="9026" w:leader="dot"/>
            </w:tabs>
            <w:rPr/>
          </w:pPr>
          <w:hyperlink w:anchor="__RefHeading___Toc1656378_2281741623">
            <w:r>
              <w:rPr>
                <w:webHidden/>
                <w:rStyle w:val="IndexLink"/>
                <w:rtl w:val="true"/>
              </w:rPr>
              <w:t>نخستین خدمات پخش رادیویی دینی</w:t>
            </w:r>
            <w:r>
              <w:rPr>
                <w:rStyle w:val="IndexLink"/>
                <w:rtl w:val="true"/>
              </w:rPr>
              <w:tab/>
            </w:r>
            <w:r>
              <w:rPr>
                <w:rStyle w:val="IndexLink"/>
              </w:rPr>
              <w:t>289</w:t>
            </w:r>
          </w:hyperlink>
        </w:p>
        <w:p>
          <w:pPr>
            <w:pStyle w:val="Contents3"/>
            <w:tabs>
              <w:tab w:val="clear" w:pos="8459"/>
              <w:tab w:val="right" w:pos="9026" w:leader="dot"/>
            </w:tabs>
            <w:rPr/>
          </w:pPr>
          <w:hyperlink w:anchor="__RefHeading___Toc1656380_2281741623">
            <w:r>
              <w:rPr>
                <w:webHidden/>
                <w:rStyle w:val="IndexLink"/>
                <w:rtl w:val="true"/>
              </w:rPr>
              <w:t>سخنرانان مذهبی آمریکایی رادیو</w:t>
            </w:r>
            <w:r>
              <w:rPr>
                <w:rStyle w:val="IndexLink"/>
                <w:rtl w:val="true"/>
              </w:rPr>
              <w:tab/>
            </w:r>
            <w:r>
              <w:rPr>
                <w:rStyle w:val="IndexLink"/>
              </w:rPr>
              <w:t>290</w:t>
            </w:r>
          </w:hyperlink>
        </w:p>
        <w:p>
          <w:pPr>
            <w:pStyle w:val="Contents3"/>
            <w:tabs>
              <w:tab w:val="clear" w:pos="8459"/>
              <w:tab w:val="right" w:pos="9026" w:leader="dot"/>
            </w:tabs>
            <w:rPr/>
          </w:pPr>
          <w:hyperlink w:anchor="__RefHeading___Toc1656382_2281741623">
            <w:r>
              <w:rPr>
                <w:webHidden/>
                <w:rStyle w:val="IndexLink"/>
                <w:rtl w:val="true"/>
              </w:rPr>
              <w:t>رادیوی مذهبی در زمان جنگ</w:t>
            </w:r>
            <w:r>
              <w:rPr>
                <w:rStyle w:val="IndexLink"/>
                <w:rtl w:val="true"/>
              </w:rPr>
              <w:tab/>
            </w:r>
            <w:r>
              <w:rPr>
                <w:rStyle w:val="IndexLink"/>
              </w:rPr>
              <w:t>292</w:t>
            </w:r>
          </w:hyperlink>
        </w:p>
        <w:p>
          <w:pPr>
            <w:pStyle w:val="Contents3"/>
            <w:tabs>
              <w:tab w:val="clear" w:pos="8459"/>
              <w:tab w:val="right" w:pos="9026" w:leader="dot"/>
            </w:tabs>
            <w:rPr/>
          </w:pPr>
          <w:hyperlink w:anchor="__RefHeading___Toc1656384_2281741623">
            <w:r>
              <w:rPr>
                <w:webHidden/>
                <w:rStyle w:val="IndexLink"/>
                <w:rtl w:val="true"/>
              </w:rPr>
              <w:t>مرگ رادیو؟</w:t>
            </w:r>
            <w:r>
              <w:rPr>
                <w:rStyle w:val="IndexLink"/>
                <w:rtl w:val="true"/>
              </w:rPr>
              <w:tab/>
            </w:r>
            <w:r>
              <w:rPr>
                <w:rStyle w:val="IndexLink"/>
              </w:rPr>
              <w:t>293</w:t>
            </w:r>
          </w:hyperlink>
        </w:p>
        <w:p>
          <w:pPr>
            <w:pStyle w:val="Contents3"/>
            <w:tabs>
              <w:tab w:val="clear" w:pos="8459"/>
              <w:tab w:val="right" w:pos="9026" w:leader="dot"/>
            </w:tabs>
            <w:rPr/>
          </w:pPr>
          <w:hyperlink w:anchor="__RefHeading___Toc1656386_2281741623">
            <w:r>
              <w:rPr>
                <w:webHidden/>
                <w:rStyle w:val="IndexLink"/>
                <w:rtl w:val="true"/>
              </w:rPr>
              <w:t>سوء استفاده از رادیو</w:t>
            </w:r>
            <w:r>
              <w:rPr>
                <w:rStyle w:val="IndexLink"/>
                <w:rtl w:val="true"/>
              </w:rPr>
              <w:tab/>
            </w:r>
            <w:r>
              <w:rPr>
                <w:rStyle w:val="IndexLink"/>
              </w:rPr>
              <w:t>294</w:t>
            </w:r>
          </w:hyperlink>
        </w:p>
        <w:p>
          <w:pPr>
            <w:pStyle w:val="Contents3"/>
            <w:tabs>
              <w:tab w:val="clear" w:pos="8459"/>
              <w:tab w:val="right" w:pos="9026" w:leader="dot"/>
            </w:tabs>
            <w:rPr/>
          </w:pPr>
          <w:hyperlink w:anchor="__RefHeading___Toc1656388_2281741623">
            <w:r>
              <w:rPr>
                <w:webHidden/>
                <w:rStyle w:val="IndexLink"/>
                <w:rtl w:val="true"/>
              </w:rPr>
              <w:t>فراسوی رادیوی مذهبی ریتی</w:t>
            </w:r>
            <w:r>
              <w:rPr>
                <w:rStyle w:val="IndexLink"/>
                <w:rtl w:val="true"/>
              </w:rPr>
              <w:tab/>
            </w:r>
            <w:r>
              <w:rPr>
                <w:rStyle w:val="IndexLink"/>
              </w:rPr>
              <w:t>295</w:t>
            </w:r>
          </w:hyperlink>
        </w:p>
        <w:p>
          <w:pPr>
            <w:pStyle w:val="Contents3"/>
            <w:tabs>
              <w:tab w:val="clear" w:pos="8459"/>
              <w:tab w:val="right" w:pos="9026" w:leader="dot"/>
            </w:tabs>
            <w:rPr/>
          </w:pPr>
          <w:hyperlink w:anchor="__RefHeading___Toc1656390_2281741623">
            <w:r>
              <w:rPr>
                <w:webHidden/>
                <w:rStyle w:val="IndexLink"/>
                <w:rtl w:val="true"/>
              </w:rPr>
              <w:t>برای مطالعۀ بیشتر</w:t>
            </w:r>
            <w:r>
              <w:rPr>
                <w:rStyle w:val="IndexLink"/>
                <w:rtl w:val="true"/>
              </w:rPr>
              <w:tab/>
            </w:r>
            <w:r>
              <w:rPr>
                <w:rStyle w:val="IndexLink"/>
              </w:rPr>
              <w:t>296</w:t>
            </w:r>
          </w:hyperlink>
        </w:p>
        <w:p>
          <w:pPr>
            <w:pStyle w:val="Contents2"/>
            <w:tabs>
              <w:tab w:val="clear" w:pos="8743"/>
              <w:tab w:val="right" w:pos="9026" w:leader="dot"/>
            </w:tabs>
            <w:rPr/>
          </w:pPr>
          <w:hyperlink w:anchor="__RefHeading___Toc1656392_2281741623">
            <w:r>
              <w:rPr>
                <w:webHidden/>
                <w:rStyle w:val="IndexLink"/>
                <w:rtl w:val="true"/>
              </w:rPr>
              <w:t>رسانه</w:t>
            </w:r>
            <w:r>
              <w:rPr>
                <w:rStyle w:val="IndexLink"/>
                <w:rtl w:val="true"/>
              </w:rPr>
              <w:tab/>
            </w:r>
            <w:r>
              <w:rPr>
                <w:rStyle w:val="IndexLink"/>
              </w:rPr>
              <w:t>299</w:t>
            </w:r>
          </w:hyperlink>
        </w:p>
        <w:p>
          <w:pPr>
            <w:pStyle w:val="Contents3"/>
            <w:tabs>
              <w:tab w:val="clear" w:pos="8459"/>
              <w:tab w:val="right" w:pos="9026" w:leader="dot"/>
            </w:tabs>
            <w:rPr/>
          </w:pPr>
          <w:hyperlink w:anchor="__RefHeading___Toc1656394_228174162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656396_2281741623">
            <w:r>
              <w:rPr>
                <w:webHidden/>
                <w:rStyle w:val="IndexLink"/>
                <w:rtl w:val="true"/>
              </w:rPr>
              <w:t>پیوند رسانه با مذهب و امپراتوری</w:t>
            </w:r>
            <w:r>
              <w:rPr>
                <w:rStyle w:val="IndexLink"/>
                <w:rtl w:val="true"/>
              </w:rPr>
              <w:tab/>
            </w:r>
            <w:r>
              <w:rPr>
                <w:rStyle w:val="IndexLink"/>
              </w:rPr>
              <w:t>300</w:t>
            </w:r>
          </w:hyperlink>
        </w:p>
        <w:p>
          <w:pPr>
            <w:pStyle w:val="Contents3"/>
            <w:tabs>
              <w:tab w:val="clear" w:pos="8459"/>
              <w:tab w:val="right" w:pos="9026" w:leader="dot"/>
            </w:tabs>
            <w:rPr/>
          </w:pPr>
          <w:hyperlink w:anchor="__RefHeading___Toc1656398_2281741623">
            <w:r>
              <w:rPr>
                <w:webHidden/>
                <w:rStyle w:val="IndexLink"/>
                <w:rtl w:val="true"/>
              </w:rPr>
              <w:t>گسترش نشر</w:t>
            </w:r>
            <w:r>
              <w:rPr>
                <w:rStyle w:val="IndexLink"/>
                <w:rtl w:val="true"/>
              </w:rPr>
              <w:tab/>
            </w:r>
            <w:r>
              <w:rPr>
                <w:rStyle w:val="IndexLink"/>
              </w:rPr>
              <w:t>301</w:t>
            </w:r>
          </w:hyperlink>
        </w:p>
        <w:p>
          <w:pPr>
            <w:pStyle w:val="Contents3"/>
            <w:tabs>
              <w:tab w:val="clear" w:pos="8459"/>
              <w:tab w:val="right" w:pos="9026" w:leader="dot"/>
            </w:tabs>
            <w:rPr/>
          </w:pPr>
          <w:hyperlink w:anchor="__RefHeading___Toc1656400_2281741623">
            <w:r>
              <w:rPr>
                <w:webHidden/>
                <w:rStyle w:val="IndexLink"/>
                <w:rtl w:val="true"/>
              </w:rPr>
              <w:t>شکل گیری رسانه های تازه</w:t>
            </w:r>
            <w:r>
              <w:rPr>
                <w:rStyle w:val="IndexLink"/>
                <w:rtl w:val="true"/>
              </w:rPr>
              <w:tab/>
            </w:r>
            <w:r>
              <w:rPr>
                <w:rStyle w:val="IndexLink"/>
              </w:rPr>
              <w:t>302</w:t>
            </w:r>
          </w:hyperlink>
        </w:p>
        <w:p>
          <w:pPr>
            <w:pStyle w:val="Contents3"/>
            <w:tabs>
              <w:tab w:val="clear" w:pos="8459"/>
              <w:tab w:val="right" w:pos="9026" w:leader="dot"/>
            </w:tabs>
            <w:rPr/>
          </w:pPr>
          <w:hyperlink w:anchor="__RefHeading___Toc1656402_2281741623">
            <w:r>
              <w:rPr>
                <w:webHidden/>
                <w:rStyle w:val="IndexLink"/>
                <w:rtl w:val="true"/>
              </w:rPr>
              <w:t>شکل گیری برنامه های رادیو و تلویزیونی مذهبی</w:t>
            </w:r>
            <w:r>
              <w:rPr>
                <w:rStyle w:val="IndexLink"/>
                <w:rtl w:val="true"/>
              </w:rPr>
              <w:tab/>
            </w:r>
            <w:r>
              <w:rPr>
                <w:rStyle w:val="IndexLink"/>
              </w:rPr>
              <w:t>303</w:t>
            </w:r>
          </w:hyperlink>
        </w:p>
        <w:p>
          <w:pPr>
            <w:pStyle w:val="Contents3"/>
            <w:tabs>
              <w:tab w:val="clear" w:pos="8459"/>
              <w:tab w:val="right" w:pos="9026" w:leader="dot"/>
            </w:tabs>
            <w:rPr/>
          </w:pPr>
          <w:hyperlink w:anchor="__RefHeading___Toc1656404_2281741623">
            <w:r>
              <w:rPr>
                <w:webHidden/>
                <w:rStyle w:val="IndexLink"/>
                <w:rtl w:val="true"/>
              </w:rPr>
              <w:t>مضامین مذهبی در فیلم ها</w:t>
            </w:r>
            <w:r>
              <w:rPr>
                <w:rStyle w:val="IndexLink"/>
                <w:rtl w:val="true"/>
              </w:rPr>
              <w:tab/>
            </w:r>
            <w:r>
              <w:rPr>
                <w:rStyle w:val="IndexLink"/>
              </w:rPr>
              <w:t>304</w:t>
            </w:r>
          </w:hyperlink>
        </w:p>
        <w:p>
          <w:pPr>
            <w:pStyle w:val="Contents3"/>
            <w:tabs>
              <w:tab w:val="clear" w:pos="8459"/>
              <w:tab w:val="right" w:pos="9026" w:leader="dot"/>
            </w:tabs>
            <w:rPr/>
          </w:pPr>
          <w:hyperlink w:anchor="__RefHeading___Toc1656406_2281741623">
            <w:r>
              <w:rPr>
                <w:webHidden/>
                <w:rStyle w:val="IndexLink"/>
                <w:rtl w:val="true"/>
              </w:rPr>
              <w:t>سینمای فرقه گرا</w:t>
            </w:r>
            <w:r>
              <w:rPr>
                <w:rStyle w:val="IndexLink"/>
                <w:rtl w:val="true"/>
              </w:rPr>
              <w:tab/>
            </w:r>
            <w:r>
              <w:rPr>
                <w:rStyle w:val="IndexLink"/>
              </w:rPr>
              <w:t>305</w:t>
            </w:r>
          </w:hyperlink>
        </w:p>
        <w:p>
          <w:pPr>
            <w:pStyle w:val="Contents3"/>
            <w:tabs>
              <w:tab w:val="clear" w:pos="8459"/>
              <w:tab w:val="right" w:pos="9026" w:leader="dot"/>
            </w:tabs>
            <w:rPr/>
          </w:pPr>
          <w:hyperlink w:anchor="__RefHeading___Toc1656408_2281741623">
            <w:r>
              <w:rPr>
                <w:webHidden/>
                <w:rStyle w:val="IndexLink"/>
                <w:rtl w:val="true"/>
              </w:rPr>
              <w:t>ادغام رسانه در مذهب</w:t>
            </w:r>
            <w:r>
              <w:rPr>
                <w:rStyle w:val="IndexLink"/>
                <w:rtl w:val="true"/>
              </w:rPr>
              <w:tab/>
            </w:r>
            <w:r>
              <w:rPr>
                <w:rStyle w:val="IndexLink"/>
              </w:rPr>
              <w:t>305</w:t>
            </w:r>
          </w:hyperlink>
        </w:p>
        <w:p>
          <w:pPr>
            <w:pStyle w:val="Contents3"/>
            <w:tabs>
              <w:tab w:val="clear" w:pos="8459"/>
              <w:tab w:val="right" w:pos="9026" w:leader="dot"/>
            </w:tabs>
            <w:rPr/>
          </w:pPr>
          <w:hyperlink w:anchor="__RefHeading___Toc1656410_2281741623">
            <w:r>
              <w:rPr>
                <w:webHidden/>
                <w:rStyle w:val="IndexLink"/>
                <w:rtl w:val="true"/>
              </w:rPr>
              <w:t>تلویزیون و مذهب</w:t>
            </w:r>
            <w:r>
              <w:rPr>
                <w:rStyle w:val="IndexLink"/>
                <w:rtl w:val="true"/>
              </w:rPr>
              <w:tab/>
            </w:r>
            <w:r>
              <w:rPr>
                <w:rStyle w:val="IndexLink"/>
              </w:rPr>
              <w:t>306</w:t>
            </w:r>
          </w:hyperlink>
        </w:p>
        <w:p>
          <w:pPr>
            <w:pStyle w:val="Contents3"/>
            <w:tabs>
              <w:tab w:val="clear" w:pos="8459"/>
              <w:tab w:val="right" w:pos="9026" w:leader="dot"/>
            </w:tabs>
            <w:rPr/>
          </w:pPr>
          <w:hyperlink w:anchor="__RefHeading___Toc1656412_2281741623">
            <w:r>
              <w:rPr>
                <w:webHidden/>
                <w:rStyle w:val="IndexLink"/>
                <w:rtl w:val="true"/>
              </w:rPr>
              <w:t>دیدگاه بیلی گراهام دربارۀ تبلیغ انجیل و رسانه</w:t>
            </w:r>
            <w:r>
              <w:rPr>
                <w:rStyle w:val="IndexLink"/>
                <w:rtl w:val="true"/>
              </w:rPr>
              <w:tab/>
            </w:r>
            <w:r>
              <w:rPr>
                <w:rStyle w:val="IndexLink"/>
              </w:rPr>
              <w:t>308</w:t>
            </w:r>
          </w:hyperlink>
        </w:p>
        <w:p>
          <w:pPr>
            <w:pStyle w:val="Contents3"/>
            <w:tabs>
              <w:tab w:val="clear" w:pos="8459"/>
              <w:tab w:val="right" w:pos="9026" w:leader="dot"/>
            </w:tabs>
            <w:rPr/>
          </w:pPr>
          <w:hyperlink w:anchor="__RefHeading___Toc1656414_2281741623">
            <w:r>
              <w:rPr>
                <w:webHidden/>
                <w:rStyle w:val="IndexLink"/>
                <w:rtl w:val="true"/>
              </w:rPr>
              <w:t>تأثیر پخش ماهواره ای</w:t>
            </w:r>
            <w:r>
              <w:rPr>
                <w:rStyle w:val="IndexLink"/>
                <w:rtl w:val="true"/>
              </w:rPr>
              <w:tab/>
            </w:r>
            <w:r>
              <w:rPr>
                <w:rStyle w:val="IndexLink"/>
              </w:rPr>
              <w:t>308</w:t>
            </w:r>
          </w:hyperlink>
        </w:p>
        <w:p>
          <w:pPr>
            <w:pStyle w:val="Contents3"/>
            <w:tabs>
              <w:tab w:val="clear" w:pos="8459"/>
              <w:tab w:val="right" w:pos="9026" w:leader="dot"/>
            </w:tabs>
            <w:rPr/>
          </w:pPr>
          <w:hyperlink w:anchor="__RefHeading___Toc1656416_2281741623">
            <w:r>
              <w:rPr>
                <w:webHidden/>
                <w:rStyle w:val="IndexLink"/>
                <w:rtl w:val="true"/>
              </w:rPr>
              <w:t>افول الگوی خدمات عمومی</w:t>
            </w:r>
            <w:r>
              <w:rPr>
                <w:rStyle w:val="IndexLink"/>
                <w:rtl w:val="true"/>
              </w:rPr>
              <w:tab/>
            </w:r>
            <w:r>
              <w:rPr>
                <w:rStyle w:val="IndexLink"/>
              </w:rPr>
              <w:t>310</w:t>
            </w:r>
          </w:hyperlink>
        </w:p>
        <w:p>
          <w:pPr>
            <w:pStyle w:val="Contents3"/>
            <w:tabs>
              <w:tab w:val="clear" w:pos="8459"/>
              <w:tab w:val="right" w:pos="9026" w:leader="dot"/>
            </w:tabs>
            <w:rPr/>
          </w:pPr>
          <w:hyperlink w:anchor="__RefHeading___Toc1656418_2281741623">
            <w:r>
              <w:rPr>
                <w:webHidden/>
                <w:rStyle w:val="IndexLink"/>
                <w:rtl w:val="true"/>
              </w:rPr>
              <w:t>فعالیت های رسانه ای</w:t>
            </w:r>
            <w:r>
              <w:rPr>
                <w:rStyle w:val="IndexLink"/>
                <w:rtl w:val="true"/>
              </w:rPr>
              <w:tab/>
            </w:r>
            <w:r>
              <w:rPr>
                <w:rStyle w:val="IndexLink"/>
              </w:rPr>
              <w:t>312</w:t>
            </w:r>
          </w:hyperlink>
        </w:p>
        <w:p>
          <w:pPr>
            <w:pStyle w:val="Contents3"/>
            <w:tabs>
              <w:tab w:val="clear" w:pos="8459"/>
              <w:tab w:val="right" w:pos="9026" w:leader="dot"/>
            </w:tabs>
            <w:rPr/>
          </w:pPr>
          <w:hyperlink w:anchor="__RefHeading___Toc1656420_2281741623">
            <w:r>
              <w:rPr>
                <w:webHidden/>
                <w:rStyle w:val="IndexLink"/>
                <w:rtl w:val="true"/>
              </w:rPr>
              <w:t>برای مطالعۀ بیشتر</w:t>
            </w:r>
            <w:r>
              <w:rPr>
                <w:rStyle w:val="IndexLink"/>
                <w:rtl w:val="true"/>
              </w:rPr>
              <w:tab/>
            </w:r>
            <w:r>
              <w:rPr>
                <w:rStyle w:val="IndexLink"/>
              </w:rPr>
              <w:t>314</w:t>
            </w:r>
          </w:hyperlink>
        </w:p>
        <w:p>
          <w:pPr>
            <w:pStyle w:val="Contents2"/>
            <w:tabs>
              <w:tab w:val="clear" w:pos="8743"/>
              <w:tab w:val="right" w:pos="9026" w:leader="dot"/>
            </w:tabs>
            <w:rPr/>
          </w:pPr>
          <w:hyperlink w:anchor="__RefHeading___Toc1656422_2281741623">
            <w:r>
              <w:rPr>
                <w:webHidden/>
                <w:rStyle w:val="IndexLink"/>
                <w:rtl w:val="true"/>
              </w:rPr>
              <w:t>رسانه ها در اسراییل</w:t>
            </w:r>
            <w:r>
              <w:rPr>
                <w:rStyle w:val="IndexLink"/>
                <w:rtl w:val="true"/>
              </w:rPr>
              <w:tab/>
            </w:r>
            <w:r>
              <w:rPr>
                <w:rStyle w:val="IndexLink"/>
              </w:rPr>
              <w:t>317</w:t>
            </w:r>
          </w:hyperlink>
        </w:p>
        <w:p>
          <w:pPr>
            <w:pStyle w:val="Contents3"/>
            <w:tabs>
              <w:tab w:val="clear" w:pos="8459"/>
              <w:tab w:val="right" w:pos="9026" w:leader="dot"/>
            </w:tabs>
            <w:rPr/>
          </w:pPr>
          <w:hyperlink w:anchor="__RefHeading___Toc1656424_2281741623">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656426_2281741623">
            <w:r>
              <w:rPr>
                <w:webHidden/>
                <w:rStyle w:val="IndexLink"/>
                <w:rtl w:val="true"/>
              </w:rPr>
              <w:t>رسانه های جمعی</w:t>
            </w:r>
            <w:r>
              <w:rPr>
                <w:rStyle w:val="IndexLink"/>
                <w:rtl w:val="true"/>
              </w:rPr>
              <w:tab/>
            </w:r>
            <w:r>
              <w:rPr>
                <w:rStyle w:val="IndexLink"/>
              </w:rPr>
              <w:t>318</w:t>
            </w:r>
          </w:hyperlink>
        </w:p>
        <w:p>
          <w:pPr>
            <w:pStyle w:val="Contents3"/>
            <w:tabs>
              <w:tab w:val="clear" w:pos="8459"/>
              <w:tab w:val="right" w:pos="9026" w:leader="dot"/>
            </w:tabs>
            <w:rPr/>
          </w:pPr>
          <w:hyperlink w:anchor="__RefHeading___Toc1656428_2281741623">
            <w:r>
              <w:rPr>
                <w:webHidden/>
                <w:rStyle w:val="IndexLink"/>
                <w:rtl w:val="true"/>
              </w:rPr>
              <w:t>مطبوعات حَرِدی ها</w:t>
            </w:r>
            <w:r>
              <w:rPr>
                <w:rStyle w:val="IndexLink"/>
                <w:rtl w:val="true"/>
              </w:rPr>
              <w:tab/>
            </w:r>
            <w:r>
              <w:rPr>
                <w:rStyle w:val="IndexLink"/>
              </w:rPr>
              <w:t>319</w:t>
            </w:r>
          </w:hyperlink>
        </w:p>
        <w:p>
          <w:pPr>
            <w:pStyle w:val="Contents4"/>
            <w:tabs>
              <w:tab w:val="clear" w:pos="8176"/>
              <w:tab w:val="right" w:pos="9026" w:leader="dot"/>
            </w:tabs>
            <w:rPr/>
          </w:pPr>
          <w:hyperlink w:anchor="__RefHeading___Toc1656430_2281741623">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656432_2281741623">
            <w:r>
              <w:rPr>
                <w:webHidden/>
                <w:rStyle w:val="IndexLink"/>
                <w:rtl w:val="true"/>
              </w:rPr>
              <w:t>ساختار</w:t>
            </w:r>
            <w:r>
              <w:rPr>
                <w:rStyle w:val="IndexLink"/>
                <w:rtl w:val="true"/>
              </w:rPr>
              <w:tab/>
            </w:r>
            <w:r>
              <w:rPr>
                <w:rStyle w:val="IndexLink"/>
              </w:rPr>
              <w:t>319</w:t>
            </w:r>
          </w:hyperlink>
        </w:p>
        <w:p>
          <w:pPr>
            <w:pStyle w:val="Contents4"/>
            <w:tabs>
              <w:tab w:val="clear" w:pos="8176"/>
              <w:tab w:val="right" w:pos="9026" w:leader="dot"/>
            </w:tabs>
            <w:rPr/>
          </w:pPr>
          <w:hyperlink w:anchor="__RefHeading___Toc1656434_2281741623">
            <w:r>
              <w:rPr>
                <w:webHidden/>
                <w:rStyle w:val="IndexLink"/>
                <w:rtl w:val="true"/>
              </w:rPr>
              <w:t>محتوا</w:t>
            </w:r>
            <w:r>
              <w:rPr>
                <w:rStyle w:val="IndexLink"/>
                <w:rtl w:val="true"/>
              </w:rPr>
              <w:tab/>
            </w:r>
            <w:r>
              <w:rPr>
                <w:rStyle w:val="IndexLink"/>
              </w:rPr>
              <w:t>321</w:t>
            </w:r>
          </w:hyperlink>
        </w:p>
        <w:p>
          <w:pPr>
            <w:pStyle w:val="Contents3"/>
            <w:tabs>
              <w:tab w:val="clear" w:pos="8459"/>
              <w:tab w:val="right" w:pos="9026" w:leader="dot"/>
            </w:tabs>
            <w:rPr/>
          </w:pPr>
          <w:hyperlink w:anchor="__RefHeading___Toc1656436_2281741623">
            <w:r>
              <w:rPr>
                <w:webHidden/>
                <w:rStyle w:val="IndexLink"/>
                <w:rtl w:val="true"/>
              </w:rPr>
              <w:t>مطبوعات ارتدکس مدرن</w:t>
            </w:r>
            <w:r>
              <w:rPr>
                <w:rStyle w:val="IndexLink"/>
                <w:rtl w:val="true"/>
              </w:rPr>
              <w:tab/>
            </w:r>
            <w:r>
              <w:rPr>
                <w:rStyle w:val="IndexLink"/>
              </w:rPr>
              <w:t>324</w:t>
            </w:r>
          </w:hyperlink>
        </w:p>
        <w:p>
          <w:pPr>
            <w:pStyle w:val="Contents3"/>
            <w:tabs>
              <w:tab w:val="clear" w:pos="8459"/>
              <w:tab w:val="right" w:pos="9026" w:leader="dot"/>
            </w:tabs>
            <w:rPr/>
          </w:pPr>
          <w:hyperlink w:anchor="__RefHeading___Toc1656438_2281741623">
            <w:r>
              <w:rPr>
                <w:webHidden/>
                <w:rStyle w:val="IndexLink"/>
                <w:rtl w:val="true"/>
              </w:rPr>
              <w:t>خبرپراکنی دینی</w:t>
            </w:r>
            <w:r>
              <w:rPr>
                <w:rStyle w:val="IndexLink"/>
                <w:rtl w:val="true"/>
              </w:rPr>
              <w:tab/>
            </w:r>
            <w:r>
              <w:rPr>
                <w:rStyle w:val="IndexLink"/>
              </w:rPr>
              <w:t>325</w:t>
            </w:r>
          </w:hyperlink>
        </w:p>
        <w:p>
          <w:pPr>
            <w:pStyle w:val="Contents3"/>
            <w:tabs>
              <w:tab w:val="clear" w:pos="8459"/>
              <w:tab w:val="right" w:pos="9026" w:leader="dot"/>
            </w:tabs>
            <w:rPr/>
          </w:pPr>
          <w:hyperlink w:anchor="__RefHeading___Toc1656440_2281741623">
            <w:r>
              <w:rPr>
                <w:webHidden/>
                <w:rStyle w:val="IndexLink"/>
                <w:rtl w:val="true"/>
              </w:rPr>
              <w:t>تبلیغات و روابط عمومی</w:t>
            </w:r>
            <w:r>
              <w:rPr>
                <w:rStyle w:val="IndexLink"/>
                <w:rtl w:val="true"/>
              </w:rPr>
              <w:tab/>
            </w:r>
            <w:r>
              <w:rPr>
                <w:rStyle w:val="IndexLink"/>
              </w:rPr>
              <w:t>326</w:t>
            </w:r>
          </w:hyperlink>
        </w:p>
        <w:p>
          <w:pPr>
            <w:pStyle w:val="Contents3"/>
            <w:tabs>
              <w:tab w:val="clear" w:pos="8459"/>
              <w:tab w:val="right" w:pos="9026" w:leader="dot"/>
            </w:tabs>
            <w:rPr/>
          </w:pPr>
          <w:hyperlink w:anchor="__RefHeading___Toc1656442_2281741623">
            <w:r>
              <w:rPr>
                <w:webHidden/>
                <w:rStyle w:val="IndexLink"/>
                <w:rtl w:val="true"/>
              </w:rPr>
              <w:t>الگوهای مخاطبان</w:t>
            </w:r>
            <w:r>
              <w:rPr>
                <w:rStyle w:val="IndexLink"/>
                <w:rtl w:val="true"/>
              </w:rPr>
              <w:tab/>
            </w:r>
            <w:r>
              <w:rPr>
                <w:rStyle w:val="IndexLink"/>
              </w:rPr>
              <w:t>327</w:t>
            </w:r>
          </w:hyperlink>
        </w:p>
        <w:p>
          <w:pPr>
            <w:pStyle w:val="Contents3"/>
            <w:tabs>
              <w:tab w:val="clear" w:pos="8459"/>
              <w:tab w:val="right" w:pos="9026" w:leader="dot"/>
            </w:tabs>
            <w:rPr/>
          </w:pPr>
          <w:hyperlink w:anchor="__RefHeading___Toc1656444_2281741623">
            <w:r>
              <w:rPr>
                <w:webHidden/>
                <w:rStyle w:val="IndexLink"/>
                <w:rtl w:val="true"/>
              </w:rPr>
              <w:t>رسانه و روابط سکولار ـ دینی</w:t>
            </w:r>
            <w:r>
              <w:rPr>
                <w:rStyle w:val="IndexLink"/>
                <w:rtl w:val="true"/>
              </w:rPr>
              <w:tab/>
            </w:r>
            <w:r>
              <w:rPr>
                <w:rStyle w:val="IndexLink"/>
              </w:rPr>
              <w:t>329</w:t>
            </w:r>
          </w:hyperlink>
        </w:p>
        <w:p>
          <w:pPr>
            <w:pStyle w:val="Contents3"/>
            <w:tabs>
              <w:tab w:val="clear" w:pos="8459"/>
              <w:tab w:val="right" w:pos="9026" w:leader="dot"/>
            </w:tabs>
            <w:rPr/>
          </w:pPr>
          <w:hyperlink w:anchor="__RefHeading___Toc1656446_2281741623">
            <w:r>
              <w:rPr>
                <w:webHidden/>
                <w:rStyle w:val="IndexLink"/>
                <w:rtl w:val="true"/>
              </w:rPr>
              <w:t>اینترنت یهودی</w:t>
            </w:r>
            <w:r>
              <w:rPr>
                <w:rStyle w:val="IndexLink"/>
                <w:rtl w:val="true"/>
              </w:rPr>
              <w:tab/>
            </w:r>
            <w:r>
              <w:rPr>
                <w:rStyle w:val="IndexLink"/>
              </w:rPr>
              <w:t>330</w:t>
            </w:r>
          </w:hyperlink>
        </w:p>
        <w:p>
          <w:pPr>
            <w:pStyle w:val="Contents3"/>
            <w:tabs>
              <w:tab w:val="clear" w:pos="8459"/>
              <w:tab w:val="right" w:pos="9026" w:leader="dot"/>
            </w:tabs>
            <w:rPr/>
          </w:pPr>
          <w:hyperlink w:anchor="__RefHeading___Toc1656448_2281741623">
            <w:r>
              <w:rPr>
                <w:webHidden/>
                <w:rStyle w:val="IndexLink"/>
                <w:rtl w:val="true"/>
              </w:rPr>
              <w:t>رسانه های یهودیان آواره</w:t>
            </w:r>
            <w:r>
              <w:rPr>
                <w:rStyle w:val="IndexLink"/>
                <w:rtl w:val="true"/>
              </w:rPr>
              <w:tab/>
            </w:r>
            <w:r>
              <w:rPr>
                <w:rStyle w:val="IndexLink"/>
              </w:rPr>
              <w:t>331</w:t>
            </w:r>
          </w:hyperlink>
        </w:p>
        <w:p>
          <w:pPr>
            <w:pStyle w:val="Contents3"/>
            <w:tabs>
              <w:tab w:val="clear" w:pos="8459"/>
              <w:tab w:val="right" w:pos="9026" w:leader="dot"/>
            </w:tabs>
            <w:rPr/>
          </w:pPr>
          <w:hyperlink w:anchor="__RefHeading___Toc1656450_2281741623">
            <w:r>
              <w:rPr>
                <w:webHidden/>
                <w:rStyle w:val="IndexLink"/>
                <w:rtl w:val="true"/>
              </w:rPr>
              <w:t>رسانه های عرب</w:t>
            </w:r>
            <w:r>
              <w:rPr>
                <w:rStyle w:val="IndexLink"/>
                <w:rtl w:val="true"/>
              </w:rPr>
              <w:tab/>
            </w:r>
            <w:r>
              <w:rPr>
                <w:rStyle w:val="IndexLink"/>
              </w:rPr>
              <w:t>334</w:t>
            </w:r>
          </w:hyperlink>
        </w:p>
        <w:p>
          <w:pPr>
            <w:pStyle w:val="Contents3"/>
            <w:tabs>
              <w:tab w:val="clear" w:pos="8459"/>
              <w:tab w:val="right" w:pos="9026" w:leader="dot"/>
            </w:tabs>
            <w:rPr/>
          </w:pPr>
          <w:hyperlink w:anchor="__RefHeading___Toc1656452_2281741623">
            <w:r>
              <w:rPr>
                <w:webHidden/>
                <w:rStyle w:val="IndexLink"/>
                <w:rtl w:val="true"/>
              </w:rPr>
              <w:t>برای مطالعۀ بیشتر</w:t>
            </w:r>
            <w:r>
              <w:rPr>
                <w:rStyle w:val="IndexLink"/>
                <w:rtl w:val="true"/>
              </w:rPr>
              <w:tab/>
            </w:r>
            <w:r>
              <w:rPr>
                <w:rStyle w:val="IndexLink"/>
              </w:rPr>
              <w:t>336</w:t>
            </w:r>
          </w:hyperlink>
        </w:p>
        <w:p>
          <w:pPr>
            <w:pStyle w:val="Contents2"/>
            <w:tabs>
              <w:tab w:val="clear" w:pos="8743"/>
              <w:tab w:val="right" w:pos="9026" w:leader="dot"/>
            </w:tabs>
            <w:rPr/>
          </w:pPr>
          <w:hyperlink w:anchor="__RefHeading___Toc1656454_2281741623">
            <w:r>
              <w:rPr>
                <w:webHidden/>
                <w:rStyle w:val="IndexLink"/>
                <w:rtl w:val="true"/>
              </w:rPr>
              <w:t>رمان ها</w:t>
            </w:r>
            <w:r>
              <w:rPr>
                <w:rStyle w:val="IndexLink"/>
                <w:rtl w:val="true"/>
              </w:rPr>
              <w:tab/>
            </w:r>
            <w:r>
              <w:rPr>
                <w:rStyle w:val="IndexLink"/>
              </w:rPr>
              <w:t>338</w:t>
            </w:r>
          </w:hyperlink>
        </w:p>
        <w:p>
          <w:pPr>
            <w:pStyle w:val="Contents3"/>
            <w:tabs>
              <w:tab w:val="clear" w:pos="8459"/>
              <w:tab w:val="right" w:pos="9026" w:leader="dot"/>
            </w:tabs>
            <w:rPr/>
          </w:pPr>
          <w:hyperlink w:anchor="__RefHeading___Toc1656456_2281741623">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656458_2281741623">
            <w:r>
              <w:rPr>
                <w:webHidden/>
                <w:rStyle w:val="IndexLink"/>
                <w:rtl w:val="true"/>
              </w:rPr>
              <w:t>پیدایش رمان</w:t>
            </w:r>
            <w:r>
              <w:rPr>
                <w:rStyle w:val="IndexLink"/>
                <w:rtl w:val="true"/>
              </w:rPr>
              <w:tab/>
            </w:r>
            <w:r>
              <w:rPr>
                <w:rStyle w:val="IndexLink"/>
              </w:rPr>
              <w:t>339</w:t>
            </w:r>
          </w:hyperlink>
        </w:p>
        <w:p>
          <w:pPr>
            <w:pStyle w:val="Contents3"/>
            <w:tabs>
              <w:tab w:val="clear" w:pos="8459"/>
              <w:tab w:val="right" w:pos="9026" w:leader="dot"/>
            </w:tabs>
            <w:rPr/>
          </w:pPr>
          <w:hyperlink w:anchor="__RefHeading___Toc1656460_2281741623">
            <w:r>
              <w:rPr>
                <w:webHidden/>
                <w:rStyle w:val="IndexLink"/>
                <w:rtl w:val="true"/>
              </w:rPr>
              <w:t>تعریف رمان</w:t>
            </w:r>
            <w:r>
              <w:rPr>
                <w:rStyle w:val="IndexLink"/>
                <w:rtl w:val="true"/>
              </w:rPr>
              <w:tab/>
            </w:r>
            <w:r>
              <w:rPr>
                <w:rStyle w:val="IndexLink"/>
              </w:rPr>
              <w:t>341</w:t>
            </w:r>
          </w:hyperlink>
        </w:p>
        <w:p>
          <w:pPr>
            <w:pStyle w:val="Contents3"/>
            <w:tabs>
              <w:tab w:val="clear" w:pos="8459"/>
              <w:tab w:val="right" w:pos="9026" w:leader="dot"/>
            </w:tabs>
            <w:rPr/>
          </w:pPr>
          <w:hyperlink w:anchor="__RefHeading___Toc1656462_2281741623">
            <w:r>
              <w:rPr>
                <w:webHidden/>
                <w:rStyle w:val="IndexLink"/>
                <w:rtl w:val="true"/>
              </w:rPr>
              <w:t>رمان و واقع گرایی اجتماعی</w:t>
            </w:r>
            <w:r>
              <w:rPr>
                <w:rStyle w:val="IndexLink"/>
                <w:rtl w:val="true"/>
              </w:rPr>
              <w:tab/>
            </w:r>
            <w:r>
              <w:rPr>
                <w:rStyle w:val="IndexLink"/>
              </w:rPr>
              <w:t>342</w:t>
            </w:r>
          </w:hyperlink>
        </w:p>
        <w:p>
          <w:pPr>
            <w:pStyle w:val="Contents3"/>
            <w:tabs>
              <w:tab w:val="clear" w:pos="8459"/>
              <w:tab w:val="right" w:pos="9026" w:leader="dot"/>
            </w:tabs>
            <w:rPr/>
          </w:pPr>
          <w:hyperlink w:anchor="__RefHeading___Toc1656464_2281741623">
            <w:r>
              <w:rPr>
                <w:webHidden/>
                <w:rStyle w:val="IndexLink"/>
                <w:rtl w:val="true"/>
              </w:rPr>
              <w:t xml:space="preserve">پیدایش سکولاریسم </w:t>
            </w:r>
            <w:r>
              <w:rPr>
                <w:rStyle w:val="IndexLink"/>
                <w:rtl w:val="true"/>
              </w:rPr>
              <w:t>(</w:t>
            </w:r>
            <w:r>
              <w:rPr>
                <w:rStyle w:val="IndexLink"/>
                <w:rtl w:val="true"/>
              </w:rPr>
              <w:t>دنیامحوری</w:t>
            </w:r>
            <w:r>
              <w:rPr>
                <w:rStyle w:val="IndexLink"/>
                <w:rtl w:val="true"/>
              </w:rPr>
              <w:t>/</w:t>
            </w:r>
            <w:r>
              <w:rPr>
                <w:rStyle w:val="IndexLink"/>
                <w:rtl w:val="true"/>
              </w:rPr>
              <w:t xml:space="preserve">دین گریزی </w:t>
            </w:r>
            <w:r>
              <w:rPr>
                <w:rStyle w:val="IndexLink"/>
                <w:rtl w:val="true"/>
              </w:rPr>
              <w:t>)</w:t>
              <w:tab/>
            </w:r>
            <w:r>
              <w:rPr>
                <w:rStyle w:val="IndexLink"/>
              </w:rPr>
              <w:t>345</w:t>
            </w:r>
          </w:hyperlink>
        </w:p>
        <w:p>
          <w:pPr>
            <w:pStyle w:val="Contents3"/>
            <w:tabs>
              <w:tab w:val="clear" w:pos="8459"/>
              <w:tab w:val="right" w:pos="9026" w:leader="dot"/>
            </w:tabs>
            <w:rPr/>
          </w:pPr>
          <w:hyperlink w:anchor="__RefHeading___Toc1656466_2281741623">
            <w:r>
              <w:rPr>
                <w:webHidden/>
                <w:rStyle w:val="IndexLink"/>
                <w:rtl w:val="true"/>
              </w:rPr>
              <w:t>رمان با ویژگی های مذهبی</w:t>
            </w:r>
            <w:r>
              <w:rPr>
                <w:rStyle w:val="IndexLink"/>
                <w:rtl w:val="true"/>
              </w:rPr>
              <w:tab/>
            </w:r>
            <w:r>
              <w:rPr>
                <w:rStyle w:val="IndexLink"/>
              </w:rPr>
              <w:t>346</w:t>
            </w:r>
          </w:hyperlink>
        </w:p>
        <w:p>
          <w:pPr>
            <w:pStyle w:val="Contents3"/>
            <w:tabs>
              <w:tab w:val="clear" w:pos="8459"/>
              <w:tab w:val="right" w:pos="9026" w:leader="dot"/>
            </w:tabs>
            <w:rPr/>
          </w:pPr>
          <w:hyperlink w:anchor="__RefHeading___Toc1656468_2281741623">
            <w:r>
              <w:rPr>
                <w:webHidden/>
                <w:rStyle w:val="IndexLink"/>
                <w:rtl w:val="true"/>
              </w:rPr>
              <w:t>برای مطالعۀ بیشتر</w:t>
            </w:r>
            <w:r>
              <w:rPr>
                <w:rStyle w:val="IndexLink"/>
                <w:rtl w:val="true"/>
              </w:rPr>
              <w:tab/>
            </w:r>
            <w:r>
              <w:rPr>
                <w:rStyle w:val="IndexLink"/>
              </w:rPr>
              <w:t>350</w:t>
            </w:r>
          </w:hyperlink>
        </w:p>
        <w:p>
          <w:pPr>
            <w:pStyle w:val="Contents2"/>
            <w:tabs>
              <w:tab w:val="clear" w:pos="8743"/>
              <w:tab w:val="right" w:pos="9026" w:leader="dot"/>
            </w:tabs>
            <w:rPr/>
          </w:pPr>
          <w:hyperlink w:anchor="__RefHeading___Toc1656470_2281741623">
            <w:r>
              <w:rPr>
                <w:webHidden/>
                <w:rStyle w:val="IndexLink"/>
                <w:rtl w:val="true"/>
              </w:rPr>
              <w:t>سانسور</w:t>
            </w:r>
            <w:r>
              <w:rPr>
                <w:rStyle w:val="IndexLink"/>
                <w:rtl w:val="true"/>
              </w:rPr>
              <w:tab/>
            </w:r>
            <w:r>
              <w:rPr>
                <w:rStyle w:val="IndexLink"/>
              </w:rPr>
              <w:t>351</w:t>
            </w:r>
          </w:hyperlink>
        </w:p>
        <w:p>
          <w:pPr>
            <w:pStyle w:val="Contents3"/>
            <w:tabs>
              <w:tab w:val="clear" w:pos="8459"/>
              <w:tab w:val="right" w:pos="9026" w:leader="dot"/>
            </w:tabs>
            <w:rPr/>
          </w:pPr>
          <w:hyperlink w:anchor="__RefHeading___Toc1656472_2281741623">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656474_2281741623">
            <w:r>
              <w:rPr>
                <w:webHidden/>
                <w:rStyle w:val="IndexLink"/>
                <w:rtl w:val="true"/>
              </w:rPr>
              <w:t>برای مطالعة بیشتر</w:t>
            </w:r>
            <w:r>
              <w:rPr>
                <w:rStyle w:val="IndexLink"/>
                <w:rtl w:val="true"/>
              </w:rPr>
              <w:tab/>
            </w:r>
            <w:r>
              <w:rPr>
                <w:rStyle w:val="IndexLink"/>
              </w:rPr>
              <w:t>360</w:t>
            </w:r>
          </w:hyperlink>
        </w:p>
        <w:p>
          <w:pPr>
            <w:pStyle w:val="Contents2"/>
            <w:tabs>
              <w:tab w:val="clear" w:pos="8743"/>
              <w:tab w:val="right" w:pos="9026" w:leader="dot"/>
            </w:tabs>
            <w:rPr/>
          </w:pPr>
          <w:hyperlink w:anchor="__RefHeading___Toc1656476_2281741623">
            <w:r>
              <w:rPr>
                <w:webHidden/>
                <w:rStyle w:val="IndexLink"/>
                <w:rtl w:val="true"/>
              </w:rPr>
              <w:t>سرگرمی</w:t>
            </w:r>
            <w:r>
              <w:rPr>
                <w:rStyle w:val="IndexLink"/>
                <w:rtl w:val="true"/>
              </w:rPr>
              <w:tab/>
            </w:r>
            <w:r>
              <w:rPr>
                <w:rStyle w:val="IndexLink"/>
              </w:rPr>
              <w:t>362</w:t>
            </w:r>
          </w:hyperlink>
        </w:p>
        <w:p>
          <w:pPr>
            <w:pStyle w:val="Contents3"/>
            <w:tabs>
              <w:tab w:val="clear" w:pos="8459"/>
              <w:tab w:val="right" w:pos="9026" w:leader="dot"/>
            </w:tabs>
            <w:rPr/>
          </w:pPr>
          <w:hyperlink w:anchor="__RefHeading___Toc1656478_2281741623">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1656480_2281741623">
            <w:r>
              <w:rPr>
                <w:webHidden/>
                <w:rStyle w:val="IndexLink"/>
                <w:rtl w:val="true"/>
              </w:rPr>
              <w:t>مشغولیت؛ هستۀ سرگرمی</w:t>
            </w:r>
            <w:r>
              <w:rPr>
                <w:rStyle w:val="IndexLink"/>
                <w:rtl w:val="true"/>
              </w:rPr>
              <w:tab/>
            </w:r>
            <w:r>
              <w:rPr>
                <w:rStyle w:val="IndexLink"/>
              </w:rPr>
              <w:t>362</w:t>
            </w:r>
          </w:hyperlink>
        </w:p>
        <w:p>
          <w:pPr>
            <w:pStyle w:val="Contents3"/>
            <w:tabs>
              <w:tab w:val="clear" w:pos="8459"/>
              <w:tab w:val="right" w:pos="9026" w:leader="dot"/>
            </w:tabs>
            <w:rPr/>
          </w:pPr>
          <w:hyperlink w:anchor="__RefHeading___Toc1656482_2281741623">
            <w:r>
              <w:rPr>
                <w:webHidden/>
                <w:rStyle w:val="IndexLink"/>
                <w:rtl w:val="true"/>
              </w:rPr>
              <w:t>پیام های مذهبی در سینما</w:t>
            </w:r>
            <w:r>
              <w:rPr>
                <w:rStyle w:val="IndexLink"/>
                <w:rtl w:val="true"/>
              </w:rPr>
              <w:tab/>
            </w:r>
            <w:r>
              <w:rPr>
                <w:rStyle w:val="IndexLink"/>
              </w:rPr>
              <w:t>364</w:t>
            </w:r>
          </w:hyperlink>
        </w:p>
        <w:p>
          <w:pPr>
            <w:pStyle w:val="Contents3"/>
            <w:tabs>
              <w:tab w:val="clear" w:pos="8459"/>
              <w:tab w:val="right" w:pos="9026" w:leader="dot"/>
            </w:tabs>
            <w:rPr/>
          </w:pPr>
          <w:hyperlink w:anchor="__RefHeading___Toc1656484_2281741623">
            <w:r>
              <w:rPr>
                <w:webHidden/>
                <w:rStyle w:val="IndexLink"/>
                <w:rtl w:val="true"/>
              </w:rPr>
              <w:t>پیام های مذهبی در رادیو، تلویزیون و اینترنت</w:t>
            </w:r>
            <w:r>
              <w:rPr>
                <w:rStyle w:val="IndexLink"/>
                <w:rtl w:val="true"/>
              </w:rPr>
              <w:tab/>
            </w:r>
            <w:r>
              <w:rPr>
                <w:rStyle w:val="IndexLink"/>
              </w:rPr>
              <w:t>367</w:t>
            </w:r>
          </w:hyperlink>
        </w:p>
        <w:p>
          <w:pPr>
            <w:pStyle w:val="Contents3"/>
            <w:tabs>
              <w:tab w:val="clear" w:pos="8459"/>
              <w:tab w:val="right" w:pos="9026" w:leader="dot"/>
            </w:tabs>
            <w:rPr/>
          </w:pPr>
          <w:hyperlink w:anchor="__RefHeading___Toc1656486_2281741623">
            <w:r>
              <w:rPr>
                <w:webHidden/>
                <w:rStyle w:val="IndexLink"/>
                <w:rtl w:val="true"/>
              </w:rPr>
              <w:t>پیامد ها</w:t>
            </w:r>
            <w:r>
              <w:rPr>
                <w:rStyle w:val="IndexLink"/>
                <w:rtl w:val="true"/>
              </w:rPr>
              <w:tab/>
            </w:r>
            <w:r>
              <w:rPr>
                <w:rStyle w:val="IndexLink"/>
              </w:rPr>
              <w:t>371</w:t>
            </w:r>
          </w:hyperlink>
        </w:p>
        <w:p>
          <w:pPr>
            <w:pStyle w:val="Contents3"/>
            <w:tabs>
              <w:tab w:val="clear" w:pos="8459"/>
              <w:tab w:val="right" w:pos="9026" w:leader="dot"/>
            </w:tabs>
            <w:rPr/>
          </w:pPr>
          <w:hyperlink w:anchor="__RefHeading___Toc1656488_2281741623">
            <w:r>
              <w:rPr>
                <w:webHidden/>
                <w:rStyle w:val="IndexLink"/>
                <w:rtl w:val="true"/>
              </w:rPr>
              <w:t>برای مطالعۀ بیشتر</w:t>
            </w:r>
            <w:r>
              <w:rPr>
                <w:rStyle w:val="IndexLink"/>
                <w:rtl w:val="true"/>
              </w:rPr>
              <w:tab/>
            </w:r>
            <w:r>
              <w:rPr>
                <w:rStyle w:val="IndexLink"/>
              </w:rPr>
              <w:t>372</w:t>
            </w:r>
          </w:hyperlink>
        </w:p>
        <w:p>
          <w:pPr>
            <w:pStyle w:val="Contents2"/>
            <w:tabs>
              <w:tab w:val="clear" w:pos="8743"/>
              <w:tab w:val="right" w:pos="9026" w:leader="dot"/>
            </w:tabs>
            <w:rPr/>
          </w:pPr>
          <w:hyperlink w:anchor="__RefHeading___Toc1656490_2281741623">
            <w:r>
              <w:rPr>
                <w:webHidden/>
                <w:rStyle w:val="IndexLink"/>
                <w:rtl w:val="true"/>
              </w:rPr>
              <w:t>شعر</w:t>
            </w:r>
            <w:r>
              <w:rPr>
                <w:rStyle w:val="IndexLink"/>
                <w:rtl w:val="true"/>
              </w:rPr>
              <w:tab/>
            </w:r>
            <w:r>
              <w:rPr>
                <w:rStyle w:val="IndexLink"/>
              </w:rPr>
              <w:t>375</w:t>
            </w:r>
          </w:hyperlink>
        </w:p>
        <w:p>
          <w:pPr>
            <w:pStyle w:val="Contents3"/>
            <w:tabs>
              <w:tab w:val="clear" w:pos="8459"/>
              <w:tab w:val="right" w:pos="9026" w:leader="dot"/>
            </w:tabs>
            <w:rPr/>
          </w:pPr>
          <w:hyperlink w:anchor="__RefHeading___Toc1656492_2281741623">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1656494_2281741623">
            <w:r>
              <w:rPr>
                <w:webHidden/>
                <w:rStyle w:val="IndexLink"/>
                <w:rtl w:val="true"/>
              </w:rPr>
              <w:t>تجربه</w:t>
            </w:r>
            <w:r>
              <w:rPr>
                <w:rStyle w:val="IndexLink"/>
                <w:rtl w:val="true"/>
              </w:rPr>
              <w:tab/>
            </w:r>
            <w:r>
              <w:rPr>
                <w:rStyle w:val="IndexLink"/>
              </w:rPr>
              <w:t>377</w:t>
            </w:r>
          </w:hyperlink>
        </w:p>
        <w:p>
          <w:pPr>
            <w:pStyle w:val="Contents3"/>
            <w:tabs>
              <w:tab w:val="clear" w:pos="8459"/>
              <w:tab w:val="right" w:pos="9026" w:leader="dot"/>
            </w:tabs>
            <w:rPr/>
          </w:pPr>
          <w:hyperlink w:anchor="__RefHeading___Toc1656496_2281741623">
            <w:r>
              <w:rPr>
                <w:webHidden/>
                <w:rStyle w:val="IndexLink"/>
                <w:rtl w:val="true"/>
              </w:rPr>
              <w:t>سرچشمة شعر مدرن</w:t>
            </w:r>
            <w:r>
              <w:rPr>
                <w:rStyle w:val="IndexLink"/>
                <w:rtl w:val="true"/>
              </w:rPr>
              <w:tab/>
            </w:r>
            <w:r>
              <w:rPr>
                <w:rStyle w:val="IndexLink"/>
              </w:rPr>
              <w:t>377</w:t>
            </w:r>
          </w:hyperlink>
        </w:p>
        <w:p>
          <w:pPr>
            <w:pStyle w:val="Contents3"/>
            <w:tabs>
              <w:tab w:val="clear" w:pos="8459"/>
              <w:tab w:val="right" w:pos="9026" w:leader="dot"/>
            </w:tabs>
            <w:rPr/>
          </w:pPr>
          <w:hyperlink w:anchor="__RefHeading___Toc1656498_2281741623">
            <w:r>
              <w:rPr>
                <w:webHidden/>
                <w:rStyle w:val="IndexLink"/>
                <w:rtl w:val="true"/>
              </w:rPr>
              <w:t>شعر برای مخاطبان مذهبی</w:t>
            </w:r>
            <w:r>
              <w:rPr>
                <w:rStyle w:val="IndexLink"/>
                <w:rtl w:val="true"/>
              </w:rPr>
              <w:tab/>
            </w:r>
            <w:r>
              <w:rPr>
                <w:rStyle w:val="IndexLink"/>
              </w:rPr>
              <w:t>379</w:t>
            </w:r>
          </w:hyperlink>
        </w:p>
        <w:p>
          <w:pPr>
            <w:pStyle w:val="Contents3"/>
            <w:tabs>
              <w:tab w:val="clear" w:pos="8459"/>
              <w:tab w:val="right" w:pos="9026" w:leader="dot"/>
            </w:tabs>
            <w:rPr/>
          </w:pPr>
          <w:hyperlink w:anchor="__RefHeading___Toc1656500_2281741623">
            <w:r>
              <w:rPr>
                <w:webHidden/>
                <w:rStyle w:val="IndexLink"/>
                <w:rtl w:val="true"/>
              </w:rPr>
              <w:t>اشیای مقدس</w:t>
            </w:r>
            <w:r>
              <w:rPr>
                <w:rStyle w:val="IndexLink"/>
                <w:rtl w:val="true"/>
              </w:rPr>
              <w:tab/>
            </w:r>
            <w:r>
              <w:rPr>
                <w:rStyle w:val="IndexLink"/>
              </w:rPr>
              <w:t>383</w:t>
            </w:r>
          </w:hyperlink>
        </w:p>
        <w:p>
          <w:pPr>
            <w:pStyle w:val="Contents3"/>
            <w:tabs>
              <w:tab w:val="clear" w:pos="8459"/>
              <w:tab w:val="right" w:pos="9026" w:leader="dot"/>
            </w:tabs>
            <w:rPr/>
          </w:pPr>
          <w:hyperlink w:anchor="__RefHeading___Toc1656502_2281741623">
            <w:r>
              <w:rPr>
                <w:webHidden/>
                <w:rStyle w:val="IndexLink"/>
                <w:rtl w:val="true"/>
              </w:rPr>
              <w:t>نمونه ای از اشعار نهضت هارلم</w:t>
            </w:r>
            <w:r>
              <w:rPr>
                <w:rStyle w:val="IndexLink"/>
                <w:rtl w:val="true"/>
              </w:rPr>
              <w:tab/>
            </w:r>
            <w:r>
              <w:rPr>
                <w:rStyle w:val="IndexLink"/>
              </w:rPr>
              <w:t>384</w:t>
            </w:r>
          </w:hyperlink>
        </w:p>
        <w:p>
          <w:pPr>
            <w:pStyle w:val="Contents3"/>
            <w:tabs>
              <w:tab w:val="clear" w:pos="8459"/>
              <w:tab w:val="right" w:pos="9026" w:leader="dot"/>
            </w:tabs>
            <w:rPr/>
          </w:pPr>
          <w:hyperlink w:anchor="__RefHeading___Toc1656504_2281741623">
            <w:r>
              <w:rPr>
                <w:webHidden/>
                <w:rStyle w:val="IndexLink"/>
                <w:rtl w:val="true"/>
              </w:rPr>
              <w:t>نسل بیت</w:t>
            </w:r>
            <w:r>
              <w:rPr>
                <w:rStyle w:val="IndexLink"/>
                <w:rtl w:val="true"/>
              </w:rPr>
              <w:tab/>
            </w:r>
            <w:r>
              <w:rPr>
                <w:rStyle w:val="IndexLink"/>
              </w:rPr>
              <w:t>385</w:t>
            </w:r>
          </w:hyperlink>
        </w:p>
        <w:p>
          <w:pPr>
            <w:pStyle w:val="Contents3"/>
            <w:tabs>
              <w:tab w:val="clear" w:pos="8459"/>
              <w:tab w:val="right" w:pos="9026" w:leader="dot"/>
            </w:tabs>
            <w:rPr/>
          </w:pPr>
          <w:hyperlink w:anchor="__RefHeading___Toc1656506_2281741623">
            <w:r>
              <w:rPr>
                <w:webHidden/>
                <w:rStyle w:val="IndexLink"/>
                <w:rtl w:val="true"/>
              </w:rPr>
              <w:t>تأثیر رسانه های گروهی جهانی</w:t>
            </w:r>
            <w:r>
              <w:rPr>
                <w:rStyle w:val="IndexLink"/>
                <w:rtl w:val="true"/>
              </w:rPr>
              <w:tab/>
            </w:r>
            <w:r>
              <w:rPr>
                <w:rStyle w:val="IndexLink"/>
              </w:rPr>
              <w:t>386</w:t>
            </w:r>
          </w:hyperlink>
        </w:p>
        <w:p>
          <w:pPr>
            <w:pStyle w:val="Contents3"/>
            <w:tabs>
              <w:tab w:val="clear" w:pos="8459"/>
              <w:tab w:val="right" w:pos="9026" w:leader="dot"/>
            </w:tabs>
            <w:rPr/>
          </w:pPr>
          <w:hyperlink w:anchor="__RefHeading___Toc1656508_2281741623">
            <w:r>
              <w:rPr>
                <w:webHidden/>
                <w:rStyle w:val="IndexLink"/>
                <w:rtl w:val="true"/>
              </w:rPr>
              <w:t>نمونه ای از شعر نسل بیت</w:t>
            </w:r>
            <w:r>
              <w:rPr>
                <w:rStyle w:val="IndexLink"/>
                <w:rtl w:val="true"/>
              </w:rPr>
              <w:tab/>
            </w:r>
            <w:r>
              <w:rPr>
                <w:rStyle w:val="IndexLink"/>
              </w:rPr>
              <w:t>388</w:t>
            </w:r>
          </w:hyperlink>
        </w:p>
        <w:p>
          <w:pPr>
            <w:pStyle w:val="Contents3"/>
            <w:tabs>
              <w:tab w:val="clear" w:pos="8459"/>
              <w:tab w:val="right" w:pos="9026" w:leader="dot"/>
            </w:tabs>
            <w:rPr/>
          </w:pPr>
          <w:hyperlink w:anchor="__RefHeading___Toc1656510_2281741623">
            <w:r>
              <w:rPr>
                <w:webHidden/>
                <w:rStyle w:val="IndexLink"/>
                <w:rtl w:val="true"/>
              </w:rPr>
              <w:t>برای مطالعۀ بیشتر</w:t>
            </w:r>
            <w:r>
              <w:rPr>
                <w:rStyle w:val="IndexLink"/>
                <w:rtl w:val="true"/>
              </w:rPr>
              <w:tab/>
            </w:r>
            <w:r>
              <w:rPr>
                <w:rStyle w:val="IndexLink"/>
              </w:rPr>
              <w:t>390</w:t>
            </w:r>
          </w:hyperlink>
        </w:p>
        <w:p>
          <w:pPr>
            <w:pStyle w:val="Contents2"/>
            <w:tabs>
              <w:tab w:val="clear" w:pos="8743"/>
              <w:tab w:val="right" w:pos="9026" w:leader="dot"/>
            </w:tabs>
            <w:rPr/>
          </w:pPr>
          <w:hyperlink w:anchor="__RefHeading___Toc1656512_2281741623">
            <w:r>
              <w:rPr>
                <w:webHidden/>
                <w:rStyle w:val="IndexLink"/>
                <w:rtl w:val="true"/>
              </w:rPr>
              <w:t>فیلم</w:t>
            </w:r>
            <w:r>
              <w:rPr>
                <w:rStyle w:val="IndexLink"/>
                <w:rtl w:val="true"/>
              </w:rPr>
              <w:tab/>
            </w:r>
            <w:r>
              <w:rPr>
                <w:rStyle w:val="IndexLink"/>
              </w:rPr>
              <w:t>391</w:t>
            </w:r>
          </w:hyperlink>
        </w:p>
        <w:p>
          <w:pPr>
            <w:pStyle w:val="Contents3"/>
            <w:tabs>
              <w:tab w:val="clear" w:pos="8459"/>
              <w:tab w:val="right" w:pos="9026" w:leader="dot"/>
            </w:tabs>
            <w:rPr/>
          </w:pPr>
          <w:hyperlink w:anchor="__RefHeading___Toc1656514_228174162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656516_2281741623">
            <w:r>
              <w:rPr>
                <w:webHidden/>
                <w:rStyle w:val="IndexLink"/>
                <w:rtl w:val="true"/>
              </w:rPr>
              <w:t>مذهب در فیلم های سینمای متقدم</w:t>
            </w:r>
            <w:r>
              <w:rPr>
                <w:rStyle w:val="IndexLink"/>
                <w:rtl w:val="true"/>
              </w:rPr>
              <w:tab/>
            </w:r>
            <w:r>
              <w:rPr>
                <w:rStyle w:val="IndexLink"/>
              </w:rPr>
              <w:t>392</w:t>
            </w:r>
          </w:hyperlink>
        </w:p>
        <w:p>
          <w:pPr>
            <w:pStyle w:val="Contents3"/>
            <w:tabs>
              <w:tab w:val="clear" w:pos="8459"/>
              <w:tab w:val="right" w:pos="9026" w:leader="dot"/>
            </w:tabs>
            <w:rPr/>
          </w:pPr>
          <w:hyperlink w:anchor="__RefHeading___Toc1656518_2281741623">
            <w:r>
              <w:rPr>
                <w:webHidden/>
                <w:rStyle w:val="IndexLink"/>
                <w:rtl w:val="true"/>
              </w:rPr>
              <w:t xml:space="preserve">سینمای مذهبی دهه های </w:t>
            </w:r>
            <w:r>
              <w:rPr>
                <w:rStyle w:val="IndexLink"/>
              </w:rPr>
              <w:t>1920</w:t>
            </w:r>
            <w:r>
              <w:rPr>
                <w:rStyle w:val="IndexLink"/>
                <w:rtl w:val="true"/>
              </w:rPr>
              <w:t xml:space="preserve"> </w:t>
            </w:r>
            <w:r>
              <w:rPr>
                <w:rStyle w:val="IndexLink"/>
                <w:rtl w:val="true"/>
              </w:rPr>
              <w:t xml:space="preserve">و </w:t>
            </w:r>
            <w:r>
              <w:rPr>
                <w:rStyle w:val="IndexLink"/>
              </w:rPr>
              <w:t>1930</w:t>
            </w:r>
            <w:r>
              <w:rPr>
                <w:rStyle w:val="IndexLink"/>
                <w:rtl w:val="true"/>
              </w:rPr>
              <w:tab/>
            </w:r>
            <w:r>
              <w:rPr>
                <w:rStyle w:val="IndexLink"/>
              </w:rPr>
              <w:t>395</w:t>
            </w:r>
          </w:hyperlink>
        </w:p>
        <w:p>
          <w:pPr>
            <w:pStyle w:val="Contents3"/>
            <w:tabs>
              <w:tab w:val="clear" w:pos="8459"/>
              <w:tab w:val="right" w:pos="9026" w:leader="dot"/>
            </w:tabs>
            <w:rPr/>
          </w:pPr>
          <w:hyperlink w:anchor="__RefHeading___Toc1656520_2281741623">
            <w:r>
              <w:rPr>
                <w:webHidden/>
                <w:rStyle w:val="IndexLink"/>
                <w:rtl w:val="true"/>
              </w:rPr>
              <w:t xml:space="preserve">دهه های </w:t>
            </w:r>
            <w:r>
              <w:rPr>
                <w:rStyle w:val="IndexLink"/>
              </w:rPr>
              <w:t>1930</w:t>
            </w:r>
            <w:r>
              <w:rPr>
                <w:rStyle w:val="IndexLink"/>
                <w:rtl w:val="true"/>
              </w:rPr>
              <w:t xml:space="preserve"> </w:t>
            </w:r>
            <w:r>
              <w:rPr>
                <w:rStyle w:val="IndexLink"/>
                <w:rtl w:val="true"/>
              </w:rPr>
              <w:t xml:space="preserve">و </w:t>
            </w:r>
            <w:r>
              <w:rPr>
                <w:rStyle w:val="IndexLink"/>
              </w:rPr>
              <w:t>1940</w:t>
            </w:r>
            <w:r>
              <w:rPr>
                <w:rStyle w:val="IndexLink"/>
                <w:rtl w:val="true"/>
              </w:rPr>
              <w:tab/>
            </w:r>
            <w:r>
              <w:rPr>
                <w:rStyle w:val="IndexLink"/>
              </w:rPr>
              <w:t>402</w:t>
            </w:r>
          </w:hyperlink>
        </w:p>
        <w:p>
          <w:pPr>
            <w:pStyle w:val="Contents3"/>
            <w:tabs>
              <w:tab w:val="clear" w:pos="8459"/>
              <w:tab w:val="right" w:pos="9026" w:leader="dot"/>
            </w:tabs>
            <w:rPr/>
          </w:pPr>
          <w:hyperlink w:anchor="__RefHeading___Toc1656522_2281741623">
            <w:r>
              <w:rPr>
                <w:webHidden/>
                <w:rStyle w:val="IndexLink"/>
                <w:rtl w:val="true"/>
              </w:rPr>
              <w:t>سینما فراتر از مسیحیت</w:t>
            </w:r>
            <w:r>
              <w:rPr>
                <w:rStyle w:val="IndexLink"/>
                <w:rtl w:val="true"/>
              </w:rPr>
              <w:tab/>
            </w:r>
            <w:r>
              <w:rPr>
                <w:rStyle w:val="IndexLink"/>
              </w:rPr>
              <w:t>405</w:t>
            </w:r>
          </w:hyperlink>
        </w:p>
        <w:p>
          <w:pPr>
            <w:pStyle w:val="Contents3"/>
            <w:tabs>
              <w:tab w:val="clear" w:pos="8459"/>
              <w:tab w:val="right" w:pos="9026" w:leader="dot"/>
            </w:tabs>
            <w:rPr/>
          </w:pPr>
          <w:hyperlink w:anchor="__RefHeading___Toc1656524_2281741623">
            <w:r>
              <w:rPr>
                <w:webHidden/>
                <w:rStyle w:val="IndexLink"/>
                <w:rtl w:val="true"/>
              </w:rPr>
              <w:t>سینمای نیکوکاری</w:t>
            </w:r>
            <w:r>
              <w:rPr>
                <w:rStyle w:val="IndexLink"/>
                <w:rtl w:val="true"/>
              </w:rPr>
              <w:tab/>
            </w:r>
            <w:r>
              <w:rPr>
                <w:rStyle w:val="IndexLink"/>
              </w:rPr>
              <w:t>406</w:t>
            </w:r>
          </w:hyperlink>
        </w:p>
        <w:p>
          <w:pPr>
            <w:pStyle w:val="Contents3"/>
            <w:tabs>
              <w:tab w:val="clear" w:pos="8459"/>
              <w:tab w:val="right" w:pos="9026" w:leader="dot"/>
            </w:tabs>
            <w:rPr/>
          </w:pPr>
          <w:hyperlink w:anchor="__RefHeading___Toc1656526_2281741623">
            <w:r>
              <w:rPr>
                <w:webHidden/>
                <w:rStyle w:val="IndexLink"/>
                <w:rtl w:val="true"/>
              </w:rPr>
              <w:t xml:space="preserve">دهۀ </w:t>
            </w:r>
            <w:r>
              <w:rPr>
                <w:rStyle w:val="IndexLink"/>
              </w:rPr>
              <w:t>1950</w:t>
            </w:r>
            <w:r>
              <w:rPr>
                <w:rStyle w:val="IndexLink"/>
                <w:rtl w:val="true"/>
              </w:rPr>
              <w:tab/>
            </w:r>
            <w:r>
              <w:rPr>
                <w:rStyle w:val="IndexLink"/>
              </w:rPr>
              <w:t>408</w:t>
            </w:r>
          </w:hyperlink>
        </w:p>
        <w:p>
          <w:pPr>
            <w:pStyle w:val="Contents3"/>
            <w:tabs>
              <w:tab w:val="clear" w:pos="8459"/>
              <w:tab w:val="right" w:pos="9026" w:leader="dot"/>
            </w:tabs>
            <w:rPr/>
          </w:pPr>
          <w:hyperlink w:anchor="__RefHeading___Toc1656528_2281741623">
            <w:r>
              <w:rPr>
                <w:webHidden/>
                <w:rStyle w:val="IndexLink"/>
                <w:rtl w:val="true"/>
              </w:rPr>
              <w:t xml:space="preserve">دهۀ </w:t>
            </w:r>
            <w:r>
              <w:rPr>
                <w:rStyle w:val="IndexLink"/>
              </w:rPr>
              <w:t>1960</w:t>
            </w:r>
            <w:r>
              <w:rPr>
                <w:rStyle w:val="IndexLink"/>
                <w:rtl w:val="true"/>
              </w:rPr>
              <w:tab/>
            </w:r>
            <w:r>
              <w:rPr>
                <w:rStyle w:val="IndexLink"/>
              </w:rPr>
              <w:t>412</w:t>
            </w:r>
          </w:hyperlink>
        </w:p>
        <w:p>
          <w:pPr>
            <w:pStyle w:val="Contents3"/>
            <w:tabs>
              <w:tab w:val="clear" w:pos="8459"/>
              <w:tab w:val="right" w:pos="9026" w:leader="dot"/>
            </w:tabs>
            <w:rPr/>
          </w:pPr>
          <w:hyperlink w:anchor="__RefHeading___Toc1656530_2281741623">
            <w:r>
              <w:rPr>
                <w:webHidden/>
                <w:rStyle w:val="IndexLink"/>
                <w:rtl w:val="true"/>
              </w:rPr>
              <w:t>تحولات اخیر</w:t>
            </w:r>
            <w:r>
              <w:rPr>
                <w:rStyle w:val="IndexLink"/>
                <w:rtl w:val="true"/>
              </w:rPr>
              <w:tab/>
            </w:r>
            <w:r>
              <w:rPr>
                <w:rStyle w:val="IndexLink"/>
              </w:rPr>
              <w:t>413</w:t>
            </w:r>
          </w:hyperlink>
        </w:p>
        <w:p>
          <w:pPr>
            <w:pStyle w:val="Contents3"/>
            <w:tabs>
              <w:tab w:val="clear" w:pos="8459"/>
              <w:tab w:val="right" w:pos="9026" w:leader="dot"/>
            </w:tabs>
            <w:rPr/>
          </w:pPr>
          <w:hyperlink w:anchor="__RefHeading___Toc1656532_2281741623">
            <w:r>
              <w:rPr>
                <w:webHidden/>
                <w:rStyle w:val="IndexLink"/>
                <w:rtl w:val="true"/>
              </w:rPr>
              <w:t>برای مطالعۀ بیشتر</w:t>
            </w:r>
            <w:r>
              <w:rPr>
                <w:rStyle w:val="IndexLink"/>
                <w:rtl w:val="true"/>
              </w:rPr>
              <w:tab/>
            </w:r>
            <w:r>
              <w:rPr>
                <w:rStyle w:val="IndexLink"/>
              </w:rPr>
              <w:t>420</w:t>
            </w:r>
          </w:hyperlink>
        </w:p>
        <w:p>
          <w:pPr>
            <w:pStyle w:val="Contents2"/>
            <w:tabs>
              <w:tab w:val="clear" w:pos="8743"/>
              <w:tab w:val="right" w:pos="9026" w:leader="dot"/>
            </w:tabs>
            <w:rPr/>
          </w:pPr>
          <w:hyperlink w:anchor="__RefHeading___Toc1656534_2281741623">
            <w:r>
              <w:rPr>
                <w:webHidden/>
                <w:rStyle w:val="IndexLink"/>
                <w:rtl w:val="true"/>
              </w:rPr>
              <w:t>مجسمه سازی</w:t>
            </w:r>
            <w:r>
              <w:rPr>
                <w:rStyle w:val="IndexLink"/>
                <w:rtl w:val="true"/>
              </w:rPr>
              <w:tab/>
            </w:r>
            <w:r>
              <w:rPr>
                <w:rStyle w:val="IndexLink"/>
              </w:rPr>
              <w:t>422</w:t>
            </w:r>
          </w:hyperlink>
        </w:p>
        <w:p>
          <w:pPr>
            <w:pStyle w:val="Contents3"/>
            <w:tabs>
              <w:tab w:val="clear" w:pos="8459"/>
              <w:tab w:val="right" w:pos="9026" w:leader="dot"/>
            </w:tabs>
            <w:rPr/>
          </w:pPr>
          <w:hyperlink w:anchor="__RefHeading___Toc1656536_2281741623">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1656538_2281741623">
            <w:r>
              <w:rPr>
                <w:webHidden/>
                <w:rStyle w:val="IndexLink"/>
                <w:rtl w:val="true"/>
              </w:rPr>
              <w:t>تاریخ اولیه</w:t>
            </w:r>
            <w:r>
              <w:rPr>
                <w:rStyle w:val="IndexLink"/>
                <w:rtl w:val="true"/>
              </w:rPr>
              <w:tab/>
            </w:r>
            <w:r>
              <w:rPr>
                <w:rStyle w:val="IndexLink"/>
              </w:rPr>
              <w:t>423</w:t>
            </w:r>
          </w:hyperlink>
        </w:p>
        <w:p>
          <w:pPr>
            <w:pStyle w:val="Contents3"/>
            <w:tabs>
              <w:tab w:val="clear" w:pos="8459"/>
              <w:tab w:val="right" w:pos="9026" w:leader="dot"/>
            </w:tabs>
            <w:rPr/>
          </w:pPr>
          <w:hyperlink w:anchor="__RefHeading___Toc1656540_2281741623">
            <w:r>
              <w:rPr>
                <w:webHidden/>
                <w:rStyle w:val="IndexLink"/>
                <w:rtl w:val="true"/>
              </w:rPr>
              <w:t>استفاده های یهودی ـ مسیحی از مجسمه</w:t>
            </w:r>
            <w:r>
              <w:rPr>
                <w:rStyle w:val="IndexLink"/>
                <w:rtl w:val="true"/>
              </w:rPr>
              <w:tab/>
            </w:r>
            <w:r>
              <w:rPr>
                <w:rStyle w:val="IndexLink"/>
              </w:rPr>
              <w:t>424</w:t>
            </w:r>
          </w:hyperlink>
        </w:p>
        <w:p>
          <w:pPr>
            <w:pStyle w:val="Contents3"/>
            <w:tabs>
              <w:tab w:val="clear" w:pos="8459"/>
              <w:tab w:val="right" w:pos="9026" w:leader="dot"/>
            </w:tabs>
            <w:rPr/>
          </w:pPr>
          <w:hyperlink w:anchor="__RefHeading___Toc1656542_2281741623">
            <w:r>
              <w:rPr>
                <w:webHidden/>
                <w:rStyle w:val="IndexLink"/>
                <w:rtl w:val="true"/>
              </w:rPr>
              <w:t>اثرات رشد مسیحیت بر استفاده از مجسمه</w:t>
            </w:r>
            <w:r>
              <w:rPr>
                <w:rStyle w:val="IndexLink"/>
                <w:rtl w:val="true"/>
              </w:rPr>
              <w:tab/>
            </w:r>
            <w:r>
              <w:rPr>
                <w:rStyle w:val="IndexLink"/>
              </w:rPr>
              <w:t>426</w:t>
            </w:r>
          </w:hyperlink>
        </w:p>
        <w:p>
          <w:pPr>
            <w:pStyle w:val="Contents3"/>
            <w:tabs>
              <w:tab w:val="clear" w:pos="8459"/>
              <w:tab w:val="right" w:pos="9026" w:leader="dot"/>
            </w:tabs>
            <w:rPr/>
          </w:pPr>
          <w:hyperlink w:anchor="__RefHeading___Toc1656544_2281741623">
            <w:r>
              <w:rPr>
                <w:webHidden/>
                <w:rStyle w:val="IndexLink"/>
                <w:rtl w:val="true"/>
              </w:rPr>
              <w:t>استفاده های مذاهب دیگر از مجسمه</w:t>
            </w:r>
            <w:r>
              <w:rPr>
                <w:rStyle w:val="IndexLink"/>
                <w:rtl w:val="true"/>
              </w:rPr>
              <w:tab/>
            </w:r>
            <w:r>
              <w:rPr>
                <w:rStyle w:val="IndexLink"/>
              </w:rPr>
              <w:t>428</w:t>
            </w:r>
          </w:hyperlink>
        </w:p>
        <w:p>
          <w:pPr>
            <w:pStyle w:val="Contents3"/>
            <w:tabs>
              <w:tab w:val="clear" w:pos="8459"/>
              <w:tab w:val="right" w:pos="9026" w:leader="dot"/>
            </w:tabs>
            <w:rPr/>
          </w:pPr>
          <w:hyperlink w:anchor="__RefHeading___Toc1656546_2281741623">
            <w:r>
              <w:rPr>
                <w:webHidden/>
                <w:rStyle w:val="IndexLink"/>
                <w:rtl w:val="true"/>
              </w:rPr>
              <w:t>اثرات شمایل شکنی</w:t>
            </w:r>
            <w:r>
              <w:rPr>
                <w:rStyle w:val="IndexLink"/>
                <w:rtl w:val="true"/>
              </w:rPr>
              <w:tab/>
            </w:r>
            <w:r>
              <w:rPr>
                <w:rStyle w:val="IndexLink"/>
              </w:rPr>
              <w:t>431</w:t>
            </w:r>
          </w:hyperlink>
        </w:p>
        <w:p>
          <w:pPr>
            <w:pStyle w:val="Contents3"/>
            <w:tabs>
              <w:tab w:val="clear" w:pos="8459"/>
              <w:tab w:val="right" w:pos="9026" w:leader="dot"/>
            </w:tabs>
            <w:rPr/>
          </w:pPr>
          <w:hyperlink w:anchor="__RefHeading___Toc1656548_2281741623">
            <w:r>
              <w:rPr>
                <w:webHidden/>
                <w:rStyle w:val="IndexLink"/>
                <w:rtl w:val="true"/>
              </w:rPr>
              <w:t>برای مطالعۀ بیشتر</w:t>
            </w:r>
            <w:r>
              <w:rPr>
                <w:rStyle w:val="IndexLink"/>
                <w:rtl w:val="true"/>
              </w:rPr>
              <w:tab/>
            </w:r>
            <w:r>
              <w:rPr>
                <w:rStyle w:val="IndexLink"/>
              </w:rPr>
              <w:t>432</w:t>
            </w:r>
          </w:hyperlink>
        </w:p>
        <w:p>
          <w:pPr>
            <w:pStyle w:val="Contents2"/>
            <w:tabs>
              <w:tab w:val="clear" w:pos="8743"/>
              <w:tab w:val="right" w:pos="9026" w:leader="dot"/>
            </w:tabs>
            <w:rPr/>
          </w:pPr>
          <w:hyperlink w:anchor="__RefHeading___Toc1656550_2281741623">
            <w:r>
              <w:rPr>
                <w:webHidden/>
                <w:rStyle w:val="IndexLink"/>
                <w:rtl w:val="true"/>
              </w:rPr>
              <w:t>مجلات</w:t>
            </w:r>
            <w:r>
              <w:rPr>
                <w:rStyle w:val="IndexLink"/>
                <w:rtl w:val="true"/>
              </w:rPr>
              <w:tab/>
            </w:r>
            <w:r>
              <w:rPr>
                <w:rStyle w:val="IndexLink"/>
              </w:rPr>
              <w:t>433</w:t>
            </w:r>
          </w:hyperlink>
        </w:p>
        <w:p>
          <w:pPr>
            <w:pStyle w:val="Contents3"/>
            <w:tabs>
              <w:tab w:val="clear" w:pos="8459"/>
              <w:tab w:val="right" w:pos="9026" w:leader="dot"/>
            </w:tabs>
            <w:rPr/>
          </w:pPr>
          <w:hyperlink w:anchor="__RefHeading___Toc1656552_2281741623">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656554_2281741623">
            <w:r>
              <w:rPr>
                <w:webHidden/>
                <w:rStyle w:val="IndexLink"/>
                <w:rtl w:val="true"/>
              </w:rPr>
              <w:t>مجلات مذهبی بین المللی</w:t>
            </w:r>
            <w:r>
              <w:rPr>
                <w:rStyle w:val="IndexLink"/>
                <w:rtl w:val="true"/>
              </w:rPr>
              <w:tab/>
            </w:r>
            <w:r>
              <w:rPr>
                <w:rStyle w:val="IndexLink"/>
              </w:rPr>
              <w:t>433</w:t>
            </w:r>
          </w:hyperlink>
        </w:p>
        <w:p>
          <w:pPr>
            <w:pStyle w:val="Contents3"/>
            <w:tabs>
              <w:tab w:val="clear" w:pos="8459"/>
              <w:tab w:val="right" w:pos="9026" w:leader="dot"/>
            </w:tabs>
            <w:rPr/>
          </w:pPr>
          <w:hyperlink w:anchor="__RefHeading___Toc1656556_2281741623">
            <w:r>
              <w:rPr>
                <w:webHidden/>
                <w:rStyle w:val="IndexLink"/>
                <w:rtl w:val="true"/>
              </w:rPr>
              <w:t>اوّلین مجلات مذهبی در آمریکا</w:t>
            </w:r>
            <w:r>
              <w:rPr>
                <w:rStyle w:val="IndexLink"/>
                <w:rtl w:val="true"/>
              </w:rPr>
              <w:tab/>
            </w:r>
            <w:r>
              <w:rPr>
                <w:rStyle w:val="IndexLink"/>
              </w:rPr>
              <w:t>434</w:t>
            </w:r>
          </w:hyperlink>
        </w:p>
        <w:p>
          <w:pPr>
            <w:pStyle w:val="Contents3"/>
            <w:tabs>
              <w:tab w:val="clear" w:pos="8459"/>
              <w:tab w:val="right" w:pos="9026" w:leader="dot"/>
            </w:tabs>
            <w:rPr/>
          </w:pPr>
          <w:hyperlink w:anchor="__RefHeading___Toc1656558_2281741623">
            <w:r>
              <w:rPr>
                <w:webHidden/>
                <w:rStyle w:val="IndexLink"/>
                <w:rtl w:val="true"/>
              </w:rPr>
              <w:t>نشریات اقلیت</w:t>
            </w:r>
            <w:r>
              <w:rPr>
                <w:rStyle w:val="IndexLink"/>
                <w:rtl w:val="true"/>
              </w:rPr>
              <w:tab/>
            </w:r>
            <w:r>
              <w:rPr>
                <w:rStyle w:val="IndexLink"/>
              </w:rPr>
              <w:t>435</w:t>
            </w:r>
          </w:hyperlink>
        </w:p>
        <w:p>
          <w:pPr>
            <w:pStyle w:val="Contents3"/>
            <w:tabs>
              <w:tab w:val="clear" w:pos="8459"/>
              <w:tab w:val="right" w:pos="9026" w:leader="dot"/>
            </w:tabs>
            <w:rPr/>
          </w:pPr>
          <w:hyperlink w:anchor="__RefHeading___Toc1656560_2281741623">
            <w:r>
              <w:rPr>
                <w:webHidden/>
                <w:rStyle w:val="IndexLink"/>
                <w:rtl w:val="true"/>
              </w:rPr>
              <w:t>دیگر مجلاتِ پیش از جنگ داخلی</w:t>
            </w:r>
            <w:r>
              <w:rPr>
                <w:rStyle w:val="IndexLink"/>
                <w:rtl w:val="true"/>
              </w:rPr>
              <w:tab/>
            </w:r>
            <w:r>
              <w:rPr>
                <w:rStyle w:val="IndexLink"/>
              </w:rPr>
              <w:t>436</w:t>
            </w:r>
          </w:hyperlink>
        </w:p>
        <w:p>
          <w:pPr>
            <w:pStyle w:val="Contents3"/>
            <w:tabs>
              <w:tab w:val="clear" w:pos="8459"/>
              <w:tab w:val="right" w:pos="9026" w:leader="dot"/>
            </w:tabs>
            <w:rPr/>
          </w:pPr>
          <w:hyperlink w:anchor="__RefHeading___Toc1656562_2281741623">
            <w:r>
              <w:rPr>
                <w:webHidden/>
                <w:rStyle w:val="IndexLink"/>
                <w:rtl w:val="true"/>
              </w:rPr>
              <w:t>مجلات مذهبیِ پس از جنگ داخلی</w:t>
            </w:r>
            <w:r>
              <w:rPr>
                <w:rStyle w:val="IndexLink"/>
                <w:rtl w:val="true"/>
              </w:rPr>
              <w:tab/>
            </w:r>
            <w:r>
              <w:rPr>
                <w:rStyle w:val="IndexLink"/>
              </w:rPr>
              <w:t>437</w:t>
            </w:r>
          </w:hyperlink>
        </w:p>
        <w:p>
          <w:pPr>
            <w:pStyle w:val="Contents3"/>
            <w:tabs>
              <w:tab w:val="clear" w:pos="8459"/>
              <w:tab w:val="right" w:pos="9026" w:leader="dot"/>
            </w:tabs>
            <w:rPr/>
          </w:pPr>
          <w:hyperlink w:anchor="__RefHeading___Toc1656564_2281741623">
            <w:r>
              <w:rPr>
                <w:webHidden/>
                <w:rStyle w:val="IndexLink"/>
                <w:rtl w:val="true"/>
              </w:rPr>
              <w:t>خلاقیت در انتشارات مذهبی</w:t>
            </w:r>
            <w:r>
              <w:rPr>
                <w:rStyle w:val="IndexLink"/>
                <w:rtl w:val="true"/>
              </w:rPr>
              <w:tab/>
            </w:r>
            <w:r>
              <w:rPr>
                <w:rStyle w:val="IndexLink"/>
              </w:rPr>
              <w:t>438</w:t>
            </w:r>
          </w:hyperlink>
        </w:p>
        <w:p>
          <w:pPr>
            <w:pStyle w:val="Contents3"/>
            <w:tabs>
              <w:tab w:val="clear" w:pos="8459"/>
              <w:tab w:val="right" w:pos="9026" w:leader="dot"/>
            </w:tabs>
            <w:rPr/>
          </w:pPr>
          <w:hyperlink w:anchor="__RefHeading___Toc1656566_2281741623">
            <w:r>
              <w:rPr>
                <w:webHidden/>
                <w:rStyle w:val="IndexLink"/>
                <w:rtl w:val="true"/>
              </w:rPr>
              <w:t>مجلات مذهبی مدرن</w:t>
            </w:r>
            <w:r>
              <w:rPr>
                <w:rStyle w:val="IndexLink"/>
                <w:rtl w:val="true"/>
              </w:rPr>
              <w:tab/>
            </w:r>
            <w:r>
              <w:rPr>
                <w:rStyle w:val="IndexLink"/>
              </w:rPr>
              <w:t>439</w:t>
            </w:r>
          </w:hyperlink>
        </w:p>
        <w:p>
          <w:pPr>
            <w:pStyle w:val="Contents3"/>
            <w:tabs>
              <w:tab w:val="clear" w:pos="8459"/>
              <w:tab w:val="right" w:pos="9026" w:leader="dot"/>
            </w:tabs>
            <w:rPr/>
          </w:pPr>
          <w:hyperlink w:anchor="__RefHeading___Toc1656568_2281741623">
            <w:r>
              <w:rPr>
                <w:webHidden/>
                <w:rStyle w:val="IndexLink"/>
                <w:rtl w:val="true"/>
              </w:rPr>
              <w:t>کانون انتشارات مذهبی</w:t>
            </w:r>
            <w:r>
              <w:rPr>
                <w:rStyle w:val="IndexLink"/>
                <w:rtl w:val="true"/>
              </w:rPr>
              <w:tab/>
            </w:r>
            <w:r>
              <w:rPr>
                <w:rStyle w:val="IndexLink"/>
              </w:rPr>
              <w:t>440</w:t>
            </w:r>
          </w:hyperlink>
        </w:p>
        <w:p>
          <w:pPr>
            <w:pStyle w:val="Contents3"/>
            <w:tabs>
              <w:tab w:val="clear" w:pos="8459"/>
              <w:tab w:val="right" w:pos="9026" w:leader="dot"/>
            </w:tabs>
            <w:rPr/>
          </w:pPr>
          <w:hyperlink w:anchor="__RefHeading___Toc1656570_2281741623">
            <w:r>
              <w:rPr>
                <w:webHidden/>
                <w:rStyle w:val="IndexLink"/>
                <w:rtl w:val="true"/>
              </w:rPr>
              <w:t>مجلات خاص</w:t>
            </w:r>
            <w:r>
              <w:rPr>
                <w:rStyle w:val="IndexLink"/>
                <w:rtl w:val="true"/>
              </w:rPr>
              <w:tab/>
            </w:r>
            <w:r>
              <w:rPr>
                <w:rStyle w:val="IndexLink"/>
              </w:rPr>
              <w:t>440</w:t>
            </w:r>
          </w:hyperlink>
        </w:p>
        <w:p>
          <w:pPr>
            <w:pStyle w:val="Contents3"/>
            <w:tabs>
              <w:tab w:val="clear" w:pos="8459"/>
              <w:tab w:val="right" w:pos="9026" w:leader="dot"/>
            </w:tabs>
            <w:rPr/>
          </w:pPr>
          <w:hyperlink w:anchor="__RefHeading___Toc1656572_2281741623">
            <w:r>
              <w:rPr>
                <w:webHidden/>
                <w:rStyle w:val="IndexLink"/>
                <w:rtl w:val="true"/>
              </w:rPr>
              <w:t>آیندۀ مجلات مذهبی</w:t>
            </w:r>
            <w:r>
              <w:rPr>
                <w:rStyle w:val="IndexLink"/>
                <w:rtl w:val="true"/>
              </w:rPr>
              <w:tab/>
            </w:r>
            <w:r>
              <w:rPr>
                <w:rStyle w:val="IndexLink"/>
              </w:rPr>
              <w:t>441</w:t>
            </w:r>
          </w:hyperlink>
        </w:p>
        <w:p>
          <w:pPr>
            <w:pStyle w:val="Contents3"/>
            <w:tabs>
              <w:tab w:val="clear" w:pos="8459"/>
              <w:tab w:val="right" w:pos="9026" w:leader="dot"/>
            </w:tabs>
            <w:rPr/>
          </w:pPr>
          <w:hyperlink w:anchor="__RefHeading___Toc1656574_2281741623">
            <w:r>
              <w:rPr>
                <w:webHidden/>
                <w:rStyle w:val="IndexLink"/>
                <w:rtl w:val="true"/>
              </w:rPr>
              <w:t>برای مطالعۀ بیشتر</w:t>
            </w:r>
            <w:r>
              <w:rPr>
                <w:rStyle w:val="IndexLink"/>
                <w:rtl w:val="true"/>
              </w:rPr>
              <w:tab/>
            </w:r>
            <w:r>
              <w:rPr>
                <w:rStyle w:val="IndexLink"/>
              </w:rPr>
              <w:t>443</w:t>
            </w:r>
          </w:hyperlink>
        </w:p>
        <w:p>
          <w:pPr>
            <w:pStyle w:val="Contents2"/>
            <w:tabs>
              <w:tab w:val="clear" w:pos="8743"/>
              <w:tab w:val="right" w:pos="9026" w:leader="dot"/>
            </w:tabs>
            <w:rPr/>
          </w:pPr>
          <w:hyperlink w:anchor="__RefHeading___Toc1656576_2281741623">
            <w:r>
              <w:rPr>
                <w:webHidden/>
                <w:rStyle w:val="IndexLink"/>
                <w:rtl w:val="true"/>
              </w:rPr>
              <w:t>مخاطب</w:t>
            </w:r>
            <w:r>
              <w:rPr>
                <w:rStyle w:val="IndexLink"/>
                <w:rtl w:val="true"/>
              </w:rPr>
              <w:tab/>
            </w:r>
            <w:r>
              <w:rPr>
                <w:rStyle w:val="IndexLink"/>
              </w:rPr>
              <w:t>445</w:t>
            </w:r>
          </w:hyperlink>
        </w:p>
        <w:p>
          <w:pPr>
            <w:pStyle w:val="Contents3"/>
            <w:tabs>
              <w:tab w:val="clear" w:pos="8459"/>
              <w:tab w:val="right" w:pos="9026" w:leader="dot"/>
            </w:tabs>
            <w:rPr/>
          </w:pPr>
          <w:hyperlink w:anchor="__RefHeading___Toc1656578_2281741623">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1656580_2281741623">
            <w:r>
              <w:rPr>
                <w:webHidden/>
                <w:rStyle w:val="IndexLink"/>
                <w:rtl w:val="true"/>
              </w:rPr>
              <w:t>تاریخچۀ مخاطبان مذهبی</w:t>
            </w:r>
            <w:r>
              <w:rPr>
                <w:rStyle w:val="IndexLink"/>
                <w:rtl w:val="true"/>
              </w:rPr>
              <w:tab/>
            </w:r>
            <w:r>
              <w:rPr>
                <w:rStyle w:val="IndexLink"/>
              </w:rPr>
              <w:t>446</w:t>
            </w:r>
          </w:hyperlink>
        </w:p>
        <w:p>
          <w:pPr>
            <w:pStyle w:val="Contents3"/>
            <w:tabs>
              <w:tab w:val="clear" w:pos="8459"/>
              <w:tab w:val="right" w:pos="9026" w:leader="dot"/>
            </w:tabs>
            <w:rPr/>
          </w:pPr>
          <w:hyperlink w:anchor="__RefHeading___Toc1656582_2281741623">
            <w:r>
              <w:rPr>
                <w:webHidden/>
                <w:rStyle w:val="IndexLink"/>
                <w:rtl w:val="true"/>
              </w:rPr>
              <w:t>تنوع مخاطب</w:t>
            </w:r>
            <w:r>
              <w:rPr>
                <w:rStyle w:val="IndexLink"/>
                <w:rtl w:val="true"/>
              </w:rPr>
              <w:tab/>
            </w:r>
            <w:r>
              <w:rPr>
                <w:rStyle w:val="IndexLink"/>
              </w:rPr>
              <w:t>446</w:t>
            </w:r>
          </w:hyperlink>
        </w:p>
        <w:p>
          <w:pPr>
            <w:pStyle w:val="Contents3"/>
            <w:tabs>
              <w:tab w:val="clear" w:pos="8459"/>
              <w:tab w:val="right" w:pos="9026" w:leader="dot"/>
            </w:tabs>
            <w:rPr/>
          </w:pPr>
          <w:hyperlink w:anchor="__RefHeading___Toc1656584_2281741623">
            <w:r>
              <w:rPr>
                <w:webHidden/>
                <w:rStyle w:val="IndexLink"/>
                <w:rtl w:val="true"/>
              </w:rPr>
              <w:t>استفاده از رسانۀ سکولار در عبادات مذهبی</w:t>
            </w:r>
            <w:r>
              <w:rPr>
                <w:rStyle w:val="IndexLink"/>
                <w:rtl w:val="true"/>
              </w:rPr>
              <w:tab/>
            </w:r>
            <w:r>
              <w:rPr>
                <w:rStyle w:val="IndexLink"/>
              </w:rPr>
              <w:t>448</w:t>
            </w:r>
          </w:hyperlink>
        </w:p>
        <w:p>
          <w:pPr>
            <w:pStyle w:val="Contents3"/>
            <w:tabs>
              <w:tab w:val="clear" w:pos="8459"/>
              <w:tab w:val="right" w:pos="9026" w:leader="dot"/>
            </w:tabs>
            <w:rPr/>
          </w:pPr>
          <w:hyperlink w:anchor="__RefHeading___Toc1656586_2281741623">
            <w:r>
              <w:rPr>
                <w:webHidden/>
                <w:rStyle w:val="IndexLink"/>
                <w:rtl w:val="true"/>
              </w:rPr>
              <w:t>سکولارسازی</w:t>
            </w:r>
            <w:r>
              <w:rPr>
                <w:rStyle w:val="IndexLink"/>
                <w:rtl w:val="true"/>
              </w:rPr>
              <w:tab/>
            </w:r>
            <w:r>
              <w:rPr>
                <w:rStyle w:val="IndexLink"/>
              </w:rPr>
              <w:t>449</w:t>
            </w:r>
          </w:hyperlink>
        </w:p>
        <w:p>
          <w:pPr>
            <w:pStyle w:val="Contents3"/>
            <w:tabs>
              <w:tab w:val="clear" w:pos="8459"/>
              <w:tab w:val="right" w:pos="9026" w:leader="dot"/>
            </w:tabs>
            <w:rPr/>
          </w:pPr>
          <w:hyperlink w:anchor="__RefHeading___Toc1656588_2281741623">
            <w:r>
              <w:rPr>
                <w:webHidden/>
                <w:rStyle w:val="IndexLink"/>
                <w:rtl w:val="true"/>
              </w:rPr>
              <w:t>در آینده</w:t>
            </w:r>
            <w:r>
              <w:rPr>
                <w:rStyle w:val="IndexLink"/>
                <w:rtl w:val="true"/>
              </w:rPr>
              <w:tab/>
            </w:r>
            <w:r>
              <w:rPr>
                <w:rStyle w:val="IndexLink"/>
              </w:rPr>
              <w:t>450</w:t>
            </w:r>
          </w:hyperlink>
        </w:p>
        <w:p>
          <w:pPr>
            <w:pStyle w:val="Contents3"/>
            <w:tabs>
              <w:tab w:val="clear" w:pos="8459"/>
              <w:tab w:val="right" w:pos="9026" w:leader="dot"/>
            </w:tabs>
            <w:rPr/>
          </w:pPr>
          <w:hyperlink w:anchor="__RefHeading___Toc1656590_2281741623">
            <w:r>
              <w:rPr>
                <w:webHidden/>
                <w:rStyle w:val="IndexLink"/>
                <w:rtl w:val="true"/>
              </w:rPr>
              <w:t>برای مطالعۀ بیشتر</w:t>
            </w:r>
            <w:r>
              <w:rPr>
                <w:rStyle w:val="IndexLink"/>
                <w:rtl w:val="true"/>
              </w:rPr>
              <w:tab/>
            </w:r>
            <w:r>
              <w:rPr>
                <w:rStyle w:val="IndexLink"/>
              </w:rPr>
              <w:t>451</w:t>
            </w:r>
          </w:hyperlink>
        </w:p>
        <w:p>
          <w:pPr>
            <w:pStyle w:val="Contents2"/>
            <w:tabs>
              <w:tab w:val="clear" w:pos="8743"/>
              <w:tab w:val="right" w:pos="9026" w:leader="dot"/>
            </w:tabs>
            <w:rPr/>
          </w:pPr>
          <w:hyperlink w:anchor="__RefHeading___Toc1656592_2281741623">
            <w:r>
              <w:rPr>
                <w:webHidden/>
                <w:rStyle w:val="IndexLink"/>
                <w:rtl w:val="true"/>
              </w:rPr>
              <w:t>مذاهب بومیان آمریکا</w:t>
            </w:r>
            <w:r>
              <w:rPr>
                <w:rStyle w:val="IndexLink"/>
                <w:rtl w:val="true"/>
              </w:rPr>
              <w:tab/>
            </w:r>
            <w:r>
              <w:rPr>
                <w:rStyle w:val="IndexLink"/>
              </w:rPr>
              <w:t>454</w:t>
            </w:r>
          </w:hyperlink>
        </w:p>
        <w:p>
          <w:pPr>
            <w:pStyle w:val="Contents3"/>
            <w:tabs>
              <w:tab w:val="clear" w:pos="8459"/>
              <w:tab w:val="right" w:pos="9026" w:leader="dot"/>
            </w:tabs>
            <w:rPr/>
          </w:pPr>
          <w:hyperlink w:anchor="__RefHeading___Toc1656594_2281741623">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656596_2281741623">
            <w:r>
              <w:rPr>
                <w:webHidden/>
                <w:rStyle w:val="IndexLink"/>
                <w:rtl w:val="true"/>
              </w:rPr>
              <w:t>مناسک مذهبی</w:t>
            </w:r>
            <w:r>
              <w:rPr>
                <w:rStyle w:val="IndexLink"/>
                <w:rtl w:val="true"/>
              </w:rPr>
              <w:tab/>
            </w:r>
            <w:r>
              <w:rPr>
                <w:rStyle w:val="IndexLink"/>
              </w:rPr>
              <w:t>456</w:t>
            </w:r>
          </w:hyperlink>
        </w:p>
        <w:p>
          <w:pPr>
            <w:pStyle w:val="Contents3"/>
            <w:tabs>
              <w:tab w:val="clear" w:pos="8459"/>
              <w:tab w:val="right" w:pos="9026" w:leader="dot"/>
            </w:tabs>
            <w:rPr/>
          </w:pPr>
          <w:hyperlink w:anchor="__RefHeading___Toc1656598_2281741623">
            <w:r>
              <w:rPr>
                <w:webHidden/>
                <w:rStyle w:val="IndexLink"/>
                <w:rtl w:val="true"/>
              </w:rPr>
              <w:t>حکایات</w:t>
            </w:r>
            <w:r>
              <w:rPr>
                <w:rStyle w:val="IndexLink"/>
                <w:rtl w:val="true"/>
              </w:rPr>
              <w:tab/>
            </w:r>
            <w:r>
              <w:rPr>
                <w:rStyle w:val="IndexLink"/>
              </w:rPr>
              <w:t>457</w:t>
            </w:r>
          </w:hyperlink>
        </w:p>
        <w:p>
          <w:pPr>
            <w:pStyle w:val="Contents3"/>
            <w:tabs>
              <w:tab w:val="clear" w:pos="8459"/>
              <w:tab w:val="right" w:pos="9026" w:leader="dot"/>
            </w:tabs>
            <w:rPr/>
          </w:pPr>
          <w:hyperlink w:anchor="__RefHeading___Toc1656600_2281741623">
            <w:r>
              <w:rPr>
                <w:webHidden/>
                <w:rStyle w:val="IndexLink"/>
                <w:rtl w:val="true"/>
              </w:rPr>
              <w:t>مسیحیت</w:t>
            </w:r>
            <w:r>
              <w:rPr>
                <w:rStyle w:val="IndexLink"/>
                <w:rtl w:val="true"/>
              </w:rPr>
              <w:tab/>
            </w:r>
            <w:r>
              <w:rPr>
                <w:rStyle w:val="IndexLink"/>
              </w:rPr>
              <w:t>458</w:t>
            </w:r>
          </w:hyperlink>
        </w:p>
        <w:p>
          <w:pPr>
            <w:pStyle w:val="Contents3"/>
            <w:tabs>
              <w:tab w:val="clear" w:pos="8459"/>
              <w:tab w:val="right" w:pos="9026" w:leader="dot"/>
            </w:tabs>
            <w:rPr/>
          </w:pPr>
          <w:hyperlink w:anchor="__RefHeading___Toc1656602_2281741623">
            <w:r>
              <w:rPr>
                <w:webHidden/>
                <w:rStyle w:val="IndexLink"/>
                <w:rtl w:val="true"/>
              </w:rPr>
              <w:t>کلیسای بومیان آمریکا</w:t>
            </w:r>
            <w:r>
              <w:rPr>
                <w:rStyle w:val="IndexLink"/>
                <w:rtl w:val="true"/>
              </w:rPr>
              <w:tab/>
            </w:r>
            <w:r>
              <w:rPr>
                <w:rStyle w:val="IndexLink"/>
              </w:rPr>
              <w:t>460</w:t>
            </w:r>
          </w:hyperlink>
        </w:p>
        <w:p>
          <w:pPr>
            <w:pStyle w:val="Contents3"/>
            <w:tabs>
              <w:tab w:val="clear" w:pos="8459"/>
              <w:tab w:val="right" w:pos="9026" w:leader="dot"/>
            </w:tabs>
            <w:rPr/>
          </w:pPr>
          <w:hyperlink w:anchor="__RefHeading___Toc1656604_2281741623">
            <w:r>
              <w:rPr>
                <w:webHidden/>
                <w:rStyle w:val="IndexLink"/>
                <w:rtl w:val="true"/>
              </w:rPr>
              <w:t>آزادی مذهبی</w:t>
            </w:r>
            <w:r>
              <w:rPr>
                <w:rStyle w:val="IndexLink"/>
                <w:rtl w:val="true"/>
              </w:rPr>
              <w:tab/>
            </w:r>
            <w:r>
              <w:rPr>
                <w:rStyle w:val="IndexLink"/>
              </w:rPr>
              <w:t>461</w:t>
            </w:r>
          </w:hyperlink>
        </w:p>
        <w:p>
          <w:pPr>
            <w:pStyle w:val="Contents3"/>
            <w:tabs>
              <w:tab w:val="clear" w:pos="8459"/>
              <w:tab w:val="right" w:pos="9026" w:leader="dot"/>
            </w:tabs>
            <w:rPr/>
          </w:pPr>
          <w:hyperlink w:anchor="__RefHeading___Toc1656606_2281741623">
            <w:r>
              <w:rPr>
                <w:webHidden/>
                <w:rStyle w:val="IndexLink"/>
                <w:rtl w:val="true"/>
              </w:rPr>
              <w:t>تأثیرات متقابل همیشگی</w:t>
            </w:r>
            <w:r>
              <w:rPr>
                <w:rStyle w:val="IndexLink"/>
                <w:rtl w:val="true"/>
              </w:rPr>
              <w:tab/>
            </w:r>
            <w:r>
              <w:rPr>
                <w:rStyle w:val="IndexLink"/>
              </w:rPr>
              <w:t>462</w:t>
            </w:r>
          </w:hyperlink>
        </w:p>
        <w:p>
          <w:pPr>
            <w:pStyle w:val="Contents3"/>
            <w:tabs>
              <w:tab w:val="clear" w:pos="8459"/>
              <w:tab w:val="right" w:pos="9026" w:leader="dot"/>
            </w:tabs>
            <w:rPr/>
          </w:pPr>
          <w:hyperlink w:anchor="__RefHeading___Toc1656608_2281741623">
            <w:r>
              <w:rPr>
                <w:webHidden/>
                <w:rStyle w:val="IndexLink"/>
                <w:rtl w:val="true"/>
              </w:rPr>
              <w:t>برای مطالعۀ بیشتر</w:t>
            </w:r>
            <w:r>
              <w:rPr>
                <w:rStyle w:val="IndexLink"/>
                <w:rtl w:val="true"/>
              </w:rPr>
              <w:tab/>
            </w:r>
            <w:r>
              <w:rPr>
                <w:rStyle w:val="IndexLink"/>
              </w:rPr>
              <w:t>464</w:t>
            </w:r>
          </w:hyperlink>
        </w:p>
        <w:p>
          <w:pPr>
            <w:pStyle w:val="Contents2"/>
            <w:tabs>
              <w:tab w:val="clear" w:pos="8743"/>
              <w:tab w:val="right" w:pos="9026" w:leader="dot"/>
            </w:tabs>
            <w:rPr/>
          </w:pPr>
          <w:hyperlink w:anchor="__RefHeading___Toc1656610_2281741623">
            <w:r>
              <w:rPr>
                <w:webHidden/>
                <w:rStyle w:val="IndexLink"/>
                <w:rtl w:val="true"/>
              </w:rPr>
              <w:t>مردگان</w:t>
            </w:r>
            <w:r>
              <w:rPr>
                <w:rStyle w:val="IndexLink"/>
                <w:rtl w:val="true"/>
              </w:rPr>
              <w:tab/>
            </w:r>
            <w:r>
              <w:rPr>
                <w:rStyle w:val="IndexLink"/>
              </w:rPr>
              <w:t>466</w:t>
            </w:r>
          </w:hyperlink>
        </w:p>
        <w:p>
          <w:pPr>
            <w:pStyle w:val="Contents3"/>
            <w:tabs>
              <w:tab w:val="clear" w:pos="8459"/>
              <w:tab w:val="right" w:pos="9026" w:leader="dot"/>
            </w:tabs>
            <w:rPr/>
          </w:pPr>
          <w:hyperlink w:anchor="__RefHeading___Toc1656612_2281741623">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1656614_2281741623">
            <w:r>
              <w:rPr>
                <w:webHidden/>
                <w:rStyle w:val="IndexLink"/>
                <w:rtl w:val="true"/>
              </w:rPr>
              <w:t>مدیوم ها</w:t>
            </w:r>
            <w:r>
              <w:rPr>
                <w:rStyle w:val="IndexLink"/>
              </w:rPr>
              <w:t>1</w:t>
            </w:r>
            <w:r>
              <w:rPr>
                <w:rStyle w:val="IndexLink"/>
                <w:rtl w:val="true"/>
              </w:rPr>
              <w:tab/>
            </w:r>
            <w:r>
              <w:rPr>
                <w:rStyle w:val="IndexLink"/>
              </w:rPr>
              <w:t>467</w:t>
            </w:r>
          </w:hyperlink>
        </w:p>
        <w:p>
          <w:pPr>
            <w:pStyle w:val="Contents3"/>
            <w:tabs>
              <w:tab w:val="clear" w:pos="8459"/>
              <w:tab w:val="right" w:pos="9026" w:leader="dot"/>
            </w:tabs>
            <w:rPr/>
          </w:pPr>
          <w:hyperlink w:anchor="__RefHeading___Toc1656616_2281741623">
            <w:r>
              <w:rPr>
                <w:webHidden/>
                <w:rStyle w:val="IndexLink"/>
                <w:rtl w:val="true"/>
              </w:rPr>
              <w:t>توجه و علاقۀ مستدام به مردگان</w:t>
            </w:r>
            <w:r>
              <w:rPr>
                <w:rStyle w:val="IndexLink"/>
                <w:rtl w:val="true"/>
              </w:rPr>
              <w:tab/>
            </w:r>
            <w:r>
              <w:rPr>
                <w:rStyle w:val="IndexLink"/>
              </w:rPr>
              <w:t>469</w:t>
            </w:r>
          </w:hyperlink>
        </w:p>
        <w:p>
          <w:pPr>
            <w:pStyle w:val="Contents3"/>
            <w:tabs>
              <w:tab w:val="clear" w:pos="8459"/>
              <w:tab w:val="right" w:pos="9026" w:leader="dot"/>
            </w:tabs>
            <w:rPr/>
          </w:pPr>
          <w:hyperlink w:anchor="__RefHeading___Toc1656618_2281741623">
            <w:r>
              <w:rPr>
                <w:webHidden/>
                <w:rStyle w:val="IndexLink"/>
                <w:rtl w:val="true"/>
              </w:rPr>
              <w:t>دستورالعمل های تحقیقاتی</w:t>
            </w:r>
            <w:r>
              <w:rPr>
                <w:rStyle w:val="IndexLink"/>
                <w:rtl w:val="true"/>
              </w:rPr>
              <w:tab/>
            </w:r>
            <w:r>
              <w:rPr>
                <w:rStyle w:val="IndexLink"/>
              </w:rPr>
              <w:t>471</w:t>
            </w:r>
          </w:hyperlink>
        </w:p>
        <w:p>
          <w:pPr>
            <w:pStyle w:val="Contents3"/>
            <w:tabs>
              <w:tab w:val="clear" w:pos="8459"/>
              <w:tab w:val="right" w:pos="9026" w:leader="dot"/>
            </w:tabs>
            <w:rPr/>
          </w:pPr>
          <w:hyperlink w:anchor="__RefHeading___Toc1656620_2281741623">
            <w:r>
              <w:rPr>
                <w:webHidden/>
                <w:rStyle w:val="IndexLink"/>
                <w:rtl w:val="true"/>
              </w:rPr>
              <w:t>برای مطالعۀ بیشتر</w:t>
            </w:r>
            <w:r>
              <w:rPr>
                <w:rStyle w:val="IndexLink"/>
                <w:rtl w:val="true"/>
              </w:rPr>
              <w:tab/>
            </w:r>
            <w:r>
              <w:rPr>
                <w:rStyle w:val="IndexLink"/>
              </w:rPr>
              <w:t>472</w:t>
            </w:r>
          </w:hyperlink>
        </w:p>
        <w:p>
          <w:pPr>
            <w:pStyle w:val="Contents2"/>
            <w:tabs>
              <w:tab w:val="clear" w:pos="8743"/>
              <w:tab w:val="right" w:pos="9026" w:leader="dot"/>
            </w:tabs>
            <w:rPr/>
          </w:pPr>
          <w:hyperlink w:anchor="__RefHeading___Toc1656622_2281741623">
            <w:r>
              <w:rPr>
                <w:webHidden/>
                <w:rStyle w:val="IndexLink"/>
                <w:rtl w:val="true"/>
              </w:rPr>
              <w:t>مساجد</w:t>
            </w:r>
            <w:r>
              <w:rPr>
                <w:rStyle w:val="IndexLink"/>
                <w:rtl w:val="true"/>
              </w:rPr>
              <w:tab/>
            </w:r>
            <w:r>
              <w:rPr>
                <w:rStyle w:val="IndexLink"/>
              </w:rPr>
              <w:t>474</w:t>
            </w:r>
          </w:hyperlink>
        </w:p>
        <w:p>
          <w:pPr>
            <w:pStyle w:val="Contents3"/>
            <w:tabs>
              <w:tab w:val="clear" w:pos="8459"/>
              <w:tab w:val="right" w:pos="9026" w:leader="dot"/>
            </w:tabs>
            <w:rPr/>
          </w:pPr>
          <w:hyperlink w:anchor="__RefHeading___Toc1656624_2281741623">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1656626_2281741623">
            <w:r>
              <w:rPr>
                <w:webHidden/>
                <w:rStyle w:val="IndexLink"/>
                <w:rtl w:val="true"/>
              </w:rPr>
              <w:t>مساجد به منزلۀ عبادتگاه</w:t>
            </w:r>
            <w:r>
              <w:rPr>
                <w:rStyle w:val="IndexLink"/>
                <w:rtl w:val="true"/>
              </w:rPr>
              <w:tab/>
            </w:r>
            <w:r>
              <w:rPr>
                <w:rStyle w:val="IndexLink"/>
              </w:rPr>
              <w:t>474</w:t>
            </w:r>
          </w:hyperlink>
        </w:p>
        <w:p>
          <w:pPr>
            <w:pStyle w:val="Contents3"/>
            <w:tabs>
              <w:tab w:val="clear" w:pos="8459"/>
              <w:tab w:val="right" w:pos="9026" w:leader="dot"/>
            </w:tabs>
            <w:rPr/>
          </w:pPr>
          <w:hyperlink w:anchor="__RefHeading___Toc1656628_2281741623">
            <w:r>
              <w:rPr>
                <w:webHidden/>
                <w:rStyle w:val="IndexLink"/>
                <w:rtl w:val="true"/>
              </w:rPr>
              <w:t>مساجد به منزلۀ محلی برای راز و نیاز</w:t>
            </w:r>
            <w:r>
              <w:rPr>
                <w:rStyle w:val="IndexLink"/>
                <w:rtl w:val="true"/>
              </w:rPr>
              <w:tab/>
            </w:r>
            <w:r>
              <w:rPr>
                <w:rStyle w:val="IndexLink"/>
              </w:rPr>
              <w:t>475</w:t>
            </w:r>
          </w:hyperlink>
        </w:p>
        <w:p>
          <w:pPr>
            <w:pStyle w:val="Contents3"/>
            <w:tabs>
              <w:tab w:val="clear" w:pos="8459"/>
              <w:tab w:val="right" w:pos="9026" w:leader="dot"/>
            </w:tabs>
            <w:rPr/>
          </w:pPr>
          <w:hyperlink w:anchor="__RefHeading___Toc1656630_2281741623">
            <w:r>
              <w:rPr>
                <w:webHidden/>
                <w:rStyle w:val="IndexLink"/>
                <w:rtl w:val="true"/>
              </w:rPr>
              <w:t>عبادت در مسجد</w:t>
            </w:r>
            <w:r>
              <w:rPr>
                <w:rStyle w:val="IndexLink"/>
                <w:rtl w:val="true"/>
              </w:rPr>
              <w:tab/>
            </w:r>
            <w:r>
              <w:rPr>
                <w:rStyle w:val="IndexLink"/>
              </w:rPr>
              <w:t>476</w:t>
            </w:r>
          </w:hyperlink>
        </w:p>
        <w:p>
          <w:pPr>
            <w:pStyle w:val="Contents3"/>
            <w:tabs>
              <w:tab w:val="clear" w:pos="8459"/>
              <w:tab w:val="right" w:pos="9026" w:leader="dot"/>
            </w:tabs>
            <w:rPr/>
          </w:pPr>
          <w:hyperlink w:anchor="__RefHeading___Toc1656632_2281741623">
            <w:r>
              <w:rPr>
                <w:webHidden/>
                <w:rStyle w:val="IndexLink"/>
                <w:rtl w:val="true"/>
              </w:rPr>
              <w:t>نمادها و مشخصه ها</w:t>
            </w:r>
            <w:r>
              <w:rPr>
                <w:rStyle w:val="IndexLink"/>
                <w:rtl w:val="true"/>
              </w:rPr>
              <w:tab/>
            </w:r>
            <w:r>
              <w:rPr>
                <w:rStyle w:val="IndexLink"/>
              </w:rPr>
              <w:t>477</w:t>
            </w:r>
          </w:hyperlink>
        </w:p>
        <w:p>
          <w:pPr>
            <w:pStyle w:val="Contents3"/>
            <w:tabs>
              <w:tab w:val="clear" w:pos="8459"/>
              <w:tab w:val="right" w:pos="9026" w:leader="dot"/>
            </w:tabs>
            <w:rPr/>
          </w:pPr>
          <w:hyperlink w:anchor="__RefHeading___Toc1656634_2281741623">
            <w:r>
              <w:rPr>
                <w:webHidden/>
                <w:rStyle w:val="IndexLink"/>
                <w:rtl w:val="true"/>
              </w:rPr>
              <w:t>اولین مساجد</w:t>
            </w:r>
            <w:r>
              <w:rPr>
                <w:rStyle w:val="IndexLink"/>
                <w:rtl w:val="true"/>
              </w:rPr>
              <w:tab/>
            </w:r>
            <w:r>
              <w:rPr>
                <w:rStyle w:val="IndexLink"/>
              </w:rPr>
              <w:t>477</w:t>
            </w:r>
          </w:hyperlink>
        </w:p>
        <w:p>
          <w:pPr>
            <w:pStyle w:val="Contents4"/>
            <w:tabs>
              <w:tab w:val="clear" w:pos="8176"/>
              <w:tab w:val="right" w:pos="9026" w:leader="dot"/>
            </w:tabs>
            <w:rPr/>
          </w:pPr>
          <w:hyperlink w:anchor="__RefHeading___Toc1656636_2281741623">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656638_2281741623">
            <w:r>
              <w:rPr>
                <w:webHidden/>
                <w:rStyle w:val="IndexLink"/>
                <w:rtl w:val="true"/>
              </w:rPr>
              <w:t>ترکیب داخلی مساجد اولیه</w:t>
            </w:r>
            <w:r>
              <w:rPr>
                <w:rStyle w:val="IndexLink"/>
                <w:rtl w:val="true"/>
              </w:rPr>
              <w:tab/>
            </w:r>
            <w:r>
              <w:rPr>
                <w:rStyle w:val="IndexLink"/>
              </w:rPr>
              <w:t>478</w:t>
            </w:r>
          </w:hyperlink>
        </w:p>
        <w:p>
          <w:pPr>
            <w:pStyle w:val="Contents4"/>
            <w:tabs>
              <w:tab w:val="clear" w:pos="8176"/>
              <w:tab w:val="right" w:pos="9026" w:leader="dot"/>
            </w:tabs>
            <w:rPr/>
          </w:pPr>
          <w:hyperlink w:anchor="__RefHeading___Toc1656640_2281741623">
            <w:r>
              <w:rPr>
                <w:webHidden/>
                <w:rStyle w:val="IndexLink"/>
                <w:rtl w:val="true"/>
              </w:rPr>
              <w:t>ترکیب بیرونی مساجد اولیه</w:t>
            </w:r>
            <w:r>
              <w:rPr>
                <w:rStyle w:val="IndexLink"/>
                <w:rtl w:val="true"/>
              </w:rPr>
              <w:tab/>
            </w:r>
            <w:r>
              <w:rPr>
                <w:rStyle w:val="IndexLink"/>
              </w:rPr>
              <w:t>478</w:t>
            </w:r>
          </w:hyperlink>
        </w:p>
        <w:p>
          <w:pPr>
            <w:pStyle w:val="Contents3"/>
            <w:tabs>
              <w:tab w:val="clear" w:pos="8459"/>
              <w:tab w:val="right" w:pos="9026" w:leader="dot"/>
            </w:tabs>
            <w:rPr/>
          </w:pPr>
          <w:hyperlink w:anchor="__RefHeading___Toc1656642_2281741623">
            <w:r>
              <w:rPr>
                <w:webHidden/>
                <w:rStyle w:val="IndexLink"/>
                <w:rtl w:val="true"/>
              </w:rPr>
              <w:t>فعالیت های مساجد در صدر اسلام</w:t>
            </w:r>
            <w:r>
              <w:rPr>
                <w:rStyle w:val="IndexLink"/>
                <w:rtl w:val="true"/>
              </w:rPr>
              <w:tab/>
            </w:r>
            <w:r>
              <w:rPr>
                <w:rStyle w:val="IndexLink"/>
              </w:rPr>
              <w:t>479</w:t>
            </w:r>
          </w:hyperlink>
        </w:p>
        <w:p>
          <w:pPr>
            <w:pStyle w:val="Contents4"/>
            <w:tabs>
              <w:tab w:val="clear" w:pos="8176"/>
              <w:tab w:val="right" w:pos="9026" w:leader="dot"/>
            </w:tabs>
            <w:rPr/>
          </w:pPr>
          <w:hyperlink w:anchor="__RefHeading___Toc1656644_2281741623">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656646_2281741623">
            <w:r>
              <w:rPr>
                <w:webHidden/>
                <w:rStyle w:val="IndexLink"/>
                <w:rtl w:val="true"/>
              </w:rPr>
              <w:t>مساجد به منزلۀ مراکزی برای عبادت الهی</w:t>
            </w:r>
            <w:r>
              <w:rPr>
                <w:rStyle w:val="IndexLink"/>
                <w:rtl w:val="true"/>
              </w:rPr>
              <w:tab/>
            </w:r>
            <w:r>
              <w:rPr>
                <w:rStyle w:val="IndexLink"/>
              </w:rPr>
              <w:t>480</w:t>
            </w:r>
          </w:hyperlink>
        </w:p>
        <w:p>
          <w:pPr>
            <w:pStyle w:val="Contents4"/>
            <w:tabs>
              <w:tab w:val="clear" w:pos="8176"/>
              <w:tab w:val="right" w:pos="9026" w:leader="dot"/>
            </w:tabs>
            <w:rPr/>
          </w:pPr>
          <w:hyperlink w:anchor="__RefHeading___Toc1656648_2281741623">
            <w:r>
              <w:rPr>
                <w:webHidden/>
                <w:rStyle w:val="IndexLink"/>
                <w:rtl w:val="true"/>
              </w:rPr>
              <w:t>مساجد به منزلۀ مراکز اجتماعی</w:t>
            </w:r>
            <w:r>
              <w:rPr>
                <w:rStyle w:val="IndexLink"/>
                <w:rtl w:val="true"/>
              </w:rPr>
              <w:tab/>
            </w:r>
            <w:r>
              <w:rPr>
                <w:rStyle w:val="IndexLink"/>
              </w:rPr>
              <w:t>481</w:t>
            </w:r>
          </w:hyperlink>
        </w:p>
        <w:p>
          <w:pPr>
            <w:pStyle w:val="Contents4"/>
            <w:tabs>
              <w:tab w:val="clear" w:pos="8176"/>
              <w:tab w:val="right" w:pos="9026" w:leader="dot"/>
            </w:tabs>
            <w:rPr/>
          </w:pPr>
          <w:hyperlink w:anchor="__RefHeading___Toc1656650_2281741623">
            <w:r>
              <w:rPr>
                <w:webHidden/>
                <w:rStyle w:val="IndexLink"/>
                <w:rtl w:val="true"/>
              </w:rPr>
              <w:t>مساجد فرقه ای</w:t>
            </w:r>
            <w:r>
              <w:rPr>
                <w:rStyle w:val="IndexLink"/>
                <w:rtl w:val="true"/>
              </w:rPr>
              <w:tab/>
            </w:r>
            <w:r>
              <w:rPr>
                <w:rStyle w:val="IndexLink"/>
              </w:rPr>
              <w:t>482</w:t>
            </w:r>
          </w:hyperlink>
        </w:p>
        <w:p>
          <w:pPr>
            <w:pStyle w:val="Contents3"/>
            <w:tabs>
              <w:tab w:val="clear" w:pos="8459"/>
              <w:tab w:val="right" w:pos="9026" w:leader="dot"/>
            </w:tabs>
            <w:rPr/>
          </w:pPr>
          <w:hyperlink w:anchor="__RefHeading___Toc1656652_2281741623">
            <w:r>
              <w:rPr>
                <w:webHidden/>
                <w:rStyle w:val="IndexLink"/>
                <w:rtl w:val="true"/>
              </w:rPr>
              <w:t>مساجد در فرهنگ غرب</w:t>
            </w:r>
            <w:r>
              <w:rPr>
                <w:rStyle w:val="IndexLink"/>
                <w:rtl w:val="true"/>
              </w:rPr>
              <w:tab/>
            </w:r>
            <w:r>
              <w:rPr>
                <w:rStyle w:val="IndexLink"/>
              </w:rPr>
              <w:t>482</w:t>
            </w:r>
          </w:hyperlink>
        </w:p>
        <w:p>
          <w:pPr>
            <w:pStyle w:val="Contents3"/>
            <w:tabs>
              <w:tab w:val="clear" w:pos="8459"/>
              <w:tab w:val="right" w:pos="9026" w:leader="dot"/>
            </w:tabs>
            <w:rPr/>
          </w:pPr>
          <w:hyperlink w:anchor="__RefHeading___Toc1656654_2281741623">
            <w:r>
              <w:rPr>
                <w:webHidden/>
                <w:rStyle w:val="IndexLink"/>
                <w:rtl w:val="true"/>
              </w:rPr>
              <w:t>برای مطالعۀ بیشتر</w:t>
            </w:r>
            <w:r>
              <w:rPr>
                <w:rStyle w:val="IndexLink"/>
                <w:rtl w:val="true"/>
              </w:rPr>
              <w:tab/>
            </w:r>
            <w:r>
              <w:rPr>
                <w:rStyle w:val="IndexLink"/>
              </w:rPr>
              <w:t>483</w:t>
            </w:r>
          </w:hyperlink>
        </w:p>
        <w:p>
          <w:pPr>
            <w:pStyle w:val="Contents2"/>
            <w:tabs>
              <w:tab w:val="clear" w:pos="8743"/>
              <w:tab w:val="right" w:pos="9026" w:leader="dot"/>
            </w:tabs>
            <w:rPr/>
          </w:pPr>
          <w:hyperlink w:anchor="__RefHeading___Toc1656656_2281741623">
            <w:r>
              <w:rPr>
                <w:webHidden/>
                <w:rStyle w:val="IndexLink"/>
                <w:rtl w:val="true"/>
              </w:rPr>
              <w:t>معجزه ها</w:t>
            </w:r>
            <w:r>
              <w:rPr>
                <w:rStyle w:val="IndexLink"/>
                <w:rtl w:val="true"/>
              </w:rPr>
              <w:tab/>
            </w:r>
            <w:r>
              <w:rPr>
                <w:rStyle w:val="IndexLink"/>
              </w:rPr>
              <w:t>484</w:t>
            </w:r>
          </w:hyperlink>
        </w:p>
        <w:p>
          <w:pPr>
            <w:pStyle w:val="Contents3"/>
            <w:tabs>
              <w:tab w:val="clear" w:pos="8459"/>
              <w:tab w:val="right" w:pos="9026" w:leader="dot"/>
            </w:tabs>
            <w:rPr/>
          </w:pPr>
          <w:hyperlink w:anchor="__RefHeading___Toc1656658_2281741623">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656660_2281741623">
            <w:r>
              <w:rPr>
                <w:webHidden/>
                <w:rStyle w:val="IndexLink"/>
                <w:rtl w:val="true"/>
              </w:rPr>
              <w:t>پیشینه ای از پیدایش معجزه ها</w:t>
            </w:r>
            <w:r>
              <w:rPr>
                <w:rStyle w:val="IndexLink"/>
                <w:rtl w:val="true"/>
              </w:rPr>
              <w:tab/>
            </w:r>
            <w:r>
              <w:rPr>
                <w:rStyle w:val="IndexLink"/>
              </w:rPr>
              <w:t>485</w:t>
            </w:r>
          </w:hyperlink>
        </w:p>
        <w:p>
          <w:pPr>
            <w:pStyle w:val="Contents3"/>
            <w:tabs>
              <w:tab w:val="clear" w:pos="8459"/>
              <w:tab w:val="right" w:pos="9026" w:leader="dot"/>
            </w:tabs>
            <w:rPr/>
          </w:pPr>
          <w:hyperlink w:anchor="__RefHeading___Toc1656662_2281741623">
            <w:r>
              <w:rPr>
                <w:webHidden/>
                <w:rStyle w:val="IndexLink"/>
                <w:rtl w:val="true"/>
              </w:rPr>
              <w:t>معجزات در دنیای مدرن</w:t>
            </w:r>
            <w:r>
              <w:rPr>
                <w:rStyle w:val="IndexLink"/>
                <w:rtl w:val="true"/>
              </w:rPr>
              <w:tab/>
            </w:r>
            <w:r>
              <w:rPr>
                <w:rStyle w:val="IndexLink"/>
              </w:rPr>
              <w:t>489</w:t>
            </w:r>
          </w:hyperlink>
        </w:p>
        <w:p>
          <w:pPr>
            <w:pStyle w:val="Contents3"/>
            <w:tabs>
              <w:tab w:val="clear" w:pos="8459"/>
              <w:tab w:val="right" w:pos="9026" w:leader="dot"/>
            </w:tabs>
            <w:rPr/>
          </w:pPr>
          <w:hyperlink w:anchor="__RefHeading___Toc1656664_2281741623">
            <w:r>
              <w:rPr>
                <w:webHidden/>
                <w:rStyle w:val="IndexLink"/>
                <w:rtl w:val="true"/>
              </w:rPr>
              <w:t>رابطۀ بین معجزه ها و رسانه</w:t>
            </w:r>
            <w:r>
              <w:rPr>
                <w:rStyle w:val="IndexLink"/>
                <w:rtl w:val="true"/>
              </w:rPr>
              <w:tab/>
            </w:r>
            <w:r>
              <w:rPr>
                <w:rStyle w:val="IndexLink"/>
              </w:rPr>
              <w:t>491</w:t>
            </w:r>
          </w:hyperlink>
        </w:p>
        <w:p>
          <w:pPr>
            <w:pStyle w:val="Contents3"/>
            <w:tabs>
              <w:tab w:val="clear" w:pos="8459"/>
              <w:tab w:val="right" w:pos="9026" w:leader="dot"/>
            </w:tabs>
            <w:rPr/>
          </w:pPr>
          <w:hyperlink w:anchor="__RefHeading___Toc1656666_2281741623">
            <w:r>
              <w:rPr>
                <w:webHidden/>
                <w:rStyle w:val="IndexLink"/>
                <w:rtl w:val="true"/>
              </w:rPr>
              <w:t>نگاهی به آینده</w:t>
            </w:r>
            <w:r>
              <w:rPr>
                <w:rStyle w:val="IndexLink"/>
                <w:rtl w:val="true"/>
              </w:rPr>
              <w:tab/>
            </w:r>
            <w:r>
              <w:rPr>
                <w:rStyle w:val="IndexLink"/>
              </w:rPr>
              <w:t>493</w:t>
            </w:r>
          </w:hyperlink>
        </w:p>
        <w:p>
          <w:pPr>
            <w:pStyle w:val="Contents3"/>
            <w:tabs>
              <w:tab w:val="clear" w:pos="8459"/>
              <w:tab w:val="right" w:pos="9026" w:leader="dot"/>
            </w:tabs>
            <w:rPr/>
          </w:pPr>
          <w:hyperlink w:anchor="__RefHeading___Toc1656668_2281741623">
            <w:r>
              <w:rPr>
                <w:webHidden/>
                <w:rStyle w:val="IndexLink"/>
                <w:rtl w:val="true"/>
              </w:rPr>
              <w:t>برای مطالعۀ بیشتر</w:t>
            </w:r>
            <w:r>
              <w:rPr>
                <w:rStyle w:val="IndexLink"/>
                <w:rtl w:val="true"/>
              </w:rPr>
              <w:tab/>
            </w:r>
            <w:r>
              <w:rPr>
                <w:rStyle w:val="IndexLink"/>
              </w:rPr>
              <w:t>494</w:t>
            </w:r>
          </w:hyperlink>
        </w:p>
        <w:p>
          <w:pPr>
            <w:pStyle w:val="Contents2"/>
            <w:tabs>
              <w:tab w:val="clear" w:pos="8743"/>
              <w:tab w:val="right" w:pos="9026" w:leader="dot"/>
            </w:tabs>
            <w:rPr/>
          </w:pPr>
          <w:hyperlink w:anchor="__RefHeading___Toc1656670_2281741623">
            <w:r>
              <w:rPr>
                <w:webHidden/>
                <w:rStyle w:val="IndexLink"/>
                <w:rtl w:val="true"/>
              </w:rPr>
              <w:t>معرفت شناسی</w:t>
            </w:r>
            <w:r>
              <w:rPr>
                <w:rStyle w:val="IndexLink"/>
                <w:rtl w:val="true"/>
              </w:rPr>
              <w:tab/>
            </w:r>
            <w:r>
              <w:rPr>
                <w:rStyle w:val="IndexLink"/>
              </w:rPr>
              <w:t>495</w:t>
            </w:r>
          </w:hyperlink>
        </w:p>
        <w:p>
          <w:pPr>
            <w:pStyle w:val="Contents3"/>
            <w:tabs>
              <w:tab w:val="clear" w:pos="8459"/>
              <w:tab w:val="right" w:pos="9026" w:leader="dot"/>
            </w:tabs>
            <w:rPr/>
          </w:pPr>
          <w:hyperlink w:anchor="__RefHeading___Toc1656672_2281741623">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1656674_2281741623">
            <w:r>
              <w:rPr>
                <w:webHidden/>
                <w:rStyle w:val="IndexLink"/>
                <w:rtl w:val="true"/>
              </w:rPr>
              <w:t>بنیان ها</w:t>
            </w:r>
            <w:r>
              <w:rPr>
                <w:rStyle w:val="IndexLink"/>
                <w:rtl w:val="true"/>
              </w:rPr>
              <w:t xml:space="preserve">: </w:t>
            </w:r>
            <w:r>
              <w:rPr>
                <w:rStyle w:val="IndexLink"/>
                <w:rtl w:val="true"/>
              </w:rPr>
              <w:t>تحلیل معرفت</w:t>
            </w:r>
            <w:r>
              <w:rPr>
                <w:rStyle w:val="IndexLink"/>
                <w:rtl w:val="true"/>
              </w:rPr>
              <w:tab/>
            </w:r>
            <w:r>
              <w:rPr>
                <w:rStyle w:val="IndexLink"/>
              </w:rPr>
              <w:t>495</w:t>
            </w:r>
          </w:hyperlink>
        </w:p>
        <w:p>
          <w:pPr>
            <w:pStyle w:val="Contents3"/>
            <w:tabs>
              <w:tab w:val="clear" w:pos="8459"/>
              <w:tab w:val="right" w:pos="9026" w:leader="dot"/>
            </w:tabs>
            <w:rPr/>
          </w:pPr>
          <w:hyperlink w:anchor="__RefHeading___Toc1656676_2281741623">
            <w:r>
              <w:rPr>
                <w:webHidden/>
                <w:rStyle w:val="IndexLink"/>
                <w:rtl w:val="true"/>
              </w:rPr>
              <w:t>معرفتشناسیِ جهتمند</w:t>
            </w:r>
            <w:r>
              <w:rPr>
                <w:rStyle w:val="IndexLink"/>
                <w:rtl w:val="true"/>
              </w:rPr>
              <w:tab/>
            </w:r>
            <w:r>
              <w:rPr>
                <w:rStyle w:val="IndexLink"/>
              </w:rPr>
              <w:t>497</w:t>
            </w:r>
          </w:hyperlink>
        </w:p>
        <w:p>
          <w:pPr>
            <w:pStyle w:val="Contents3"/>
            <w:tabs>
              <w:tab w:val="clear" w:pos="8459"/>
              <w:tab w:val="right" w:pos="9026" w:leader="dot"/>
            </w:tabs>
            <w:rPr/>
          </w:pPr>
          <w:hyperlink w:anchor="__RefHeading___Toc1656678_2281741623">
            <w:r>
              <w:rPr>
                <w:webHidden/>
                <w:rStyle w:val="IndexLink"/>
                <w:rtl w:val="true"/>
              </w:rPr>
              <w:t>شکاکیت</w:t>
            </w:r>
            <w:r>
              <w:rPr>
                <w:rStyle w:val="IndexLink"/>
                <w:rtl w:val="true"/>
              </w:rPr>
              <w:tab/>
            </w:r>
            <w:r>
              <w:rPr>
                <w:rStyle w:val="IndexLink"/>
              </w:rPr>
              <w:t>498</w:t>
            </w:r>
          </w:hyperlink>
        </w:p>
        <w:p>
          <w:pPr>
            <w:pStyle w:val="Contents3"/>
            <w:tabs>
              <w:tab w:val="clear" w:pos="8459"/>
              <w:tab w:val="right" w:pos="9026" w:leader="dot"/>
            </w:tabs>
            <w:rPr/>
          </w:pPr>
          <w:hyperlink w:anchor="__RefHeading___Toc1656680_2281741623">
            <w:r>
              <w:rPr>
                <w:webHidden/>
                <w:rStyle w:val="IndexLink"/>
                <w:rtl w:val="true"/>
              </w:rPr>
              <w:t>مبناباوری و انسجامباوری</w:t>
            </w:r>
            <w:r>
              <w:rPr>
                <w:rStyle w:val="IndexLink"/>
                <w:rtl w:val="true"/>
              </w:rPr>
              <w:tab/>
            </w:r>
            <w:r>
              <w:rPr>
                <w:rStyle w:val="IndexLink"/>
              </w:rPr>
              <w:t>499</w:t>
            </w:r>
          </w:hyperlink>
        </w:p>
        <w:p>
          <w:pPr>
            <w:pStyle w:val="Contents3"/>
            <w:tabs>
              <w:tab w:val="clear" w:pos="8459"/>
              <w:tab w:val="right" w:pos="9026" w:leader="dot"/>
            </w:tabs>
            <w:rPr/>
          </w:pPr>
          <w:hyperlink w:anchor="__RefHeading___Toc1656682_2281741623">
            <w:r>
              <w:rPr>
                <w:webHidden/>
                <w:rStyle w:val="IndexLink"/>
                <w:rtl w:val="true"/>
              </w:rPr>
              <w:t>معرفت پیشین و پسین</w:t>
            </w:r>
            <w:r>
              <w:rPr>
                <w:rStyle w:val="IndexLink"/>
                <w:rtl w:val="true"/>
              </w:rPr>
              <w:tab/>
            </w:r>
            <w:r>
              <w:rPr>
                <w:rStyle w:val="IndexLink"/>
              </w:rPr>
              <w:t>500</w:t>
            </w:r>
          </w:hyperlink>
        </w:p>
        <w:p>
          <w:pPr>
            <w:pStyle w:val="Contents3"/>
            <w:tabs>
              <w:tab w:val="clear" w:pos="8459"/>
              <w:tab w:val="right" w:pos="9026" w:leader="dot"/>
            </w:tabs>
            <w:rPr/>
          </w:pPr>
          <w:hyperlink w:anchor="__RefHeading___Toc1656684_2281741623">
            <w:r>
              <w:rPr>
                <w:webHidden/>
                <w:rStyle w:val="IndexLink"/>
                <w:rtl w:val="true"/>
              </w:rPr>
              <w:t>دین و معرفت</w:t>
            </w:r>
            <w:r>
              <w:rPr>
                <w:rStyle w:val="IndexLink"/>
                <w:rtl w:val="true"/>
              </w:rPr>
              <w:tab/>
            </w:r>
            <w:r>
              <w:rPr>
                <w:rStyle w:val="IndexLink"/>
              </w:rPr>
              <w:t>501</w:t>
            </w:r>
          </w:hyperlink>
        </w:p>
        <w:p>
          <w:pPr>
            <w:pStyle w:val="Contents3"/>
            <w:tabs>
              <w:tab w:val="clear" w:pos="8459"/>
              <w:tab w:val="right" w:pos="9026" w:leader="dot"/>
            </w:tabs>
            <w:rPr/>
          </w:pPr>
          <w:hyperlink w:anchor="__RefHeading___Toc1656686_2281741623">
            <w:r>
              <w:rPr>
                <w:webHidden/>
                <w:rStyle w:val="IndexLink"/>
                <w:rtl w:val="true"/>
              </w:rPr>
              <w:t>معرفت شناسی و پُستمدرنیسم</w:t>
            </w:r>
            <w:r>
              <w:rPr>
                <w:rStyle w:val="IndexLink"/>
                <w:rtl w:val="true"/>
              </w:rPr>
              <w:tab/>
            </w:r>
            <w:r>
              <w:rPr>
                <w:rStyle w:val="IndexLink"/>
              </w:rPr>
              <w:t>505</w:t>
            </w:r>
          </w:hyperlink>
        </w:p>
        <w:p>
          <w:pPr>
            <w:pStyle w:val="Contents3"/>
            <w:tabs>
              <w:tab w:val="clear" w:pos="8459"/>
              <w:tab w:val="right" w:pos="9026" w:leader="dot"/>
            </w:tabs>
            <w:rPr/>
          </w:pPr>
          <w:hyperlink w:anchor="__RefHeading___Toc1656688_2281741623">
            <w:r>
              <w:rPr>
                <w:webHidden/>
                <w:rStyle w:val="IndexLink"/>
                <w:rtl w:val="true"/>
              </w:rPr>
              <w:t>برای مطالعۀ بیشتر</w:t>
            </w:r>
            <w:r>
              <w:rPr>
                <w:rStyle w:val="IndexLink"/>
                <w:rtl w:val="true"/>
              </w:rPr>
              <w:tab/>
            </w:r>
            <w:r>
              <w:rPr>
                <w:rStyle w:val="IndexLink"/>
              </w:rPr>
              <w:t>507</w:t>
            </w:r>
          </w:hyperlink>
        </w:p>
        <w:p>
          <w:pPr>
            <w:pStyle w:val="Contents2"/>
            <w:tabs>
              <w:tab w:val="clear" w:pos="8743"/>
              <w:tab w:val="right" w:pos="9026" w:leader="dot"/>
            </w:tabs>
            <w:rPr/>
          </w:pPr>
          <w:hyperlink w:anchor="__RefHeading___Toc1656690_2281741623">
            <w:r>
              <w:rPr>
                <w:webHidden/>
                <w:rStyle w:val="IndexLink"/>
                <w:rtl w:val="true"/>
              </w:rPr>
              <w:t>نظریه تأثیرات رسانه</w:t>
            </w:r>
            <w:r>
              <w:rPr>
                <w:rStyle w:val="IndexLink"/>
                <w:rtl w:val="true"/>
              </w:rPr>
              <w:tab/>
            </w:r>
            <w:r>
              <w:rPr>
                <w:rStyle w:val="IndexLink"/>
              </w:rPr>
              <w:t>508</w:t>
            </w:r>
          </w:hyperlink>
        </w:p>
        <w:p>
          <w:pPr>
            <w:pStyle w:val="Contents3"/>
            <w:tabs>
              <w:tab w:val="clear" w:pos="8459"/>
              <w:tab w:val="right" w:pos="9026" w:leader="dot"/>
            </w:tabs>
            <w:rPr/>
          </w:pPr>
          <w:hyperlink w:anchor="__RefHeading___Toc1656692_2281741623">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656694_2281741623">
            <w:r>
              <w:rPr>
                <w:webHidden/>
                <w:rStyle w:val="IndexLink"/>
                <w:rtl w:val="true"/>
              </w:rPr>
              <w:t>تعریف رسانه</w:t>
            </w:r>
            <w:r>
              <w:rPr>
                <w:rStyle w:val="IndexLink"/>
                <w:rtl w:val="true"/>
              </w:rPr>
              <w:tab/>
            </w:r>
            <w:r>
              <w:rPr>
                <w:rStyle w:val="IndexLink"/>
              </w:rPr>
              <w:t>508</w:t>
            </w:r>
          </w:hyperlink>
        </w:p>
        <w:p>
          <w:pPr>
            <w:pStyle w:val="Contents3"/>
            <w:tabs>
              <w:tab w:val="clear" w:pos="8459"/>
              <w:tab w:val="right" w:pos="9026" w:leader="dot"/>
            </w:tabs>
            <w:rPr/>
          </w:pPr>
          <w:hyperlink w:anchor="__RefHeading___Toc1656696_2281741623">
            <w:r>
              <w:rPr>
                <w:webHidden/>
                <w:rStyle w:val="IndexLink"/>
                <w:rtl w:val="true"/>
              </w:rPr>
              <w:t>مارشال مک لوهان و رسانه ها</w:t>
            </w:r>
            <w:r>
              <w:rPr>
                <w:rStyle w:val="IndexLink"/>
                <w:rtl w:val="true"/>
              </w:rPr>
              <w:t xml:space="preserve">: </w:t>
            </w:r>
            <w:r>
              <w:rPr>
                <w:rStyle w:val="IndexLink"/>
                <w:rtl w:val="true"/>
              </w:rPr>
              <w:t>رسانه، خود، پیام است</w:t>
            </w:r>
            <w:r>
              <w:rPr>
                <w:rStyle w:val="IndexLink"/>
                <w:rtl w:val="true"/>
              </w:rPr>
              <w:t>.</w:t>
              <w:tab/>
            </w:r>
            <w:r>
              <w:rPr>
                <w:rStyle w:val="IndexLink"/>
              </w:rPr>
              <w:t>509</w:t>
            </w:r>
          </w:hyperlink>
        </w:p>
        <w:p>
          <w:pPr>
            <w:pStyle w:val="Contents3"/>
            <w:tabs>
              <w:tab w:val="clear" w:pos="8459"/>
              <w:tab w:val="right" w:pos="9026" w:leader="dot"/>
            </w:tabs>
            <w:rPr/>
          </w:pPr>
          <w:hyperlink w:anchor="__RefHeading___Toc1656698_2281741623">
            <w:r>
              <w:rPr>
                <w:webHidden/>
                <w:rStyle w:val="IndexLink"/>
                <w:rtl w:val="true"/>
              </w:rPr>
              <w:t>نیل پُستمن و رسانه ها</w:t>
            </w:r>
            <w:r>
              <w:rPr>
                <w:rStyle w:val="IndexLink"/>
                <w:rtl w:val="true"/>
              </w:rPr>
              <w:t xml:space="preserve">: </w:t>
            </w:r>
            <w:r>
              <w:rPr>
                <w:rStyle w:val="IndexLink"/>
                <w:rtl w:val="true"/>
              </w:rPr>
              <w:t>رسانه، پیام را تغییر می دهد</w:t>
            </w:r>
            <w:r>
              <w:rPr>
                <w:rStyle w:val="IndexLink"/>
                <w:rtl w:val="true"/>
              </w:rPr>
              <w:t>.</w:t>
              <w:tab/>
            </w:r>
            <w:r>
              <w:rPr>
                <w:rStyle w:val="IndexLink"/>
              </w:rPr>
              <w:t>511</w:t>
            </w:r>
          </w:hyperlink>
        </w:p>
        <w:p>
          <w:pPr>
            <w:pStyle w:val="Contents3"/>
            <w:tabs>
              <w:tab w:val="clear" w:pos="8459"/>
              <w:tab w:val="right" w:pos="9026" w:leader="dot"/>
            </w:tabs>
            <w:rPr/>
          </w:pPr>
          <w:hyperlink w:anchor="__RefHeading___Toc1656700_2281741623">
            <w:r>
              <w:rPr>
                <w:webHidden/>
                <w:rStyle w:val="IndexLink"/>
                <w:rtl w:val="true"/>
              </w:rPr>
              <w:t>نیکلاس نگروپونته و رسانه ها</w:t>
            </w:r>
            <w:r>
              <w:rPr>
                <w:rStyle w:val="IndexLink"/>
                <w:rtl w:val="true"/>
              </w:rPr>
              <w:t xml:space="preserve">: </w:t>
            </w:r>
            <w:r>
              <w:rPr>
                <w:rStyle w:val="IndexLink"/>
                <w:rtl w:val="true"/>
              </w:rPr>
              <w:t>رسانه به پیام تجسم می بخشد</w:t>
            </w:r>
            <w:r>
              <w:rPr>
                <w:rStyle w:val="IndexLink"/>
                <w:rtl w:val="true"/>
              </w:rPr>
              <w:tab/>
            </w:r>
            <w:r>
              <w:rPr>
                <w:rStyle w:val="IndexLink"/>
              </w:rPr>
              <w:t>513</w:t>
            </w:r>
          </w:hyperlink>
        </w:p>
        <w:p>
          <w:pPr>
            <w:pStyle w:val="Contents3"/>
            <w:tabs>
              <w:tab w:val="clear" w:pos="8459"/>
              <w:tab w:val="right" w:pos="9026" w:leader="dot"/>
            </w:tabs>
            <w:rPr/>
          </w:pPr>
          <w:hyperlink w:anchor="__RefHeading___Toc1656702_2281741623">
            <w:r>
              <w:rPr>
                <w:webHidden/>
                <w:rStyle w:val="IndexLink"/>
                <w:rtl w:val="true"/>
              </w:rPr>
              <w:t>برای مطالعۀ بیشتر</w:t>
            </w:r>
            <w:r>
              <w:rPr>
                <w:rStyle w:val="IndexLink"/>
                <w:rtl w:val="true"/>
              </w:rPr>
              <w:tab/>
            </w:r>
            <w:r>
              <w:rPr>
                <w:rStyle w:val="IndexLink"/>
              </w:rPr>
              <w:t>516</w:t>
            </w:r>
          </w:hyperlink>
        </w:p>
        <w:p>
          <w:pPr>
            <w:pStyle w:val="Contents2"/>
            <w:tabs>
              <w:tab w:val="clear" w:pos="8743"/>
              <w:tab w:val="right" w:pos="9026" w:leader="dot"/>
            </w:tabs>
            <w:rPr/>
          </w:pPr>
          <w:hyperlink w:anchor="__RefHeading___Toc1656704_2281741623">
            <w:r>
              <w:rPr>
                <w:webHidden/>
                <w:rStyle w:val="IndexLink"/>
                <w:rtl w:val="true"/>
              </w:rPr>
              <w:t>نقاشی</w:t>
            </w:r>
            <w:r>
              <w:rPr>
                <w:rStyle w:val="IndexLink"/>
                <w:rtl w:val="true"/>
              </w:rPr>
              <w:tab/>
            </w:r>
            <w:r>
              <w:rPr>
                <w:rStyle w:val="IndexLink"/>
              </w:rPr>
              <w:t>517</w:t>
            </w:r>
          </w:hyperlink>
        </w:p>
        <w:p>
          <w:pPr>
            <w:pStyle w:val="Contents3"/>
            <w:tabs>
              <w:tab w:val="clear" w:pos="8459"/>
              <w:tab w:val="right" w:pos="9026" w:leader="dot"/>
            </w:tabs>
            <w:rPr/>
          </w:pPr>
          <w:hyperlink w:anchor="__RefHeading___Toc1656706_2281741623">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1656708_2281741623">
            <w:r>
              <w:rPr>
                <w:webHidden/>
                <w:rStyle w:val="IndexLink"/>
                <w:rtl w:val="true"/>
              </w:rPr>
              <w:t>شیوه های مختلف</w:t>
            </w:r>
            <w:r>
              <w:rPr>
                <w:rStyle w:val="IndexLink"/>
                <w:rtl w:val="true"/>
              </w:rPr>
              <w:tab/>
            </w:r>
            <w:r>
              <w:rPr>
                <w:rStyle w:val="IndexLink"/>
              </w:rPr>
              <w:t>518</w:t>
            </w:r>
          </w:hyperlink>
        </w:p>
        <w:p>
          <w:pPr>
            <w:pStyle w:val="Contents3"/>
            <w:tabs>
              <w:tab w:val="clear" w:pos="8459"/>
              <w:tab w:val="right" w:pos="9026" w:leader="dot"/>
            </w:tabs>
            <w:rPr/>
          </w:pPr>
          <w:hyperlink w:anchor="__RefHeading___Toc1656710_2281741623">
            <w:r>
              <w:rPr>
                <w:webHidden/>
                <w:rStyle w:val="IndexLink"/>
                <w:rtl w:val="true"/>
              </w:rPr>
              <w:t>نقاشی هم چون وسیله ا ی ارتباطی</w:t>
            </w:r>
            <w:r>
              <w:rPr>
                <w:rStyle w:val="IndexLink"/>
                <w:rtl w:val="true"/>
              </w:rPr>
              <w:tab/>
            </w:r>
            <w:r>
              <w:rPr>
                <w:rStyle w:val="IndexLink"/>
              </w:rPr>
              <w:t>520</w:t>
            </w:r>
          </w:hyperlink>
        </w:p>
        <w:p>
          <w:pPr>
            <w:pStyle w:val="Contents4"/>
            <w:tabs>
              <w:tab w:val="clear" w:pos="8176"/>
              <w:tab w:val="right" w:pos="9026" w:leader="dot"/>
            </w:tabs>
            <w:rPr/>
          </w:pPr>
          <w:hyperlink w:anchor="__RefHeading___Toc1656712_2281741623">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656714_2281741623">
            <w:r>
              <w:rPr>
                <w:webHidden/>
                <w:rStyle w:val="IndexLink"/>
                <w:rtl w:val="true"/>
              </w:rPr>
              <w:t>شمایل های مسیحیان ارتدکس شرقی</w:t>
            </w:r>
            <w:r>
              <w:rPr>
                <w:rStyle w:val="IndexLink"/>
                <w:rtl w:val="true"/>
              </w:rPr>
              <w:tab/>
            </w:r>
            <w:r>
              <w:rPr>
                <w:rStyle w:val="IndexLink"/>
              </w:rPr>
              <w:t>521</w:t>
            </w:r>
          </w:hyperlink>
        </w:p>
        <w:p>
          <w:pPr>
            <w:pStyle w:val="Contents4"/>
            <w:tabs>
              <w:tab w:val="clear" w:pos="8176"/>
              <w:tab w:val="right" w:pos="9026" w:leader="dot"/>
            </w:tabs>
            <w:rPr/>
          </w:pPr>
          <w:hyperlink w:anchor="__RefHeading___Toc1656716_2281741623">
            <w:r>
              <w:rPr>
                <w:webHidden/>
                <w:rStyle w:val="IndexLink"/>
                <w:rtl w:val="true"/>
              </w:rPr>
              <w:t>تخته نگاره های محراب کاتولیک رومی</w:t>
            </w:r>
            <w:r>
              <w:rPr>
                <w:rStyle w:val="IndexLink"/>
                <w:rtl w:val="true"/>
              </w:rPr>
              <w:tab/>
            </w:r>
            <w:r>
              <w:rPr>
                <w:rStyle w:val="IndexLink"/>
              </w:rPr>
              <w:t>522</w:t>
            </w:r>
          </w:hyperlink>
        </w:p>
        <w:p>
          <w:pPr>
            <w:pStyle w:val="Contents4"/>
            <w:tabs>
              <w:tab w:val="clear" w:pos="8176"/>
              <w:tab w:val="right" w:pos="9026" w:leader="dot"/>
            </w:tabs>
            <w:rPr/>
          </w:pPr>
          <w:hyperlink w:anchor="__RefHeading___Toc1656718_2281741623">
            <w:r>
              <w:rPr>
                <w:webHidden/>
                <w:rStyle w:val="IndexLink"/>
                <w:rtl w:val="true"/>
              </w:rPr>
              <w:t>نقاشی های روی گچ</w:t>
            </w:r>
            <w:r>
              <w:rPr>
                <w:rStyle w:val="IndexLink"/>
                <w:rtl w:val="true"/>
              </w:rPr>
              <w:tab/>
            </w:r>
            <w:r>
              <w:rPr>
                <w:rStyle w:val="IndexLink"/>
              </w:rPr>
              <w:t>523</w:t>
            </w:r>
          </w:hyperlink>
        </w:p>
        <w:p>
          <w:pPr>
            <w:pStyle w:val="Contents4"/>
            <w:tabs>
              <w:tab w:val="clear" w:pos="8176"/>
              <w:tab w:val="right" w:pos="9026" w:leader="dot"/>
            </w:tabs>
            <w:rPr/>
          </w:pPr>
          <w:hyperlink w:anchor="__RefHeading___Toc1656720_2281741623">
            <w:r>
              <w:rPr>
                <w:webHidden/>
                <w:rStyle w:val="IndexLink"/>
                <w:rtl w:val="true"/>
              </w:rPr>
              <w:t>نمونه های جدید</w:t>
            </w:r>
            <w:r>
              <w:rPr>
                <w:rStyle w:val="IndexLink"/>
                <w:rtl w:val="true"/>
              </w:rPr>
              <w:tab/>
            </w:r>
            <w:r>
              <w:rPr>
                <w:rStyle w:val="IndexLink"/>
              </w:rPr>
              <w:t>524</w:t>
            </w:r>
          </w:hyperlink>
        </w:p>
        <w:p>
          <w:pPr>
            <w:pStyle w:val="Contents3"/>
            <w:tabs>
              <w:tab w:val="clear" w:pos="8459"/>
              <w:tab w:val="right" w:pos="9026" w:leader="dot"/>
            </w:tabs>
            <w:rPr/>
          </w:pPr>
          <w:hyperlink w:anchor="__RefHeading___Toc1656722_2281741623">
            <w:r>
              <w:rPr>
                <w:webHidden/>
                <w:rStyle w:val="IndexLink"/>
                <w:rtl w:val="true"/>
              </w:rPr>
              <w:t>جایگزین های اسلامی به جای بت پرستی</w:t>
            </w:r>
            <w:r>
              <w:rPr>
                <w:rStyle w:val="IndexLink"/>
                <w:rtl w:val="true"/>
              </w:rPr>
              <w:tab/>
            </w:r>
            <w:r>
              <w:rPr>
                <w:rStyle w:val="IndexLink"/>
              </w:rPr>
              <w:t>525</w:t>
            </w:r>
          </w:hyperlink>
        </w:p>
        <w:p>
          <w:pPr>
            <w:pStyle w:val="Contents3"/>
            <w:tabs>
              <w:tab w:val="clear" w:pos="8459"/>
              <w:tab w:val="right" w:pos="9026" w:leader="dot"/>
            </w:tabs>
            <w:rPr/>
          </w:pPr>
          <w:hyperlink w:anchor="__RefHeading___Toc1656724_2281741623">
            <w:r>
              <w:rPr>
                <w:webHidden/>
                <w:rStyle w:val="IndexLink"/>
                <w:rtl w:val="true"/>
              </w:rPr>
              <w:t>هنر مذهبی هندو و بودایی</w:t>
            </w:r>
            <w:r>
              <w:rPr>
                <w:rStyle w:val="IndexLink"/>
                <w:rtl w:val="true"/>
              </w:rPr>
              <w:tab/>
            </w:r>
            <w:r>
              <w:rPr>
                <w:rStyle w:val="IndexLink"/>
              </w:rPr>
              <w:t>525</w:t>
            </w:r>
          </w:hyperlink>
        </w:p>
        <w:p>
          <w:pPr>
            <w:pStyle w:val="Contents3"/>
            <w:tabs>
              <w:tab w:val="clear" w:pos="8459"/>
              <w:tab w:val="right" w:pos="9026" w:leader="dot"/>
            </w:tabs>
            <w:rPr/>
          </w:pPr>
          <w:hyperlink w:anchor="__RefHeading___Toc1656726_2281741623">
            <w:r>
              <w:rPr>
                <w:webHidden/>
                <w:rStyle w:val="IndexLink"/>
                <w:rtl w:val="true"/>
              </w:rPr>
              <w:t>سنت نقاشی بومی استرالیا</w:t>
            </w:r>
            <w:r>
              <w:rPr>
                <w:rStyle w:val="IndexLink"/>
                <w:rtl w:val="true"/>
              </w:rPr>
              <w:tab/>
            </w:r>
            <w:r>
              <w:rPr>
                <w:rStyle w:val="IndexLink"/>
              </w:rPr>
              <w:t>528</w:t>
            </w:r>
          </w:hyperlink>
        </w:p>
        <w:p>
          <w:pPr>
            <w:pStyle w:val="Contents3"/>
            <w:tabs>
              <w:tab w:val="clear" w:pos="8459"/>
              <w:tab w:val="right" w:pos="9026" w:leader="dot"/>
            </w:tabs>
            <w:rPr/>
          </w:pPr>
          <w:hyperlink w:anchor="__RefHeading___Toc1656728_2281741623">
            <w:r>
              <w:rPr>
                <w:webHidden/>
                <w:rStyle w:val="IndexLink"/>
                <w:rtl w:val="true"/>
              </w:rPr>
              <w:t>برای مطالعۀ بیشتر</w:t>
            </w:r>
            <w:r>
              <w:rPr>
                <w:rStyle w:val="IndexLink"/>
                <w:rtl w:val="true"/>
              </w:rPr>
              <w:tab/>
            </w:r>
            <w:r>
              <w:rPr>
                <w:rStyle w:val="IndexLink"/>
              </w:rPr>
              <w:t>529</w:t>
            </w:r>
          </w:hyperlink>
        </w:p>
        <w:p>
          <w:pPr>
            <w:pStyle w:val="Contents2"/>
            <w:tabs>
              <w:tab w:val="clear" w:pos="8743"/>
              <w:tab w:val="right" w:pos="9026" w:leader="dot"/>
            </w:tabs>
            <w:rPr/>
          </w:pPr>
          <w:hyperlink w:anchor="__RefHeading___Toc1656730_2281741623">
            <w:r>
              <w:rPr>
                <w:webHidden/>
                <w:rStyle w:val="IndexLink"/>
                <w:rtl w:val="true"/>
              </w:rPr>
              <w:t>نمادگان</w:t>
            </w:r>
            <w:r>
              <w:rPr>
                <w:rStyle w:val="IndexLink"/>
                <w:rtl w:val="true"/>
              </w:rPr>
              <w:tab/>
            </w:r>
            <w:r>
              <w:rPr>
                <w:rStyle w:val="IndexLink"/>
              </w:rPr>
              <w:t>531</w:t>
            </w:r>
          </w:hyperlink>
        </w:p>
        <w:p>
          <w:pPr>
            <w:pStyle w:val="Contents3"/>
            <w:tabs>
              <w:tab w:val="clear" w:pos="8459"/>
              <w:tab w:val="right" w:pos="9026" w:leader="dot"/>
            </w:tabs>
            <w:rPr/>
          </w:pPr>
          <w:hyperlink w:anchor="__RefHeading___Toc1656732_2281741623">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1656734_2281741623">
            <w:r>
              <w:rPr>
                <w:webHidden/>
                <w:rStyle w:val="IndexLink"/>
                <w:rtl w:val="true"/>
              </w:rPr>
              <w:t>نمادها و دنیای روحانی</w:t>
            </w:r>
            <w:r>
              <w:rPr>
                <w:rStyle w:val="IndexLink"/>
                <w:rtl w:val="true"/>
              </w:rPr>
              <w:tab/>
            </w:r>
            <w:r>
              <w:rPr>
                <w:rStyle w:val="IndexLink"/>
              </w:rPr>
              <w:t>532</w:t>
            </w:r>
          </w:hyperlink>
        </w:p>
        <w:p>
          <w:pPr>
            <w:pStyle w:val="Contents3"/>
            <w:tabs>
              <w:tab w:val="clear" w:pos="8459"/>
              <w:tab w:val="right" w:pos="9026" w:leader="dot"/>
            </w:tabs>
            <w:rPr/>
          </w:pPr>
          <w:hyperlink w:anchor="__RefHeading___Toc1656736_2281741623">
            <w:r>
              <w:rPr>
                <w:webHidden/>
                <w:rStyle w:val="IndexLink"/>
                <w:rtl w:val="true"/>
              </w:rPr>
              <w:t>نمادها و جهان مادی</w:t>
            </w:r>
            <w:r>
              <w:rPr>
                <w:rStyle w:val="IndexLink"/>
                <w:rtl w:val="true"/>
              </w:rPr>
              <w:tab/>
            </w:r>
            <w:r>
              <w:rPr>
                <w:rStyle w:val="IndexLink"/>
              </w:rPr>
              <w:t>534</w:t>
            </w:r>
          </w:hyperlink>
        </w:p>
        <w:p>
          <w:pPr>
            <w:pStyle w:val="Contents3"/>
            <w:tabs>
              <w:tab w:val="clear" w:pos="8459"/>
              <w:tab w:val="right" w:pos="9026" w:leader="dot"/>
            </w:tabs>
            <w:rPr/>
          </w:pPr>
          <w:hyperlink w:anchor="__RefHeading___Toc1656738_2281741623">
            <w:r>
              <w:rPr>
                <w:webHidden/>
                <w:rStyle w:val="IndexLink"/>
                <w:rtl w:val="true"/>
              </w:rPr>
              <w:t>نمادها در اتحاد میان امر روحانی و امر مادی</w:t>
            </w:r>
            <w:r>
              <w:rPr>
                <w:rStyle w:val="IndexLink"/>
                <w:rtl w:val="true"/>
              </w:rPr>
              <w:tab/>
            </w:r>
            <w:r>
              <w:rPr>
                <w:rStyle w:val="IndexLink"/>
              </w:rPr>
              <w:t>537</w:t>
            </w:r>
          </w:hyperlink>
        </w:p>
        <w:p>
          <w:pPr>
            <w:pStyle w:val="Contents3"/>
            <w:tabs>
              <w:tab w:val="clear" w:pos="8459"/>
              <w:tab w:val="right" w:pos="9026" w:leader="dot"/>
            </w:tabs>
            <w:rPr/>
          </w:pPr>
          <w:hyperlink w:anchor="__RefHeading___Toc1656740_2281741623">
            <w:r>
              <w:rPr>
                <w:webHidden/>
                <w:rStyle w:val="IndexLink"/>
                <w:rtl w:val="true"/>
              </w:rPr>
              <w:t>نشانه شناسی و مذهب</w:t>
            </w:r>
            <w:r>
              <w:rPr>
                <w:rStyle w:val="IndexLink"/>
                <w:rtl w:val="true"/>
              </w:rPr>
              <w:tab/>
            </w:r>
            <w:r>
              <w:rPr>
                <w:rStyle w:val="IndexLink"/>
              </w:rPr>
              <w:t>540</w:t>
            </w:r>
          </w:hyperlink>
        </w:p>
        <w:p>
          <w:pPr>
            <w:pStyle w:val="Contents3"/>
            <w:tabs>
              <w:tab w:val="clear" w:pos="8459"/>
              <w:tab w:val="right" w:pos="9026" w:leader="dot"/>
            </w:tabs>
            <w:rPr/>
          </w:pPr>
          <w:hyperlink w:anchor="__RefHeading___Toc1656742_2281741623">
            <w:r>
              <w:rPr>
                <w:webHidden/>
                <w:rStyle w:val="IndexLink"/>
                <w:rtl w:val="true"/>
              </w:rPr>
              <w:t>برای مطالعۀ بیشتر</w:t>
            </w:r>
            <w:r>
              <w:rPr>
                <w:rStyle w:val="IndexLink"/>
                <w:rtl w:val="true"/>
              </w:rPr>
              <w:tab/>
            </w:r>
            <w:r>
              <w:rPr>
                <w:rStyle w:val="IndexLink"/>
              </w:rPr>
              <w:t>541</w:t>
            </w:r>
          </w:hyperlink>
        </w:p>
        <w:p>
          <w:pPr>
            <w:pStyle w:val="Contents2"/>
            <w:tabs>
              <w:tab w:val="clear" w:pos="8743"/>
              <w:tab w:val="right" w:pos="9026" w:leader="dot"/>
            </w:tabs>
            <w:rPr/>
          </w:pPr>
          <w:hyperlink w:anchor="__RefHeading___Toc1656744_2281741623">
            <w:r>
              <w:rPr>
                <w:webHidden/>
                <w:rStyle w:val="IndexLink"/>
                <w:rtl w:val="true"/>
              </w:rPr>
              <w:t>هتک حرمت</w:t>
            </w:r>
            <w:r>
              <w:rPr>
                <w:rStyle w:val="IndexLink"/>
                <w:rtl w:val="true"/>
              </w:rPr>
              <w:tab/>
            </w:r>
            <w:r>
              <w:rPr>
                <w:rStyle w:val="IndexLink"/>
              </w:rPr>
              <w:t>544</w:t>
            </w:r>
          </w:hyperlink>
        </w:p>
        <w:p>
          <w:pPr>
            <w:pStyle w:val="Contents3"/>
            <w:tabs>
              <w:tab w:val="clear" w:pos="8459"/>
              <w:tab w:val="right" w:pos="9026" w:leader="dot"/>
            </w:tabs>
            <w:rPr/>
          </w:pPr>
          <w:hyperlink w:anchor="__RefHeading___Toc1656746_2281741623">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1656748_2281741623">
            <w:r>
              <w:rPr>
                <w:webHidden/>
                <w:rStyle w:val="IndexLink"/>
                <w:rtl w:val="true"/>
              </w:rPr>
              <w:t>قانون هتک حرمت و آزادی بیان</w:t>
            </w:r>
            <w:r>
              <w:rPr>
                <w:rStyle w:val="IndexLink"/>
                <w:rtl w:val="true"/>
              </w:rPr>
              <w:tab/>
            </w:r>
            <w:r>
              <w:rPr>
                <w:rStyle w:val="IndexLink"/>
              </w:rPr>
              <w:t>547</w:t>
            </w:r>
          </w:hyperlink>
        </w:p>
        <w:p>
          <w:pPr>
            <w:pStyle w:val="Contents3"/>
            <w:tabs>
              <w:tab w:val="clear" w:pos="8459"/>
              <w:tab w:val="right" w:pos="9026" w:leader="dot"/>
            </w:tabs>
            <w:rPr/>
          </w:pPr>
          <w:hyperlink w:anchor="__RefHeading___Toc1656750_2281741623">
            <w:r>
              <w:rPr>
                <w:webHidden/>
                <w:rStyle w:val="IndexLink"/>
                <w:rtl w:val="true"/>
              </w:rPr>
              <w:t>گروه های ضد هتک حرمت</w:t>
            </w:r>
            <w:r>
              <w:rPr>
                <w:rStyle w:val="IndexLink"/>
                <w:rtl w:val="true"/>
              </w:rPr>
              <w:tab/>
            </w:r>
            <w:r>
              <w:rPr>
                <w:rStyle w:val="IndexLink"/>
              </w:rPr>
              <w:t>549</w:t>
            </w:r>
          </w:hyperlink>
        </w:p>
        <w:p>
          <w:pPr>
            <w:pStyle w:val="Contents3"/>
            <w:tabs>
              <w:tab w:val="clear" w:pos="8459"/>
              <w:tab w:val="right" w:pos="9026" w:leader="dot"/>
            </w:tabs>
            <w:rPr/>
          </w:pPr>
          <w:hyperlink w:anchor="__RefHeading___Toc1656752_2281741623">
            <w:r>
              <w:rPr>
                <w:webHidden/>
                <w:rStyle w:val="IndexLink"/>
                <w:rtl w:val="true"/>
              </w:rPr>
              <w:t>هتک حرمت و اینترنت</w:t>
            </w:r>
            <w:r>
              <w:rPr>
                <w:rStyle w:val="IndexLink"/>
                <w:rtl w:val="true"/>
              </w:rPr>
              <w:tab/>
            </w:r>
            <w:r>
              <w:rPr>
                <w:rStyle w:val="IndexLink"/>
              </w:rPr>
              <w:t>551</w:t>
            </w:r>
          </w:hyperlink>
        </w:p>
        <w:p>
          <w:pPr>
            <w:pStyle w:val="Contents3"/>
            <w:tabs>
              <w:tab w:val="clear" w:pos="8459"/>
              <w:tab w:val="right" w:pos="9026" w:leader="dot"/>
            </w:tabs>
            <w:rPr/>
          </w:pPr>
          <w:hyperlink w:anchor="__RefHeading___Toc1656754_2281741623">
            <w:r>
              <w:rPr>
                <w:webHidden/>
                <w:rStyle w:val="IndexLink"/>
                <w:rtl w:val="true"/>
              </w:rPr>
              <w:t>برای مطالعۀ بیشتر</w:t>
            </w:r>
            <w:r>
              <w:rPr>
                <w:rStyle w:val="IndexLink"/>
                <w:rtl w:val="true"/>
              </w:rPr>
              <w:tab/>
            </w:r>
            <w:r>
              <w:rPr>
                <w:rStyle w:val="IndexLink"/>
              </w:rPr>
              <w:t>554</w:t>
            </w:r>
          </w:hyperlink>
        </w:p>
        <w:p>
          <w:pPr>
            <w:pStyle w:val="Contents2"/>
            <w:tabs>
              <w:tab w:val="clear" w:pos="8743"/>
              <w:tab w:val="right" w:pos="9026" w:leader="dot"/>
            </w:tabs>
            <w:rPr/>
          </w:pPr>
          <w:hyperlink w:anchor="__RefHeading___Toc1656756_2281741623">
            <w:r>
              <w:rPr>
                <w:webHidden/>
                <w:rStyle w:val="IndexLink"/>
                <w:rtl w:val="true"/>
              </w:rPr>
              <w:t>هرزه نگاری</w:t>
            </w:r>
            <w:r>
              <w:rPr>
                <w:rStyle w:val="IndexLink"/>
                <w:rtl w:val="true"/>
              </w:rPr>
              <w:tab/>
            </w:r>
            <w:r>
              <w:rPr>
                <w:rStyle w:val="IndexLink"/>
              </w:rPr>
              <w:t>555</w:t>
            </w:r>
          </w:hyperlink>
        </w:p>
        <w:p>
          <w:pPr>
            <w:pStyle w:val="Contents3"/>
            <w:tabs>
              <w:tab w:val="clear" w:pos="8459"/>
              <w:tab w:val="right" w:pos="9026" w:leader="dot"/>
            </w:tabs>
            <w:rPr/>
          </w:pPr>
          <w:hyperlink w:anchor="__RefHeading___Toc1656758_2281741623">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1656760_2281741623">
            <w:r>
              <w:rPr>
                <w:webHidden/>
                <w:rStyle w:val="IndexLink"/>
                <w:rtl w:val="true"/>
              </w:rPr>
              <w:t>موضِع مذهب</w:t>
            </w:r>
            <w:r>
              <w:rPr>
                <w:rStyle w:val="IndexLink"/>
                <w:rtl w:val="true"/>
              </w:rPr>
              <w:tab/>
            </w:r>
            <w:r>
              <w:rPr>
                <w:rStyle w:val="IndexLink"/>
              </w:rPr>
              <w:t>557</w:t>
            </w:r>
          </w:hyperlink>
        </w:p>
        <w:p>
          <w:pPr>
            <w:pStyle w:val="Contents3"/>
            <w:tabs>
              <w:tab w:val="clear" w:pos="8459"/>
              <w:tab w:val="right" w:pos="9026" w:leader="dot"/>
            </w:tabs>
            <w:rPr/>
          </w:pPr>
          <w:hyperlink w:anchor="__RefHeading___Toc1656762_2281741623">
            <w:r>
              <w:rPr>
                <w:webHidden/>
                <w:rStyle w:val="IndexLink"/>
                <w:rtl w:val="true"/>
              </w:rPr>
              <w:t>ارزش در هرزه نگاری</w:t>
            </w:r>
            <w:r>
              <w:rPr>
                <w:rStyle w:val="IndexLink"/>
                <w:rtl w:val="true"/>
              </w:rPr>
              <w:tab/>
            </w:r>
            <w:r>
              <w:rPr>
                <w:rStyle w:val="IndexLink"/>
              </w:rPr>
              <w:t>559</w:t>
            </w:r>
          </w:hyperlink>
        </w:p>
        <w:p>
          <w:pPr>
            <w:pStyle w:val="Contents3"/>
            <w:tabs>
              <w:tab w:val="clear" w:pos="8459"/>
              <w:tab w:val="right" w:pos="9026" w:leader="dot"/>
            </w:tabs>
            <w:rPr/>
          </w:pPr>
          <w:hyperlink w:anchor="__RefHeading___Toc1656764_2281741623">
            <w:r>
              <w:rPr>
                <w:webHidden/>
                <w:rStyle w:val="IndexLink"/>
                <w:rtl w:val="true"/>
              </w:rPr>
              <w:t>هرزه نگاری و ارزش های خانوادگی</w:t>
            </w:r>
            <w:r>
              <w:rPr>
                <w:rStyle w:val="IndexLink"/>
                <w:rtl w:val="true"/>
              </w:rPr>
              <w:tab/>
            </w:r>
            <w:r>
              <w:rPr>
                <w:rStyle w:val="IndexLink"/>
              </w:rPr>
              <w:t>564</w:t>
            </w:r>
          </w:hyperlink>
        </w:p>
        <w:p>
          <w:pPr>
            <w:pStyle w:val="Contents3"/>
            <w:tabs>
              <w:tab w:val="clear" w:pos="8459"/>
              <w:tab w:val="right" w:pos="9026" w:leader="dot"/>
            </w:tabs>
            <w:rPr/>
          </w:pPr>
          <w:hyperlink w:anchor="__RefHeading___Toc1656766_2281741623">
            <w:r>
              <w:rPr>
                <w:webHidden/>
                <w:rStyle w:val="IndexLink"/>
                <w:rtl w:val="true"/>
              </w:rPr>
              <w:t>برای مطالعۀ بیشتر</w:t>
            </w:r>
            <w:r>
              <w:rPr>
                <w:rStyle w:val="IndexLink"/>
                <w:rtl w:val="true"/>
              </w:rPr>
              <w:tab/>
            </w:r>
            <w:r>
              <w:rPr>
                <w:rStyle w:val="IndexLink"/>
              </w:rPr>
              <w:t>567</w:t>
            </w:r>
          </w:hyperlink>
        </w:p>
        <w:p>
          <w:pPr>
            <w:pStyle w:val="Contents2"/>
            <w:tabs>
              <w:tab w:val="clear" w:pos="8743"/>
              <w:tab w:val="right" w:pos="9026" w:leader="dot"/>
            </w:tabs>
            <w:rPr/>
          </w:pPr>
          <w:hyperlink w:anchor="__RefHeading___Toc1656768_2281741623">
            <w:r>
              <w:rPr>
                <w:webHidden/>
                <w:rStyle w:val="IndexLink"/>
                <w:rtl w:val="true"/>
              </w:rPr>
              <w:t>هنر</w:t>
            </w:r>
            <w:r>
              <w:rPr>
                <w:rStyle w:val="IndexLink"/>
                <w:rtl w:val="true"/>
              </w:rPr>
              <w:tab/>
            </w:r>
            <w:r>
              <w:rPr>
                <w:rStyle w:val="IndexLink"/>
              </w:rPr>
              <w:t>571</w:t>
            </w:r>
          </w:hyperlink>
        </w:p>
        <w:p>
          <w:pPr>
            <w:pStyle w:val="Contents3"/>
            <w:tabs>
              <w:tab w:val="clear" w:pos="8459"/>
              <w:tab w:val="right" w:pos="9026" w:leader="dot"/>
            </w:tabs>
            <w:rPr/>
          </w:pPr>
          <w:hyperlink w:anchor="__RefHeading___Toc1656770_2281741623">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1656772_2281741623">
            <w:r>
              <w:rPr>
                <w:webHidden/>
                <w:rStyle w:val="IndexLink"/>
                <w:rtl w:val="true"/>
              </w:rPr>
              <w:t>جایگاه های هنر مذهبی</w:t>
            </w:r>
            <w:r>
              <w:rPr>
                <w:rStyle w:val="IndexLink"/>
                <w:rtl w:val="true"/>
              </w:rPr>
              <w:tab/>
            </w:r>
            <w:r>
              <w:rPr>
                <w:rStyle w:val="IndexLink"/>
              </w:rPr>
              <w:t>572</w:t>
            </w:r>
          </w:hyperlink>
        </w:p>
        <w:p>
          <w:pPr>
            <w:pStyle w:val="Contents3"/>
            <w:tabs>
              <w:tab w:val="clear" w:pos="8459"/>
              <w:tab w:val="right" w:pos="9026" w:leader="dot"/>
            </w:tabs>
            <w:rPr/>
          </w:pPr>
          <w:hyperlink w:anchor="__RefHeading___Toc1656774_2281741623">
            <w:r>
              <w:rPr>
                <w:webHidden/>
                <w:rStyle w:val="IndexLink"/>
                <w:rtl w:val="true"/>
              </w:rPr>
              <w:t>هنر و مسیحیت</w:t>
            </w:r>
            <w:r>
              <w:rPr>
                <w:rStyle w:val="IndexLink"/>
                <w:rtl w:val="true"/>
              </w:rPr>
              <w:t xml:space="preserve">: </w:t>
            </w:r>
            <w:r>
              <w:rPr>
                <w:rStyle w:val="IndexLink"/>
                <w:rtl w:val="true"/>
              </w:rPr>
              <w:t>کوشش برای رسیدن به توازن</w:t>
            </w:r>
            <w:r>
              <w:rPr>
                <w:rStyle w:val="IndexLink"/>
                <w:rtl w:val="true"/>
              </w:rPr>
              <w:tab/>
            </w:r>
            <w:r>
              <w:rPr>
                <w:rStyle w:val="IndexLink"/>
              </w:rPr>
              <w:t>573</w:t>
            </w:r>
          </w:hyperlink>
        </w:p>
        <w:p>
          <w:pPr>
            <w:pStyle w:val="Contents4"/>
            <w:tabs>
              <w:tab w:val="clear" w:pos="8176"/>
              <w:tab w:val="right" w:pos="9026" w:leader="dot"/>
            </w:tabs>
            <w:rPr/>
          </w:pPr>
          <w:hyperlink w:anchor="__RefHeading___Toc1656776_2281741623">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1656778_2281741623">
            <w:r>
              <w:rPr>
                <w:webHidden/>
                <w:rStyle w:val="IndexLink"/>
                <w:rtl w:val="true"/>
              </w:rPr>
              <w:t>جایگاه تصاویر شمایلی</w:t>
            </w:r>
            <w:r>
              <w:rPr>
                <w:rStyle w:val="IndexLink"/>
                <w:rtl w:val="true"/>
              </w:rPr>
              <w:tab/>
            </w:r>
            <w:r>
              <w:rPr>
                <w:rStyle w:val="IndexLink"/>
              </w:rPr>
              <w:t>574</w:t>
            </w:r>
          </w:hyperlink>
        </w:p>
        <w:p>
          <w:pPr>
            <w:pStyle w:val="Contents4"/>
            <w:tabs>
              <w:tab w:val="clear" w:pos="8176"/>
              <w:tab w:val="right" w:pos="9026" w:leader="dot"/>
            </w:tabs>
            <w:rPr/>
          </w:pPr>
          <w:hyperlink w:anchor="__RefHeading___Toc1656780_2281741623">
            <w:r>
              <w:rPr>
                <w:webHidden/>
                <w:rStyle w:val="IndexLink"/>
                <w:rtl w:val="true"/>
              </w:rPr>
              <w:t>بهره برداری های مدرن از تصاویر</w:t>
            </w:r>
            <w:r>
              <w:rPr>
                <w:rStyle w:val="IndexLink"/>
                <w:rtl w:val="true"/>
              </w:rPr>
              <w:tab/>
            </w:r>
            <w:r>
              <w:rPr>
                <w:rStyle w:val="IndexLink"/>
              </w:rPr>
              <w:t>574</w:t>
            </w:r>
          </w:hyperlink>
        </w:p>
        <w:p>
          <w:pPr>
            <w:pStyle w:val="Contents4"/>
            <w:tabs>
              <w:tab w:val="clear" w:pos="8176"/>
              <w:tab w:val="right" w:pos="9026" w:leader="dot"/>
            </w:tabs>
            <w:rPr/>
          </w:pPr>
          <w:hyperlink w:anchor="__RefHeading___Toc1656782_2281741623">
            <w:r>
              <w:rPr>
                <w:webHidden/>
                <w:rStyle w:val="IndexLink"/>
                <w:rtl w:val="true"/>
              </w:rPr>
              <w:t>جانشین هایی برای تصویر</w:t>
            </w:r>
            <w:r>
              <w:rPr>
                <w:rStyle w:val="IndexLink"/>
                <w:rtl w:val="true"/>
              </w:rPr>
              <w:tab/>
            </w:r>
            <w:r>
              <w:rPr>
                <w:rStyle w:val="IndexLink"/>
              </w:rPr>
              <w:t>576</w:t>
            </w:r>
          </w:hyperlink>
        </w:p>
        <w:p>
          <w:pPr>
            <w:pStyle w:val="Contents4"/>
            <w:tabs>
              <w:tab w:val="clear" w:pos="8176"/>
              <w:tab w:val="right" w:pos="9026" w:leader="dot"/>
            </w:tabs>
            <w:rPr/>
          </w:pPr>
          <w:hyperlink w:anchor="__RefHeading___Toc1656784_2281741623">
            <w:r>
              <w:rPr>
                <w:webHidden/>
                <w:rStyle w:val="IndexLink"/>
                <w:rtl w:val="true"/>
              </w:rPr>
              <w:t>آیین بودا و فضای دگرگون کنندۀ باغ</w:t>
            </w:r>
            <w:r>
              <w:rPr>
                <w:rStyle w:val="IndexLink"/>
                <w:rtl w:val="true"/>
              </w:rPr>
              <w:tab/>
            </w:r>
            <w:r>
              <w:rPr>
                <w:rStyle w:val="IndexLink"/>
              </w:rPr>
              <w:t>577</w:t>
            </w:r>
          </w:hyperlink>
        </w:p>
        <w:p>
          <w:pPr>
            <w:pStyle w:val="Contents4"/>
            <w:tabs>
              <w:tab w:val="clear" w:pos="8176"/>
              <w:tab w:val="right" w:pos="9026" w:leader="dot"/>
            </w:tabs>
            <w:rPr/>
          </w:pPr>
          <w:hyperlink w:anchor="__RefHeading___Toc1656786_2281741623">
            <w:r>
              <w:rPr>
                <w:webHidden/>
                <w:rStyle w:val="IndexLink"/>
                <w:rtl w:val="true"/>
              </w:rPr>
              <w:t>آیین هندو و عمل مشاهده</w:t>
            </w:r>
            <w:r>
              <w:rPr>
                <w:rStyle w:val="IndexLink"/>
                <w:rtl w:val="true"/>
              </w:rPr>
              <w:tab/>
            </w:r>
            <w:r>
              <w:rPr>
                <w:rStyle w:val="IndexLink"/>
              </w:rPr>
              <w:t>579</w:t>
            </w:r>
          </w:hyperlink>
        </w:p>
        <w:p>
          <w:pPr>
            <w:pStyle w:val="Contents4"/>
            <w:tabs>
              <w:tab w:val="clear" w:pos="8176"/>
              <w:tab w:val="right" w:pos="9026" w:leader="dot"/>
            </w:tabs>
            <w:rPr/>
          </w:pPr>
          <w:hyperlink w:anchor="__RefHeading___Toc1656788_2281741623">
            <w:r>
              <w:rPr>
                <w:webHidden/>
                <w:rStyle w:val="IndexLink"/>
                <w:rtl w:val="true"/>
              </w:rPr>
              <w:t>آیین یهود</w:t>
            </w:r>
            <w:r>
              <w:rPr>
                <w:rStyle w:val="IndexLink"/>
                <w:rtl w:val="true"/>
              </w:rPr>
              <w:t xml:space="preserve">: </w:t>
            </w:r>
            <w:r>
              <w:rPr>
                <w:rStyle w:val="IndexLink"/>
                <w:rtl w:val="true"/>
              </w:rPr>
              <w:t>هنر و یادآوری</w:t>
            </w:r>
            <w:r>
              <w:rPr>
                <w:rStyle w:val="IndexLink"/>
                <w:rtl w:val="true"/>
              </w:rPr>
              <w:tab/>
            </w:r>
            <w:r>
              <w:rPr>
                <w:rStyle w:val="IndexLink"/>
              </w:rPr>
              <w:t>580</w:t>
            </w:r>
          </w:hyperlink>
        </w:p>
        <w:p>
          <w:pPr>
            <w:pStyle w:val="Contents3"/>
            <w:tabs>
              <w:tab w:val="clear" w:pos="8459"/>
              <w:tab w:val="right" w:pos="9026" w:leader="dot"/>
            </w:tabs>
            <w:rPr/>
          </w:pPr>
          <w:hyperlink w:anchor="__RefHeading___Toc1656790_2281741623">
            <w:r>
              <w:rPr>
                <w:webHidden/>
                <w:rStyle w:val="IndexLink"/>
                <w:rtl w:val="true"/>
              </w:rPr>
              <w:t>حفظ شتاب همراه با عمل مذهبی</w:t>
            </w:r>
            <w:r>
              <w:rPr>
                <w:rStyle w:val="IndexLink"/>
                <w:rtl w:val="true"/>
              </w:rPr>
              <w:tab/>
            </w:r>
            <w:r>
              <w:rPr>
                <w:rStyle w:val="IndexLink"/>
              </w:rPr>
              <w:t>581</w:t>
            </w:r>
          </w:hyperlink>
        </w:p>
        <w:p>
          <w:pPr>
            <w:pStyle w:val="Contents3"/>
            <w:tabs>
              <w:tab w:val="clear" w:pos="8459"/>
              <w:tab w:val="right" w:pos="9026" w:leader="dot"/>
            </w:tabs>
            <w:rPr/>
          </w:pPr>
          <w:hyperlink w:anchor="__RefHeading___Toc1656792_2281741623">
            <w:r>
              <w:rPr>
                <w:webHidden/>
                <w:rStyle w:val="IndexLink"/>
                <w:rtl w:val="true"/>
              </w:rPr>
              <w:t>برای مطالعۀ بیشتر</w:t>
            </w:r>
            <w:r>
              <w:rPr>
                <w:rStyle w:val="IndexLink"/>
                <w:rtl w:val="true"/>
              </w:rPr>
              <w:tab/>
            </w:r>
            <w:r>
              <w:rPr>
                <w:rStyle w:val="IndexLink"/>
              </w:rPr>
              <w:t>583</w:t>
            </w:r>
          </w:hyperlink>
        </w:p>
        <w:p>
          <w:pPr>
            <w:pStyle w:val="Contents2"/>
            <w:tabs>
              <w:tab w:val="clear" w:pos="8743"/>
              <w:tab w:val="right" w:pos="9026" w:leader="dot"/>
            </w:tabs>
            <w:rPr/>
          </w:pPr>
          <w:hyperlink w:anchor="__RefHeading___Toc1656794_2281741623">
            <w:r>
              <w:rPr>
                <w:webHidden/>
                <w:rStyle w:val="IndexLink"/>
                <w:rtl w:val="true"/>
              </w:rPr>
              <w:t>فهرست نویسندگان</w:t>
            </w:r>
            <w:r>
              <w:rPr>
                <w:rStyle w:val="IndexLink"/>
                <w:rtl w:val="true"/>
              </w:rPr>
              <w:tab/>
            </w:r>
            <w:r>
              <w:rPr>
                <w:rStyle w:val="IndexLink"/>
              </w:rPr>
              <w:t>584</w:t>
            </w:r>
          </w:hyperlink>
        </w:p>
        <w:p>
          <w:pPr>
            <w:pStyle w:val="Contents2"/>
            <w:tabs>
              <w:tab w:val="clear" w:pos="8743"/>
              <w:tab w:val="right" w:pos="9026" w:leader="dot"/>
            </w:tabs>
            <w:rPr/>
          </w:pPr>
          <w:hyperlink w:anchor="__RefHeading___Toc1656796_2281741623">
            <w:r>
              <w:rPr>
                <w:webHidden/>
                <w:rStyle w:val="IndexLink"/>
                <w:rtl w:val="true"/>
              </w:rPr>
              <w:t xml:space="preserve">فهرست اَعلام </w:t>
            </w:r>
            <w:r>
              <w:rPr>
                <w:rStyle w:val="IndexLink"/>
                <w:rtl w:val="true"/>
              </w:rPr>
              <w:t>(</w:t>
            </w:r>
            <w:r>
              <w:rPr>
                <w:rStyle w:val="IndexLink"/>
                <w:rtl w:val="true"/>
              </w:rPr>
              <w:t>فارسی</w:t>
            </w:r>
            <w:r>
              <w:rPr>
                <w:rStyle w:val="IndexLink"/>
                <w:rtl w:val="true"/>
              </w:rPr>
              <w:t>)</w:t>
              <w:tab/>
            </w:r>
            <w:r>
              <w:rPr>
                <w:rStyle w:val="IndexLink"/>
              </w:rPr>
              <w:t>586</w:t>
            </w:r>
          </w:hyperlink>
        </w:p>
        <w:p>
          <w:pPr>
            <w:pStyle w:val="Contents2"/>
            <w:tabs>
              <w:tab w:val="clear" w:pos="8743"/>
              <w:tab w:val="right" w:pos="9026" w:leader="dot"/>
            </w:tabs>
            <w:rPr/>
          </w:pPr>
          <w:hyperlink w:anchor="__RefHeading___Toc1656798_2281741623">
            <w:r>
              <w:rPr>
                <w:webHidden/>
                <w:rStyle w:val="IndexLink"/>
                <w:rtl w:val="true"/>
              </w:rPr>
              <w:t>فهرست نهادها</w:t>
            </w:r>
            <w:r>
              <w:rPr>
                <w:rStyle w:val="IndexLink"/>
                <w:rtl w:val="true"/>
              </w:rPr>
              <w:tab/>
            </w:r>
            <w:r>
              <w:rPr>
                <w:rStyle w:val="IndexLink"/>
              </w:rPr>
              <w:t>611</w:t>
            </w:r>
          </w:hyperlink>
        </w:p>
        <w:p>
          <w:pPr>
            <w:pStyle w:val="Contents2"/>
            <w:tabs>
              <w:tab w:val="clear" w:pos="8743"/>
              <w:tab w:val="right" w:pos="9026" w:leader="dot"/>
            </w:tabs>
            <w:rPr/>
          </w:pPr>
          <w:hyperlink w:anchor="__RefHeading___Toc1656800_2281741623">
            <w:r>
              <w:rPr>
                <w:webHidden/>
                <w:rStyle w:val="IndexLink"/>
                <w:rtl w:val="true"/>
              </w:rPr>
              <w:t xml:space="preserve">فهرست اَعلام </w:t>
            </w:r>
            <w:r>
              <w:rPr>
                <w:rStyle w:val="IndexLink"/>
                <w:rtl w:val="true"/>
              </w:rPr>
              <w:t>(</w:t>
            </w:r>
            <w:r>
              <w:rPr>
                <w:rStyle w:val="IndexLink"/>
                <w:rtl w:val="true"/>
              </w:rPr>
              <w:t>انگلیسی</w:t>
            </w:r>
            <w:r>
              <w:rPr>
                <w:rStyle w:val="IndexLink"/>
                <w:rtl w:val="true"/>
              </w:rPr>
              <w:t>)</w:t>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1_27567"/>
      <w:bookmarkStart w:id="1" w:name="pg3881_27567"/>
      <w:bookmarkEnd w:id="1"/>
    </w:p>
    <w:p>
      <w:pPr>
        <w:pStyle w:val="Heading2"/>
        <w:numPr>
          <w:ilvl w:val="1"/>
          <w:numId w:val="1"/>
        </w:numPr>
        <w:rPr/>
      </w:pPr>
      <w:bookmarkStart w:id="2" w:name="pg3881_27567"/>
      <w:bookmarkStart w:id="3" w:name="__RefHeading___Toc165599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دانیل، </w:t>
      </w:r>
      <w:r>
        <w:rPr>
          <w:rFonts w:eastAsia="Times New Roman" w:cs="Times New Roman" w:ascii="Times New Roman" w:hAnsi="Times New Roman"/>
          <w:color w:val="111111"/>
          <w:sz w:val="28"/>
          <w:szCs w:val="28"/>
          <w:lang w:val="en-US" w:bidi="en-US"/>
        </w:rPr>
        <w:t>Stout, Daniel</w:t>
      </w:r>
    </w:p>
    <w:p>
      <w:pPr>
        <w:pStyle w:val="BookText"/>
        <w:rPr/>
      </w:pPr>
      <w:r>
        <w:rPr>
          <w:rFonts w:ascii="IRNazanin" w:hAnsi="IRNazanin" w:eastAsia="IRNazanin"/>
          <w:color w:val="111111"/>
          <w:sz w:val="28"/>
          <w:sz w:val="28"/>
          <w:szCs w:val="28"/>
          <w:rtl w:val="true"/>
          <w:lang w:bidi="fa-IR"/>
        </w:rPr>
        <w:t>عنوان و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دانش‌نامه دین، ارتباطات و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ویراسته دانیل استوت؛ گروه مترجمین، به کوشش سید حمیدرضا قادری؛ تهیه شده در مرکز پژوهش‌های اسلامی صدا و سیما، واحد خانه هنر و اندیشه، وزارت فرهنگ و ارشاد اسلامی، مرکز مطالعات و برنامه‌ریزی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Encyclopedia of religion, Communication &amp; Media,2006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ـ جنبه‌های مذهبی ـ دایرة المعارف‌ها؛ رسانه‌های گروهی ـ جنبه‌های مذهبی ـ مقاله‌ها و خطابه‌ها؛ رسانه‌های گروهی و فرهنگ؛ دین و فرهنگ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 سید حمیدرضا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هنر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برنامه‌ریزی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23/302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599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برگزیده دانش‌نامه دین، ارتباطات و رسانه</w:t>
      </w:r>
    </w:p>
    <w:p>
      <w:pPr>
        <w:pStyle w:val="BookText"/>
        <w:rPr/>
      </w:pPr>
      <w:r>
        <w:rPr>
          <w:rFonts w:eastAsia="Times New Roman" w:cs="Times New Roman" w:ascii="Times New Roman" w:hAnsi="Times New Roman"/>
          <w:color w:val="111111"/>
          <w:sz w:val="28"/>
          <w:szCs w:val="28"/>
          <w:lang w:val="en-US" w:bidi="en-US"/>
        </w:rPr>
        <w:t>Selected of Encyclopedia of Religion, Communication and Media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Publisher: Routledge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ویراستار نسخه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Daniel A. Stout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حمیدرضا باقری</w:t>
      </w:r>
    </w:p>
    <w:p>
      <w:pPr>
        <w:pStyle w:val="BookText"/>
        <w:rPr/>
      </w:pPr>
      <w:r>
        <w:rPr>
          <w:rFonts w:ascii="IRNazanin" w:hAnsi="IRNazanin" w:eastAsia="IRNazanin"/>
          <w:color w:val="111111"/>
          <w:sz w:val="28"/>
          <w:sz w:val="28"/>
          <w:szCs w:val="28"/>
          <w:rtl w:val="true"/>
          <w:lang w:bidi="fa-IR"/>
        </w:rPr>
        <w:t>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مترجمین</w:t>
      </w:r>
    </w:p>
    <w:p>
      <w:pPr>
        <w:pStyle w:val="BookText"/>
        <w:rPr/>
      </w:pPr>
      <w:r>
        <w:rPr>
          <w:rFonts w:ascii="IRNazanin" w:hAnsi="IRNazanin" w:eastAsia="IRNazanin"/>
          <w:color w:val="111111"/>
          <w:sz w:val="28"/>
          <w:sz w:val="28"/>
          <w:szCs w:val="28"/>
          <w:rtl w:val="true"/>
          <w:lang w:bidi="fa-IR"/>
        </w:rPr>
        <w:t xml:space="preserve">تهیه شده در خانه هنر و اندیشه 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برنامه‌ریزی رسانه‌ها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طراح جلد و گرافیست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سید محمدهادی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حروف‌چینی، نمونه‌خوانی،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رواق هنر و اندیشه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نوری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3881_27571"/>
    </w:p>
    <w:p>
      <w:pPr>
        <w:pStyle w:val="Heading2"/>
        <w:numPr>
          <w:ilvl w:val="1"/>
          <w:numId w:val="1"/>
        </w:numPr>
        <w:rPr/>
      </w:pPr>
      <w:bookmarkStart w:id="8" w:name="__RefHeading___Toc1655994_2281741623"/>
      <w:bookmarkStart w:id="9" w:name="_Toc3"/>
      <w:bookmarkEnd w:id="7"/>
      <w:bookmarkEnd w:id="8"/>
      <w:r>
        <w:rPr>
          <w:rtl w:val="true"/>
        </w:rPr>
        <w:t>به جای مقدمه</w:t>
      </w:r>
      <w:bookmarkEnd w:id="9"/>
    </w:p>
    <w:p>
      <w:pPr>
        <w:pStyle w:val="BookText"/>
        <w:rPr/>
      </w:pPr>
      <w:r>
        <w:rPr>
          <w:rFonts w:ascii="IRNazanin" w:hAnsi="IRNazanin" w:eastAsia="IRNazanin"/>
          <w:color w:val="111111"/>
          <w:sz w:val="28"/>
          <w:sz w:val="28"/>
          <w:szCs w:val="28"/>
          <w:rtl w:val="true"/>
          <w:lang w:bidi="fa-IR"/>
        </w:rPr>
        <w:t>به جای مقدمه</w:t>
      </w:r>
    </w:p>
    <w:p>
      <w:pPr>
        <w:pStyle w:val="BookText"/>
        <w:rPr/>
      </w:pPr>
      <w:r>
        <w:rPr>
          <w:rFonts w:ascii="IRNazanin" w:hAnsi="IRNazanin" w:eastAsia="IRNazanin"/>
          <w:color w:val="111111"/>
          <w:sz w:val="28"/>
          <w:sz w:val="28"/>
          <w:szCs w:val="28"/>
          <w:rtl w:val="true"/>
          <w:lang w:bidi="fa-IR"/>
        </w:rPr>
        <w:t>سخن سایه حقیقت است و فرع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 همان حقایق فارغ از صوت و صورت اند که سخن سایه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جهان صورت سخنی است که تجلی یک فکرت از عقل 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جلال الدین رومی،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که به خوانندگان گرانقدر ایرانی عرضه شده، برگزیده ای است از دانش نامه دین، ارتباطات و رسانه که توسط انتشارات راتلیج و گروه انتشاراتی برکشایر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ارزنده، هشتمین مجلد از مجموعه دانش نامه های انتشارات راتلیج با عنوان کلی دین و جامعه است که با سرویراستاری دیوید لوینسن، استاد انسان شناسی فرهنگی و نویسنده ده ها کتاب و ویراستار چندین دانش نامه مهم و ارزنده جدید، تهیه و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می کوشد تا ابعاد بسیار وسیع تعاملات بین دین و جامعه در جهانِ پست مدرن، جهانی شده و شاهد انقلاب فزاینده ناشی از تکنولوژی های جدید اطلاعاتی و ارتباطی را با رویکردی بین فرهنگی بکاود و به خوانندگان عرضه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انگلیسی دانش نامه دین، ارتباطات و رسانه، با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متن اصلی، شامل تعداد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است و در آخر نیز نمایه کامل اصطلاحات و نام 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های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این دانش نامه ذیل پنج محور اصلی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کلیدی، سنت های دینی، مراحل تاریخی، انواع ارتباطات </w:t>
      </w:r>
    </w:p>
    <w:p>
      <w:pPr>
        <w:pStyle w:val="BookText"/>
        <w:rPr/>
      </w:pPr>
      <w:r>
        <w:rPr>
          <w:rFonts w:ascii="IRNazanin" w:hAnsi="IRNazanin" w:eastAsia="IRNazanin"/>
          <w:color w:val="111111"/>
          <w:sz w:val="28"/>
          <w:sz w:val="28"/>
          <w:szCs w:val="28"/>
          <w:rtl w:val="true"/>
          <w:lang w:bidi="fa-IR"/>
        </w:rPr>
        <w:t>و رسانه ها، و جنبش های دینی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مدخل ها توسط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محقق شاغل در دانشگاه ها و نیز مدارس دینی مسیحی نگاشته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نویسنده هر یک دارای سه مدخل،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هر یک دارای دو مدخل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دیگر هر یک دارای یک مدخل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همکار از منظر رشته های علمی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مطالعات دینی، ارتباطات، انسان شناسی، جامعه شناسی، مطالعات فرهنگی معاصر، الهیات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واکاوی مفاهیم و اصطلاحات خویش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دانیل استوت، ویراستار دانش نامه دین، ارتباطات و رسانه، مدرک دکترای خود را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راتجرز دریافت کرده و در حال حاضر استاد دانشکده روزنامه نگاری و ارتباطات هنک گرینزپان در دانشگاه کارولینای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یکی از بنیان گذاران و سردبیر فعلی نشریه رسانه و دین است که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انتشارات مشهور راتلیج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 چندین کتاب و مقاله در کارنامه خود دارد که تقریباً همه آنها به موضوع ارتباطات دینی یا به طور عام تر، تعامل بین دین و ارتباطات و رسانه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دین و رسانه های جمعی مخاطبان و اقتباس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سیج،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دین و فرهنگ مردم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 بر تعامل جهان بینی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دولتی آیوا،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کتاب را با همکاری خانم جودیت بودنباوم ویراستاری کرده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اذعان ناشر و نیز ویراستار این کتاب ـ که در مقدمه آمده ـ این دانش نامه می کوشد تا شکاف موجود بین علوم علاقه مند به مطالعه حیات اجتماعی دین در جهان معاصر را پر کرده و مفاهیم و اصطلاحات رایج در این رشته ها را برای تقویت یک نگاه تحلیلی ارتباطی از دین در عرصه جامعه به خدمت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مدخل های ارائه شده به تحلیل و تشریح فرآیندها و پدیده های اجتماعی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مناسک، آیین ها و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رویکردهای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رسانه های جمعی قدیم و جدید و انواع و ژانرهای محتوایی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است که بسیاری از مدخل ها به کاربرد روش ها و اجزاء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فن بیان، اقناع،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انواع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نوشتاری، هنری، رسانه محور، صوتی ـ تصویری، و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اینجا ترجمه این اثر را گرامی بداریم و آرزو کنیم مطالعه این دانش نامه توسط خوانندگان ایرانی بیش از پیش در این موضوعات بسیار مهم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متفکر و محقق، قطعاً توجه خواهد داشت که متن، نویسندگان و مخاطبِ هدفِ این دانش نامه در یک محیط تاریخی و فرهنگی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ـ مسیحی ـ مدرن قابل فهم و تفسیر است و کاربرد آن در محیط تاریخی ـ فرهنگی ایرانی ـ اسلامی ـ فارسی ـ سنتی ما باید با احتیاط های لازم نظری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همین ظرافت نظری، علت و دلیلی باشد برای رشد هرچه بیشتر حوزه ارتباطات دینی و گام آغازینی برای تألیف کتاب ها و دانش نامه های منطبق تر با جهان زیست و تمدن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دکتر مهدی منتظر قائم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استادیار گروه ارتباطات دانشگاه تهران </w:t>
      </w:r>
      <w:bookmarkStart w:id="10" w:name="pg3881_27577"/>
    </w:p>
    <w:p>
      <w:pPr>
        <w:pStyle w:val="Heading2"/>
        <w:numPr>
          <w:ilvl w:val="1"/>
          <w:numId w:val="1"/>
        </w:numPr>
        <w:rPr/>
      </w:pPr>
      <w:bookmarkStart w:id="11" w:name="__RefHeading___Toc1655996_2281741623"/>
      <w:bookmarkStart w:id="12" w:name="_Toc4"/>
      <w:bookmarkEnd w:id="10"/>
      <w:bookmarkEnd w:id="11"/>
      <w:r>
        <w:rPr>
          <w:rtl w:val="true"/>
        </w:rPr>
        <w:t>درباره کتاب</w:t>
      </w:r>
      <w:bookmarkEnd w:id="12"/>
    </w:p>
    <w:p>
      <w:pPr>
        <w:pStyle w:val="Heading3"/>
        <w:numPr>
          <w:ilvl w:val="2"/>
          <w:numId w:val="1"/>
        </w:numPr>
        <w:rPr/>
      </w:pPr>
      <w:bookmarkStart w:id="13" w:name="__RefHeading___Toc1655998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درباره کتاب</w:t>
      </w:r>
    </w:p>
    <w:p>
      <w:pPr>
        <w:pStyle w:val="BookText"/>
        <w:rPr/>
      </w:pPr>
      <w:r>
        <w:rPr>
          <w:rFonts w:ascii="IRNazanin" w:hAnsi="IRNazanin" w:eastAsia="IRNazanin"/>
          <w:color w:val="111111"/>
          <w:sz w:val="28"/>
          <w:sz w:val="28"/>
          <w:szCs w:val="28"/>
          <w:rtl w:val="true"/>
          <w:lang w:bidi="fa-IR"/>
        </w:rPr>
        <w:t>از دیرباز دانش نامه ها نقش مهمی در ارتقای سطح دانش جوامع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هر کتابخانه ای یک جلد از انواع دانش نامه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راه نخواهد بود اگر مدعی شویم، دانش نامه ها هستند که فخر علمی کتابخانه ها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تعریف دانش نامه ها گفته اند مکتوباتی که لازم نیست همه آن را خواند ولی هرازگاهی به آنها نیازمند خواهیم شد، ولی این روزها دانش نامه هایی تولید می شوند که برخلاف دانش نامه های قدیم، گاه باید همه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های زیبایی شناسی، تکنولوژی،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هستند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دین، ارتباطات و رسانه، منتشره توسط انتشارات راتلیج، یکی از این 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برگزاری همایش بین المللی دین و رسانه باعث شد تا به همت گروهی از دوستان و یاران که سال هاست در خانه هنر و اندیشه وابسته به مرکز پژوهش های اسلامی صدا و سیما به مباحثه درباره مبانی رسانه و هنر می پردازند، اقدام به تهیه و ترجمه این کتاب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سال ها کار پژوهشی در مرکز پژوهش های اسلامی صدا و سیما مستقر در شهر مقدس قم، به اضافه انتشار اولین ماهنامه تخصصی دین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ماهنامه رواق هنر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مدد آمدند تا این برگزیده دانش نامه دین، ارتباطات و رسانه به عنوان اولین دانش نامه ترجمه شده معتبر در حوزه رسانه، سامان بگیرد</w:t>
      </w:r>
      <w:r>
        <w:rPr>
          <w:rFonts w:eastAsia="IRNazanin" w:cs="IRNazanin"/>
          <w:color w:val="111111"/>
          <w:sz w:val="28"/>
          <w:szCs w:val="28"/>
          <w:rtl w:val="true"/>
          <w:lang w:bidi="fa-IR"/>
        </w:rPr>
        <w:t xml:space="preserve">. </w:t>
      </w:r>
      <w:bookmarkStart w:id="15" w:name="pg3881_27578"/>
    </w:p>
    <w:p>
      <w:pPr>
        <w:pStyle w:val="Heading3"/>
        <w:numPr>
          <w:ilvl w:val="2"/>
          <w:numId w:val="1"/>
        </w:numPr>
        <w:rPr/>
      </w:pPr>
      <w:bookmarkStart w:id="16" w:name="__RefHeading___Toc1656000_2281741623"/>
      <w:bookmarkStart w:id="17" w:name="_Toc6"/>
      <w:bookmarkEnd w:id="15"/>
      <w:bookmarkEnd w:id="16"/>
      <w:r>
        <w:rPr>
          <w:rtl w:val="true"/>
        </w:rPr>
        <w:t>چرا برگزیده؟</w:t>
      </w:r>
      <w:bookmarkEnd w:id="17"/>
    </w:p>
    <w:p>
      <w:pPr>
        <w:pStyle w:val="BookText"/>
        <w:rPr/>
      </w:pPr>
      <w:r>
        <w:rPr>
          <w:rFonts w:ascii="IRNazanin" w:hAnsi="IRNazanin" w:eastAsia="IRNazanin"/>
          <w:color w:val="111111"/>
          <w:sz w:val="28"/>
          <w:sz w:val="28"/>
          <w:szCs w:val="28"/>
          <w:rtl w:val="true"/>
          <w:lang w:bidi="fa-IR"/>
        </w:rPr>
        <w:t>گرچه نمی توان این دانش نامه را از لحاظ علمی یا اتقان پژوهشی در همه مداخل یکسان دانست با این همه می توان از این دانش نامه به عنوان بهانه ای برای آغاز یک پژوهش یا جهت دهی مناسب به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یاد نبریم نویسندگان دانش نامه مادامی که از جغرافیای فکری و عقیدتی خود خارج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اند اطلاعات خوبی گردآوری کرده و نگاهی کلی و راه گشا در اختیار خواننده قرار دهند ولی به مجرد ورود به مباحثی درباره ادیان و فرق و یا مفاهیم دینی غیرمسیحی، می توان ردپای برخی پیش داوری ها و یا القائات رسانه ای را در میان سطر سطر کتاب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با توجه به کیفیت علمی مداخل دانش نامه و همچنین زمان برگزاری همایش، صلاح دیدیم به گزینش خویش، مدخل هایی را از میان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این کتاب برگزینیم تا هر سه عنوانِ دین، ارتباطات، رسانه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تلاش کردیم برخی مدخل های خاص را نیز به مجموعه اضافه کنیم تا خواننده بتواند از اتقان علمی یا سوگیری فکری نویسندگان مداخل، انتشارات و سرویراستار آن اطلاع حاصل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هایی چون سانسور، اسلام، جهاد، اسراییل، مساجد، تساهل 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دور نباید داشت این دانش نامه ها می توانند بهانه ای باشند برای یک ارتباط علمی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پیشین نشان می دهند در صورتی که میان جامعه علمی ایران و نویسندگان چنین دانش نامه هایی ارتباط وثیقی برقرار شود، امکان اصلاح برخی گزاره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خواننده این کتاب به زودی درخواهد یافت در میان نویسندگان مدخل ها قطعا جایی برای نویسندگان ایرانی بوده است که این خلا بایست در آتیه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شرایطی که </w:t>
      </w:r>
    </w:p>
    <w:p>
      <w:pPr>
        <w:pStyle w:val="BookText"/>
        <w:rPr/>
      </w:pPr>
      <w:r>
        <w:rPr>
          <w:rFonts w:ascii="IRNazanin" w:hAnsi="IRNazanin" w:eastAsia="IRNazanin"/>
          <w:color w:val="111111"/>
          <w:sz w:val="28"/>
          <w:sz w:val="28"/>
          <w:szCs w:val="28"/>
          <w:rtl w:val="true"/>
          <w:lang w:bidi="fa-IR"/>
        </w:rPr>
        <w:t xml:space="preserve">در میان مدخل های کتاب، نام سیک ها وجود دارد یا به قشری از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درج مدخلی مرتبط با فرهنگ ارتباطی شیعی که در قالب تعزیه و منابر متجلی شده است، بی 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تلاش خُرد ما در گزینش و ترجمه این کتابِ ارزشمند، در تحولات بعدی جامعه علمی ما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انتها از تمامی کسانی که حضور و تلاش شان این مکتوب علمی را رقم زد، سپاس 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منتظرقائم که پیشنهاد ترجمه کتاب از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المسلمین دکتر 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مرکز پژوهش 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حجج اسلام سلمان رضوانی و احمد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پیشین و کنونی خانه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احمد پهلوانیان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میرخندان، سید علی آتش زر و غلام رضا یوسف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تحریریه ماهنامه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سیر کار، هر یک به سهم خویش کمک های شایان توجه و قابل تقدیری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دوستان و همراهان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کاردر، وحید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واحد پژوهش خانه هنر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سمیع زاده، علی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انتشارات مرکز پژوهش های اسلامی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از دفتر مطالعات و برنامه ریزی رسانه ها ـ وزارت فرهنگ و ارشاد اسلامی ـ جهت همکاری در چاپ این کتاب؛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دیگرانی که نامی از آنها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این سلسله آثار آغازگر مسیری نوین در عرصه مطالعات رسانه ای ایران با شد</w:t>
      </w:r>
    </w:p>
    <w:p>
      <w:pPr>
        <w:pStyle w:val="BookText"/>
        <w:rPr/>
      </w:pP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سید حمیدرضا قادری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8" w:name="pg3881_27584"/>
    </w:p>
    <w:p>
      <w:pPr>
        <w:pStyle w:val="Heading2"/>
        <w:numPr>
          <w:ilvl w:val="1"/>
          <w:numId w:val="1"/>
        </w:numPr>
        <w:rPr/>
      </w:pPr>
      <w:bookmarkStart w:id="19" w:name="__RefHeading___Toc1656002_2281741623"/>
      <w:bookmarkStart w:id="20" w:name="_Toc7"/>
      <w:bookmarkEnd w:id="18"/>
      <w:bookmarkEnd w:id="19"/>
      <w:r>
        <w:rPr>
          <w:rtl w:val="true"/>
        </w:rPr>
        <w:t>درآمد</w:t>
      </w:r>
      <w:bookmarkEnd w:id="20"/>
    </w:p>
    <w:p>
      <w:pPr>
        <w:pStyle w:val="Heading3"/>
        <w:numPr>
          <w:ilvl w:val="2"/>
          <w:numId w:val="1"/>
        </w:numPr>
        <w:rPr/>
      </w:pPr>
      <w:bookmarkStart w:id="21" w:name="__RefHeading___Toc1656004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ارتباطات، شرط لازم دین است؛ جوهره عبادت، خطابه، مناسک و رفاقت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مطالعه آکادمیک دین و ارتباطات جدی از یکدیگر بوده اند و پل های معرفت شناختی کمی بین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عرصه ارتباطات از بلاغت تا ارتباطات جمعی، کمتر از دین سخنی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مردم شناسان، روان شناسان و جامعه شناسان کمتری بوده اند که از نظریه ارتباطات در مطالعات دینی خود بهره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یک حوزه به خصوص نمی تواند به کاوش درباره وجوه مشترک دین و ارتباطات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منجر به تلاش های جدیدی در راستای پا گذاشتن فرای مرزهای علوم، به منظور فهم بهتر دین در عصر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نامه دین، ارتباطات و رسانه به دنبال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وگویی نوین و ارائه تحقیقات درباره موضوعات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نامه دیوارهای کشیده شده میان علوم مختلف را به روش های گوناگون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این دانش نامه ترکیبی از اطلاعات سطوح مختلف اجتماعی، گروهی، بینافردی و درون فردی ارتباطات در قالب منبعی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درون فردی موضوعات جدیدی درباره ارتباط بین افراد و الوهیت مطرح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توضیح تجربه مذهبی از لحاظ عقلانی مشکل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برخی جوامع مذهبی، سکوت مقدس تر از عبادت گفتاری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ارتباط فکری در اندیشه دینی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محافل مذهبی بی حرمتی قابل توجیه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بت پرستی باعث تقویت ارزش ها و رسومات مذهبی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مناجات یکی از اولین شکل های ارتباط مذهبی بوده است؟</w:t>
      </w:r>
    </w:p>
    <w:p>
      <w:pPr>
        <w:pStyle w:val="BookText"/>
        <w:rPr/>
      </w:pPr>
      <w:r>
        <w:rPr>
          <w:rFonts w:ascii="IRNazanin" w:hAnsi="IRNazanin" w:eastAsia="IRNazanin"/>
          <w:color w:val="111111"/>
          <w:sz w:val="28"/>
          <w:sz w:val="28"/>
          <w:szCs w:val="28"/>
          <w:rtl w:val="true"/>
          <w:lang w:bidi="fa-IR"/>
        </w:rPr>
        <w:t>همچنین اطلاعات مذهبی بین افراد در سطح ارتباطات بینافردی مبادله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نامه همچنین به بررسی مناسکی می پردازد که تا به حال از جنبه ارتباطات تحلیل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فرقه های مذهبی اعتقاد به اعتراف در برابر مردم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گروه های مذهبی استفاده از زیورآلات، نوعی عبادت تلقی می شود و در برخی دیگر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قداست از طریق رقص به عنوان یک حرکت استعاری انتقال پیدا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مختلف ارتباط با مردگان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تمامی مذاهب اصلی،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عبادت مذهبی تلقی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مطالعه ارتباطات سازمانی در دین بهره برد؟</w:t>
      </w:r>
    </w:p>
    <w:p>
      <w:pPr>
        <w:pStyle w:val="BookText"/>
        <w:rPr/>
      </w:pPr>
      <w:r>
        <w:rPr>
          <w:rFonts w:ascii="IRNazanin" w:hAnsi="IRNazanin" w:eastAsia="IRNazanin"/>
          <w:color w:val="111111"/>
          <w:sz w:val="28"/>
          <w:sz w:val="28"/>
          <w:szCs w:val="28"/>
          <w:rtl w:val="true"/>
          <w:lang w:bidi="fa-IR"/>
        </w:rPr>
        <w:t>همچنین این دانش نامه به مطالعه ارتباطات میانجی در گروه های بزرگ مانند فرقه های مذهبی داخلی و خارجی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فن آوری باعث پیشرفت و پسرفت فرآیند ارتباطات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فرهنگ مذهبی نیز صدق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دین در طول انتقال تاریخی، از شفاهیت به سواد تغییر پیدا کرده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صنعت چاپ به اشاعه ارزش های مذهبی در سراسر دنیا کمک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رمان های مذهبی با استقبال عمومی روبه رو بوده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تلویزیون رسانه ای مذهبی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چگونه بر انجمن ها و جوامع مذهبی تأثیر گذاشته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 مذهبی چیست؟</w:t>
      </w:r>
    </w:p>
    <w:p>
      <w:pPr>
        <w:pStyle w:val="BookText"/>
        <w:rPr/>
      </w:pPr>
      <w:r>
        <w:rPr>
          <w:rFonts w:ascii="IRNazanin" w:hAnsi="IRNazanin" w:eastAsia="IRNazanin"/>
          <w:color w:val="111111"/>
          <w:sz w:val="28"/>
          <w:sz w:val="28"/>
          <w:szCs w:val="28"/>
          <w:rtl w:val="true"/>
          <w:lang w:bidi="fa-IR"/>
        </w:rPr>
        <w:t>اینها، تنها نمونه هایی از پرسش های مطرح شده در این دانش 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این دانش نامه مفاهیم زیرا را در برمی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ارتباطات و سانسور؛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مذهبی با فعالیت های ارتباطی متفاوت؛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مختلف به کار گرفته شده در عبادت؛</w:t>
      </w:r>
    </w:p>
    <w:p>
      <w:pPr>
        <w:pStyle w:val="BookText"/>
        <w:rPr/>
      </w:pPr>
      <w:r>
        <w:rPr>
          <w:rFonts w:ascii="IRNazanin" w:hAnsi="IRNazanin" w:eastAsia="IRNazanin"/>
          <w:color w:val="111111"/>
          <w:sz w:val="28"/>
          <w:sz w:val="28"/>
          <w:szCs w:val="28"/>
          <w:rtl w:val="true"/>
          <w:lang w:bidi="fa-IR"/>
        </w:rPr>
        <w:t>مدخل های این دانش نامه با کمک پژوهشگران زمینه های گوناگون از جمله مطالعات دینی، ارتباطات، مردم شناسی، جامعه شناسی، مطالعات باستان، دین و فرهنگ نوین، الهیات و دیگر علوم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نامه دین، ارتباطات و رسانه مناسب برای انواع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می توانند موضوعات تحقیقاتی و پیشینه تحقیقات دیگر را در این دانش نامه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روزنامه نگاران، حافظان اطلاعات هستند؛ منبعی جامع مانند این دانش نامه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کمک می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نظریه پردازان را داریم که عمیق تر به بررسی دین و ارتباطات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نامه منبعی حیاتی برای زمینه های مفهومی آثار آنهاست</w:t>
      </w:r>
      <w:r>
        <w:rPr>
          <w:rFonts w:eastAsia="IRNazanin" w:cs="IRNazanin"/>
          <w:color w:val="111111"/>
          <w:sz w:val="28"/>
          <w:szCs w:val="28"/>
          <w:rtl w:val="true"/>
          <w:lang w:bidi="fa-IR"/>
        </w:rPr>
        <w:t xml:space="preserve">. </w:t>
      </w:r>
      <w:bookmarkStart w:id="23" w:name="pg3881_27590"/>
    </w:p>
    <w:p>
      <w:pPr>
        <w:pStyle w:val="Heading3"/>
        <w:numPr>
          <w:ilvl w:val="2"/>
          <w:numId w:val="1"/>
        </w:numPr>
        <w:rPr/>
      </w:pPr>
      <w:bookmarkStart w:id="24" w:name="__RefHeading___Toc1656006_2281741623"/>
      <w:bookmarkStart w:id="25" w:name="_Toc9"/>
      <w:bookmarkEnd w:id="23"/>
      <w:bookmarkEnd w:id="24"/>
      <w:r>
        <w:rPr>
          <w:rtl w:val="true"/>
        </w:rPr>
        <w:t>منبعی برای نظریه پردازی</w:t>
      </w:r>
      <w:bookmarkEnd w:id="25"/>
    </w:p>
    <w:p>
      <w:pPr>
        <w:pStyle w:val="BookText"/>
        <w:rPr/>
      </w:pPr>
      <w:r>
        <w:rPr>
          <w:rFonts w:ascii="IRNazanin" w:hAnsi="IRNazanin" w:eastAsia="IRNazanin"/>
          <w:color w:val="111111"/>
          <w:sz w:val="28"/>
          <w:sz w:val="28"/>
          <w:szCs w:val="28"/>
          <w:rtl w:val="true"/>
          <w:lang w:bidi="fa-IR"/>
        </w:rPr>
        <w:t>منبعی برای نظریه پردازی</w:t>
      </w:r>
    </w:p>
    <w:p>
      <w:pPr>
        <w:pStyle w:val="BookText"/>
        <w:rPr/>
      </w:pPr>
      <w:r>
        <w:rPr>
          <w:rFonts w:ascii="IRNazanin" w:hAnsi="IRNazanin" w:eastAsia="IRNazanin"/>
          <w:color w:val="111111"/>
          <w:sz w:val="28"/>
          <w:sz w:val="28"/>
          <w:szCs w:val="28"/>
          <w:rtl w:val="true"/>
          <w:lang w:bidi="fa-IR"/>
        </w:rPr>
        <w:t>حوزه های نوظهور نیازمند پرسش های پژوهشی جدید و نظریه پردازی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نامه اطلاعات بنیادین را برای مطالعه نظام مند پدیده هایی در اختیار قرار می دهد که به طور کافی بررسی نشده اند و پاسخگوی پرسش هایی درباره پیشرفت های اجتماعی از جمله توسعه فن آوری اطلاعات، شکل های نوظهور عبادت و کاربردهای جدید رسانه های جمعی در فرقه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ایده های جدیدی را درباره ماهیت فصل مشترک دین و ارتباطات به منصه ظهور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نامه ابزاری برای تحلیل بیشتر در این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هایی از مدخل ها و مضامین گنجانده شده در دانش نامه را که کارکردی به خصوص در زمینه های مختلف دارند، آورده ایم</w:t>
      </w:r>
      <w:r>
        <w:rPr>
          <w:rFonts w:eastAsia="IRNazanin" w:cs="IRNazanin"/>
          <w:color w:val="111111"/>
          <w:sz w:val="28"/>
          <w:szCs w:val="28"/>
          <w:rtl w:val="true"/>
          <w:lang w:bidi="fa-IR"/>
        </w:rPr>
        <w:t>.</w:t>
      </w:r>
    </w:p>
    <w:p>
      <w:pPr>
        <w:pStyle w:val="Heading3"/>
        <w:numPr>
          <w:ilvl w:val="2"/>
          <w:numId w:val="1"/>
        </w:numPr>
        <w:rPr/>
      </w:pPr>
      <w:bookmarkStart w:id="26" w:name="__RefHeading___Toc1656008_2281741623"/>
      <w:bookmarkStart w:id="27" w:name="_Toc10"/>
      <w:bookmarkEnd w:id="26"/>
      <w:r>
        <w:rPr>
          <w:rtl w:val="true"/>
        </w:rPr>
        <w:t>جامعه اطلاعاتی</w:t>
      </w:r>
      <w:bookmarkEnd w:id="27"/>
    </w:p>
    <w:p>
      <w:pPr>
        <w:pStyle w:val="BookText"/>
        <w:rPr/>
      </w:pPr>
      <w:r>
        <w:rPr>
          <w:rFonts w:ascii="IRNazanin" w:hAnsi="IRNazanin" w:eastAsia="IRNazanin"/>
          <w:color w:val="111111"/>
          <w:sz w:val="28"/>
          <w:sz w:val="28"/>
          <w:szCs w:val="28"/>
          <w:rtl w:val="true"/>
          <w:lang w:bidi="fa-IR"/>
        </w:rPr>
        <w:t>جامعه اطلاعاتی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جامعه اطلاعاتی چگونه عبادت مذهبی را شکل می دهد، پرسشی بدون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متأخر سرمایه داری افراد برای انجام فعالیت های روزانه خود، بیش از پیش به فن آوری اطلاعات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شِمِنت و استیفنسن اذعان می دارند که جامعه اطلاعاتی دربرگیرنده هم تمایلات و هم تنش های گروه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فرصت دسترسی به اطلاعات برای تمامی افراد یک گروه فراهم است؟ آیا شبکه های اجتماعی اینترنت باعث تقویت جوامع مذهبی می شوند یا ضعف آن؟ افرادی که به دنبال پاسخ این پرسش ها هستند، دانش نامه را منبعی مفید خواهند یافت</w:t>
      </w:r>
      <w:r>
        <w:rPr>
          <w:rFonts w:eastAsia="IRNazanin" w:cs="IRNazanin"/>
          <w:color w:val="111111"/>
          <w:sz w:val="28"/>
          <w:szCs w:val="28"/>
          <w:rtl w:val="true"/>
          <w:lang w:bidi="fa-IR"/>
        </w:rPr>
        <w:t xml:space="preserve">. </w:t>
      </w:r>
      <w:bookmarkStart w:id="28" w:name="pg3881_27592"/>
    </w:p>
    <w:p>
      <w:pPr>
        <w:pStyle w:val="BookText"/>
        <w:rPr/>
      </w:pPr>
      <w:bookmarkEnd w:id="28"/>
      <w:r>
        <w:rPr>
          <w:rFonts w:ascii="IRNazanin" w:hAnsi="IRNazanin" w:eastAsia="IRNazanin"/>
          <w:color w:val="111111"/>
          <w:sz w:val="28"/>
          <w:sz w:val="28"/>
          <w:szCs w:val="28"/>
          <w:rtl w:val="true"/>
          <w:lang w:bidi="fa-IR"/>
        </w:rPr>
        <w:t>در مدخل اطلاعات، آمده است که پیام های مذهبی دیگر حکم کالایی را پیدا کرده اند که باعث ایجاد خیل عظیمی از کالاهای اطلاعاتی مذهبی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مدخل جامعه اطلاعاتی درمی یابیم که ارتباط از طریق اینترنت در درجه اول درباره موضوعات مذهبی تخصصی است، همان طور که در مدخل اینترنت و محیط های مجازی آمده است، بسیاری از شعائر کهن، اکنون از طریق اینترنت انجام می پذیرند؛ اعمالی مانند زیارت های مجازی، نیایش های مجازی و نیایش 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چگونگی استفاده فرقه های مذهبی از رسانه های جدید و چکیده تحقیقات مربوط به موضوعی خاص را توضیح می دهد</w:t>
      </w:r>
      <w:r>
        <w:rPr>
          <w:rFonts w:eastAsia="IRNazanin" w:cs="IRNazanin"/>
          <w:color w:val="111111"/>
          <w:sz w:val="28"/>
          <w:szCs w:val="28"/>
          <w:rtl w:val="true"/>
          <w:lang w:bidi="fa-IR"/>
        </w:rPr>
        <w:t>.</w:t>
      </w:r>
    </w:p>
    <w:p>
      <w:pPr>
        <w:pStyle w:val="Heading3"/>
        <w:numPr>
          <w:ilvl w:val="2"/>
          <w:numId w:val="1"/>
        </w:numPr>
        <w:rPr/>
      </w:pPr>
      <w:bookmarkStart w:id="29" w:name="__RefHeading___Toc1656010_2281741623"/>
      <w:bookmarkStart w:id="30" w:name="_Toc11"/>
      <w:bookmarkEnd w:id="29"/>
      <w:r>
        <w:rPr>
          <w:rtl w:val="true"/>
        </w:rPr>
        <w:t>پیدایش بازارهای مذهبی</w:t>
      </w:r>
      <w:bookmarkEnd w:id="30"/>
    </w:p>
    <w:p>
      <w:pPr>
        <w:pStyle w:val="BookText"/>
        <w:rPr/>
      </w:pPr>
      <w:r>
        <w:rPr>
          <w:rFonts w:ascii="IRNazanin" w:hAnsi="IRNazanin" w:eastAsia="IRNazanin"/>
          <w:color w:val="111111"/>
          <w:sz w:val="28"/>
          <w:sz w:val="28"/>
          <w:szCs w:val="28"/>
          <w:rtl w:val="true"/>
          <w:lang w:bidi="fa-IR"/>
        </w:rPr>
        <w:t>پیدایش بازارهای مذهبی</w:t>
      </w:r>
    </w:p>
    <w:p>
      <w:pPr>
        <w:pStyle w:val="BookText"/>
        <w:rPr/>
      </w:pPr>
      <w:r>
        <w:rPr>
          <w:rFonts w:ascii="IRNazanin" w:hAnsi="IRNazanin" w:eastAsia="IRNazanin"/>
          <w:color w:val="111111"/>
          <w:sz w:val="28"/>
          <w:sz w:val="28"/>
          <w:szCs w:val="28"/>
          <w:rtl w:val="true"/>
          <w:lang w:bidi="fa-IR"/>
        </w:rPr>
        <w:t>شاید بیش از هر زمان دیگری افراد به بیش از یک نوع نیایش مذهبی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مرزهایی که سنت های اعتقادی را از یکدیگر جدا می کردند، اکنون با یکدیگر هم پوشانی دارند؛ هویت های مذهبی، سازگار و چندجنبه هستند و چندین سنت را در برمی گیرند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مدخل بازار مذهبی متوجه استقلال شخصی رو به رشد در عبادات مذهبی می شویم و درمی یابیم که رسانه های جمعی چگونه قالب های سنتی عبادت را کامل می کنند</w:t>
      </w:r>
      <w:r>
        <w:rPr>
          <w:rFonts w:eastAsia="IRNazanin" w:cs="IRNazanin"/>
          <w:color w:val="111111"/>
          <w:sz w:val="28"/>
          <w:szCs w:val="28"/>
          <w:rtl w:val="true"/>
          <w:lang w:bidi="fa-IR"/>
        </w:rPr>
        <w:t xml:space="preserve">. </w:t>
      </w:r>
      <w:bookmarkStart w:id="31" w:name="pg3881_27594"/>
    </w:p>
    <w:p>
      <w:pPr>
        <w:pStyle w:val="BookText"/>
        <w:rPr/>
      </w:pPr>
      <w:bookmarkEnd w:id="31"/>
      <w:r>
        <w:rPr>
          <w:rFonts w:ascii="IRNazanin" w:hAnsi="IRNazanin" w:eastAsia="IRNazanin"/>
          <w:color w:val="111111"/>
          <w:sz w:val="28"/>
          <w:sz w:val="28"/>
          <w:szCs w:val="28"/>
          <w:rtl w:val="true"/>
          <w:lang w:bidi="fa-IR"/>
        </w:rPr>
        <w:t>در مدخل جامعه تفسیرگر آمده است که مخاطبان مذهبی به منظور پیشرفت شخصی یا تلاش برای فهم بهتر آموزه های کلیسای سنتی از رسانه های جمعی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های فرهنگ مادی و فرهنگ جوانان توضیح می دهند که چگونه افراد با ترکیب اعتقادات ادیان مختلف نوعی عبادت مذهبی شخصی را شکل می دهند</w:t>
      </w:r>
      <w:r>
        <w:rPr>
          <w:rFonts w:eastAsia="IRNazanin" w:cs="IRNazanin"/>
          <w:color w:val="111111"/>
          <w:sz w:val="28"/>
          <w:szCs w:val="28"/>
          <w:rtl w:val="true"/>
          <w:lang w:bidi="fa-IR"/>
        </w:rPr>
        <w:t>.</w:t>
      </w:r>
    </w:p>
    <w:p>
      <w:pPr>
        <w:pStyle w:val="Heading3"/>
        <w:numPr>
          <w:ilvl w:val="2"/>
          <w:numId w:val="1"/>
        </w:numPr>
        <w:rPr/>
      </w:pPr>
      <w:bookmarkStart w:id="32" w:name="__RefHeading___Toc1656012_2281741623"/>
      <w:bookmarkStart w:id="33" w:name="_Toc12"/>
      <w:bookmarkEnd w:id="32"/>
      <w:r>
        <w:rPr>
          <w:rtl w:val="true"/>
        </w:rPr>
        <w:t>پیدایش مذهب فرهنگی یا پسامدرن</w:t>
      </w:r>
      <w:bookmarkEnd w:id="33"/>
    </w:p>
    <w:p>
      <w:pPr>
        <w:pStyle w:val="BookText"/>
        <w:rPr/>
      </w:pPr>
      <w:r>
        <w:rPr>
          <w:rFonts w:ascii="IRNazanin" w:hAnsi="IRNazanin" w:eastAsia="IRNazanin"/>
          <w:color w:val="111111"/>
          <w:sz w:val="28"/>
          <w:sz w:val="28"/>
          <w:szCs w:val="28"/>
          <w:rtl w:val="true"/>
          <w:lang w:bidi="fa-IR"/>
        </w:rPr>
        <w:t>پیدایش مذهب فرهنگی یا پسامدرن</w:t>
      </w:r>
    </w:p>
    <w:p>
      <w:pPr>
        <w:pStyle w:val="BookText"/>
        <w:rPr/>
      </w:pPr>
      <w:r>
        <w:rPr>
          <w:rFonts w:ascii="IRNazanin" w:hAnsi="IRNazanin" w:eastAsia="IRNazanin"/>
          <w:color w:val="111111"/>
          <w:sz w:val="28"/>
          <w:sz w:val="28"/>
          <w:szCs w:val="28"/>
          <w:rtl w:val="true"/>
          <w:lang w:bidi="fa-IR"/>
        </w:rPr>
        <w:t>نه تنها افراد از فرهنگ های مختلف مذهبی نمونه برداری می کنند بلکه جوامع مذهبی غیرسنتی نیز در حال شکل 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ابعاد ارتباطی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میلوان اذعان می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مذهبی صرفاً به قسمت دیگری از فرهنگ نقل مکان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احساسات مذهبی آن شکوفا شده و تاثیر شگرفی بر تعداد زیادی از مردم داشته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های اعتقادی، نشانه شناختی و اجتماعی دین اکنون در رسانه های فرهنگ عام مانند موسیقی راک، تلویزیون و فیلم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شاهد آن هستیم که کاربران نوجوان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بودوین،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موسیقی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سیلوان،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هواخواهان الویس پرسلی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مذهبی خود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مذهب پسامدرن تلقی می شود؛ زیرا هیچ کدام از رسومات مذهبی سنتی را در خود ندارد و بیرون از عبادتگاه های سنتی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بیشتر شبیه دین فرهنگی و بیرون از عبادتگاه های سنتی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ها بیشتر شبیه دین </w:t>
      </w:r>
      <w:bookmarkStart w:id="34" w:name="pg3881_27596"/>
    </w:p>
    <w:p>
      <w:pPr>
        <w:pStyle w:val="BookText"/>
        <w:rPr/>
      </w:pPr>
      <w:bookmarkEnd w:id="34"/>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پریمیانو،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آلبانز،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جاست که این پیشرفت ها نیازمند تعاریف جدیدی از دین و ارتباطات هستند؛ در این راستا چندین مدخل از این دانش نامه بافتارهای تاریخی، فرهنگی و اقتصادی دین فرهنگی را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مدخل روحانی خوانندگان متوجه می شوند که چگونه تجاربی خاص، مقدس تلقی می شوند و اینکه چرا فعالیت هایی مانند گوش دادن به موسیقی معمولاً از نگاهی معنوی توصیف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های رمان، ویدیو، موسیقی و ورزش توضیح می دهند که چگونه معنویت، خود را در جاهای جدیدی از زندگی فرهنگی نشان می دهد</w:t>
      </w:r>
      <w:r>
        <w:rPr>
          <w:rFonts w:eastAsia="IRNazanin" w:cs="IRNazanin"/>
          <w:color w:val="111111"/>
          <w:sz w:val="28"/>
          <w:szCs w:val="28"/>
          <w:rtl w:val="true"/>
          <w:lang w:bidi="fa-IR"/>
        </w:rPr>
        <w:t>.</w:t>
      </w:r>
    </w:p>
    <w:p>
      <w:pPr>
        <w:pStyle w:val="Heading3"/>
        <w:numPr>
          <w:ilvl w:val="2"/>
          <w:numId w:val="1"/>
        </w:numPr>
        <w:rPr/>
      </w:pPr>
      <w:bookmarkStart w:id="35" w:name="__RefHeading___Toc1656014_2281741623"/>
      <w:bookmarkStart w:id="36" w:name="_Toc13"/>
      <w:bookmarkEnd w:id="35"/>
      <w:r>
        <w:rPr>
          <w:rtl w:val="true"/>
        </w:rPr>
        <w:t>جنبش سواد رسانه ای مذهبی</w:t>
      </w:r>
      <w:bookmarkEnd w:id="36"/>
    </w:p>
    <w:p>
      <w:pPr>
        <w:pStyle w:val="BookText"/>
        <w:rPr/>
      </w:pPr>
      <w:r>
        <w:rPr>
          <w:rFonts w:ascii="IRNazanin" w:hAnsi="IRNazanin" w:eastAsia="IRNazanin"/>
          <w:color w:val="111111"/>
          <w:sz w:val="28"/>
          <w:sz w:val="28"/>
          <w:szCs w:val="28"/>
          <w:rtl w:val="true"/>
          <w:lang w:bidi="fa-IR"/>
        </w:rPr>
        <w:t>جنبش سواد رسانه ای مذهبی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احتمالات فراوانی درباره سکولار کردن تأثیرات رسانه های جمعی وجود دارد؛ آیا این مسئله باعث تقویت یا تضعیف اعتقادات می شود؟ این یکی از تردیدهای اصلی فرقه های مذهبی معاصر مانند تعمیددهندگان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باپتیست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شرکت دیزنی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فتوای اسلام، رمان نویس معروف سلمان رشدی مرتد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مدخل عمل گرایی رسانه ای آمده است، مذاهب همیشه رهنمودهایی درباره کاربرد رسانه ارائه داده و بعضی وقت ها تحریم هایی را سازمان دهی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مدخل سواد رسانه ای متوجه جایگزینی برای عمل گرایی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های اساسی به افراد برای استفاده از رسانه به روشی مطلوب</w:t>
      </w:r>
      <w:r>
        <w:rPr>
          <w:rFonts w:eastAsia="IRNazanin" w:cs="IRNazanin"/>
          <w:color w:val="111111"/>
          <w:sz w:val="28"/>
          <w:szCs w:val="28"/>
          <w:rtl w:val="true"/>
          <w:lang w:bidi="fa-IR"/>
        </w:rPr>
        <w:t xml:space="preserve">. </w:t>
      </w:r>
      <w:bookmarkStart w:id="37" w:name="pg3881_27597"/>
    </w:p>
    <w:p>
      <w:pPr>
        <w:pStyle w:val="BookText"/>
        <w:rPr/>
      </w:pPr>
      <w:bookmarkEnd w:id="37"/>
      <w:r>
        <w:rPr>
          <w:rFonts w:ascii="IRNazanin" w:hAnsi="IRNazanin" w:eastAsia="IRNazanin"/>
          <w:color w:val="111111"/>
          <w:sz w:val="28"/>
          <w:sz w:val="28"/>
          <w:szCs w:val="28"/>
          <w:rtl w:val="true"/>
          <w:lang w:bidi="fa-IR"/>
        </w:rPr>
        <w:t xml:space="preserve">برای نمونه هس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یابد که چگونه از فیلم ها و برنامه های تلویزیونی می توان در جهت آموزش ارزش های مذهبی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آنهایی که به دنبال درک عمیق تری از سواد رسانه ای هستند، چندین مدخل دانش نامه دین، ارتباطات و رسانه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قدم های مهم در مطالعه این پدیده مشاهده آموزه های رهبران مذهبی به افراد خود درباره کاربرد رسانه و متعاقباً چگونگی استفاده اعضای کلیسا از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های مربوط به فرقه های مختلف و رسانه های خاص کمک حال بسیاری از پژوهشگران خواهد بود</w:t>
      </w:r>
      <w:r>
        <w:rPr>
          <w:rFonts w:eastAsia="IRNazanin" w:cs="IRNazanin"/>
          <w:color w:val="111111"/>
          <w:sz w:val="28"/>
          <w:szCs w:val="28"/>
          <w:rtl w:val="true"/>
          <w:lang w:bidi="fa-IR"/>
        </w:rPr>
        <w:t>.</w:t>
      </w:r>
    </w:p>
    <w:p>
      <w:pPr>
        <w:pStyle w:val="Heading3"/>
        <w:numPr>
          <w:ilvl w:val="2"/>
          <w:numId w:val="1"/>
        </w:numPr>
        <w:rPr/>
      </w:pPr>
      <w:bookmarkStart w:id="38" w:name="__RefHeading___Toc1656016_2281741623"/>
      <w:bookmarkStart w:id="39" w:name="_Toc14"/>
      <w:bookmarkEnd w:id="38"/>
      <w:r>
        <w:rPr>
          <w:rtl w:val="true"/>
        </w:rPr>
        <w:t>دانش نامه ای برای پندار تحقیق</w:t>
      </w:r>
      <w:r>
        <w:rPr>
          <w:rtl w:val="true"/>
        </w:rPr>
        <w:t xml:space="preserve">: </w:t>
      </w:r>
      <w:r>
        <w:rPr>
          <w:rtl w:val="true"/>
        </w:rPr>
        <w:t>فرای ورق زدن</w:t>
      </w:r>
      <w:bookmarkEnd w:id="39"/>
    </w:p>
    <w:p>
      <w:pPr>
        <w:pStyle w:val="BookText"/>
        <w:rPr/>
      </w:pPr>
      <w:r>
        <w:rPr>
          <w:rFonts w:ascii="IRNazanin" w:hAnsi="IRNazanin" w:eastAsia="IRNazanin"/>
          <w:color w:val="111111"/>
          <w:sz w:val="28"/>
          <w:sz w:val="28"/>
          <w:szCs w:val="28"/>
          <w:rtl w:val="true"/>
          <w:lang w:bidi="fa-IR"/>
        </w:rPr>
        <w:t>دانش نامه ای برای پندار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 ورق زدن</w:t>
      </w:r>
    </w:p>
    <w:p>
      <w:pPr>
        <w:pStyle w:val="BookText"/>
        <w:rPr/>
      </w:pPr>
      <w:r>
        <w:rPr>
          <w:rFonts w:ascii="IRNazanin" w:hAnsi="IRNazanin" w:eastAsia="IRNazanin"/>
          <w:color w:val="111111"/>
          <w:sz w:val="28"/>
          <w:sz w:val="28"/>
          <w:szCs w:val="28"/>
          <w:rtl w:val="true"/>
          <w:lang w:bidi="fa-IR"/>
        </w:rPr>
        <w:t>چندین مدخل این دانش نامه به تحقیق در زمینه جامعه اطلاعاتی، بازار مذهبی، دین فرهنگی و جنبش سواد رسانه ای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امید می رود که دانش نامه دین، ارتباطات و رسانه به قول هارت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بخش پندار تحقیق یا فرآیند ترکیب تکه های اطلاعاتی و تبدیل آنها به پرسش هایی تازه برای تحقیقات آتی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پرسش ها نقش اساسی در زمینه های علمی رو به رشد مانند دین و ارتباطات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میلز در کتاب تاثیرگذارش با نام پندار جامعه شناختی بر کنار هم چیدن ایده های پراکنده تأکید می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نشان می کنیم که پندار جامعه شناختی تا حدود زیادی ظرفیت انتقال از مقوله ای به مقوله دیگر را دارد و در این فرآیند، بینشی کامل را درباره یک جامعه کامل و مؤلفه هایش می سازد و البته همین پندار است که دانشمند اجتماعی را از یک تکنسین صرف متمایز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فنی، دانش نامه دین، ارتباطات و رسانه منبعی عالی برای یافتن حقیق و جست وجو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دست پژوهشگران خلاق که علاقه مند به تلفیق ایده های مختلف از رشته هایی مانند ارتباطات، مردم شناسی، جامعه شناسی، روان شناسی و مطالعات دینی هستند، مفیدتر جلوه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نامه اولین مجموعه جامعی است که مدخل هایی از این رشته و دیگر زمینه های تحقیقاتی را در کنار یکدیگر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چه برای انتخاب موضوع تحقیقاتی یا تقویت پیشینه تحقیق، تلاشی در جهت درک بهتر رابطه بین دین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گستره این درک منوط به پندار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نامه حاوی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درباره موضوعات گسترده ای چون جنبش های مذهبی جایگزین، انواع ارتباطات و رسانه، ادوار تاریخی، مفاهیم کلیدی و سنت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این مقالات عکس ها و حاشیه نوشت های فراوان به همراه نمایه ای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دانیل استو</w:t>
      </w:r>
    </w:p>
    <w:p>
      <w:pPr>
        <w:pStyle w:val="BookText"/>
        <w:rPr/>
      </w:pPr>
      <w:r>
        <w:rPr>
          <w:rFonts w:ascii="IRNazanin" w:hAnsi="IRNazanin" w:eastAsia="IRNazanin"/>
          <w:color w:val="111111"/>
          <w:sz w:val="28"/>
          <w:sz w:val="28"/>
          <w:szCs w:val="28"/>
          <w:rtl w:val="true"/>
          <w:lang w:bidi="fa-IR"/>
        </w:rPr>
        <w:t>گروه مشاور ویراستاری</w:t>
      </w:r>
    </w:p>
    <w:p>
      <w:pPr>
        <w:pStyle w:val="BookText"/>
        <w:rPr/>
      </w:pPr>
      <w:r>
        <w:rPr>
          <w:rFonts w:ascii="IRNazanin" w:hAnsi="IRNazanin" w:eastAsia="IRNazanin"/>
          <w:color w:val="111111"/>
          <w:sz w:val="28"/>
          <w:sz w:val="28"/>
          <w:szCs w:val="28"/>
          <w:rtl w:val="true"/>
          <w:lang w:bidi="fa-IR"/>
        </w:rPr>
        <w:t>دانیل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Daniel A. Stout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دانشکده ژورنالیسم و مطالعات رسانه گرینزپان، دانشگاه نودا، لاس وگاس</w:t>
      </w:r>
    </w:p>
    <w:p>
      <w:pPr>
        <w:pStyle w:val="BookText"/>
        <w:rPr/>
      </w:pPr>
      <w:r>
        <w:rPr>
          <w:rFonts w:ascii="IRNazanin" w:hAnsi="IRNazanin" w:eastAsia="IRNazanin"/>
          <w:color w:val="111111"/>
          <w:sz w:val="28"/>
          <w:sz w:val="28"/>
          <w:szCs w:val="28"/>
          <w:rtl w:val="true"/>
          <w:lang w:bidi="fa-IR"/>
        </w:rPr>
        <w:t>ویراستار یار</w:t>
      </w:r>
    </w:p>
    <w:p>
      <w:pPr>
        <w:pStyle w:val="BookText"/>
        <w:rPr/>
      </w:pPr>
      <w:r>
        <w:rPr>
          <w:rFonts w:ascii="IRNazanin" w:hAnsi="IRNazanin" w:eastAsia="IRNazanin"/>
          <w:color w:val="111111"/>
          <w:sz w:val="28"/>
          <w:sz w:val="28"/>
          <w:szCs w:val="28"/>
          <w:rtl w:val="true"/>
          <w:lang w:bidi="fa-IR"/>
        </w:rPr>
        <w:t>جودیت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بودنباوم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Judith M. Buddenbaum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گروه ژورنالیسم و ارتباطات فنی، دانشگاه کُلُرادو</w:t>
      </w:r>
    </w:p>
    <w:p>
      <w:pPr>
        <w:pStyle w:val="BookText"/>
        <w:rPr/>
      </w:pPr>
      <w:r>
        <w:rPr>
          <w:rFonts w:ascii="IRNazanin" w:hAnsi="IRNazanin" w:eastAsia="IRNazanin"/>
          <w:color w:val="111111"/>
          <w:sz w:val="28"/>
          <w:sz w:val="28"/>
          <w:szCs w:val="28"/>
          <w:rtl w:val="true"/>
          <w:lang w:bidi="fa-IR"/>
        </w:rPr>
        <w:t>ویراستاران مشاور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کلیفورد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Clifford Christians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مؤسسه تحقیقات ارتباطات، دانشگاه ایلینوی</w:t>
      </w:r>
    </w:p>
    <w:p>
      <w:pPr>
        <w:pStyle w:val="BookText"/>
        <w:rPr/>
      </w:pP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Stewart Hoover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دانشکده ژورنالیسم و ارتباطات جمعی، دانشگاه کُلُرادو</w:t>
      </w:r>
    </w:p>
    <w:p>
      <w:pPr>
        <w:pStyle w:val="BookText"/>
        <w:rPr/>
      </w:pPr>
      <w:r>
        <w:rPr>
          <w:rFonts w:ascii="IRNazanin" w:hAnsi="IRNazanin" w:eastAsia="IRNazanin"/>
          <w:color w:val="111111"/>
          <w:sz w:val="28"/>
          <w:sz w:val="28"/>
          <w:szCs w:val="28"/>
          <w:rtl w:val="true"/>
          <w:lang w:bidi="fa-IR"/>
        </w:rPr>
        <w:t xml:space="preserve">جولوین میچل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Jolyon Mitchell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دانشکده الهیات، دانشگاه ادینبورگ</w:t>
      </w:r>
    </w:p>
    <w:p>
      <w:pPr>
        <w:pStyle w:val="BookText"/>
        <w:rPr/>
      </w:pPr>
      <w:r>
        <w:rPr>
          <w:rFonts w:ascii="IRNazanin" w:hAnsi="IRNazanin" w:eastAsia="IRNazanin"/>
          <w:color w:val="111111"/>
          <w:sz w:val="28"/>
          <w:sz w:val="28"/>
          <w:szCs w:val="28"/>
          <w:rtl w:val="true"/>
          <w:lang w:bidi="fa-IR"/>
        </w:rPr>
        <w:t xml:space="preserve">جان دورهام پیترز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Durham Peters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گروه مطالعات ارتباطات، دانشگاه آیوا</w:t>
      </w:r>
    </w:p>
    <w:p>
      <w:pPr>
        <w:pStyle w:val="BookText"/>
        <w:rPr/>
      </w:pPr>
      <w:r>
        <w:rPr>
          <w:rFonts w:ascii="IRNazanin" w:hAnsi="IRNazanin" w:eastAsia="IRNazanin"/>
          <w:color w:val="111111"/>
          <w:sz w:val="28"/>
          <w:sz w:val="28"/>
          <w:szCs w:val="28"/>
          <w:rtl w:val="true"/>
          <w:lang w:bidi="fa-IR"/>
        </w:rPr>
        <w:t xml:space="preserve">هیلاری وارِن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Hillary Warren</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گروه ارتباطات، کالج اُتربین </w:t>
      </w:r>
      <w:bookmarkStart w:id="40" w:name="pg3881_27603"/>
    </w:p>
    <w:p>
      <w:pPr>
        <w:pStyle w:val="Heading2"/>
        <w:numPr>
          <w:ilvl w:val="1"/>
          <w:numId w:val="1"/>
        </w:numPr>
        <w:rPr/>
      </w:pPr>
      <w:bookmarkStart w:id="41" w:name="__RefHeading___Toc1656018_2281741623"/>
      <w:bookmarkStart w:id="42" w:name="_Toc15"/>
      <w:bookmarkEnd w:id="40"/>
      <w:bookmarkEnd w:id="41"/>
      <w:r>
        <w:rPr>
          <w:rtl w:val="true"/>
        </w:rPr>
        <w:t>ادبیات دینی</w:t>
      </w:r>
      <w:bookmarkEnd w:id="42"/>
    </w:p>
    <w:p>
      <w:pPr>
        <w:pStyle w:val="Heading3"/>
        <w:numPr>
          <w:ilvl w:val="2"/>
          <w:numId w:val="1"/>
        </w:numPr>
        <w:rPr/>
      </w:pPr>
      <w:bookmarkStart w:id="43" w:name="__RefHeading___Toc1656020_228174162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ادبیات دینی دربرگیرندۀ داستان هایی است که در قالب کتاب های طراحی شده، برای بازار جهانی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کتاب های مذهبی که برای بازار انبوه طراحی شده بودند، بسیار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داستان های مذهبی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 اقتباس ها و برداشت ها از مرزهای جغرافیایی و فرقه ای عبور کرده، به گونۀ مختلط</w:t>
      </w:r>
      <w:r>
        <w:rPr>
          <w:rStyle w:val="FootnoteAnchor"/>
          <w:rtl w:val="true"/>
        </w:rPr>
        <w:footnoteReference w:id="2"/>
      </w:r>
      <w:r>
        <w:rPr>
          <w:rFonts w:ascii="IRNazanin" w:hAnsi="IRNazanin" w:eastAsia="IRNazanin"/>
          <w:color w:val="111111"/>
          <w:sz w:val="28"/>
          <w:sz w:val="28"/>
          <w:szCs w:val="28"/>
          <w:rtl w:val="true"/>
          <w:lang w:bidi="fa-IR"/>
        </w:rPr>
        <w:t>داستانی و پند روحانی ارتقا یافتند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فروش کتاب جدید راهب بوداییِ ویتنامی به نام تیچ نات هان از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از نویسندة عصر جدید، ماریان ویلیام سِن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کتابی در بارۀ دنیای دیزنی و پیام های انجیل نوشتة خبرنگاری به نام مارک پینسکی نیز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دالایی لاما به عنوان نویسندة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ثبت شده، که همة آن ها فروش بسیاری داشته اند؛ </w:t>
      </w:r>
      <w:bookmarkStart w:id="45" w:name="pg3881_27605"/>
    </w:p>
    <w:p>
      <w:pPr>
        <w:pStyle w:val="BookText"/>
        <w:rPr/>
      </w:pPr>
      <w:bookmarkEnd w:id="45"/>
      <w:r>
        <w:rPr>
          <w:rFonts w:ascii="IRNazanin" w:hAnsi="IRNazanin" w:eastAsia="IRNazanin"/>
          <w:color w:val="111111"/>
          <w:sz w:val="28"/>
          <w:sz w:val="28"/>
          <w:szCs w:val="28"/>
          <w:rtl w:val="true"/>
          <w:lang w:bidi="fa-IR"/>
        </w:rPr>
        <w:t>مانند کتاب هایی که پاپ ها، رییس جمهور سابق، جیمی کارتر و پدر روحانی بیلی گراهام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در میان مردم به نام دینی شناخته شده اند، طیف اجتماعی ـ اقتصادی وسیعی از سلیقه های مذهبی ـ اقتصادی را ارضا می کنند و از راه شرکت های رسانه ای تثبیت شده به بازارهای جهانی راه پیدا می کنند که افزون بر ناشران استاندارد تجاری، ناشرانی متخصص در امور مذهبی نیز در آن ها فعالیت می کنند</w:t>
      </w:r>
      <w:r>
        <w:rPr>
          <w:rFonts w:eastAsia="IRNazanin" w:cs="IRNazanin"/>
          <w:color w:val="111111"/>
          <w:sz w:val="28"/>
          <w:szCs w:val="28"/>
          <w:rtl w:val="true"/>
          <w:lang w:bidi="fa-IR"/>
        </w:rPr>
        <w:t>.</w:t>
      </w:r>
    </w:p>
    <w:p>
      <w:pPr>
        <w:pStyle w:val="Heading3"/>
        <w:numPr>
          <w:ilvl w:val="2"/>
          <w:numId w:val="1"/>
        </w:numPr>
        <w:rPr/>
      </w:pPr>
      <w:bookmarkStart w:id="46" w:name="__RefHeading___Toc1656022_2281741623"/>
      <w:bookmarkStart w:id="47" w:name="_Toc17"/>
      <w:bookmarkEnd w:id="46"/>
      <w:r>
        <w:rPr>
          <w:rtl w:val="true"/>
        </w:rPr>
        <w:t>چیزی بیش از پول</w:t>
      </w:r>
      <w:bookmarkEnd w:id="47"/>
    </w:p>
    <w:p>
      <w:pPr>
        <w:pStyle w:val="BookText"/>
        <w:rPr/>
      </w:pPr>
      <w:r>
        <w:rPr>
          <w:rFonts w:ascii="IRNazanin" w:hAnsi="IRNazanin" w:eastAsia="IRNazanin"/>
          <w:color w:val="111111"/>
          <w:sz w:val="28"/>
          <w:sz w:val="28"/>
          <w:szCs w:val="28"/>
          <w:rtl w:val="true"/>
          <w:lang w:bidi="fa-IR"/>
        </w:rPr>
        <w:t>چیزی بیش از پول</w:t>
      </w:r>
    </w:p>
    <w:p>
      <w:pPr>
        <w:pStyle w:val="BookText"/>
        <w:rPr/>
      </w:pPr>
      <w:r>
        <w:rPr>
          <w:rFonts w:ascii="IRNazanin" w:hAnsi="IRNazanin" w:eastAsia="IRNazanin"/>
          <w:color w:val="111111"/>
          <w:sz w:val="28"/>
          <w:sz w:val="28"/>
          <w:szCs w:val="28"/>
          <w:rtl w:val="true"/>
          <w:lang w:bidi="fa-IR"/>
        </w:rPr>
        <w:t>دربارة خرید و فروش کتاب های مذهبی نیز به اندازة دی وی دی های موسیقی راک مسیحی و رسانۀ مرتبط با آن، نظر کارشناسی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نشانة ارزش ادبی بالاتر نیست؛ بلکه نشانة سلیقة عمومی و درک تجاری ناشران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گفتة انجمن کتاب فروشان مسیحی، میزان فروش ادبیاتِ پرطرفدار با درون مایة مذهبی برای سنین هجده تا سی ساله بیش از دو میلیارد دلار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بزرگ و دوران سازی چون رمز داوینچی باعث ایجاد بحث های متقابل، محصولات جانبی و به طور کلی پوشش خبری وسیع می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رمان هایی هستند که فروش آن ها از تمام سی کتابی که در صدر پرفروش ترین های بازار کتاب مسیحیت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 های برجای مانده اثر تیموتی لهایی سیری داستانی است دربارة کتاب مکاشفۀ یوحنای رسول و پیشگویی دربارۀ پایان دنیا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برای کودکان تنظیم شده و خوانندگان خود را تا حد سرسپردگی به پیروی از </w:t>
      </w:r>
      <w:bookmarkStart w:id="48" w:name="pg3881_27607"/>
    </w:p>
    <w:p>
      <w:pPr>
        <w:pStyle w:val="BookText"/>
        <w:rPr/>
      </w:pPr>
      <w:bookmarkEnd w:id="48"/>
      <w:r>
        <w:rPr>
          <w:rFonts w:ascii="IRNazanin" w:hAnsi="IRNazanin" w:eastAsia="IRNazanin"/>
          <w:color w:val="111111"/>
          <w:sz w:val="28"/>
          <w:sz w:val="28"/>
          <w:szCs w:val="28"/>
          <w:rtl w:val="true"/>
          <w:lang w:bidi="fa-IR"/>
        </w:rPr>
        <w:t>خویش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مرتبط دیگر، رمان های عاشقانة مسیحی هستند که هارلِکوین نوشته و</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در شش ماه فروخته شد ه است</w:t>
      </w:r>
      <w:r>
        <w:rPr>
          <w:rFonts w:eastAsia="IRNazanin" w:cs="IRNazanin"/>
          <w:color w:val="111111"/>
          <w:sz w:val="28"/>
          <w:szCs w:val="28"/>
          <w:rtl w:val="true"/>
          <w:lang w:bidi="fa-IR"/>
        </w:rPr>
        <w:t>.</w:t>
      </w:r>
    </w:p>
    <w:p>
      <w:pPr>
        <w:pStyle w:val="Heading3"/>
        <w:numPr>
          <w:ilvl w:val="2"/>
          <w:numId w:val="1"/>
        </w:numPr>
        <w:rPr/>
      </w:pPr>
      <w:bookmarkStart w:id="49" w:name="__RefHeading___Toc1656024_2281741623"/>
      <w:bookmarkStart w:id="50" w:name="_Toc18"/>
      <w:bookmarkEnd w:id="49"/>
      <w:r>
        <w:rPr>
          <w:rtl w:val="true"/>
        </w:rPr>
        <w:t>گونه های ادبیات دینی</w:t>
      </w:r>
      <w:bookmarkEnd w:id="50"/>
    </w:p>
    <w:p>
      <w:pPr>
        <w:pStyle w:val="BookText"/>
        <w:rPr/>
      </w:pPr>
      <w:r>
        <w:rPr>
          <w:rFonts w:ascii="IRNazanin" w:hAnsi="IRNazanin" w:eastAsia="IRNazanin"/>
          <w:color w:val="111111"/>
          <w:sz w:val="28"/>
          <w:sz w:val="28"/>
          <w:szCs w:val="28"/>
          <w:rtl w:val="true"/>
          <w:lang w:bidi="fa-IR"/>
        </w:rPr>
        <w:t>گونه های ادبیات دینی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قصه گوهای مذهبی، به طور معمول تبلیغ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ها، نوکشیشانی بالقوه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داستان هایی که ماهرانه تر پرداخته شده اند، با نکته سنجی بیشتری نوشته می شوند، با این قصد که تخیل خواننده را به کار گیرند، نه سخت گیری های اعتقاد به مکتبی تنگ نظرانه یا عقیدة فرقه ای خشک و سخت گیرانه را؛ این گونه نوشتن دربارۀ مذهب،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کلاسیک تاریخ ادبی، منعکس کنندة در افتادن افراد مؤمن با واقعیت های زندگی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داستانی متنوعی از داستان های تاریخی و عاشقانه و تمهیدات کلیشه ای را می شود در فهرست هفتگی ناشران از ده رمان مسیحی برتر منتشر شده، در دهة گذشته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کتاب سنگ های شاکیان من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تریسی گروت داستان مردی به نام اوریون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پونتیوس پیلات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داروغة رومی سرزمین یهودیان که در به صلیب کشیدن مسیح دست داشته است و به گونه ای استعاری به عنوان لفظی خفت بار و مایة ننگ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آموزه های اخلاقی شان را تا اندازه ای بیشتر برای ترحم و شفقت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رمانِ نگاه های پشت پنجره از ریان گوردن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است که در معاهده ای دینی و قدیمی متعلق به فرقة آمیش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دیگری هست که به ظاهر از نشریات روزانه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زمان مرگ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رَندی سینگر دربارۀ اتهام قتلی است که به پدر و مادری بنیادگرا زده می شود، زمانی که </w:t>
      </w:r>
      <w:bookmarkStart w:id="51" w:name="pg3881_27609"/>
    </w:p>
    <w:p>
      <w:pPr>
        <w:pStyle w:val="BookText"/>
        <w:rPr/>
      </w:pPr>
      <w:bookmarkEnd w:id="51"/>
      <w:r>
        <w:rPr>
          <w:rFonts w:ascii="IRNazanin" w:hAnsi="IRNazanin" w:eastAsia="IRNazanin"/>
          <w:color w:val="111111"/>
          <w:sz w:val="28"/>
          <w:sz w:val="28"/>
          <w:szCs w:val="28"/>
          <w:rtl w:val="true"/>
          <w:lang w:bidi="fa-IR"/>
        </w:rPr>
        <w:t>دعای آن ها به تنهایی برای شفای پسرشان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 پرده برداری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سوازن وُلف یک مرمت کار آثار هنری به ایتالیا سفر می کند تا روی تابلوی به صلیب کشیدن مسیح، کار کند و در حالی که لایه های قدیمی رنگ نقاشی را پاک می کند، لایه های جدیدی از معنویت را در خود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اَکستِل مورِن به نام رز وحشی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ماجرای عاشقانة تاریخی را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ساحلی بازگو می کند که دربارة شخصیت پیگمالیون شکل گرفته است؛ جایی که یک کاپیتان دریایی با یک دختر یتیم دوست می شود، او را آموزش داده، سرانجام عاشق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طوفان کوبنده اثر رِنِه گاتِریج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مأمور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تلاش می کند قاتل برادرش را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 او به دنبال کردن گردبادها باعث می شود او راز خدا را در طوفان ها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این خط سیرهای داستانی از این جهت که در برگیرندة مسئله ای اخلاقی اند، در نوع خودشان خاص هستند؛ مسئله ای که به نقطة اوج می رسد، مانند پایانی موفقیقت آمیز؛ زیرا فردِ مورد نظر طبق اصول مذهبی به زندگی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ادبیات دینی شامل تفسیر</w:t>
      </w:r>
      <w:r>
        <w:rPr>
          <w:rStyle w:val="FootnoteAnchor"/>
          <w:rtl w:val="true"/>
        </w:rPr>
        <w:footnoteReference w:id="3"/>
      </w:r>
      <w:r>
        <w:rPr>
          <w:rFonts w:ascii="IRNazanin" w:hAnsi="IRNazanin" w:eastAsia="IRNazanin"/>
          <w:color w:val="111111"/>
          <w:sz w:val="28"/>
          <w:sz w:val="28"/>
          <w:szCs w:val="28"/>
          <w:rtl w:val="true"/>
          <w:lang w:bidi="fa-IR"/>
        </w:rPr>
        <w:t>و تجربۀ سپری شده</w:t>
      </w:r>
      <w:r>
        <w:rPr>
          <w:rStyle w:val="FootnoteAnchor"/>
          <w:rtl w:val="true"/>
        </w:rPr>
        <w:footnoteReference w:id="4"/>
      </w:r>
      <w:r>
        <w:rPr>
          <w:rFonts w:ascii="IRNazanin" w:hAnsi="IRNazanin" w:eastAsia="IRNazanin"/>
          <w:color w:val="111111"/>
          <w:sz w:val="28"/>
          <w:sz w:val="28"/>
          <w:szCs w:val="28"/>
          <w:rtl w:val="true"/>
          <w:lang w:bidi="fa-IR"/>
        </w:rPr>
        <w:t>یا شرح حال</w:t>
      </w:r>
      <w:r>
        <w:rPr>
          <w:rStyle w:val="FootnoteAnchor"/>
          <w:rtl w:val="true"/>
        </w:rPr>
        <w:footnoteReference w:id="5"/>
      </w:r>
      <w:r>
        <w:rPr>
          <w:rFonts w:ascii="IRNazanin" w:hAnsi="IRNazanin" w:eastAsia="IRNazanin"/>
          <w:color w:val="111111"/>
          <w:sz w:val="28"/>
          <w:sz w:val="28"/>
          <w:szCs w:val="28"/>
          <w:rtl w:val="true"/>
          <w:lang w:bidi="fa-IR"/>
        </w:rPr>
        <w:t>و تمرینی برای تخیل</w:t>
      </w:r>
      <w:r>
        <w:rPr>
          <w:rStyle w:val="FootnoteAnchor"/>
          <w:rtl w:val="true"/>
        </w:rPr>
        <w:footnoteReference w:id="6"/>
      </w:r>
      <w:r>
        <w:rPr>
          <w:rFonts w:ascii="IRNazanin" w:hAnsi="IRNazanin" w:eastAsia="IRNazanin"/>
          <w:color w:val="111111"/>
          <w:sz w:val="28"/>
          <w:sz w:val="28"/>
          <w:szCs w:val="28"/>
          <w:rtl w:val="true"/>
          <w:lang w:bidi="fa-IR"/>
        </w:rPr>
        <w:t>است که می تواند مصور سازی تصویرهای مقدس یا روایت یک تجربه باشد؛ این که چگونه تصویر مذهب در ذهن راوی یا مؤلف خطور می کند</w:t>
      </w:r>
      <w:r>
        <w:rPr>
          <w:rFonts w:eastAsia="IRNazanin" w:cs="IRNazanin"/>
          <w:color w:val="111111"/>
          <w:sz w:val="28"/>
          <w:szCs w:val="28"/>
          <w:rtl w:val="true"/>
          <w:lang w:bidi="fa-IR"/>
        </w:rPr>
        <w:t>.</w:t>
      </w:r>
    </w:p>
    <w:p>
      <w:pPr>
        <w:pStyle w:val="Heading3"/>
        <w:numPr>
          <w:ilvl w:val="2"/>
          <w:numId w:val="1"/>
        </w:numPr>
        <w:rPr/>
      </w:pPr>
      <w:bookmarkStart w:id="52" w:name="__RefHeading___Toc1656026_2281741623"/>
      <w:bookmarkStart w:id="53" w:name="_Toc19"/>
      <w:bookmarkEnd w:id="52"/>
      <w:r>
        <w:rPr>
          <w:rtl w:val="true"/>
        </w:rPr>
        <w:t>ویژگی های این نوع ادبیات</w:t>
      </w:r>
      <w:bookmarkEnd w:id="53"/>
    </w:p>
    <w:p>
      <w:pPr>
        <w:pStyle w:val="BookText"/>
        <w:rPr/>
      </w:pPr>
      <w:r>
        <w:rPr>
          <w:rFonts w:ascii="IRNazanin" w:hAnsi="IRNazanin" w:eastAsia="IRNazanin"/>
          <w:color w:val="111111"/>
          <w:sz w:val="28"/>
          <w:sz w:val="28"/>
          <w:szCs w:val="28"/>
          <w:rtl w:val="true"/>
          <w:lang w:bidi="fa-IR"/>
        </w:rPr>
        <w:t>ویژگی های این نوع ادبیات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از آثار انبوه کلاسیک ادبی که سنت های مذهبیِ تکثرگرایانه را ارائه می دهند، نمونه هایی از دوران مدرن و پُست مدرن وجود دارند که نشان </w:t>
      </w:r>
      <w:bookmarkStart w:id="54" w:name="pg3881_27611"/>
    </w:p>
    <w:p>
      <w:pPr>
        <w:pStyle w:val="BookText"/>
        <w:rPr/>
      </w:pPr>
      <w:bookmarkEnd w:id="54"/>
      <w:r>
        <w:rPr>
          <w:rFonts w:ascii="IRNazanin" w:hAnsi="IRNazanin" w:eastAsia="IRNazanin"/>
          <w:color w:val="111111"/>
          <w:sz w:val="28"/>
          <w:sz w:val="28"/>
          <w:szCs w:val="28"/>
          <w:rtl w:val="true"/>
          <w:lang w:bidi="fa-IR"/>
        </w:rPr>
        <w:t>می دهند چطور رسانه، مذهب، ارتباطات و ادبیات به هم می پیوندند تا نوعی را ایجاد کنند که به دلیل ایجاد ارتباطِ پل مانند و بدون محدودیت میان مؤلف و خواننده، متمایز و خاص است؛ ارتباطی که در آن مخاطب تنها دریافت کنندة پیام نیست؛ بلکه مُفسر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عنصر خطاب مستقیم</w:t>
      </w:r>
      <w:r>
        <w:rPr>
          <w:rStyle w:val="FootnoteAnchor"/>
          <w:rtl w:val="true"/>
        </w:rPr>
        <w:footnoteReference w:id="7"/>
      </w:r>
      <w:r>
        <w:rPr>
          <w:rFonts w:ascii="IRNazanin" w:hAnsi="IRNazanin" w:eastAsia="IRNazanin"/>
          <w:color w:val="111111"/>
          <w:sz w:val="28"/>
          <w:sz w:val="28"/>
          <w:szCs w:val="28"/>
          <w:rtl w:val="true"/>
          <w:lang w:bidi="fa-IR"/>
        </w:rPr>
        <w:t>به معنای ارتباط من و توییِ میان خواننده و مؤلف، یکی از ویژگی های مهم ادبیات دینی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استثنای آشکاری هم وجود دارد؛ ژورنالیسم معنوی، بسیار خواهان واقع بینی در رویدادهای حقیقی ای است که اشخاص درگیر با آن یا کسانی که مشاهده اش کرده اند، به بازار رسانة جمعی گزارش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دینی، خواننده و مؤلف، هویتی مستقل از کلیسا، مسجد، کنیسه و معبد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درگیر صحبتی هستند که بر پایة ورود به دنیای خیالی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اعتقاد، فضا یا چهارچوب خلق داستان را برای نویسنده فراهم می کند، ممکن است خواننده در برابر ایدة چنین عقایدی از خود مقاومت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هنرِ ادبیِ دینی این است که مؤلف و خواننده را در عبور از مرز فرهنگ مادی گرایی، ارتدکسی و روان شناختی متحد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سنت، هدف هنرِ کلاسیک دینی مشاهدة وجود قدرتی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قطعی ادبیات دینی ـ متعلق به سال های پس 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جست وجو برای ارزش انسان در متن اجتماع است که با درکی از مذهبی طبیعی با هم متحد شده، قابلیت پذیرش عقاید تکثرگرایانه را داشته و در فلسفه ای تعالی گرا جای گرفته باشد</w:t>
      </w:r>
      <w:r>
        <w:rPr>
          <w:rFonts w:eastAsia="IRNazanin" w:cs="IRNazanin"/>
          <w:color w:val="111111"/>
          <w:sz w:val="28"/>
          <w:szCs w:val="28"/>
          <w:rtl w:val="true"/>
          <w:lang w:bidi="fa-IR"/>
        </w:rPr>
        <w:t>.</w:t>
      </w:r>
    </w:p>
    <w:p>
      <w:pPr>
        <w:pStyle w:val="Heading3"/>
        <w:numPr>
          <w:ilvl w:val="2"/>
          <w:numId w:val="1"/>
        </w:numPr>
        <w:rPr/>
      </w:pPr>
      <w:bookmarkStart w:id="55" w:name="__RefHeading___Toc1656028_2281741623"/>
      <w:bookmarkStart w:id="56" w:name="_Toc20"/>
      <w:bookmarkEnd w:id="55"/>
      <w:r>
        <w:rPr>
          <w:rtl w:val="true"/>
        </w:rPr>
        <w:t>مضامین عمومی بین دینی</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مضامین عمومی بین دینی </w:t>
      </w:r>
    </w:p>
    <w:p>
      <w:pPr>
        <w:pStyle w:val="BookText"/>
        <w:rPr/>
      </w:pPr>
      <w:r>
        <w:rPr>
          <w:rFonts w:ascii="IRNazanin" w:hAnsi="IRNazanin" w:eastAsia="IRNazanin"/>
          <w:color w:val="111111"/>
          <w:sz w:val="28"/>
          <w:sz w:val="28"/>
          <w:szCs w:val="28"/>
          <w:rtl w:val="true"/>
          <w:lang w:bidi="fa-IR"/>
        </w:rPr>
        <w:t>کلمة طبیعی، مذهبی را توصیف می کند که بدون هیچ مکتب یا مسلکی، از تجربة متقابل انسان ها با یکدیگر، با طبیعت و در اجتماع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تجربه از مذهب تکثر گرایانه، اصول مشترکی در ارزش ها و اصول بسیاری از باورها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اهمیت بسیاری دارد؛ این همان آرامش ارزشمندی است که بودیسم و تمام سیره های اهل مراقبه ـ مکاشفه، نشستن، سکوت و سکون ـ آن را به عنوان جزیی از مناسک خویش به کار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Style w:val="FootnoteAnchor"/>
          <w:rtl w:val="true"/>
        </w:rPr>
        <w:footnoteReference w:id="8"/>
      </w:r>
      <w:r>
        <w:rPr>
          <w:rFonts w:ascii="IRNazanin" w:hAnsi="IRNazanin" w:eastAsia="IRNazanin"/>
          <w:color w:val="111111"/>
          <w:sz w:val="28"/>
          <w:sz w:val="28"/>
          <w:szCs w:val="28"/>
          <w:rtl w:val="true"/>
          <w:lang w:bidi="fa-IR"/>
        </w:rPr>
        <w:t>در بسیاری از مذاهب، ارزشمند است؛ زیرا راهی به سوی شناخت بیشتر نسبت به خود با هدف رسیدن به آرامش است؛ با وجودی که خویشتن به نام منبع واقعیت روان شناختی در دنیای مادی دارای ارزش است، بسیاری از مذاهب برای بی خویشی</w:t>
      </w:r>
      <w:r>
        <w:rPr>
          <w:rStyle w:val="FootnoteAnchor"/>
          <w:rtl w:val="true"/>
        </w:rPr>
        <w:footnoteReference w:id="9"/>
      </w:r>
      <w:r>
        <w:rPr>
          <w:rFonts w:ascii="IRNazanin" w:hAnsi="IRNazanin" w:eastAsia="IRNazanin"/>
          <w:color w:val="111111"/>
          <w:sz w:val="28"/>
          <w:sz w:val="28"/>
          <w:szCs w:val="28"/>
          <w:rtl w:val="true"/>
          <w:lang w:bidi="fa-IR"/>
        </w:rPr>
        <w:t>یا وجود بدون خویشتن که اولویت های اش در اجتماع متمرکز شده است، جایگاهی والاتر از منعفت خودِ فرد یا تمرکز بر خویشتن قائل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 شبیه آن چه در عقاید شرقی و غربی با نام فضیلت، دیده می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در واقع سازگاری میان متضادها، مثبت ها و منفی ها، سکوت و آواز، گوش دادن و صحبت کردن و توجه درونی و بیرونی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w:t>
      </w:r>
      <w:r>
        <w:rPr>
          <w:rStyle w:val="FootnoteAnchor"/>
          <w:rtl w:val="true"/>
        </w:rPr>
        <w:footnoteReference w:id="10"/>
      </w:r>
      <w:r>
        <w:rPr>
          <w:rFonts w:ascii="IRNazanin" w:hAnsi="IRNazanin" w:eastAsia="IRNazanin"/>
          <w:color w:val="111111"/>
          <w:sz w:val="28"/>
          <w:sz w:val="28"/>
          <w:szCs w:val="28"/>
          <w:rtl w:val="true"/>
          <w:lang w:bidi="fa-IR"/>
        </w:rPr>
        <w:t>یا تغییر و بخشایش،</w:t>
      </w:r>
      <w:r>
        <w:rPr>
          <w:rStyle w:val="FootnoteAnchor"/>
          <w:rtl w:val="true"/>
        </w:rPr>
        <w:footnoteReference w:id="11"/>
      </w:r>
      <w:r>
        <w:rPr>
          <w:rFonts w:ascii="IRNazanin" w:hAnsi="IRNazanin" w:eastAsia="IRNazanin"/>
          <w:color w:val="111111"/>
          <w:sz w:val="28"/>
          <w:sz w:val="28"/>
          <w:szCs w:val="28"/>
          <w:rtl w:val="true"/>
          <w:lang w:bidi="fa-IR"/>
        </w:rPr>
        <w:t>راهنمایی به سوی تولد دوباره و پیروزی بر نیروهای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مضمون ها بیشتر در ادبیات دینی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زمانی و مکانی در داستان های دینی در همۀ سنت ها مشابهت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یا محلی هستند؛ یعنی به بررسی امور داخلی و داستان هایی دربارۀ طبقات اجتماعی و اجتماع می پردازند یا طبیعی اند و به </w:t>
      </w:r>
      <w:bookmarkStart w:id="57" w:name="pg3881_27615"/>
    </w:p>
    <w:p>
      <w:pPr>
        <w:pStyle w:val="BookText"/>
        <w:rPr/>
      </w:pPr>
      <w:bookmarkEnd w:id="57"/>
      <w:r>
        <w:rPr>
          <w:rFonts w:ascii="IRNazanin" w:hAnsi="IRNazanin" w:eastAsia="IRNazanin"/>
          <w:color w:val="111111"/>
          <w:sz w:val="28"/>
          <w:sz w:val="28"/>
          <w:szCs w:val="28"/>
          <w:rtl w:val="true"/>
          <w:lang w:bidi="fa-IR"/>
        </w:rPr>
        <w:t>مطالعة مسائل خارجی می پردازند؛ یعنی وضع انسان در چهارچوب امور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ها بیشتر از تمثیل، معما یا پرسش های متناقض گونه ای</w:t>
      </w:r>
      <w:r>
        <w:rPr>
          <w:rStyle w:val="FootnoteAnchor"/>
          <w:rtl w:val="true"/>
        </w:rPr>
        <w:footnoteReference w:id="12"/>
      </w:r>
      <w:r>
        <w:rPr>
          <w:rFonts w:ascii="IRNazanin" w:hAnsi="IRNazanin" w:eastAsia="IRNazanin"/>
          <w:color w:val="111111"/>
          <w:sz w:val="28"/>
          <w:sz w:val="28"/>
          <w:szCs w:val="28"/>
          <w:rtl w:val="true"/>
          <w:lang w:bidi="fa-IR"/>
        </w:rPr>
        <w:t>استفاده می شود که در ساختارهای روایی بزرگ تر با احتیاط به کار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دربارۀ تقسیمات دوتایی راه خوبی برای تحلیل پِی رنگ ها است؛ ولی با نام علم انتقادیِ دقیق در نظر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 وجو برای تقابل و تنش در پی رنگی دینی است که راه مناسبی برای تفکیک یا طبقه بندی کردن گونه های داستانی به شمار می رود و عبارت است از داستان هایی با موضوع جنگ، سفر، ماجرای عاشقانه، راز و اکتشاف و سنت رمان تعلیمی</w:t>
      </w:r>
      <w:r>
        <w:rPr>
          <w:rStyle w:val="FootnoteAnchor"/>
          <w:rtl w:val="true"/>
        </w:rPr>
        <w:footnoteReference w:id="13"/>
      </w:r>
      <w:r>
        <w:rPr>
          <w:rFonts w:ascii="IRNazanin" w:hAnsi="IRNazanin" w:eastAsia="IRNazanin"/>
          <w:color w:val="111111"/>
          <w:sz w:val="28"/>
          <w:sz w:val="28"/>
          <w:szCs w:val="28"/>
          <w:rtl w:val="true"/>
          <w:lang w:bidi="fa-IR"/>
        </w:rPr>
        <w:t xml:space="preserve">که سفری است در طول اپیزودهای رویدادهای زندگی که به رشد، تغییر و سرانجام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زیرمجموعه از چهارچوب داستانی روایی، حدود ژانر ادبیات دینی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تاریخی و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نویسی، جغرافیای داستانی و روحانی، سفرنامه و ژورنالیسم معنوی</w:t>
      </w:r>
      <w:r>
        <w:rPr>
          <w:rFonts w:eastAsia="IRNazanin" w:cs="IRNazanin"/>
          <w:color w:val="111111"/>
          <w:sz w:val="28"/>
          <w:szCs w:val="28"/>
          <w:rtl w:val="true"/>
          <w:lang w:bidi="fa-IR"/>
        </w:rPr>
        <w:t>.</w:t>
      </w:r>
    </w:p>
    <w:p>
      <w:pPr>
        <w:pStyle w:val="Heading3"/>
        <w:numPr>
          <w:ilvl w:val="2"/>
          <w:numId w:val="1"/>
        </w:numPr>
        <w:rPr/>
      </w:pPr>
      <w:bookmarkStart w:id="58" w:name="__RefHeading___Toc1656030_2281741623"/>
      <w:bookmarkStart w:id="59" w:name="_Toc21"/>
      <w:bookmarkEnd w:id="58"/>
      <w:r>
        <w:rPr>
          <w:rtl w:val="true"/>
        </w:rPr>
        <w:t>شرح حال نویسی</w:t>
      </w:r>
      <w:bookmarkEnd w:id="59"/>
    </w:p>
    <w:p>
      <w:pPr>
        <w:pStyle w:val="BookText"/>
        <w:rPr/>
      </w:pPr>
      <w:r>
        <w:rPr>
          <w:rFonts w:ascii="IRNazanin" w:hAnsi="IRNazanin" w:eastAsia="IRNazanin"/>
          <w:color w:val="111111"/>
          <w:sz w:val="28"/>
          <w:sz w:val="28"/>
          <w:szCs w:val="28"/>
          <w:rtl w:val="true"/>
          <w:lang w:bidi="fa-IR"/>
        </w:rPr>
        <w:t>شرح حال نویسی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پرفروش ترین شرح حال نویسی قرن بیستم، کوه هفت طبقه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تامس مرتِن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مرتِن در بریتانیا به دنیا آمد، در نوجوانی یتیم شد و به عنوان یک نوجوان زندگی فاسدی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دانشگاه کلمبیا ثبت نام کرد، کاتولیک شد و به صومعه ای تراپیست</w:t>
      </w:r>
      <w:r>
        <w:rPr>
          <w:rStyle w:val="FootnoteAnchor"/>
          <w:rtl w:val="true"/>
        </w:rPr>
        <w:footnoteReference w:id="14"/>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اعترافات آگوستین قدیس الگوی چنین ادبیاتی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اپیزودهای گناه آلودِ جوانی، تکیه گاهی است برای خاطرات اخلاقی و بلوغِ در آینده؛ زمانی که بازنگری </w:t>
      </w:r>
      <w:bookmarkStart w:id="60" w:name="pg3881_27617"/>
    </w:p>
    <w:p>
      <w:pPr>
        <w:pStyle w:val="BookText"/>
        <w:rPr/>
      </w:pPr>
      <w:bookmarkEnd w:id="60"/>
      <w:r>
        <w:rPr>
          <w:rFonts w:ascii="IRNazanin" w:hAnsi="IRNazanin" w:eastAsia="IRNazanin"/>
          <w:color w:val="111111"/>
          <w:sz w:val="28"/>
          <w:sz w:val="28"/>
          <w:szCs w:val="28"/>
          <w:rtl w:val="true"/>
          <w:lang w:bidi="fa-IR"/>
        </w:rPr>
        <w:t>گناهکار، تصویر واضح تر و لایه های عمیق تری از یقین را در هویت روحانی و بالغ، برای نویسنده فراهم می کند</w:t>
      </w:r>
      <w:r>
        <w:rPr>
          <w:rFonts w:eastAsia="IRNazanin" w:cs="IRNazanin"/>
          <w:color w:val="111111"/>
          <w:sz w:val="28"/>
          <w:szCs w:val="28"/>
          <w:rtl w:val="true"/>
          <w:lang w:bidi="fa-IR"/>
        </w:rPr>
        <w:t>.</w:t>
      </w:r>
    </w:p>
    <w:p>
      <w:pPr>
        <w:pStyle w:val="Heading3"/>
        <w:numPr>
          <w:ilvl w:val="2"/>
          <w:numId w:val="1"/>
        </w:numPr>
        <w:rPr/>
      </w:pPr>
      <w:bookmarkStart w:id="61" w:name="__RefHeading___Toc1656032_2281741623"/>
      <w:bookmarkStart w:id="62" w:name="_Toc22"/>
      <w:bookmarkEnd w:id="61"/>
      <w:r>
        <w:rPr>
          <w:rtl w:val="true"/>
        </w:rPr>
        <w:t>جغرافیای داستانی و روحانی</w:t>
      </w:r>
      <w:bookmarkEnd w:id="62"/>
    </w:p>
    <w:p>
      <w:pPr>
        <w:pStyle w:val="BookText"/>
        <w:rPr/>
      </w:pPr>
      <w:r>
        <w:rPr>
          <w:rFonts w:ascii="IRNazanin" w:hAnsi="IRNazanin" w:eastAsia="IRNazanin"/>
          <w:color w:val="111111"/>
          <w:sz w:val="28"/>
          <w:sz w:val="28"/>
          <w:szCs w:val="28"/>
          <w:rtl w:val="true"/>
          <w:lang w:bidi="fa-IR"/>
        </w:rPr>
        <w:t>جغرافیای داستانی و روحانی</w:t>
      </w:r>
    </w:p>
    <w:p>
      <w:pPr>
        <w:pStyle w:val="BookText"/>
        <w:rPr/>
      </w:pPr>
      <w:r>
        <w:rPr>
          <w:rFonts w:ascii="IRNazanin" w:hAnsi="IRNazanin" w:eastAsia="IRNazanin"/>
          <w:color w:val="111111"/>
          <w:sz w:val="28"/>
          <w:sz w:val="28"/>
          <w:szCs w:val="28"/>
          <w:rtl w:val="true"/>
          <w:lang w:bidi="fa-IR"/>
        </w:rPr>
        <w:t>داستان دینی ـ جغرافیایی به هویت شخص می پردازد؛ ولی در متن مکانی فرهنگی که به طور کامل زنده است و با طبیعت رازآلود و قدرتمندش در خدمت شکل گیری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زندگی مخفی زنبورها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سوزان مانک کید را بشود اثری متعلق به ادبیات دینی دانست؛ زیرا داستان نوجوان تنهایی است که کسی او را درک نکرده، از خانه فرار می کند تا در میان افراد غیر عادی، خانواده و اجتماع جدیدی را تشکیل دهد؛ کسانی که ادعا می کنند خویشان روحانی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دارد برای مادر سفیدپوستش که وی را نپذیرفته، جایگزینی پیدا کند و تمثال های مذهبی جدیدی بیابد و سرانجام شمایل سیاه و چوبی مریم عَذرا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داستانِ کید، روایت بالغ شدن است که با شیوه ای طنزآلود گفته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قدیسِ پشتیبان دروغگوها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پچت دربارۀ زن بالغ و جوانی است که هویت خود را در جایگاه همسر رها می کند و پس از زمانی متوجه می شود که باردار است؛ بنابراین شوهر خود را پس از سه سال زندگی ترک می کند و به وطن اصلی خود باز می گردد تا در خانة مادرانِ ازدواج نکرده، واقع در روستایی در اطراف کِنتاکی که عده ای خواهر روحانی آن را اداره می کنند،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به سبب آب های جادوی اش زمانی او را در بچگی شفا داده و میان مردم محلی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خانه </w:t>
      </w:r>
    </w:p>
    <w:p>
      <w:pPr>
        <w:pStyle w:val="BookText"/>
        <w:rPr/>
      </w:pPr>
      <w:r>
        <w:rPr>
          <w:rFonts w:ascii="IRNazanin" w:hAnsi="IRNazanin" w:eastAsia="IRNazanin"/>
          <w:color w:val="111111"/>
          <w:sz w:val="28"/>
          <w:sz w:val="28"/>
          <w:szCs w:val="28"/>
          <w:rtl w:val="true"/>
          <w:lang w:bidi="fa-IR"/>
        </w:rPr>
        <w:t>می رود تا از خودش رها شود و در حالی که خود بچه ای به دنیا می آورد، تولد دوباره را 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جِیبر کراو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وِندل بِری نمونه ای از ادبیات دینی جدید است؛ مردی جوان و فقیر از آپالاچیا به علت فقر و پیشنهاد بورسیه شدن متعهد می شود که در مدرسة کشیش ها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گفتار صادقانۀ او دربارۀ ناکامی اش در اعتقاد به خدا باعث اخراج او از مدرسه می شود، بنابراین زندگی سرگردان خویش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جدیدی به نام آرایشگر اقامت می کند و در آن جا مانند کشیش یا اعتراف پذیر به اعترافات و باورهای مشتریانش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از مصایب نجات پیدا می کند؛ از جمله سیلی به وسعت آن چه در انجیل آمده است و سرانجام درگیر عشقی مرموز با زنی می شود؛ احساسات زن مانند احساسات خودش عمیق و دور از بیان و در عین حال برای هر دوی آن ها درک کردنی است؛ استعاره ای از عشق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داکوتا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جغرافیاییـ روحانی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کَتلین نوریس دربارۀ رشد روحانی شخصیت اصلی داستان است که با زندگی در شهری نیمه غربی و در حال نابودی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شوهرش از منهتن به آن جا آمده، تا در خانه ای که از مادربزرگش به ارث برده،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نوریس از تفسیر جغرافیایی، شرح حال نویسی و ژورنالیسم، در جست وجوی قداست در مسائل عادی و پیش پا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هِنری دیوید تورو روی والدِن پوند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او در کنکورد و ماساچوست نیست؛ بلکه در لِمون در داکوتای جنوبی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داکوتا خادمی در صومعة پروتستان است، همسر و شاعری که تصمیم می گیرد در جایگاه فردی که زندگی اش را وقف کلیسا کرده، وارد مسلک </w:t>
      </w:r>
      <w:bookmarkStart w:id="63" w:name="pg3881_27621"/>
    </w:p>
    <w:p>
      <w:pPr>
        <w:pStyle w:val="BookText"/>
        <w:rPr/>
      </w:pPr>
      <w:bookmarkEnd w:id="63"/>
      <w:r>
        <w:rPr>
          <w:rFonts w:ascii="IRNazanin" w:hAnsi="IRNazanin" w:eastAsia="IRNazanin"/>
          <w:color w:val="111111"/>
          <w:sz w:val="28"/>
          <w:sz w:val="28"/>
          <w:szCs w:val="28"/>
          <w:rtl w:val="true"/>
          <w:lang w:bidi="fa-IR"/>
        </w:rPr>
        <w:t>بِنِدیکتی شود؛ پژوهشگری تازه کار که روی خرد باستانی و مکاشفات اجداد فراموش شده کار می کند؛ از جمله سکوت و خلوت که به راحتی در مکان او یافت می شود و تأملی که او در میان راهبان صومعه ای در آن نزدیکی،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واقع گرایی دینی ارتباط میان رشد معنوی انسان و شناخت دقیق مکان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ازدواج میان زن و جغرافیایی که او را احاطه کرده، که در ارتباط با شوهرش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نوریس را با دنیای کید یا با رمان های بسیاری از مؤلفان که داستان هایی دربارۀ در راه بودن نوشته اندـ مانند جک کِرواک ـ مقایسه کنیم، ارزش پایداری، یعنی تعهد به اجتماع و مکان زندگی، را درخواهیم یافت که حدود زندگی دینی را تعریف می کند</w:t>
      </w:r>
      <w:r>
        <w:rPr>
          <w:rFonts w:eastAsia="IRNazanin" w:cs="IRNazanin"/>
          <w:color w:val="111111"/>
          <w:sz w:val="28"/>
          <w:szCs w:val="28"/>
          <w:rtl w:val="true"/>
          <w:lang w:bidi="fa-IR"/>
        </w:rPr>
        <w:t>.</w:t>
      </w:r>
    </w:p>
    <w:p>
      <w:pPr>
        <w:pStyle w:val="Heading3"/>
        <w:numPr>
          <w:ilvl w:val="2"/>
          <w:numId w:val="1"/>
        </w:numPr>
        <w:rPr/>
      </w:pPr>
      <w:bookmarkStart w:id="64" w:name="__RefHeading___Toc1656034_2281741623"/>
      <w:bookmarkStart w:id="65" w:name="_Toc23"/>
      <w:bookmarkEnd w:id="64"/>
      <w:r>
        <w:rPr>
          <w:rtl w:val="true"/>
        </w:rPr>
        <w:t>گزیده ای از اعترافات آگوستین قدیس</w:t>
      </w:r>
      <w:bookmarkEnd w:id="65"/>
    </w:p>
    <w:p>
      <w:pPr>
        <w:pStyle w:val="BookText"/>
        <w:rPr/>
      </w:pPr>
      <w:r>
        <w:rPr>
          <w:rFonts w:ascii="IRNazanin" w:hAnsi="IRNazanin" w:eastAsia="IRNazanin"/>
          <w:color w:val="111111"/>
          <w:sz w:val="28"/>
          <w:sz w:val="28"/>
          <w:szCs w:val="28"/>
          <w:rtl w:val="true"/>
          <w:lang w:bidi="fa-IR"/>
        </w:rPr>
        <w:t>گزیده ای از اعترافات آگوستین قدیس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چگونه می توانم از رحمتت که بر من ارزانی داشتی،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از تو دور و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سایة رحمتت را بر من گستراندی؟ آن کلماتی که مادرم، آن بندة با ایمان در گوشم نجوا می کرد، از سوی چه کسی جز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قلب من از آن هیچ درک نکرد تا بدان ها جامۀ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کرد و من به یاد دارم که در پنهان با اضطرابی بزرگ مرا دور می کرد که هیچ گاه مرتکب اعمال منافی عفت، به ویژه متعرض همسر مردی دیگر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نصایح در نظرم چون پندهایی زنانه می نمودند که باید با شرم و حیا اطاعت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کلماتِ تو بودند و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پنداشتم که تو کلامی نمی گویی و این ها سخنان اوست؛ او، که تو کلامت را بر زبانش جاری ساخته بودی، تا به من ابلاغ کند و من، گفتار وی را که در نظرم بیهوده می نمود، تحقیر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پسرش بودم؛ پسر </w:t>
      </w:r>
      <w:bookmarkStart w:id="66" w:name="pg3881_27623"/>
    </w:p>
    <w:p>
      <w:pPr>
        <w:pStyle w:val="BookText"/>
        <w:rPr/>
      </w:pPr>
      <w:bookmarkEnd w:id="66"/>
      <w:r>
        <w:rPr>
          <w:rFonts w:ascii="IRNazanin" w:hAnsi="IRNazanin" w:eastAsia="IRNazanin"/>
          <w:color w:val="111111"/>
          <w:sz w:val="28"/>
          <w:sz w:val="28"/>
          <w:szCs w:val="28"/>
          <w:rtl w:val="true"/>
          <w:lang w:bidi="fa-IR"/>
        </w:rPr>
        <w:t>ساختة دست تو؛ بنده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نمی دانستم و نسنجیده چنان با غفلت به پیش تاختم که در میان هم ترازانم کمتر از چیزی شرمگین می شدم؛ چیزی نزدیک به بی شرمی، زمانی که بلوف های آن ها را دربارۀ شرارت های شان می شنیدم، ارزش خود را پایین تر می آوردند و من لذت می بردم؛ نه فقط از عملی که انجام می شد؛ بلکه از ستایشی که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مذهب، یاد گرفتن این نیست که دوست داشتن خدا یعنی چه؛ بلکه یادگیری شیوة انسان بودن در جایگاه یکی از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در خلوت خود هستند و دربارۀ افرادی می نویسند که تنها بوده، دوستان چندانی ندارند و به دلیل این انزوا، تخیل آن ها به مکان های طبیعی ای، چون رودخانه، کوه یا جنگل جان می بخشد؛ همان طور که دیگر نویسندگان علاقة خود را نسبت به انسان ها ابراز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بسیاری از نویسندگان از این سبک استفاده می کنند، دو نفر از این راه جایزه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دیلارد برای زایری در تینکر کریک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گِرِتل اِرلیش برای آرامش در فضای باز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آیندۀ 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از میان سرما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Heading3"/>
        <w:numPr>
          <w:ilvl w:val="2"/>
          <w:numId w:val="1"/>
        </w:numPr>
        <w:rPr/>
      </w:pPr>
      <w:bookmarkStart w:id="67" w:name="__RefHeading___Toc1656036_2281741623"/>
      <w:bookmarkStart w:id="68" w:name="_Toc24"/>
      <w:bookmarkEnd w:id="67"/>
      <w:r>
        <w:rPr>
          <w:rtl w:val="true"/>
        </w:rPr>
        <w:t>سفرنامه ها</w:t>
      </w:r>
      <w:bookmarkEnd w:id="68"/>
    </w:p>
    <w:p>
      <w:pPr>
        <w:pStyle w:val="BookText"/>
        <w:rPr/>
      </w:pPr>
      <w:r>
        <w:rPr>
          <w:rFonts w:ascii="IRNazanin" w:hAnsi="IRNazanin" w:eastAsia="IRNazanin"/>
          <w:color w:val="111111"/>
          <w:sz w:val="28"/>
          <w:sz w:val="28"/>
          <w:szCs w:val="28"/>
          <w:rtl w:val="true"/>
          <w:lang w:bidi="fa-IR"/>
        </w:rPr>
        <w:t>سفرنامه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دست نخورده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پاتریشیا هَمپل نمونۀ خوبی از یک سفرنامة دینی با درکی طنزآمیز از زمان پریشی دینی</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آیین و رسومی که بیش از اهداف خود عمر کرده اند و این که چگونه تناقض و تقابل، بخش عمده ای از جنبة کمدی مذهب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 می کند تا از لحاظ احساسی و معنوی پیشرفت کرده و گذشتة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سفر زیارتی اش همراه گروهی تجدد گریز در کالیفرنیای شمالی از </w:t>
      </w:r>
      <w:bookmarkStart w:id="69" w:name="pg3881_27625"/>
    </w:p>
    <w:p>
      <w:pPr>
        <w:pStyle w:val="BookText"/>
        <w:rPr/>
      </w:pPr>
      <w:bookmarkEnd w:id="69"/>
      <w:r>
        <w:rPr>
          <w:rFonts w:ascii="IRNazanin" w:hAnsi="IRNazanin" w:eastAsia="IRNazanin"/>
          <w:color w:val="111111"/>
          <w:sz w:val="28"/>
          <w:sz w:val="28"/>
          <w:szCs w:val="28"/>
          <w:rtl w:val="true"/>
          <w:lang w:bidi="fa-IR"/>
        </w:rPr>
        <w:t>بارگاهی معجزه آمیز به بارگاهی دیگر در آسیسی در لورد، با گروهی از شخصیت ها روبه رو می شود؛ مانند شاعر دوره گرد، جفری شاسر در قرن 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 لحظة تعالی و مکاشفة او را می رساند؛ زمان دست نخورده، نقطه ای میان شروع روز و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دوبارة همه چیز از اول، آغاز چیزی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در لوتوس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راجر کامنتز؛ هم چنین غلبه بر الیجا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یک یهودیِ اهل بروکلین است که همراه گروهی از خاخام های ارتدکس به آسیا سفر می کند تا دالایی لاما را ملاقات کرده، با بودیسم روبه رو شود</w:t>
      </w:r>
      <w:r>
        <w:rPr>
          <w:rFonts w:eastAsia="IRNazanin" w:cs="IRNazanin"/>
          <w:color w:val="111111"/>
          <w:sz w:val="28"/>
          <w:szCs w:val="28"/>
          <w:rtl w:val="true"/>
          <w:lang w:bidi="fa-IR"/>
        </w:rPr>
        <w:t>.</w:t>
      </w:r>
    </w:p>
    <w:p>
      <w:pPr>
        <w:pStyle w:val="Heading3"/>
        <w:numPr>
          <w:ilvl w:val="2"/>
          <w:numId w:val="1"/>
        </w:numPr>
        <w:rPr/>
      </w:pPr>
      <w:bookmarkStart w:id="70" w:name="__RefHeading___Toc1656038_2281741623"/>
      <w:bookmarkStart w:id="71" w:name="_Toc25"/>
      <w:bookmarkEnd w:id="70"/>
      <w:r>
        <w:rPr>
          <w:rtl w:val="true"/>
        </w:rPr>
        <w:t>ژورنالیسم معنوی</w:t>
      </w:r>
      <w:bookmarkEnd w:id="71"/>
    </w:p>
    <w:p>
      <w:pPr>
        <w:pStyle w:val="BookText"/>
        <w:rPr/>
      </w:pPr>
      <w:r>
        <w:rPr>
          <w:rFonts w:ascii="IRNazanin" w:hAnsi="IRNazanin" w:eastAsia="IRNazanin"/>
          <w:color w:val="111111"/>
          <w:sz w:val="28"/>
          <w:sz w:val="28"/>
          <w:szCs w:val="28"/>
          <w:rtl w:val="true"/>
          <w:lang w:bidi="fa-IR"/>
        </w:rPr>
        <w:t>ژورنالیسم معنوی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لولیتا خوانی در تهران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آذر نفیسی که به مدت شش ماهِ تمام در فهرست پرفروش های نیویورک تایمز بود، در بارة واکنش های اسلامی به ارزش های غربی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تشریح کار خود، در مقام استاد ادبیات در ایران این گونه استدلال می کند که هویت اجتماعی فرد از تخیلات شخصی او که الهام بخش ایدئولوژی اش هستند، جدا شدنی نیست و پرسش اصلی او این است که چگونه روح، زیر بار تهدید دایمی مرگ دوام می 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ژورنالیسم نفیسی گزارشی شخصی و غیر احساسی است؛ زیرا وقتی دانشجویانش برای بحث دربارۀ آثار ادبی کلاسیک غربی از ناباکوف، جیمز، آوستین و فیتز جرالد به اتاقش می آمدند، دربارۀ فرهنگ غربی با آن ها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لولیتای ناباکوف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پس از انقلاب، طنین انداز می شود؛ زمانی که سن ازدواج یک زن از هجده سال به نُه سال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این گونه گزارش می دهد که برای زنان در مملکت اسلامی موضوع </w:t>
      </w:r>
    </w:p>
    <w:p>
      <w:pPr>
        <w:pStyle w:val="BookText"/>
        <w:rPr/>
      </w:pPr>
      <w:r>
        <w:rPr>
          <w:rFonts w:ascii="IRNazanin" w:hAnsi="IRNazanin" w:eastAsia="IRNazanin"/>
          <w:color w:val="111111"/>
          <w:sz w:val="28"/>
          <w:sz w:val="28"/>
          <w:szCs w:val="28"/>
          <w:rtl w:val="true"/>
          <w:lang w:bidi="fa-IR"/>
        </w:rPr>
        <w:t>داستان لولیتا، تجاوز پیرمردی کثیف به دختری دوازده ساله نیست؛ بلکه چگونگی بلعیده شدن روح فردی با بحران هویت فردی دیگر یا در واقع بلعیده شدن در منازعات اجتماعی در دولت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می کرد اگر مردم در روزنامه ای، داستانی دربارۀ یک فرد، یک زن، می خواندند که با مردی بسیار بزرگ تر از خود ازدواج کرده که هویت دوشیز گی او را از وی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سیر داستانی مشابه داستان اُسامه می باشد که در جشنوارة کَن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که عمدة سانسورهای فیلم نسنجیده است، روزنامه در میان مردم، فقط در مقامی ایدئولوژیک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لولیتا خوانی در تهران سودمند است؛ چرا که این داستان تفاوت های میان داستان و خبرنگاری را در فضایی ارتباطی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نگاری زیر نظر دولت، مرز میان آثار غیرداستانی و حقیقی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 کتاب، بیان داستانی است که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غیرداستانی برخلاف روزنامه نگاری دربارۀ زندگی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رمان یا کتاب غیرداستانی در برانگیختن بحث است، نه گزارش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کارِ تخیل انسان ـ یعنی پیش بینی کردن جایگزین هایی برای ایدئولوژی ارزش ـ این است که ساختمان قلب انسان را در قالب مذهب قرار دهد؛ یعنی نمود اجتماعی روح ممکن است، مذهب ساختار حکومت را توصیف کرده، در نتیجه نقش عرفی ایفا کند؛ ولی نمود اجتماعی مذهب با فضایی که در آن عمل می کند،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کردن، همان در نظر آوردنِ واقعیتی جایگزین است برای فرهنگ حاضری که در اخبار، چاپ و پخش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فراتر از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گذرهایی اسلامی در میان مردم نوآیین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پال که برندۀ جایزۀ نوبل شد، گزارشی است از مردم عادی به </w:t>
      </w:r>
      <w:bookmarkStart w:id="72" w:name="pg3881_27630"/>
    </w:p>
    <w:p>
      <w:pPr>
        <w:pStyle w:val="BookText"/>
        <w:rPr/>
      </w:pPr>
      <w:bookmarkEnd w:id="72"/>
      <w:r>
        <w:rPr>
          <w:rFonts w:ascii="IRNazanin" w:hAnsi="IRNazanin" w:eastAsia="IRNazanin"/>
          <w:color w:val="111111"/>
          <w:sz w:val="28"/>
          <w:sz w:val="28"/>
          <w:szCs w:val="28"/>
          <w:rtl w:val="true"/>
          <w:lang w:bidi="fa-IR"/>
        </w:rPr>
        <w:t xml:space="preserve">مدت پنج ماه در چهار کشور مسلمان غیرعربیِ اندونزی، ایران، پاکستان و مالزی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که بسیاری از آن ها روزنامه نگار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زندگی در کشورهایی را بازگو می کنند که همه نوآیین هستند؛ زیرا اصل مذهب اسلام از کشورهای 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مذهب برای این افراد به معنای تغییر هویت است، نه فقط در نوع نگرش آن ها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مکان های مقدس و زبان دینی فرد غیرعرب،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ایی که تمامی جمعیت غیرعرب تغییر دین داده اند، نظم اجتماعی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نی پال بر این است که تجربة تغییر مذهب، پیچیده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شامل عبور از عقاید قدیمی دربارۀ عبادات، قبایل، قوانین و حرکت به سوی مفاهیم جهانی آشکارِ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نویسندگان می توانند داستان را برای ارائة اخباری دربارۀ جامعۀ در حال تغییر و برای توصیف حالات روانی به کار برند؛ ولی روایتگری او مانند ژورنالیسم بدون گزارشگر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این است که فرد چگونه زندگی می کند، پیش از این چگونه بوده و حالا پس از تغییر دین خود به اسلام، چگونه شده است</w:t>
      </w:r>
      <w:r>
        <w:rPr>
          <w:rFonts w:eastAsia="IRNazanin" w:cs="IRNazanin"/>
          <w:color w:val="111111"/>
          <w:sz w:val="28"/>
          <w:szCs w:val="28"/>
          <w:rtl w:val="true"/>
          <w:lang w:bidi="fa-IR"/>
        </w:rPr>
        <w:t>.</w:t>
      </w:r>
    </w:p>
    <w:p>
      <w:pPr>
        <w:pStyle w:val="Heading3"/>
        <w:numPr>
          <w:ilvl w:val="2"/>
          <w:numId w:val="1"/>
        </w:numPr>
        <w:rPr/>
      </w:pPr>
      <w:bookmarkStart w:id="73" w:name="__RefHeading___Toc1656040_2281741623"/>
      <w:bookmarkStart w:id="74" w:name="_Toc26"/>
      <w:bookmarkEnd w:id="73"/>
      <w:r>
        <w:rPr>
          <w:rtl w:val="true"/>
        </w:rPr>
        <w:t>طرح ریزی خط سیر داستان</w:t>
      </w:r>
      <w:bookmarkEnd w:id="74"/>
    </w:p>
    <w:p>
      <w:pPr>
        <w:pStyle w:val="BookText"/>
        <w:rPr/>
      </w:pPr>
      <w:r>
        <w:rPr>
          <w:rFonts w:ascii="IRNazanin" w:hAnsi="IRNazanin" w:eastAsia="IRNazanin"/>
          <w:color w:val="111111"/>
          <w:sz w:val="28"/>
          <w:sz w:val="28"/>
          <w:szCs w:val="28"/>
          <w:rtl w:val="true"/>
          <w:lang w:bidi="fa-IR"/>
        </w:rPr>
        <w:t>طرح ریزی خط سیر داستان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خطوط سیر داستانیِ تشکیل دهندة ادبیات دینی که در این جا مطرح شده اند، کتاب های داستانی تاریخی و عاشقانه محصول رسانه ایی محبوبی هستند، آن قدر که نویسندگان آثار جدی تا حد نویسندگی در روزنامه، کوچک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گونه های ادبیات دینی تمثیل ها و شرح حال نویسی های معنوی هستند که هدف آن ها همیشه تغییر مذهب نویسنده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های جدیدتر ادبیات دینی آن هایی هستند که شرح حال نویسی را </w:t>
      </w:r>
    </w:p>
    <w:p>
      <w:pPr>
        <w:pStyle w:val="BookText"/>
        <w:rPr/>
      </w:pPr>
      <w:r>
        <w:rPr>
          <w:rFonts w:ascii="IRNazanin" w:hAnsi="IRNazanin" w:eastAsia="IRNazanin"/>
          <w:color w:val="111111"/>
          <w:sz w:val="28"/>
          <w:sz w:val="28"/>
          <w:szCs w:val="28"/>
          <w:rtl w:val="true"/>
          <w:lang w:bidi="fa-IR"/>
        </w:rPr>
        <w:t>در قالبی داستانی و با گرامی داشتن اهمیت مکان فرهنگی یا جغرافیایی معنوی تلفیق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سفرنامه های معنوی در دوران اخیر نیز، مانند داستان های شاسر، قالب ادبی کلاسیک دارند، گرچه خواهان مستند کردن زندگی ذهنی به عینی ترین حالت ممکن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ژورنالیسم معنوی زیرمجموعه ای است که لبه ای برنده دارد؛ سبکی از ارتباط بر مبنای رسانة جمعی، نه مدل های کلاسیک نویسندگان که به دنبال عینیت هستند، عینیتی که در رویدادهای خبری و ارزش های فرهنگیِ روز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ژورنالیسم معنوی تلاش می کند تا بفهمد، چرا عقاید دینی، نه تنها ادبیات، بلکه دنیای واقعی نویسنده و خواننده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ژورنالیسم معنوی به جای این که فقط داستانی، شرح حال، سفرنامه یا عاشقانة تاریخی باشد، نویسنده و خواننده را در مقام عملی یکسان قرار می دهد؛ هر دوی آن ها طالب هستند و عمل نوشتن برای مؤلف و خواندن برای مخاطب، قسمتی از مکالمه ای بزرگ و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کِلِر باداراکّو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راضیه سادات میرخندان </w:t>
      </w:r>
      <w:bookmarkStart w:id="75" w:name="pg3881_27634"/>
    </w:p>
    <w:p>
      <w:pPr>
        <w:pStyle w:val="Heading3"/>
        <w:numPr>
          <w:ilvl w:val="2"/>
          <w:numId w:val="1"/>
        </w:numPr>
        <w:rPr/>
      </w:pPr>
      <w:bookmarkStart w:id="76" w:name="__RefHeading___Toc1656042_2281741623"/>
      <w:bookmarkStart w:id="77" w:name="_Toc27"/>
      <w:bookmarkEnd w:id="75"/>
      <w:bookmarkEnd w:id="76"/>
      <w:r>
        <w:rPr>
          <w:rtl w:val="true"/>
        </w:rPr>
        <w:t>برای مطالعۀ بیشتر</w:t>
      </w:r>
      <w:bookmarkEnd w:id="77"/>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Albanese, C. (Ed.). (2001). American spiritualities: Areader. Bloomington: Indiana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Badaracco, C. (Ed.). (2005). Quoting God: How media shape ideas about religion. Waco, TX: Baylor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Buchman, C., &amp; Spiegel, C. (Eds.). (1994). Out of the garden: Women writers on the Bible.New York: Fawcett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Dean, W. (2002). The American spiritual culture and the invention of jazz, football and the movies. New York: Continuum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Mort, J. (2002). Christian fiction: Aguide to the genre.Westport,CT: Libraries Unlimited</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Nord, D. P. (2004). Faith in reading: Religious publishing and the birth of mass media in America. New York: Oxford University Press</w:t>
      </w:r>
      <w:r>
        <w:rPr>
          <w:rFonts w:eastAsia="Times New Roman" w:cs="Times New Roman" w:ascii="Times New Roman" w:hAnsi="Times New Roman"/>
          <w:color w:val="111111"/>
          <w:sz w:val="28"/>
          <w:szCs w:val="28"/>
          <w:rtl w:val="true"/>
          <w:lang w:val="en-US" w:bidi="en-US"/>
        </w:rPr>
        <w:t xml:space="preserve">. </w:t>
      </w:r>
      <w:bookmarkStart w:id="78" w:name="pg3881_27636"/>
    </w:p>
    <w:p>
      <w:pPr>
        <w:pStyle w:val="Heading2"/>
        <w:numPr>
          <w:ilvl w:val="1"/>
          <w:numId w:val="1"/>
        </w:numPr>
        <w:rPr/>
      </w:pPr>
      <w:bookmarkStart w:id="79" w:name="__RefHeading___Toc1656044_2281741623"/>
      <w:bookmarkStart w:id="80" w:name="_Toc28"/>
      <w:bookmarkEnd w:id="78"/>
      <w:bookmarkEnd w:id="79"/>
      <w:r>
        <w:rPr>
          <w:rtl w:val="true"/>
        </w:rPr>
        <w:t>ادبیات سکولار</w:t>
      </w:r>
      <w:bookmarkEnd w:id="80"/>
    </w:p>
    <w:p>
      <w:pPr>
        <w:pStyle w:val="Heading3"/>
        <w:numPr>
          <w:ilvl w:val="2"/>
          <w:numId w:val="1"/>
        </w:numPr>
        <w:rPr/>
      </w:pPr>
      <w:bookmarkStart w:id="81" w:name="__RefHeading___Toc1656046_2281741623"/>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ادبیات سکولار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سکولار بر فضایی فرهنگی برای ارتباط دربارة دین ها و زندگی مذهبی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ایدئولوژیک که حوزه ای از فرهنگ را در برابر دیگر حوزه های دینی یا قالبی ارجاعی را برای تفسیر آثار ادبی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اصطلاح هم پایة خود را که ادبیات دینی باشد، در برمی گیرد و این دو نشانگر حوزه هایی از ادبیات هستند که به خوبی از یکدیگر متمایز شده و هر کدام طبق ضوابط خودشان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معنا و کاربرد این اصطلاح و هویت ادبیاتی که بتوان آن را به وضوح سکولار دانست، ارتباط آن با ادبیات و زندگی مذهبی نشانگر مجموعه ای مسایل پیچیده است که از تحلیل تاریخی ساده دوری می کند، در حالی که می شود در بسیاری از دوره های تاریخی در فرهنگ های غربی، آثار ادبی ای را شناسایی کرد که به نوعی از زندگی مذهبی،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 باشد، این اصطلاح را در فضای فرهنگ غربیِ مدرن محصولِ پنج دورة اخیر در نظر </w:t>
      </w:r>
      <w:bookmarkStart w:id="83" w:name="pg3881_27637"/>
    </w:p>
    <w:p>
      <w:pPr>
        <w:pStyle w:val="BookText"/>
        <w:rPr/>
      </w:pPr>
      <w:bookmarkEnd w:id="83"/>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دوران روشنگری و رمانتیسیسم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طولانی و دشوار می شود گسترش فرم هایی از بیان خلاق، مانند رمان مدرن و ساختارهایی فرهنگی ـ سیاسی را دید که مستقل از قدرت های مذهبی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موضوع، پیش از آن که بخواهیم عملاً توجه خود را به هر چیزی که بشود ادبیات سکولار در نظر گرفته شود، معطوف کنیم، باید دو اصطلاح سکولار و ادبیات و ارتباط آن ها با زندگی مذهبی را به طور دقیق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تلاش برای توصیف ارتباط موجود میان حوزة دین و دیگر حوزه های فرهنگ یا حالات مذهبی یا دیگر حالت های تفسیر محصولات فرهنگی را می بایست با دقت در فضاهای فرهنگی ـ تاریخی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ادبیات به نسبت محدوده و معنایش در فرهنگ غربی و دیگر فرهنگ ها ـ در فرهنگ های آسیای شرقی یا آسیای جنوبی ـ گسترة معنایی متفاوتی دارد و در آن جا این معانی در طول زمان نیز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نیز هر تلاشی برای توضیح حوزه ای از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سکولار در این فرهنگ ها چهره های متفاوتی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نمونه هایی از ادبیات انگلیسی زبان قرن بیستم و بیست ویکم</w:t>
      </w:r>
    </w:p>
    <w:p>
      <w:pPr>
        <w:pStyle w:val="BookText"/>
        <w:rPr/>
      </w:pPr>
      <w:r>
        <w:rPr>
          <w:rFonts w:ascii="IRNazanin" w:hAnsi="IRNazanin" w:eastAsia="IRNazanin"/>
          <w:color w:val="111111"/>
          <w:sz w:val="28"/>
          <w:sz w:val="28"/>
          <w:szCs w:val="28"/>
          <w:rtl w:val="true"/>
          <w:lang w:bidi="fa-IR"/>
        </w:rPr>
        <w:t>آورده شده، که بهتر است به جای این که این نمونه ها را برای این عنوان به کار ببریم، آن ها را برای تحلیل بیشتر و مقایسه با دیگر دوران های تاریخی و فرهنگ ها به کار بریم</w:t>
      </w:r>
      <w:r>
        <w:rPr>
          <w:rFonts w:eastAsia="IRNazanin" w:cs="IRNazanin"/>
          <w:color w:val="111111"/>
          <w:sz w:val="28"/>
          <w:szCs w:val="28"/>
          <w:rtl w:val="true"/>
          <w:lang w:bidi="fa-IR"/>
        </w:rPr>
        <w:t>.</w:t>
      </w:r>
    </w:p>
    <w:p>
      <w:pPr>
        <w:pStyle w:val="Heading3"/>
        <w:numPr>
          <w:ilvl w:val="2"/>
          <w:numId w:val="1"/>
        </w:numPr>
        <w:rPr/>
      </w:pPr>
      <w:bookmarkStart w:id="84" w:name="__RefHeading___Toc1656048_2281741623"/>
      <w:bookmarkStart w:id="85" w:name="_Toc30"/>
      <w:bookmarkEnd w:id="84"/>
      <w:r>
        <w:rPr>
          <w:rtl w:val="true"/>
        </w:rPr>
        <w:t>استفاده از اصطلاح سکولار در جایگاه اصطلاح تعریفی</w:t>
      </w:r>
      <w:bookmarkEnd w:id="85"/>
    </w:p>
    <w:p>
      <w:pPr>
        <w:pStyle w:val="BookText"/>
        <w:rPr/>
      </w:pPr>
      <w:r>
        <w:rPr>
          <w:rFonts w:ascii="IRNazanin" w:hAnsi="IRNazanin" w:eastAsia="IRNazanin"/>
          <w:color w:val="111111"/>
          <w:sz w:val="28"/>
          <w:sz w:val="28"/>
          <w:szCs w:val="28"/>
          <w:rtl w:val="true"/>
          <w:lang w:bidi="fa-IR"/>
        </w:rPr>
        <w:t>استفاده از اصطلاح سکولار در جایگاه اصطلاح تعریفی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جدا کردن سکولار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در محدودة مطالعة دین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فهمیدن و استفادة مفید از اصطلاح ادبیات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 می بایست مشکلات و کاربردهای الفاظ سکولار و دینی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 به همراه برخی از هم خانواده های اش مانند سکولاریسم و سکولاریزاسیون، حوزه ای از فرهنگ، دورنمایی ایدئولوژیک از فرهنگ و روندی فرهنگی را القا می کند که متمایز یا در تقابل با حوزه، دورنما یا روندی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قرن بیستم، اکنون این اصطلاحات در مقام سازه هایی نظریه پردازانه برای درک پدیده های دینی، کمتر به کاربرده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برخی تمایل دارند که چنین اصطلاحاتی را کنار بگذارند، استفادة مکرر از آن ها حاکی است که احتمالاً چنین خواسته ای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ما این اصطلاح را با دقت به کار برده، کاربردهای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مهمی که باعث شده اصطلاحات به عنوان سازة نظریه پردازانه به فراموشی سپرده شوند، تلاش برای شناسایی روند روشن و قطعی مدرنیزه کردن تغییرات اجتماعی است که در آن شیوة شکل گیری فرهنگ ها تغییر کرده است و به جای مؤسسات و ایدئولوژی های دینی، مؤسسات و ایدئولوژی هایی که به طور مستقل و در تقابل با امور دینی عمل می کنند،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مسلم بود که این ارتباطی، تقابلی است و سرانجام به جایگزینی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فرهنگ ها مدرن می شدند، سکولار هم می گشتند و در نتیجه زندگی مذهبی، شخصی شده، به حاشیه برده، یا کنار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روندهایی به پیشرفت یا افول تعبیر شوند به شیوة نگرش فردِ مفسر ارزش زندگی مذهبی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 رسد ایدة سکولاریزاسیون به عنوان جایگزینی برای دین یا ابزاری برای کنار گذاشتن آن، به تحقق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حوزه های سکولارِ فرهنگ در جوامع مدرن گسترش یافته اند، رواج دوباره و مقاومت اعتقادات دینی در همین جوامع در اواخر قرن </w:t>
      </w:r>
    </w:p>
    <w:p>
      <w:pPr>
        <w:pStyle w:val="BookText"/>
        <w:rPr/>
      </w:pPr>
      <w:r>
        <w:rPr>
          <w:rFonts w:ascii="IRNazanin" w:hAnsi="IRNazanin" w:eastAsia="IRNazanin"/>
          <w:color w:val="111111"/>
          <w:sz w:val="28"/>
          <w:sz w:val="28"/>
          <w:szCs w:val="28"/>
          <w:rtl w:val="true"/>
          <w:lang w:bidi="fa-IR"/>
        </w:rPr>
        <w:t>بیستم نشانگر آن است که باید در ارتباط میان حوزه های دینی و سکولارِ فرهنگ بازنگری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چه توسعه پیدا کرده، حوزه های دینی یا سکولار قدرتمندی از زندگی فرهنگی است که با یکدیگر هم زیستی دارند؛ حتی زمانی که نمایندگان آن ها دو حوزة متفاوتِ فرهنگی مقابل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مدرنیته، حوزه هایی چندجانبه و دارای روابط متقابل از فرهنگ را به فرهنگ های غربی آورده باشد که برخی از آن ها از اساس دینی و برخی دیگر سکولار هستند؛ ولی به طور کامل از یکدیگر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فضای گسترده ای اصطلاحاتی چون سکولار، غالباً توسط نمایندگانی از جوامع دینی به کار برده می شوند که اصرار دارند در مقایسه با بخش های دیگر فرهنگ که به اعتقادشان به اندازة کافی دینی نیستند یا با دین تناسبی ندارند، هویت خود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حیوانی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حیوانِ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حیوانی است که دین واقعی دارد؛ چندین دین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حیوانی است که همسایه اش را به اندازة خودش دوست دارد و اگر ایدئولوژی اش درست نباشد، سرش را از بدن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صادقانة خود برای ساختن راه برادرش به سوی خوشبختی و بهشت، از جهان گورستانی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 تواین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اصطلاح سکولار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اشاره به موقعیت فرهنگی که برای اشاره به فضا یا چهارچوبی ارجاعی برای تفسیر محصولات فرهنگی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گونه که می شود حوزه ای از فرهنگ را به طور اساسی دینی یا سکولار بدانیم، می شود پدیده های </w:t>
      </w:r>
      <w:bookmarkStart w:id="86" w:name="pg3881_27643"/>
    </w:p>
    <w:p>
      <w:pPr>
        <w:pStyle w:val="BookText"/>
        <w:rPr/>
      </w:pPr>
      <w:bookmarkEnd w:id="86"/>
      <w:r>
        <w:rPr>
          <w:rFonts w:ascii="IRNazanin" w:hAnsi="IRNazanin" w:eastAsia="IRNazanin"/>
          <w:color w:val="111111"/>
          <w:sz w:val="28"/>
          <w:sz w:val="28"/>
          <w:szCs w:val="28"/>
          <w:rtl w:val="true"/>
          <w:lang w:bidi="fa-IR"/>
        </w:rPr>
        <w:t>فرهنگی مرتبط با هر حوزة فرهنگی را نیز با اصطلاحات سکولار یا دینی تفسیر کرد</w:t>
      </w:r>
      <w:r>
        <w:rPr>
          <w:rFonts w:eastAsia="IRNazanin" w:cs="IRNazanin"/>
          <w:color w:val="111111"/>
          <w:sz w:val="28"/>
          <w:szCs w:val="28"/>
          <w:rtl w:val="true"/>
          <w:lang w:bidi="fa-IR"/>
        </w:rPr>
        <w:t>.</w:t>
      </w:r>
    </w:p>
    <w:p>
      <w:pPr>
        <w:pStyle w:val="Heading3"/>
        <w:numPr>
          <w:ilvl w:val="2"/>
          <w:numId w:val="1"/>
        </w:numPr>
        <w:rPr/>
      </w:pPr>
      <w:bookmarkStart w:id="87" w:name="__RefHeading___Toc1656050_2281741623"/>
      <w:bookmarkStart w:id="88" w:name="_Toc31"/>
      <w:bookmarkEnd w:id="87"/>
      <w:r>
        <w:rPr>
          <w:rtl w:val="true"/>
        </w:rPr>
        <w:t>استفاده از واژة ادبیات در جایگاه اصطلاح تعریفی</w:t>
      </w:r>
      <w:bookmarkEnd w:id="88"/>
    </w:p>
    <w:p>
      <w:pPr>
        <w:pStyle w:val="BookText"/>
        <w:rPr/>
      </w:pPr>
      <w:r>
        <w:rPr>
          <w:rFonts w:ascii="IRNazanin" w:hAnsi="IRNazanin" w:eastAsia="IRNazanin"/>
          <w:color w:val="111111"/>
          <w:sz w:val="28"/>
          <w:sz w:val="28"/>
          <w:szCs w:val="28"/>
          <w:rtl w:val="true"/>
          <w:lang w:bidi="fa-IR"/>
        </w:rPr>
        <w:t>استفاده از واژة ادبیات در جایگاه اصطلاح تعریفی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برای هر اصطلاحی می شود توصیف های متنوعی را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اصطلاح سکولار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اصطلاح ادبیات را بایست تنها در ارتباط با برخی دریافت ها از پدیده های دینی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شاید این اصطلاح در فضای ارتباطی اش با پدیده های دینی با مشکلات کمتری روبه روست، خوب است که به پیچیدگی های ممکن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جا ادبیات را از جمله محصولات زبان شناختی در نظر بگیریم که از فعالیت تخیل و خلاقیت انسان حاصل می شود ـ مانند رمان، داستان های کوتاه، نمایش نامه و شعر ـ در نتیجه برخی از متون مذهبی را که ممکن است در قالب شعر یا روایت دراماتیک ظاهر شوند، اصلاً نمی شود ادبیات گفت؛ دست کم اگر بخواهیم آن ها را به شیوه ای مذهبی تفسیر کنیم؛ برای نمونه اگر کسی کتاب مقدس احادیث مسیحیت را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اثر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بگیرد که تنها انسان ها آن را بازنویسی، محافظت و نقل کرده اند، آن گاه چنین متنی را ادبیات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دورنما در همه جا عمومیت نداشته باشد، ارزش توجه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عمومی تر دربارۀ متونی که مقدس شمرده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در عرف یا اجتماع مذهبی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چنین آثاری به کمک علاقة زیاد انسان ها به ارائه دادن تجارب مذهبی شان به یکدیگر، خلاقیت و تخیل انسان را نیز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دیگری در اصطلاح ادبیات وجود دارد که با وجود نبود ارتباط آشکار با دغدغه های دینی، لازم است به آن </w:t>
      </w:r>
      <w:bookmarkStart w:id="89" w:name="pg3881_27645"/>
    </w:p>
    <w:p>
      <w:pPr>
        <w:pStyle w:val="BookText"/>
        <w:rPr/>
      </w:pPr>
      <w:bookmarkEnd w:id="89"/>
      <w:r>
        <w:rPr>
          <w:rFonts w:ascii="IRNazanin" w:hAnsi="IRNazanin" w:eastAsia="IRNazanin"/>
          <w:color w:val="111111"/>
          <w:sz w:val="28"/>
          <w:sz w:val="28"/>
          <w:szCs w:val="28"/>
          <w:rtl w:val="true"/>
          <w:lang w:bidi="fa-IR"/>
        </w:rPr>
        <w:t>توجه شود؛ این که آیا ادبیات غالباً برای تعیین یک استاندارد زیبایی شناختی و فرهنگی در نظر گرفته شده است یا معین کردن دسته ای سرآمد یا با فرهنگ از محصولات تخیلی در برابر دیگر محصولات تخیلی ای که محبوب و پرطرفدار شناخته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شاید امروزه کمتر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چنین تمایزی در این جا قابل دفاع نیست</w:t>
      </w:r>
      <w:r>
        <w:rPr>
          <w:rFonts w:eastAsia="IRNazanin" w:cs="IRNazanin"/>
          <w:color w:val="111111"/>
          <w:sz w:val="28"/>
          <w:szCs w:val="28"/>
          <w:rtl w:val="true"/>
          <w:lang w:bidi="fa-IR"/>
        </w:rPr>
        <w:t>.</w:t>
      </w:r>
    </w:p>
    <w:p>
      <w:pPr>
        <w:pStyle w:val="Heading3"/>
        <w:numPr>
          <w:ilvl w:val="2"/>
          <w:numId w:val="1"/>
        </w:numPr>
        <w:rPr/>
      </w:pPr>
      <w:bookmarkStart w:id="90" w:name="__RefHeading___Toc1656052_2281741623"/>
      <w:bookmarkStart w:id="91" w:name="_Toc32"/>
      <w:bookmarkEnd w:id="90"/>
      <w:r>
        <w:rPr>
          <w:rtl w:val="true"/>
        </w:rPr>
        <w:t>ادبیات سکولار</w:t>
      </w:r>
      <w:bookmarkEnd w:id="91"/>
    </w:p>
    <w:p>
      <w:pPr>
        <w:pStyle w:val="BookText"/>
        <w:rPr/>
      </w:pPr>
      <w:r>
        <w:rPr>
          <w:rFonts w:ascii="IRNazanin" w:hAnsi="IRNazanin" w:eastAsia="IRNazanin"/>
          <w:color w:val="111111"/>
          <w:sz w:val="28"/>
          <w:sz w:val="28"/>
          <w:szCs w:val="28"/>
          <w:rtl w:val="true"/>
          <w:lang w:bidi="fa-IR"/>
        </w:rPr>
        <w:t>ادبیات سکولار</w:t>
      </w:r>
    </w:p>
    <w:p>
      <w:pPr>
        <w:pStyle w:val="BookText"/>
        <w:rPr/>
      </w:pPr>
      <w:r>
        <w:rPr>
          <w:rFonts w:ascii="IRNazanin" w:hAnsi="IRNazanin" w:eastAsia="IRNazanin"/>
          <w:color w:val="111111"/>
          <w:sz w:val="28"/>
          <w:sz w:val="28"/>
          <w:szCs w:val="28"/>
          <w:rtl w:val="true"/>
          <w:lang w:bidi="fa-IR"/>
        </w:rPr>
        <w:t>اگر بخواهیم به تمام اوضاع و پیچیدگی ها توجه کنیم، ممکن است چنین به نظر برسد که ادبیات سکولار را مفهومی توصیف کرده ایم که در این صورت،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اصطلاح ادبیات سکولار هم به عنوان یک شناسایی کنندۀ متزلزل و نامنسجم برای حوزۀ خاصی از تولیدات و موقعیت های فرهنگی، تولید شده هم اصطلاحی کلی برای ارجاع، تفسیر یا پذیرش چنین محصولاتی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بهتر است به شناسایی برخی نقاط ارجاعی بپردازیم</w:t>
      </w:r>
      <w:r>
        <w:rPr>
          <w:rFonts w:eastAsia="IRNazanin" w:cs="IRNazanin"/>
          <w:color w:val="111111"/>
          <w:sz w:val="28"/>
          <w:szCs w:val="28"/>
          <w:rtl w:val="true"/>
          <w:lang w:bidi="fa-IR"/>
        </w:rPr>
        <w:t>.</w:t>
      </w:r>
    </w:p>
    <w:p>
      <w:pPr>
        <w:pStyle w:val="Heading3"/>
        <w:numPr>
          <w:ilvl w:val="2"/>
          <w:numId w:val="1"/>
        </w:numPr>
        <w:rPr/>
      </w:pPr>
      <w:bookmarkStart w:id="92" w:name="__RefHeading___Toc1656054_2281741623"/>
      <w:bookmarkStart w:id="93" w:name="_Toc33"/>
      <w:bookmarkEnd w:id="92"/>
      <w:r>
        <w:rPr>
          <w:rtl w:val="true"/>
        </w:rPr>
        <w:t>بافت دینی در برابر بافتی تمام سکولار</w:t>
      </w:r>
      <w:bookmarkEnd w:id="93"/>
    </w:p>
    <w:p>
      <w:pPr>
        <w:pStyle w:val="BookText"/>
        <w:rPr/>
      </w:pPr>
      <w:r>
        <w:rPr>
          <w:rFonts w:ascii="IRNazanin" w:hAnsi="IRNazanin" w:eastAsia="IRNazanin"/>
          <w:color w:val="111111"/>
          <w:sz w:val="28"/>
          <w:sz w:val="28"/>
          <w:szCs w:val="28"/>
          <w:rtl w:val="true"/>
          <w:lang w:bidi="fa-IR"/>
        </w:rPr>
        <w:t>بافت دینی در برابر بافتی تمام سکولار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طرف این طیف، محصولاتی جای دارند که اساساً ـ نه به طور انحصاری ـ در دین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نمونه ها متن هایی هستند که متون مقدس شناخته شده و از ابتدا در بافت اجتماعات دینی تولید و دریافت شده اند و در همان اجتماع به گونه ای تفسیر شده اند که به وضوح، متون مقدس را از دیگر محصولات زبان شناختی ای که حاصل دخالت انسان ها هستند،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شاید دیگران هم بتوانند این متون را با معیارهای سکولار تفسیر کنند و شاید کسانی که عضو این اجتماعات دینی نیستند، نیز آن را </w:t>
      </w:r>
      <w:bookmarkStart w:id="94" w:name="pg3881_27647"/>
    </w:p>
    <w:p>
      <w:pPr>
        <w:pStyle w:val="BookText"/>
        <w:rPr/>
      </w:pPr>
      <w:bookmarkEnd w:id="94"/>
      <w:r>
        <w:rPr>
          <w:rFonts w:ascii="IRNazanin" w:hAnsi="IRNazanin" w:eastAsia="IRNazanin"/>
          <w:color w:val="111111"/>
          <w:sz w:val="28"/>
          <w:sz w:val="28"/>
          <w:szCs w:val="28"/>
          <w:rtl w:val="true"/>
          <w:lang w:bidi="fa-IR"/>
        </w:rPr>
        <w:t>مقولة دیگری از ادبیات سکولار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این طیف ادبیاتی تمام سکولار وجود دارد که به هیچ وجه، امر دینی ای را در نظر نمی گیرد و به دلیل نبود توجه به دین، بعید است که هیچ گاه مورد تفسیر های دینی منتقدانه یا موافق قرار گیرد</w:t>
      </w:r>
      <w:r>
        <w:rPr>
          <w:rFonts w:eastAsia="IRNazanin" w:cs="IRNazanin"/>
          <w:color w:val="111111"/>
          <w:sz w:val="28"/>
          <w:szCs w:val="28"/>
          <w:rtl w:val="true"/>
          <w:lang w:bidi="fa-IR"/>
        </w:rPr>
        <w:t>.</w:t>
      </w:r>
    </w:p>
    <w:p>
      <w:pPr>
        <w:pStyle w:val="Heading3"/>
        <w:numPr>
          <w:ilvl w:val="2"/>
          <w:numId w:val="1"/>
        </w:numPr>
        <w:rPr/>
      </w:pPr>
      <w:bookmarkStart w:id="95" w:name="__RefHeading___Toc1656056_2281741623"/>
      <w:bookmarkStart w:id="96" w:name="_Toc34"/>
      <w:bookmarkEnd w:id="95"/>
      <w:r>
        <w:rPr>
          <w:rtl w:val="true"/>
        </w:rPr>
        <w:t>تعهد بدون وابستگی</w:t>
      </w:r>
      <w:bookmarkEnd w:id="96"/>
    </w:p>
    <w:p>
      <w:pPr>
        <w:pStyle w:val="BookText"/>
        <w:rPr/>
      </w:pPr>
      <w:r>
        <w:rPr>
          <w:rFonts w:ascii="IRNazanin" w:hAnsi="IRNazanin" w:eastAsia="IRNazanin"/>
          <w:color w:val="111111"/>
          <w:sz w:val="28"/>
          <w:sz w:val="28"/>
          <w:szCs w:val="28"/>
          <w:rtl w:val="true"/>
          <w:lang w:bidi="fa-IR"/>
        </w:rPr>
        <w:t>تعهد بدون وابستگی</w:t>
      </w:r>
    </w:p>
    <w:p>
      <w:pPr>
        <w:pStyle w:val="BookText"/>
        <w:rPr/>
      </w:pPr>
      <w:r>
        <w:rPr>
          <w:rFonts w:ascii="IRNazanin" w:hAnsi="IRNazanin" w:eastAsia="IRNazanin"/>
          <w:color w:val="111111"/>
          <w:sz w:val="28"/>
          <w:sz w:val="28"/>
          <w:szCs w:val="28"/>
          <w:rtl w:val="true"/>
          <w:lang w:bidi="fa-IR"/>
        </w:rPr>
        <w:t>بین دو قطب فرضی ادبیاتِ کاملاً دینی و یا کاملاً سکولار، آثار زبان شناختی تخیلی ای قرار می گیرند که بدون حمایت مستقیمِ اجتماعات دینی ساخته می شوند؛ ولی به نحوی با تجربه یا زندگی مذهبی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آثاری هیچ گاه به تعبیری استعاره آمیز یا توسعه یافته، در متون مقدس پذیرفته نمی شوند؛ با این همه، نشانگر تعهدی جدی به مذاهب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شاید بتوانیم به وضوح معنایی مفید از ادبیات سکولار را در بارة زندگی دینی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سکولار جایی است برای تعهدی غیروابسته به زندگی دینی و محلی برای ارتباط متقابل با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را در ذهن خود تصور کنیم دیگر نباید از دیدن رمان نویس ها، شاعران، مقاله نویس ها و دیگر کسانی که به گونه ای عمیق و جدی به مفاهیم زندگی دینی متعهد هستند، تعجب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 های تعهد بسیارند، می توانیم سه حالت را تشخیص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برخورد ادبیات سکولار با زندگی دینی، اگر نه مدافعانه، به شیوه ای است که با تجربة اجتماعات یا تجارب خاص دینی سازگار است یا آن ها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داستان های برجای مانده اثر تیموتی لهایی و جری جنکینز نمونه ای معاصر و مهم از چنین ادبیاتی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محبوبیت چنین</w:t>
      </w:r>
      <w:bookmarkStart w:id="97" w:name="pg3881_27649"/>
    </w:p>
    <w:p>
      <w:pPr>
        <w:pStyle w:val="BookText"/>
        <w:rPr/>
      </w:pPr>
      <w:bookmarkEnd w:id="97"/>
      <w:r>
        <w:rPr>
          <w:rFonts w:ascii="IRNazanin" w:hAnsi="IRNazanin" w:eastAsia="IRNazanin"/>
          <w:color w:val="111111"/>
          <w:sz w:val="28"/>
          <w:sz w:val="28"/>
          <w:szCs w:val="28"/>
          <w:rtl w:val="true"/>
          <w:lang w:bidi="fa-IR"/>
        </w:rPr>
        <w:t>کتاب هایی در بازار انبوه مسیحیان محافظه کار آمریکایی و نبود پذیرش منتقدانة این آثار در خارج از این محدوده، چنین نوشته هایی در مباحث ارتباطات میان دین و زندگی دینی نادیده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بر این باور باشند که سلسله کتاب های برجای مانده، به معنای واقعی سکولار نیستند؛ چون افراد با درون مایه هایی آن ها را نوشته اند که به وضوح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به یاد داشته باشیم که این ادبیات در محیطی مستقل از حاکمیت کلیسا تولید، حمایت و عمدتاً در همان محیط به کار گرفته شده است، می شود آن را نمونه ای از ادبیات سکولار در نظر گرفت که عمیقاً و پیچیده تر از آن چه ممکن است در ابتدا به نظر برسد، به مذهب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آثاری می شود، نه فقط گسترش دورنمای دینی خاص، که نقد گونه های دیگر زندگی و البته نقد فرهنگ سکولار را مشاهده کرد</w:t>
      </w:r>
      <w:r>
        <w:rPr>
          <w:rFonts w:eastAsia="IRNazanin" w:cs="IRNazanin"/>
          <w:color w:val="111111"/>
          <w:sz w:val="28"/>
          <w:szCs w:val="28"/>
          <w:rtl w:val="true"/>
          <w:lang w:bidi="fa-IR"/>
        </w:rPr>
        <w:t>.</w:t>
      </w:r>
    </w:p>
    <w:p>
      <w:pPr>
        <w:pStyle w:val="Heading3"/>
        <w:numPr>
          <w:ilvl w:val="2"/>
          <w:numId w:val="1"/>
        </w:numPr>
        <w:rPr/>
      </w:pPr>
      <w:bookmarkStart w:id="98" w:name="__RefHeading___Toc1656058_2281741623"/>
      <w:bookmarkStart w:id="99" w:name="_Toc35"/>
      <w:bookmarkEnd w:id="98"/>
      <w:r>
        <w:rPr>
          <w:rtl w:val="true"/>
        </w:rPr>
        <w:t>کاربرد ادبیات سکولار در نقد تعصب دینی</w:t>
      </w:r>
      <w:bookmarkEnd w:id="99"/>
    </w:p>
    <w:p>
      <w:pPr>
        <w:pStyle w:val="BookText"/>
        <w:rPr/>
      </w:pPr>
      <w:r>
        <w:rPr>
          <w:rFonts w:ascii="IRNazanin" w:hAnsi="IRNazanin" w:eastAsia="IRNazanin"/>
          <w:color w:val="111111"/>
          <w:sz w:val="28"/>
          <w:sz w:val="28"/>
          <w:szCs w:val="28"/>
          <w:rtl w:val="true"/>
          <w:lang w:bidi="fa-IR"/>
        </w:rPr>
        <w:t>کاربرد ادبیات سکولار در نقد تعصب دینی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که ممکن است افراد بسیاری آثار فِلَنِری اُکانر را در بحثی که دربارۀ برجای مانده کردیم، داخل ندانند، این داستان ها را می شود نمونه ای مشابه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های کوتاه، مانند مکاشفه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رمان های اُکانر، مانند نژاد خردمند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تمام مذهبی را می بینیم که بنابر گفتة خود، هدفش این است که دربارۀ آداب و رسوم کاتولیک رومیِ خود بنویسد و دو مسئله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آیین های مسیحیت سنت گرایی که در آمریکای جنوبی تجربه کرده و دیگری فرهنگ سکولاریزه شده ای که در میانة قرن بیستم گسترش یافته است و از نظر او نمودهای سنتی و اصیل تعصب مذهبی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استراتژی پیچیدة نقد و ترویج </w:t>
      </w:r>
      <w:bookmarkStart w:id="100" w:name="pg3881_27651"/>
    </w:p>
    <w:p>
      <w:pPr>
        <w:pStyle w:val="BookText"/>
        <w:rPr/>
      </w:pPr>
      <w:bookmarkEnd w:id="100"/>
      <w:r>
        <w:rPr>
          <w:rFonts w:ascii="IRNazanin" w:hAnsi="IRNazanin" w:eastAsia="IRNazanin"/>
          <w:color w:val="111111"/>
          <w:sz w:val="28"/>
          <w:sz w:val="28"/>
          <w:szCs w:val="28"/>
          <w:rtl w:val="true"/>
          <w:lang w:bidi="fa-IR"/>
        </w:rPr>
        <w:t>تعصب مذهبی و جای گزین های آن را، دستة دوم ادبیات سکولار دانست که هدف اصلی آن، نقد زندگی دینی به گونه ای است که می خواهد منتقدانه یا مخرب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مدرن غرب این استفادة انتقادی از ادبیات سکولار، بیشتر نتیجة درک مذهب به عنوان مانعی مستقیم برای پیشرفت اجتماعی در دوران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برخی از آثار مارک تواین، مانند نامه هایی از زمین و غریبۀ مرموز هنوز نمونه های خوبی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آیات شیطانی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سلمان رشدی نیز به روشنی استفاده از داده های دینی برای اهداف انتقادی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حتی این جا هم ممکن است نقد مذهب، بیشتر روی دریافتی از تعصب دینی ـ سنتی تمرکز کند که در عملِ به ایده آل های خود، شکست خورده اند</w:t>
      </w:r>
      <w:r>
        <w:rPr>
          <w:rFonts w:eastAsia="IRNazanin" w:cs="IRNazanin"/>
          <w:color w:val="111111"/>
          <w:sz w:val="28"/>
          <w:szCs w:val="28"/>
          <w:rtl w:val="true"/>
          <w:lang w:bidi="fa-IR"/>
        </w:rPr>
        <w:t>.</w:t>
      </w:r>
    </w:p>
    <w:p>
      <w:pPr>
        <w:pStyle w:val="Heading3"/>
        <w:numPr>
          <w:ilvl w:val="2"/>
          <w:numId w:val="1"/>
        </w:numPr>
        <w:rPr/>
      </w:pPr>
      <w:bookmarkStart w:id="101" w:name="__RefHeading___Toc1656060_2281741623"/>
      <w:bookmarkStart w:id="102" w:name="_Toc36"/>
      <w:bookmarkEnd w:id="101"/>
      <w:r>
        <w:rPr>
          <w:rtl w:val="true"/>
        </w:rPr>
        <w:t>قدرت نمادهای دینی در ادبیات</w:t>
      </w:r>
      <w:bookmarkEnd w:id="102"/>
    </w:p>
    <w:p>
      <w:pPr>
        <w:pStyle w:val="BookText"/>
        <w:rPr/>
      </w:pPr>
      <w:r>
        <w:rPr>
          <w:rFonts w:ascii="IRNazanin" w:hAnsi="IRNazanin" w:eastAsia="IRNazanin"/>
          <w:color w:val="111111"/>
          <w:sz w:val="28"/>
          <w:sz w:val="28"/>
          <w:szCs w:val="28"/>
          <w:rtl w:val="true"/>
          <w:lang w:bidi="fa-IR"/>
        </w:rPr>
        <w:t>قدرت نمادهای دینی در ادبیات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دو صورت از تعهد روشن هستند، شاید جالب ترین چیز حالتی است بین این دو شیوه ای که نه کاملاً با زندگی مذهبی بیگانه است و نه فقط با دیدی انتقادی به آن می نگرد؛ بلکه قدرت فرهنگی و روان شناختی نماد و روایت دینی را تشخیص می دهد؛ پس این داده ها را بخشی از موضوع اصلی خود در نظر می گیرد تا جنبه ای از موقعیت انسان را که همیشه زندگی مذهبی را در بردارد،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 فراوان اند؛ ولی ممکن است آثار مؤلفانی، چون گراهام گرین در پایان کار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یان مارتِل در زندگی پای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تالکین در سه گانۀ ارباب حلقه ها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شوند که هر کدام از آن ها به گونه ای زندگی مذهبی را بررسی می کنند که حضور و قدرت مذهب را در زندگی فردی و فرهنگی تأیید می کنند</w:t>
      </w:r>
      <w:r>
        <w:rPr>
          <w:rFonts w:eastAsia="IRNazanin" w:cs="IRNazanin"/>
          <w:color w:val="111111"/>
          <w:sz w:val="28"/>
          <w:szCs w:val="28"/>
          <w:rtl w:val="true"/>
          <w:lang w:bidi="fa-IR"/>
        </w:rPr>
        <w:t xml:space="preserve">. </w:t>
      </w:r>
      <w:bookmarkStart w:id="103" w:name="pg3881_27653"/>
    </w:p>
    <w:p>
      <w:pPr>
        <w:pStyle w:val="BookText"/>
        <w:rPr/>
      </w:pPr>
      <w:bookmarkEnd w:id="103"/>
      <w:r>
        <w:rPr>
          <w:rFonts w:ascii="IRNazanin" w:hAnsi="IRNazanin" w:eastAsia="IRNazanin"/>
          <w:color w:val="111111"/>
          <w:sz w:val="28"/>
          <w:sz w:val="28"/>
          <w:szCs w:val="28"/>
          <w:rtl w:val="true"/>
          <w:lang w:bidi="fa-IR"/>
        </w:rPr>
        <w:t>نوشتۀ مارک دابلیو گراهام</w:t>
      </w:r>
    </w:p>
    <w:p>
      <w:pPr>
        <w:pStyle w:val="BookText"/>
        <w:rPr/>
      </w:pPr>
      <w:r>
        <w:rPr>
          <w:rFonts w:ascii="IRNazanin" w:hAnsi="IRNazanin" w:eastAsia="IRNazanin"/>
          <w:color w:val="111111"/>
          <w:sz w:val="28"/>
          <w:sz w:val="28"/>
          <w:szCs w:val="28"/>
          <w:rtl w:val="true"/>
          <w:lang w:bidi="fa-IR"/>
        </w:rPr>
        <w:t>ترجمۀ راضیه سادات میرخندان</w:t>
      </w:r>
    </w:p>
    <w:p>
      <w:pPr>
        <w:pStyle w:val="Heading3"/>
        <w:numPr>
          <w:ilvl w:val="2"/>
          <w:numId w:val="1"/>
        </w:numPr>
        <w:rPr/>
      </w:pPr>
      <w:bookmarkStart w:id="104" w:name="__RefHeading___Toc1656062_2281741623"/>
      <w:bookmarkStart w:id="105" w:name="_Toc37"/>
      <w:bookmarkEnd w:id="104"/>
      <w:r>
        <w:rPr>
          <w:rtl w:val="true"/>
        </w:rPr>
        <w:t>برای مطالعۀ بیشتر</w:t>
      </w:r>
      <w:bookmarkEnd w:id="10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Brooks, C. (1995). Community, religion, and literature.Columbia: University of Missouri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Carey, P. (1997). Wagering on transcendence: The search for meaning in literature.Lanham, MD: Sheed and Ward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Comstock, W. R. (1981). Religion, literature, and religious studies: Asketch of their modal connections. Notre Dame English Journal,14(1), 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Detweiler, R. (1983). Art/literature/religion: Life on the borders. Chico, CA: Scholars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Detweiler, R. (1996). Uncivil rites: American fiction, religion, and the public sphere. Urbana: University of Illinois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Gordon, D. J. (2002). Literary atheism. New York: Peter Lang. Hesla, D. H. (1978). Religion and literature: The second stage. Journal of the American Academy of Religion, 46(2) 181-192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Jasper, D. (1987). The New Testament and the literary imagination. Atlantic Highlands, NJ: Humanities Press International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Jasper, D. (1989). The study of literature and religion.Philadelphia: Fortress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Jasper, D. (1992). The study of literature and theology: Five years on. Journal of Literature and Theology,6(1), 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Jasper,D., &amp; Ledbetter,M. (1994). In good company: Essays in honor of Robert Detweiler.Atlanta, GA: Scholars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Kazin, A. (1997). God and the American writer. New York: Alfred A. Knopf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J. R. (1989). The art of steering: Theological literary criticism after three decades. Religion and Literature,(1)21 ,7-1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McDonald, J. J. (1984). Religion and literature. Religion and Literature, 16(1), 61–71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Salyer, G., &amp; Detweiler, R. (1995). Literature and theology at century’s end.Atlanta, GA: Scholars Press</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Ziolkowski, E. J. (1998). History of religions and the study of religion and literature: Grounds for alliance. Literature and Theology, 12(1), 305–325</w:t>
      </w:r>
      <w:r>
        <w:rPr>
          <w:rFonts w:eastAsia="Times New Roman" w:cs="Times New Roman" w:ascii="Times New Roman" w:hAnsi="Times New Roman"/>
          <w:color w:val="111111"/>
          <w:sz w:val="28"/>
          <w:szCs w:val="28"/>
          <w:rtl w:val="true"/>
          <w:lang w:val="en-US" w:bidi="en-US"/>
        </w:rPr>
        <w:t xml:space="preserve">. </w:t>
      </w:r>
      <w:bookmarkStart w:id="106" w:name="pg3881_27657"/>
    </w:p>
    <w:p>
      <w:pPr>
        <w:pStyle w:val="Heading2"/>
        <w:numPr>
          <w:ilvl w:val="1"/>
          <w:numId w:val="1"/>
        </w:numPr>
        <w:rPr/>
      </w:pPr>
      <w:bookmarkStart w:id="107" w:name="__RefHeading___Toc1656064_2281741623"/>
      <w:bookmarkStart w:id="108" w:name="_Toc38"/>
      <w:bookmarkEnd w:id="106"/>
      <w:bookmarkEnd w:id="107"/>
      <w:r>
        <w:rPr>
          <w:rtl w:val="true"/>
        </w:rPr>
        <w:t>ارتباطات</w:t>
      </w:r>
      <w:bookmarkEnd w:id="108"/>
    </w:p>
    <w:p>
      <w:pPr>
        <w:pStyle w:val="Heading3"/>
        <w:numPr>
          <w:ilvl w:val="2"/>
          <w:numId w:val="1"/>
        </w:numPr>
        <w:rPr/>
      </w:pPr>
      <w:bookmarkStart w:id="109" w:name="__RefHeading___Toc1656066_2281741623"/>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ارتباطات</w:t>
      </w:r>
    </w:p>
    <w:p>
      <w:pPr>
        <w:pStyle w:val="BookText"/>
        <w:rPr/>
      </w:pPr>
      <w:r>
        <w:rPr>
          <w:rFonts w:ascii="IRNazanin" w:hAnsi="IRNazanin" w:eastAsia="IRNazanin"/>
          <w:color w:val="111111"/>
          <w:sz w:val="28"/>
          <w:sz w:val="28"/>
          <w:szCs w:val="28"/>
          <w:rtl w:val="true"/>
          <w:lang w:bidi="fa-IR"/>
        </w:rPr>
        <w:t>مشخص است که مذهب همیشه سر و کار زیادی با ارتباطات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جهان بدون ارائۀ نظر، واژه، متن و دیگر هنرهای مربوطه چه خواهند بود؟ عمل و تفکر مذهبی همیشه از انواع فعالیت های ارتباطی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کمتر به آن اشاره شده است این است که ارتباطات هم با مذهب بسیار سر و کار دارد؛ دست کم در رشد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ارتباطات بسیار مشکل است و اجماع همگانی مبنی بر یکی از مهم ترین مشکلات دنیای حاضر، کمک چندانی به معنا کردن مشخص این پدیده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ارائۀ تعریف برای این واژه از آن جا ناشی می شود که ارتباطات دارای معنایی مشخص و غیر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ترکیبی از ایده ها و آمال دربارۀ موضوعات گوناگون مانند ازدواج و رسانه های جمعی، آموزش، تلفن، رایانه و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پنج زیرمجموعۀ ارتباطات با نگاهی به منابع مذهبی می 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آگاهی، ارتباط فضا و زمان، گفت و گو، اشاعه و آیین</w:t>
      </w:r>
      <w:r>
        <w:rPr>
          <w:rFonts w:eastAsia="IRNazanin" w:cs="IRNazanin"/>
          <w:color w:val="111111"/>
          <w:sz w:val="28"/>
          <w:szCs w:val="28"/>
          <w:rtl w:val="true"/>
          <w:lang w:bidi="fa-IR"/>
        </w:rPr>
        <w:t xml:space="preserve">. </w:t>
      </w:r>
      <w:bookmarkStart w:id="111" w:name="pg3881_27659"/>
    </w:p>
    <w:p>
      <w:pPr>
        <w:pStyle w:val="Heading3"/>
        <w:numPr>
          <w:ilvl w:val="2"/>
          <w:numId w:val="1"/>
        </w:numPr>
        <w:rPr/>
      </w:pPr>
      <w:bookmarkStart w:id="112" w:name="__RefHeading___Toc1656068_2281741623"/>
      <w:bookmarkStart w:id="113" w:name="_Toc40"/>
      <w:bookmarkEnd w:id="111"/>
      <w:bookmarkEnd w:id="112"/>
      <w:r>
        <w:rPr>
          <w:rtl w:val="true"/>
        </w:rPr>
        <w:t>دورآگاهی</w:t>
      </w:r>
      <w:r>
        <w:rPr>
          <w:rtl w:val="true"/>
        </w:rPr>
        <w:t>(</w:t>
      </w:r>
      <w:r>
        <w:rPr>
          <w:rtl w:val="true"/>
        </w:rPr>
        <w:t>تله پاتی</w:t>
      </w:r>
      <w:r>
        <w:rPr>
          <w:rtl w:val="true"/>
        </w:rPr>
        <w:t>)</w:t>
      </w:r>
      <w:bookmarkEnd w:id="113"/>
    </w:p>
    <w:p>
      <w:pPr>
        <w:pStyle w:val="BookText"/>
        <w:rPr/>
      </w:pPr>
      <w:r>
        <w:rPr>
          <w:rFonts w:ascii="IRNazanin" w:hAnsi="IRNazanin" w:eastAsia="IRNazanin"/>
          <w:color w:val="111111"/>
          <w:sz w:val="28"/>
          <w:sz w:val="28"/>
          <w:szCs w:val="28"/>
          <w:rtl w:val="true"/>
          <w:lang w:bidi="fa-IR"/>
        </w:rPr>
        <w:t>دورآگاهی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دورآگاهی</w:t>
      </w:r>
      <w:r>
        <w:rPr>
          <w:rStyle w:val="FootnoteAnchor"/>
          <w:rtl w:val="true"/>
        </w:rPr>
        <w:footnoteReference w:id="17"/>
      </w:r>
      <w:r>
        <w:rPr>
          <w:rFonts w:ascii="IRNazanin" w:hAnsi="IRNazanin" w:eastAsia="IRNazanin"/>
          <w:color w:val="111111"/>
          <w:sz w:val="28"/>
          <w:sz w:val="28"/>
          <w:szCs w:val="28"/>
          <w:rtl w:val="true"/>
          <w:lang w:bidi="fa-IR"/>
        </w:rPr>
        <w:t>به عنوان مهم ترین زیرمجموعۀ ارتباطات، فرستادن و دریافت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ارتباطات را بر حسب موفقیت در انتقال پیام ها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ارتباطات در این معنا برای اولین بار در قرن نوزده و با رشد تلگراف الکتریکی و دیگر وسایل پیغام رسانی از راه دور مانند تلفن، رادیو، تلویزیون و اینترنت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قرن نوزده، ارتباطات به فرآیندهای فیزیکی ناملموسی مانند گرما، جاذبه و خاصیت آهن ربایی اطلاق می شد که به نظر می رسید از راه دور فعالیت می کنند و مخابرات الکتریکی دقیقاً ادامۀ همین مسیر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مسیر تلگراف و تلفن، مفهومی جدید با نام تله پاتی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دورآگاهی به معنای انتقال افکار از فردی به فرد دیگر بدون داشتن ارتباطی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عام امروزی دربارۀ ارتباطات نیز شبیه همان مفهوم قرن نوزده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به معنای تقسیم تفکرات و احساسات، بدون دخالت زبان، بدن، فضا یا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ارتباطات کارا انتقال معنا بدون صدا و اختلال باشد، در نتیجه دورآگاهی، بیانگر نقطۀ نهایی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ارتباطات بی نقص دارای تاریخ مذهبی طولانی مدتی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تامس آکوییناس اعتقاد داشت که فرشتگان دارای بدن هایی با نشانه هایی شفاف هستند که سرشار از بار معنایی قابل فهم و واضحی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قدیس ارتباط انجیلی را نمونه ای هنجار بنیاد از تعامل تلقی می کرد؛ چیزی که انسان های کاربر زبان هیچ وقت به آن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رودرروییِ رابطۀ متقابل و شفاف ارواح با حقیقت زبان و تجسم، ذهن متفکران ارتباطات امروزی را به خود مشغول کرده است</w:t>
      </w:r>
      <w:r>
        <w:rPr>
          <w:rFonts w:eastAsia="IRNazanin" w:cs="IRNazanin"/>
          <w:color w:val="111111"/>
          <w:sz w:val="28"/>
          <w:szCs w:val="28"/>
          <w:rtl w:val="true"/>
          <w:lang w:bidi="fa-IR"/>
        </w:rPr>
        <w:t xml:space="preserve">. </w:t>
      </w:r>
      <w:bookmarkStart w:id="114" w:name="pg3881_27661"/>
    </w:p>
    <w:p>
      <w:pPr>
        <w:pStyle w:val="BookText"/>
        <w:rPr/>
      </w:pPr>
      <w:bookmarkEnd w:id="114"/>
      <w:r>
        <w:rPr>
          <w:rFonts w:ascii="IRNazanin" w:hAnsi="IRNazanin" w:eastAsia="IRNazanin"/>
          <w:color w:val="111111"/>
          <w:sz w:val="28"/>
          <w:sz w:val="28"/>
          <w:szCs w:val="28"/>
          <w:rtl w:val="true"/>
          <w:lang w:bidi="fa-IR"/>
        </w:rPr>
        <w:t>رؤیای ارتباطات دورآگاه و بدون مانع، همیشه با نقطۀ مقابل خود یعنی کابوس شکاف و مانع در جدال بوده است</w:t>
      </w:r>
      <w:r>
        <w:rPr>
          <w:rFonts w:eastAsia="IRNazanin" w:cs="IRNazanin"/>
          <w:color w:val="111111"/>
          <w:sz w:val="28"/>
          <w:szCs w:val="28"/>
          <w:rtl w:val="true"/>
          <w:lang w:bidi="fa-IR"/>
        </w:rPr>
        <w:t>.</w:t>
      </w:r>
    </w:p>
    <w:p>
      <w:pPr>
        <w:pStyle w:val="Heading3"/>
        <w:numPr>
          <w:ilvl w:val="2"/>
          <w:numId w:val="1"/>
        </w:numPr>
        <w:rPr/>
      </w:pPr>
      <w:bookmarkStart w:id="115" w:name="__RefHeading___Toc1656070_2281741623"/>
      <w:bookmarkStart w:id="116" w:name="_Toc41"/>
      <w:bookmarkEnd w:id="115"/>
      <w:r>
        <w:rPr>
          <w:rtl w:val="true"/>
        </w:rPr>
        <w:t>رابطۀ فضا و زمان</w:t>
      </w:r>
      <w:bookmarkEnd w:id="116"/>
    </w:p>
    <w:p>
      <w:pPr>
        <w:pStyle w:val="BookText"/>
        <w:rPr/>
      </w:pPr>
      <w:r>
        <w:rPr>
          <w:rFonts w:ascii="IRNazanin" w:hAnsi="IRNazanin" w:eastAsia="IRNazanin"/>
          <w:color w:val="111111"/>
          <w:sz w:val="28"/>
          <w:sz w:val="28"/>
          <w:szCs w:val="28"/>
          <w:rtl w:val="true"/>
          <w:lang w:bidi="fa-IR"/>
        </w:rPr>
        <w:t>رابطۀ فضا و زمان</w:t>
      </w:r>
    </w:p>
    <w:p>
      <w:pPr>
        <w:pStyle w:val="BookText"/>
        <w:rPr/>
      </w:pPr>
      <w:r>
        <w:rPr>
          <w:rFonts w:ascii="IRNazanin" w:hAnsi="IRNazanin" w:eastAsia="IRNazanin"/>
          <w:color w:val="111111"/>
          <w:sz w:val="28"/>
          <w:sz w:val="28"/>
          <w:szCs w:val="28"/>
          <w:rtl w:val="true"/>
          <w:lang w:bidi="fa-IR"/>
        </w:rPr>
        <w:t>دیگر زیرمجموعۀ مهم ارتباطات نیز ریشه در فرستادن پیام از راه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دورآگاهی بر تمامیت دریافت تمرکز دارد، رابطۀ بین فضا و زمان از مقولۀ ارتباطات، برداشتی بی نتیجه 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بیشتر به امکان برقراری ارتباط علاقه دارد تا واقعیت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زندگی، مرگ و منفعت، بعضی اوقات با انتقالِ موفق همراه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ها در جوامع پیچیده زندگی می کنند نیاز به انتقال پیام ها از فاصلۀ دور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اینکا، رومی ها، امپراطوری ایران تمامی دارای سامانه های پستی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خدمات رسانی پستی آمریکا شاهد جملات مشهور هرودوت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اخبار را از طریق نامه یا سخن انتقال می دهند به ارتباطات اجتماعیِ از راه دور، حال به صورت پیغام رسانان رسمی یا رهگذران خدمت فراوانی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واژۀ </w:t>
      </w:r>
      <w:r>
        <w:rPr>
          <w:rFonts w:eastAsia="Times New Roman" w:cs="Times New Roman" w:ascii="Times New Roman" w:hAnsi="Times New Roman"/>
          <w:color w:val="111111"/>
          <w:sz w:val="28"/>
          <w:szCs w:val="28"/>
          <w:lang w:val="en-US" w:bidi="en-US"/>
        </w:rPr>
        <w:t>angel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فرشتۀ عشق از واژۀ یونانی </w:t>
      </w:r>
      <w:r>
        <w:rPr>
          <w:rFonts w:eastAsia="Times New Roman" w:cs="Times New Roman" w:ascii="Times New Roman" w:hAnsi="Times New Roman"/>
          <w:color w:val="111111"/>
          <w:sz w:val="28"/>
          <w:szCs w:val="28"/>
          <w:lang w:val="en-US" w:bidi="en-US"/>
        </w:rPr>
        <w:t>angelos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پیام رسان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سریعِ از راه دور همیشه با اهداف راهبردی، حال نظامی یا اقتصادی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بانکداری خانوادۀ رچیلد در اوایل قرن نوزده اروپا دارای شبکۀ ارتباطی ای متشکل از چاپارها و کبوتران نامه رسانی بود که اخبار مهم مالی را زودتر از بقیه به آن ها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نیز با بهره گیری از تلگراف نوری و نشانه های ارسال پیام به وسیلۀ پرچم، موفقیت های نظامی </w:t>
      </w:r>
    </w:p>
    <w:p>
      <w:pPr>
        <w:pStyle w:val="BookText"/>
        <w:rPr/>
      </w:pPr>
      <w:r>
        <w:rPr>
          <w:rFonts w:ascii="IRNazanin" w:hAnsi="IRNazanin" w:eastAsia="IRNazanin"/>
          <w:color w:val="111111"/>
          <w:sz w:val="28"/>
          <w:sz w:val="28"/>
          <w:szCs w:val="28"/>
          <w:rtl w:val="true"/>
          <w:lang w:bidi="fa-IR"/>
        </w:rPr>
        <w:t>فراوانی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همین قرن بود که هر دو سامانه، جای خود را به تلگراف الکتریکی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جنگ افزار و تجارت تا اندازۀ زیادی تاریخ هنر و تکنیک ارتباطات از راه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قسمت اعظم ارتباطات جهانی ما چه موبایل، رایانۀ شخصی، رادیو و تلویزیون پیشرفت خود را مدیون تکنیک ها و فن آوری های نظامی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سریعِ فضایی، قسمت اعظم توجهات نظری و عمومی را به خود معطوف کرده است ولی مسئلۀ مهم دیگر، ارتباطات آهسته در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هم در زمان اتفاق می افتد و هم در فضا؛ منظور از انتقال فرهنگی</w:t>
      </w:r>
      <w:r>
        <w:rPr>
          <w:rStyle w:val="FootnoteAnchor"/>
          <w:rtl w:val="true"/>
        </w:rPr>
        <w:footnoteReference w:id="18"/>
      </w:r>
      <w:r>
        <w:rPr>
          <w:rFonts w:ascii="IRNazanin" w:hAnsi="IRNazanin" w:eastAsia="IRNazanin"/>
          <w:color w:val="111111"/>
          <w:sz w:val="28"/>
          <w:sz w:val="28"/>
          <w:szCs w:val="28"/>
          <w:rtl w:val="true"/>
          <w:lang w:bidi="fa-IR"/>
        </w:rPr>
        <w:t>انتقال ارزش ها از نسلی به نسل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بیشتر نیازمند استمرار و ثبات هستند تا هماهنگی و برقراری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یادبود، کتابخانه ها، موزه ها و گورستان ها مقام هایی هستند که بین مردم در طول زمان رابطه برقراری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رسومات مذهبی، جنبۀ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تبلیغات و رسانه 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کتاب مقدس، سنت، اصول مدون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را از آن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نوشتن، مهم ترین روش انسان برای پیش بودن از زمان یا ثبات است که در دو قرن اخیر شاهد شکل های جدید آن مانند عکاسی و ضبط صوت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فردی انجیل عبری، کتاب عهد جدید یا قرآن را می خواند پیام را طوری دریافت می کند که گویی در هزار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فضا و زمان، مشخصۀ اصلی زیرمجموعۀ دوم ارتباطات است</w:t>
      </w:r>
      <w:r>
        <w:rPr>
          <w:rFonts w:eastAsia="IRNazanin" w:cs="IRNazanin"/>
          <w:color w:val="111111"/>
          <w:sz w:val="28"/>
          <w:szCs w:val="28"/>
          <w:rtl w:val="true"/>
          <w:lang w:bidi="fa-IR"/>
        </w:rPr>
        <w:t xml:space="preserve">. </w:t>
      </w:r>
      <w:bookmarkStart w:id="117" w:name="pg3881_27665"/>
    </w:p>
    <w:p>
      <w:pPr>
        <w:pStyle w:val="Heading3"/>
        <w:numPr>
          <w:ilvl w:val="2"/>
          <w:numId w:val="1"/>
        </w:numPr>
        <w:rPr/>
      </w:pPr>
      <w:bookmarkStart w:id="118" w:name="__RefHeading___Toc1656072_2281741623"/>
      <w:bookmarkStart w:id="119" w:name="_Toc42"/>
      <w:bookmarkEnd w:id="117"/>
      <w:bookmarkEnd w:id="118"/>
      <w:r>
        <w:rPr>
          <w:rtl w:val="true"/>
        </w:rPr>
        <w:t>گفت وگو</w:t>
      </w:r>
      <w:bookmarkEnd w:id="119"/>
    </w:p>
    <w:p>
      <w:pPr>
        <w:pStyle w:val="BookText"/>
        <w:rPr/>
      </w:pPr>
      <w:r>
        <w:rPr>
          <w:rFonts w:ascii="IRNazanin" w:hAnsi="IRNazanin" w:eastAsia="IRNazanin"/>
          <w:color w:val="111111"/>
          <w:sz w:val="28"/>
          <w:sz w:val="28"/>
          <w:szCs w:val="28"/>
          <w:rtl w:val="true"/>
          <w:lang w:bidi="fa-IR"/>
        </w:rPr>
        <w:t>گفت وگو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زیرمجموعۀ ارتباطات یعنی گفت وگو ریشه در آرای افلاطون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دلیل تمرکز بر جفت</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یا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بلند مدتِ اتحاد ایده آل، شباهت هایی با دورآگاهی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تاثیر فراوان افلاطون بر تفکر قرون وسطایی دربارۀ ارتباطات فرشته گون</w:t>
      </w:r>
      <w:r>
        <w:rPr>
          <w:rStyle w:val="FootnoteAnchor"/>
          <w:rtl w:val="true"/>
        </w:rPr>
        <w:footnoteReference w:id="20"/>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 وگو بیشتر بر فرآیند پویای تعامل تاکید دارد تا انطباق بی درنگ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ادبی گفت و شنودیِ افلاطون تنها یک برهان فلسفی آشکار نیست بلکه عمیق تر است؛ یعنی پیشرفت روح به سمت حقیقت یا به عبارت دقیق تر تطابق دو روح هنگام پیشرفت متقابل به سوی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سقراط در فائدروس می گوید، بهترین نوع بلاغت متشکل از آگاهی به حقیقت و روحِ دریافت کننده و ترکیبی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برگرفته از اعتقاد سقراط است که می گفت عاشقان فلسفی با دیدن زیبایی یکدیگر به یاد جایگاه آسمانی و حقیقی می افتند که روزگاری برای شان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افلاطون، گفت وگو یکی از مهم ترین جلوه های ارتباطات بوده است؛ دو شریک با جایگاهی صمیمی و مساوی به دنبال حقیقت، عشق و روشنگری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داشته باشید که پسوند </w:t>
      </w:r>
      <w:r>
        <w:rPr>
          <w:rFonts w:eastAsia="Times New Roman" w:cs="Times New Roman" w:ascii="Times New Roman" w:hAnsi="Times New Roman"/>
          <w:color w:val="111111"/>
          <w:sz w:val="28"/>
          <w:szCs w:val="28"/>
          <w:lang w:val="en-US" w:bidi="en-US"/>
        </w:rPr>
        <w:t>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کلمۀ </w:t>
      </w:r>
      <w:r>
        <w:rPr>
          <w:rFonts w:eastAsia="Times New Roman" w:cs="Times New Roman" w:ascii="Times New Roman" w:hAnsi="Times New Roman"/>
          <w:color w:val="111111"/>
          <w:sz w:val="28"/>
          <w:szCs w:val="28"/>
          <w:lang w:val="en-US" w:bidi="en-US"/>
        </w:rPr>
        <w:t>dialogue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به معنای از طریق است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به عنوان یک مدل ارتباطی، اوج و حضیض های خود را در دادگاه ایتالیایی دورۀ رنسانس و محفل روشنگری فرانسه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نیز نقطۀ اوج بحث در این باره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عشق بازان، درمانگران، مشاوران و سیاسیون همگی مزایای گفت وگو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قرن بیستم مانند مارتین بوبر و هانس گئورگ گادامر به توصیه هایی دربارۀ وجود انسان اخلاقی در گفت و گو اشاره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یورگن هابرماس نیز </w:t>
      </w:r>
      <w:bookmarkStart w:id="120" w:name="pg3881_27667"/>
    </w:p>
    <w:p>
      <w:pPr>
        <w:pStyle w:val="BookText"/>
        <w:rPr/>
      </w:pPr>
      <w:bookmarkEnd w:id="120"/>
      <w:r>
        <w:rPr>
          <w:rFonts w:ascii="IRNazanin" w:hAnsi="IRNazanin" w:eastAsia="IRNazanin"/>
          <w:color w:val="111111"/>
          <w:sz w:val="28"/>
          <w:sz w:val="28"/>
          <w:szCs w:val="28"/>
          <w:rtl w:val="true"/>
          <w:lang w:bidi="fa-IR"/>
        </w:rPr>
        <w:t>به روشی متفاوت همین نکته را اذعان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دانان نیز گفت وگو یا گفت و شنود را مدلی ممتاز از مکاشفۀ مذهبی تلقی می کنند</w:t>
      </w:r>
      <w:r>
        <w:rPr>
          <w:rFonts w:eastAsia="IRNazanin" w:cs="IRNazanin"/>
          <w:color w:val="111111"/>
          <w:sz w:val="28"/>
          <w:szCs w:val="28"/>
          <w:rtl w:val="true"/>
          <w:lang w:bidi="fa-IR"/>
        </w:rPr>
        <w:t>.</w:t>
      </w:r>
    </w:p>
    <w:p>
      <w:pPr>
        <w:pStyle w:val="Heading3"/>
        <w:numPr>
          <w:ilvl w:val="2"/>
          <w:numId w:val="1"/>
        </w:numPr>
        <w:rPr/>
      </w:pPr>
      <w:bookmarkStart w:id="121" w:name="__RefHeading___Toc1656074_2281741623"/>
      <w:bookmarkStart w:id="122" w:name="_Toc43"/>
      <w:bookmarkEnd w:id="121"/>
      <w:r>
        <w:rPr>
          <w:rtl w:val="true"/>
        </w:rPr>
        <w:t>اشاعه</w:t>
      </w:r>
      <w:bookmarkEnd w:id="122"/>
    </w:p>
    <w:p>
      <w:pPr>
        <w:pStyle w:val="BookText"/>
        <w:rPr/>
      </w:pPr>
      <w:r>
        <w:rPr>
          <w:rFonts w:ascii="IRNazanin" w:hAnsi="IRNazanin" w:eastAsia="IRNazanin"/>
          <w:color w:val="111111"/>
          <w:sz w:val="28"/>
          <w:sz w:val="28"/>
          <w:szCs w:val="28"/>
          <w:rtl w:val="true"/>
          <w:lang w:bidi="fa-IR"/>
        </w:rPr>
        <w:t>اشاعه</w:t>
      </w:r>
    </w:p>
    <w:p>
      <w:pPr>
        <w:pStyle w:val="BookText"/>
        <w:rPr/>
      </w:pPr>
      <w:r>
        <w:rPr>
          <w:rFonts w:ascii="IRNazanin" w:hAnsi="IRNazanin" w:eastAsia="IRNazanin"/>
          <w:color w:val="111111"/>
          <w:sz w:val="28"/>
          <w:sz w:val="28"/>
          <w:szCs w:val="28"/>
          <w:rtl w:val="true"/>
          <w:lang w:bidi="fa-IR"/>
        </w:rPr>
        <w:t>چهارمین زیرمجموعۀ ارتباطات یعنی اشاعه</w:t>
      </w:r>
      <w:r>
        <w:rPr>
          <w:rStyle w:val="FootnoteAnchor"/>
          <w:rtl w:val="true"/>
        </w:rPr>
        <w:footnoteReference w:id="21"/>
      </w:r>
      <w:r>
        <w:rPr>
          <w:rFonts w:ascii="IRNazanin" w:hAnsi="IRNazanin" w:eastAsia="IRNazanin"/>
          <w:color w:val="111111"/>
          <w:sz w:val="28"/>
          <w:sz w:val="28"/>
          <w:szCs w:val="28"/>
          <w:rtl w:val="true"/>
          <w:lang w:bidi="fa-IR"/>
        </w:rPr>
        <w:t>بسیار مهم و در تضاد با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کتابش فائدروس، مکرر شکل های ارتباطی را که نسبت به مخاطب بی اعتنا یا با پایان باز هستند، مورد حمله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بلاغت، روح مستمع را به اشتباه می اندازد و آوردن افکار روی کاغذ مانند کشاورزی احمق است که بذرها را بدون توجه روی خاک زمین می پاشد؛ حکایت بذرپاشی که بذرها را هر جایی، روی جاده و سنگ، خار و خاشاک و خاک مرغوب می پاشید در کتاب عهد جدید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نتیجه ای آموزنده از این حکایت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آن هایی که گوش شنیدن دارند بشنوند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حکایت،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برزگر در روایتش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این حکایت را می شنوند از خود خواهند پرسید ما از چه خاکی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سقراط ترجیح می داده است ایده های اش را یک به یک به اطرافیانش انتقال دهد در حالی که مسیحِ انجیل خطاب به جمعیت صحبت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مسیح در خطاب و دسترسی دارای پایان باز دموکراتیکی بوده اند؛ حتی اگر اناجیل تاکید داشته باشند که هم مخاطبان و هم مریدان در فهم آموزه های او مشکل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اشاعه، ما از پیش می دانیم که چه چیزی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سخن پراکنی بریتانیا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تندیس برزگر بوده ایم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قرن یکه تاز پخش </w:t>
      </w:r>
    </w:p>
    <w:p>
      <w:pPr>
        <w:pStyle w:val="BookText"/>
        <w:rPr/>
      </w:pPr>
      <w:r>
        <w:rPr>
          <w:rFonts w:ascii="IRNazanin" w:hAnsi="IRNazanin" w:eastAsia="IRNazanin"/>
          <w:color w:val="111111"/>
          <w:sz w:val="28"/>
          <w:sz w:val="28"/>
          <w:szCs w:val="28"/>
          <w:rtl w:val="true"/>
          <w:lang w:bidi="fa-IR"/>
        </w:rPr>
        <w:t>بوده است، تعهد خود به مردم را مستقیماً تحت تاثیر دعوت آزادانه و سخاوتمندانۀ برگرفته از کتاب عهد جدید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حامیان گفت و گو به ارتباطِ بدون تعامل و صمیمیت بی اعتمادند، چیزی قدرتمند در قالب های پخش ارتباطات وجود دارد؛ حال در رادیو و تلویزیون، روزنامه و کتاب یا خطابه و مجسمه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مواد خام فرهنگ انسانی، تعاملی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وزرای مسیحی که تحت تاثیر قدرت رادیو در اوایل کارش بود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همیشه در حال پراکنده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متفکران مذهبیِ گوناگون، نسخۀ نوینی از ایده های مذهبی کهنه را در ارتباطات جمعی یافتند؛ مانند انجیل مسیحی یا </w:t>
      </w:r>
      <w:r>
        <w:rPr>
          <w:rFonts w:eastAsia="Times New Roman" w:cs="Times New Roman" w:ascii="Times New Roman" w:hAnsi="Times New Roman"/>
          <w:color w:val="111111"/>
          <w:sz w:val="28"/>
          <w:szCs w:val="28"/>
          <w:lang w:val="en-US" w:bidi="en-US"/>
        </w:rPr>
        <w:t>euangelion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خبر خوش در زبان یونانی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مذهبی در سراسر دنیا رگه هایی الهی را برای اشاعه در ماهواره ها و نوارهای کاست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اشاعه دارای یک فرستنده و چندین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دلیل متقنی وجود ندارد که چرا اشاعه دهندگانِ فراوان و دریافت کنندگان کمی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فرستندگان پیغام مرکزی</w:t>
      </w:r>
      <w:r>
        <w:rPr>
          <w:rStyle w:val="FootnoteAnchor"/>
          <w:rtl w:val="true"/>
        </w:rPr>
        <w:footnoteReference w:id="22"/>
      </w:r>
      <w:r>
        <w:rPr>
          <w:rFonts w:ascii="IRNazanin" w:hAnsi="IRNazanin" w:eastAsia="IRNazanin"/>
          <w:color w:val="111111"/>
          <w:sz w:val="28"/>
          <w:sz w:val="28"/>
          <w:szCs w:val="28"/>
          <w:rtl w:val="true"/>
          <w:lang w:bidi="fa-IR"/>
        </w:rPr>
        <w:t>مانند پخش کنندگان، تبلیغ کنندگان، سیاستمداران یا مسیحیون، تنها اشاعه دهندگان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مانند تعصبات، اعتراضات، درخواست ها یا انتخابات، فرستندگانِ فراوان به مخاطبان کم خطاب می کنند؛ همان طور که در همۀ اشاعه ها، عدم قطعیت دریافت، بی 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های گوناگون، اعضای آن جماعت را به عنوان مرتبطین می شناسند؛ یعنی فرستندگان پیام و نه تنها دریافت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ارتباطی قرن بیستم آمریکا، ارتباطات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پخش</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عنوان انتقال مرکزی و دریافت جمعی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ارتباطات جمعی می تواند </w:t>
      </w:r>
      <w:bookmarkStart w:id="123" w:name="pg3881_27671"/>
    </w:p>
    <w:p>
      <w:pPr>
        <w:pStyle w:val="BookText"/>
        <w:rPr/>
      </w:pPr>
      <w:bookmarkEnd w:id="123"/>
      <w:r>
        <w:rPr>
          <w:rFonts w:ascii="IRNazanin" w:hAnsi="IRNazanin" w:eastAsia="IRNazanin"/>
          <w:color w:val="111111"/>
          <w:sz w:val="28"/>
          <w:sz w:val="28"/>
          <w:szCs w:val="28"/>
          <w:rtl w:val="true"/>
          <w:lang w:bidi="fa-IR"/>
        </w:rPr>
        <w:t>از پایین به بالا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 اشاعه دهنده داشت و هم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اشاعه فقط نیازمند جلب توجه مردم به مقولۀ قدرت نیست</w:t>
      </w:r>
      <w:r>
        <w:rPr>
          <w:rFonts w:eastAsia="IRNazanin" w:cs="IRNazanin"/>
          <w:color w:val="111111"/>
          <w:sz w:val="28"/>
          <w:szCs w:val="28"/>
          <w:rtl w:val="true"/>
          <w:lang w:bidi="fa-IR"/>
        </w:rPr>
        <w:t>.</w:t>
      </w:r>
    </w:p>
    <w:p>
      <w:pPr>
        <w:pStyle w:val="Heading3"/>
        <w:numPr>
          <w:ilvl w:val="2"/>
          <w:numId w:val="1"/>
        </w:numPr>
        <w:rPr/>
      </w:pPr>
      <w:bookmarkStart w:id="124" w:name="__RefHeading___Toc1656076_2281741623"/>
      <w:bookmarkStart w:id="125" w:name="_Toc44"/>
      <w:bookmarkEnd w:id="124"/>
      <w:r>
        <w:rPr>
          <w:rtl w:val="true"/>
        </w:rPr>
        <w:t>آیین</w:t>
      </w:r>
      <w:bookmarkEnd w:id="125"/>
    </w:p>
    <w:p>
      <w:pPr>
        <w:pStyle w:val="BookText"/>
        <w:rPr/>
      </w:pPr>
      <w:r>
        <w:rPr>
          <w:rFonts w:ascii="IRNazanin" w:hAnsi="IRNazanin" w:eastAsia="IRNazanin"/>
          <w:color w:val="111111"/>
          <w:sz w:val="28"/>
          <w:sz w:val="28"/>
          <w:szCs w:val="28"/>
          <w:rtl w:val="true"/>
          <w:lang w:bidi="fa-IR"/>
        </w:rPr>
        <w:t>آیین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و آخرین زیرمجموعۀ ارتباطات یعنی آیین،</w:t>
      </w:r>
      <w:r>
        <w:rPr>
          <w:rStyle w:val="FootnoteAnchor"/>
          <w:rtl w:val="true"/>
        </w:rPr>
        <w:footnoteReference w:id="24"/>
      </w:r>
      <w:r>
        <w:rPr>
          <w:rFonts w:ascii="IRNazanin" w:hAnsi="IRNazanin" w:eastAsia="IRNazanin"/>
          <w:color w:val="111111"/>
          <w:sz w:val="28"/>
          <w:sz w:val="28"/>
          <w:szCs w:val="28"/>
          <w:rtl w:val="true"/>
          <w:lang w:bidi="fa-IR"/>
        </w:rPr>
        <w:t>متمایز یا کاملا تغییر شکل یافته از مضمون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چهار زیرمجموعۀ پیشین ارتباطات را انتقال نوعی محتوای اطلاعاتی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تفاوت های فاحشی در این رویکردها، نحوۀ تمرکز بر اذهان، راه های ارتباطی، کشف حقیقت یا پخش بذرهاست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از لحاظ معنایی غنی ولی ضعیف در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فرد چیز جدیدی از ختنه، غسل تعمید، فارغ التحصیلی، مراسم مذهبی یا عروسی یاد نمی گیرد با این حال چیزی که فرد در عروسی انتظارش را می کشد، اطلاعات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مشروح به احوال پرسی ساده ای مانند حالت چطور است، نقض آداب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احوال پرسی ها خالی از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بی اعتنایی دوست یا معشوقه اش قرار می گیرد، می داند که مورد بی توجهی قرار گرفتن نوعی مرگ اجتماعی</w:t>
      </w:r>
      <w:r>
        <w:rPr>
          <w:rStyle w:val="FootnoteAnchor"/>
          <w:rtl w:val="true"/>
        </w:rPr>
        <w:footnoteReference w:id="25"/>
      </w:r>
      <w:r>
        <w:rPr>
          <w:rFonts w:ascii="IRNazanin" w:hAnsi="IRNazanin" w:eastAsia="IRNazanin"/>
          <w:color w:val="111111"/>
          <w:sz w:val="28"/>
          <w:sz w:val="28"/>
          <w:szCs w:val="28"/>
          <w:rtl w:val="true"/>
          <w:lang w:bidi="fa-IR"/>
        </w:rPr>
        <w:t>است؛ یعنی حتی ارزش دریافت پیام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مشخصاً چیزی بیشتر از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عِذرا پوند ادبیات می خواندش ـ اخباری که اخبار می ماند ـ از لحاظ آیینی، مذهبی و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جهت گیری ما به سمت دنیا، دیگران و خودمان را پیش از ارائۀ داده های مشخص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منابع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لوگوس یا زبان ناب که پیام اصلی انجیلِ یحیی است، تنها معنایی لفظی نیست؛ بلکه افشای نظم اخلاقی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سنت های مذهبی، ایده های ارتباطی دارند که پا فرای تقسیم تفکرات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همگی رسومات مذهبی از این پنج مفهوم ارتباطی بهره می برند و همگی دارای ریشه هایی مذهبی هستند، این مقولۀ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اندازۀ زیادی نشان دهندۀ جدایی ناپذیری تفکرات ما دربارۀ مذهب و ارتباطات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جان دورهام پیترز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126" w:name="pg3881_27675"/>
    </w:p>
    <w:p>
      <w:pPr>
        <w:pStyle w:val="Heading3"/>
        <w:numPr>
          <w:ilvl w:val="2"/>
          <w:numId w:val="1"/>
        </w:numPr>
        <w:rPr/>
      </w:pPr>
      <w:bookmarkStart w:id="127" w:name="__RefHeading___Toc1656078_2281741623"/>
      <w:bookmarkStart w:id="128" w:name="_Toc45"/>
      <w:bookmarkEnd w:id="126"/>
      <w:bookmarkEnd w:id="127"/>
      <w:r>
        <w:rPr>
          <w:rtl w:val="true"/>
        </w:rPr>
        <w:t>برای مطالعۀ بیشتر</w:t>
      </w:r>
      <w:bookmarkEnd w:id="12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Aquinas, S. T. (1952). Summa Theologica. Chicago: Encyclopedia Britannica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Burke, P. (1993). The art of conversation. Ithaca, NY: Cornell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Carey, J. W. (1989). Communication as culture: Essays on media and society.Boston: Unwin Hyman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Cooley, C. H. (1909). Social organization: Astudy of the larger mind.New York: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Innis, H. A. (1991). The bias of communication. Toronto, Canada: University of Toronto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Percy, W. (1961). The symbolic structure of interpersonal process. Psychiatry24,39–52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 J. D. (1999). Speaking into the air: Ahistory of the idea of communication.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Plato. (1995). Phaedrus(A. Nehamas &amp; P. Woodruff, Trans.). Indianapolis, IN: Hackett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Rothenbuhler, E. W. (1998). Ritual communication: From everyday conversation to mediated ceremony.Newbury Park, CA:Sage</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Scannell, P. (1996). Radio, television, and modern life: Aphenomenological approach.Oxford, UK: Blackwell</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Simonson, P. D. (2003). Assembly, rhetoric, and widespread community: Mass communication in Paul of Tarsus. Journal of Media and Religion2,165–182</w:t>
      </w:r>
      <w:r>
        <w:rPr>
          <w:rFonts w:eastAsia="Times New Roman" w:cs="Times New Roman" w:ascii="Times New Roman" w:hAnsi="Times New Roman"/>
          <w:color w:val="111111"/>
          <w:sz w:val="28"/>
          <w:szCs w:val="28"/>
          <w:rtl w:val="true"/>
          <w:lang w:val="en-US" w:bidi="en-US"/>
        </w:rPr>
        <w:t xml:space="preserve">. </w:t>
      </w:r>
      <w:bookmarkStart w:id="129" w:name="pg3881_27679"/>
    </w:p>
    <w:p>
      <w:pPr>
        <w:pStyle w:val="Heading2"/>
        <w:numPr>
          <w:ilvl w:val="1"/>
          <w:numId w:val="1"/>
        </w:numPr>
        <w:rPr/>
      </w:pPr>
      <w:bookmarkStart w:id="130" w:name="__RefHeading___Toc1656080_2281741623"/>
      <w:bookmarkStart w:id="131" w:name="_Toc46"/>
      <w:bookmarkEnd w:id="129"/>
      <w:bookmarkEnd w:id="130"/>
      <w:r>
        <w:rPr>
          <w:rtl w:val="true"/>
        </w:rPr>
        <w:t>ارتباطات غیرمقدس</w:t>
      </w:r>
      <w:bookmarkEnd w:id="131"/>
    </w:p>
    <w:p>
      <w:pPr>
        <w:pStyle w:val="Heading3"/>
        <w:numPr>
          <w:ilvl w:val="2"/>
          <w:numId w:val="1"/>
        </w:numPr>
        <w:rPr/>
      </w:pPr>
      <w:bookmarkStart w:id="132" w:name="__RefHeading___Toc1656082_2281741623"/>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ارتباطات غیرمقدس</w:t>
      </w:r>
    </w:p>
    <w:p>
      <w:pPr>
        <w:pStyle w:val="BookText"/>
        <w:rPr/>
      </w:pPr>
      <w:r>
        <w:rPr>
          <w:rFonts w:ascii="IRNazanin" w:hAnsi="IRNazanin" w:eastAsia="IRNazanin"/>
          <w:color w:val="111111"/>
          <w:sz w:val="28"/>
          <w:sz w:val="28"/>
          <w:szCs w:val="28"/>
          <w:rtl w:val="true"/>
          <w:lang w:bidi="fa-IR"/>
        </w:rPr>
        <w:t>پس از این که بشر آموخت چگونه ارتباط برقرار کند، برخی لغات، عبارات و حرکات ویژه دارای معانی حاکی از بی حرمتی تشخیص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فرهنگ ها و تکامل زبان، آن لغاتی که دربردارندۀ بی حرمتی بودند نیز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این حقیقت که در هر دوره ای عباراتی خاص برای گفتن یا نوشتن نامناسب به نظر می رسیدند، کفرگویی</w:t>
      </w:r>
      <w:r>
        <w:rPr>
          <w:rStyle w:val="FootnoteAnchor"/>
          <w:rtl w:val="true"/>
        </w:rPr>
        <w:footnoteReference w:id="26"/>
      </w:r>
      <w:r>
        <w:rPr>
          <w:rFonts w:ascii="IRNazanin" w:hAnsi="IRNazanin" w:eastAsia="IRNazanin"/>
          <w:color w:val="111111"/>
          <w:sz w:val="28"/>
          <w:sz w:val="28"/>
          <w:szCs w:val="28"/>
          <w:rtl w:val="true"/>
          <w:lang w:bidi="fa-IR"/>
        </w:rPr>
        <w:t>خود به صورت ابزاری همیشگی در مجموعۀ ارتباطات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عبارات توهین آمیز درست به اندازۀ عبارات تکریم آمیز برای ارتباطات بشری ضروری و اساسی هستند؟</w:t>
      </w:r>
    </w:p>
    <w:p>
      <w:pPr>
        <w:pStyle w:val="Heading3"/>
        <w:numPr>
          <w:ilvl w:val="2"/>
          <w:numId w:val="1"/>
        </w:numPr>
        <w:rPr/>
      </w:pPr>
      <w:bookmarkStart w:id="134" w:name="__RefHeading___Toc1656084_2281741623"/>
      <w:bookmarkStart w:id="135" w:name="_Toc48"/>
      <w:bookmarkEnd w:id="134"/>
      <w:r>
        <w:rPr>
          <w:rtl w:val="true"/>
        </w:rPr>
        <w:t>تعریف</w:t>
      </w:r>
      <w:bookmarkEnd w:id="135"/>
    </w:p>
    <w:p>
      <w:pPr>
        <w:pStyle w:val="BookText"/>
        <w:rPr/>
      </w:pPr>
      <w:r>
        <w:rPr>
          <w:rFonts w:ascii="IRNazanin" w:hAnsi="IRNazanin" w:eastAsia="IRNazanin"/>
          <w:color w:val="111111"/>
          <w:sz w:val="28"/>
          <w:sz w:val="28"/>
          <w:szCs w:val="28"/>
          <w:rtl w:val="true"/>
          <w:lang w:bidi="fa-IR"/>
        </w:rPr>
        <w:t>تعریف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کفرگویی در حالت و معنای اولیۀ خود به هر چیزی که کفرآمیز بود، بی حرمتی به مقدسات یا بی حرمتی به نام خدا را در بر می گرفت،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کفرآمیز یا توهین آمیز می توانند عبارات عامیانۀ خاص از قبیل لعنت به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برو به جهنم یا خطاب دادن انسان دیگر به نام هایی که دارای معانی به غیر از خلق خدا داشته باشد را در برگیرد؛ برای نمونه، خطاب کردن شخص با استفاده از کلماتی چون فاحشه، لعنتی یا حرامزاده را می توان در زمرۀ ارتباط گستاخانه</w:t>
      </w:r>
      <w:r>
        <w:rPr>
          <w:rStyle w:val="FootnoteAnchor"/>
          <w:rtl w:val="true"/>
        </w:rPr>
        <w:footnoteReference w:id="27"/>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زبان توهین آمیز با زبان تکریم آمیز اگر عملی نابودکننده نباشد، دست کم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اسامی خداوند، همیشه در زمرۀ بزرگ ترین گناهان کلامی قرار داشته که می تواند به عذاب ابدی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اوایل قرن سیزدهم افراد مذهبی بر این عقیده بودند که گفتن عبارتی مانند خدا لعنت کند نیز گناه به شمار می آیند؛ زیرا اولاً نوعی دستور به خداوند است که چه باید بکند و ثانیاً نام خداوند در کنار کلمه ای توهین آمیز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نگاهی مترقی و لیبرال، می توان توهین به نام خداوند را به منزلة روی گردانی از او یا ـ از نظر یک فرد روشن بین و آشنا با خالق ـ احساس بی نیازی به خدا در هر چیزی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نظریه می گوید که خداوند وجود دارد ولی بشر معیار و مقیاس نهایی تمامی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متعادل تر از کفرگویی، توهین نهانی</w:t>
      </w:r>
      <w:r>
        <w:rPr>
          <w:rStyle w:val="FootnoteAnchor"/>
          <w:rtl w:val="true"/>
        </w:rPr>
        <w:footnoteReference w:id="28"/>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عصر ویکتوریا، پیورتن ها و اصلاح طلبان پروتستان به طور خاصی دربارۀ عبارات توهین آمیز در محدودیت قرار داشتند و برای کسانی که مبادرت به شکستن این مقررات می کردند، مجازات سختی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عامی روشی برای توهین ابداع کردند که به طور مستقیم به اماکن یا نام های مقدس و پاک بی حرمتی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عبارات و اصطلاحاتی که دارای تشابه آوایی بودند، مورد استفاده قرار گرفتند که این عبارات همان معانی را در حالتی محدودتر، خاص و مودبانه تر القاء می کردند به گونه ای که باعث خشمگین شدن روحانیت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توهین های </w:t>
      </w:r>
      <w:bookmarkStart w:id="136" w:name="pg3881_27683"/>
    </w:p>
    <w:p>
      <w:pPr>
        <w:pStyle w:val="BookText"/>
        <w:rPr/>
      </w:pPr>
      <w:bookmarkEnd w:id="136"/>
      <w:r>
        <w:rPr>
          <w:rFonts w:ascii="IRNazanin" w:hAnsi="IRNazanin" w:eastAsia="IRNazanin"/>
          <w:color w:val="111111"/>
          <w:sz w:val="28"/>
          <w:sz w:val="28"/>
          <w:szCs w:val="28"/>
          <w:rtl w:val="true"/>
          <w:lang w:bidi="fa-IR"/>
        </w:rPr>
        <w:t>نهانی امروزه نیز مورد استفاده قرار می گیرند؛ برای نمونه، عبارت</w:t>
      </w:r>
      <w:r>
        <w:rPr>
          <w:rFonts w:eastAsia="Times New Roman" w:cs="Times New Roman" w:ascii="Times New Roman" w:hAnsi="Times New Roman"/>
          <w:color w:val="111111"/>
          <w:sz w:val="28"/>
          <w:szCs w:val="28"/>
          <w:lang w:val="en-US" w:bidi="en-US"/>
        </w:rPr>
        <w:t>Jumping Jehoshaphat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عروج عیسی مسیح، عبارت </w:t>
      </w:r>
      <w:r>
        <w:rPr>
          <w:rFonts w:eastAsia="Times New Roman" w:cs="Times New Roman" w:ascii="Times New Roman" w:hAnsi="Times New Roman"/>
          <w:color w:val="111111"/>
          <w:sz w:val="28"/>
          <w:szCs w:val="28"/>
          <w:lang w:val="en-US" w:bidi="en-US"/>
        </w:rPr>
        <w:t>Son of a gun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حرامزاده، عبارت </w:t>
      </w:r>
      <w:r>
        <w:rPr>
          <w:rFonts w:eastAsia="Times New Roman" w:cs="Times New Roman" w:ascii="Times New Roman" w:hAnsi="Times New Roman"/>
          <w:color w:val="111111"/>
          <w:sz w:val="28"/>
          <w:szCs w:val="28"/>
          <w:lang w:val="en-US" w:bidi="en-US"/>
        </w:rPr>
        <w:t>Gadzooks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چنگک های پروردگار که اشاره دارد به به میخ کشیدن حضرت عیسی مسیح، عبارت </w:t>
      </w:r>
      <w:r>
        <w:rPr>
          <w:rFonts w:eastAsia="Times New Roman" w:cs="Times New Roman" w:ascii="Times New Roman" w:hAnsi="Times New Roman"/>
          <w:color w:val="111111"/>
          <w:sz w:val="28"/>
          <w:szCs w:val="28"/>
          <w:lang w:val="en-US" w:bidi="en-US"/>
        </w:rPr>
        <w:t>Drat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خدا لعنت کند و عبارت </w:t>
      </w:r>
      <w:r>
        <w:rPr>
          <w:rFonts w:eastAsia="Times New Roman" w:cs="Times New Roman" w:ascii="Times New Roman" w:hAnsi="Times New Roman"/>
          <w:color w:val="111111"/>
          <w:sz w:val="28"/>
          <w:szCs w:val="28"/>
          <w:lang w:val="en-US" w:bidi="en-US"/>
        </w:rPr>
        <w:t>For crying out 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 رو به خدا و عبارت </w:t>
      </w:r>
      <w:r>
        <w:rPr>
          <w:rFonts w:eastAsia="Times New Roman" w:cs="Times New Roman" w:ascii="Times New Roman" w:hAnsi="Times New Roman"/>
          <w:color w:val="111111"/>
          <w:sz w:val="28"/>
          <w:szCs w:val="28"/>
          <w:lang w:val="en-US" w:bidi="en-US"/>
        </w:rPr>
        <w:t>Tarnation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لعن،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فهرستی از کلمات مترادف برای ارتباط توهین آمیز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نزاکتی، دشنام، نفرین، توهین، بی حرمتی، حرمت شکنی، وقاحت، ناسزا و لغت خاص مردم آمریکا واژۀ چهار حرفی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همان حال که بر این فهرست ها افزوده می شود، تعداد کلماتی که مردم آن را توهین آمیز تلقی می کنند نیز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شوخی های رکیک دربارۀ مدفوع یا عمل مربوط به آن، نژادپرستی، جنسیت گرایی، نفرت از هم جنس بازی، یا عبارات تحقیرآمیز یا توهین به افراد ناتوان و علیل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توهین آمیز مانند من زیبا هستم؛ او زشت است یا عباراتی که با خشونت هر چه تمام نشانگر ناخشنودی و نارضایی هستند مانند نظرت حالم رو به هم می زنه را نیز می توان گستاخانه، توهین آمیز و از لحاظ اجتماعی غیر قابل قبول به شمار آورد</w:t>
      </w:r>
      <w:r>
        <w:rPr>
          <w:rFonts w:eastAsia="IRNazanin" w:cs="IRNazanin"/>
          <w:color w:val="111111"/>
          <w:sz w:val="28"/>
          <w:szCs w:val="28"/>
          <w:rtl w:val="true"/>
          <w:lang w:bidi="fa-IR"/>
        </w:rPr>
        <w:t>.</w:t>
      </w:r>
    </w:p>
    <w:p>
      <w:pPr>
        <w:pStyle w:val="Heading3"/>
        <w:numPr>
          <w:ilvl w:val="2"/>
          <w:numId w:val="1"/>
        </w:numPr>
        <w:rPr/>
      </w:pPr>
      <w:bookmarkStart w:id="137" w:name="__RefHeading___Toc1656086_2281741623"/>
      <w:bookmarkStart w:id="138" w:name="_Toc49"/>
      <w:bookmarkEnd w:id="137"/>
      <w:r>
        <w:rPr>
          <w:rtl w:val="true"/>
        </w:rPr>
        <w:t>مشکل ارائۀ تعریفی واحد</w:t>
      </w:r>
      <w:bookmarkEnd w:id="138"/>
    </w:p>
    <w:p>
      <w:pPr>
        <w:pStyle w:val="BookText"/>
        <w:rPr/>
      </w:pPr>
      <w:r>
        <w:rPr>
          <w:rFonts w:ascii="IRNazanin" w:hAnsi="IRNazanin" w:eastAsia="IRNazanin"/>
          <w:color w:val="111111"/>
          <w:sz w:val="28"/>
          <w:sz w:val="28"/>
          <w:szCs w:val="28"/>
          <w:rtl w:val="true"/>
          <w:lang w:bidi="fa-IR"/>
        </w:rPr>
        <w:t>مشکل ارائۀ تعریفی واحد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مقدس عبارت است از بیان نظرات و عقاید مرتبط با خوبی و حقیقت؛ این ارتباط، محوری را تشکیل می دهد که کلمات و حرکات را می توان حول آن ها توجیه نمود ولی چنان چه ارتباطات غیرمقدس را عکس آن تعریف کنیم، یعنی عبارات عبث یا ارتباط غیرعقلانی، آن گاه تعریف ذات </w:t>
      </w:r>
      <w:bookmarkStart w:id="139" w:name="pg3881_27685"/>
    </w:p>
    <w:p>
      <w:pPr>
        <w:pStyle w:val="BookText"/>
        <w:rPr/>
      </w:pPr>
      <w:bookmarkEnd w:id="139"/>
      <w:r>
        <w:rPr>
          <w:rFonts w:ascii="IRNazanin" w:hAnsi="IRNazanin" w:eastAsia="IRNazanin"/>
          <w:color w:val="111111"/>
          <w:sz w:val="28"/>
          <w:sz w:val="28"/>
          <w:szCs w:val="28"/>
          <w:rtl w:val="true"/>
          <w:lang w:bidi="fa-IR"/>
        </w:rPr>
        <w:t>واقعی ارتباط ممکن است سخت و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این پرسش را مطرح می کند که هدف واقعی زبان چیست؟ در سطحی اولیه و ابتدایی، ارتباط، تلاش برای انتقال اطلاعات یا عواطف از یک شخص به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کلمه ای که به عمل انتقال کمک کند، می تواند هم دارای هدف باشد و هم سودمند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برخی افراد به جای کلماتی پسندیده تر از عبارات زننده استفاده می کنند، نشان می دهد که ارتباط غیرمقدس در برخی از شرایط مفید است؛ در حقیقت، تحقیقات نشان داده که عبارات غیرمقدس و توهین آمیز موجب ایجاد احساس مطبوع رهایی یافتن از ناراحتی و استرس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 وجود دارد که کفرگویی نوع مفیدی از برقراری ارتباط می باشد</w:t>
      </w:r>
      <w:r>
        <w:rPr>
          <w:rFonts w:eastAsia="IRNazanin" w:cs="IRNazanin"/>
          <w:color w:val="111111"/>
          <w:sz w:val="28"/>
          <w:szCs w:val="28"/>
          <w:rtl w:val="true"/>
          <w:lang w:bidi="fa-IR"/>
        </w:rPr>
        <w:t>[!]</w:t>
      </w:r>
    </w:p>
    <w:p>
      <w:pPr>
        <w:pStyle w:val="Heading3"/>
        <w:numPr>
          <w:ilvl w:val="2"/>
          <w:numId w:val="1"/>
        </w:numPr>
        <w:rPr/>
      </w:pPr>
      <w:bookmarkStart w:id="140" w:name="__RefHeading___Toc1656088_2281741623"/>
      <w:bookmarkStart w:id="141" w:name="_Toc50"/>
      <w:bookmarkEnd w:id="140"/>
      <w:r>
        <w:rPr>
          <w:rtl w:val="true"/>
        </w:rPr>
        <w:t>معانی ثالثیه</w:t>
      </w:r>
      <w:bookmarkEnd w:id="141"/>
    </w:p>
    <w:p>
      <w:pPr>
        <w:pStyle w:val="BookText"/>
        <w:rPr/>
      </w:pPr>
      <w:r>
        <w:rPr>
          <w:rFonts w:ascii="IRNazanin" w:hAnsi="IRNazanin" w:eastAsia="IRNazanin"/>
          <w:color w:val="111111"/>
          <w:sz w:val="28"/>
          <w:sz w:val="28"/>
          <w:szCs w:val="28"/>
          <w:rtl w:val="true"/>
          <w:lang w:bidi="fa-IR"/>
        </w:rPr>
        <w:t>معانی ثالثیه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برخی ناظرین، مردم بیشتر بدون این که از معنی ریشه ای کلمات آگاهی داشته باشند آن ها را بد یا توهین آمیز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این تفکر رشد می یابند که برخی از عبارات بسیار بد و غیراخلاقی بوده و هرگز نباید آن ها را بر زبان بیاورند، با این وجود آن ها نمی توانند درک کنند که چرا برخی از لغات ذاتاً بد و زننده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هنوز نمی دانند که برخی لغات در بعضی شرایط توهین آمیز و کفرآمیز بوده و در شرایطی دیگر قابل قبول هستند؛ برای نمونه، گفتن عبارت یا عیسی مسیح آن هم با اشتیاق زیاد در کلیسا و نه در مکان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واژۀ </w:t>
      </w:r>
      <w:r>
        <w:rPr>
          <w:rFonts w:eastAsia="Times New Roman" w:cs="Times New Roman" w:ascii="Times New Roman" w:hAnsi="Times New Roman"/>
          <w:color w:val="111111"/>
          <w:sz w:val="28"/>
          <w:szCs w:val="28"/>
          <w:lang w:val="en-US" w:bidi="en-US"/>
        </w:rPr>
        <w:t>broad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توصیف مردی با شکم بزرگ یا قفسۀ سینۀ فراخ مشکلی ندارد ولی نباید این واژه را برای یک زن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که توهین آمیز قلمداد می شوند با گذشت زمان </w:t>
      </w:r>
      <w:bookmarkStart w:id="142" w:name="pg3881_27687"/>
    </w:p>
    <w:p>
      <w:pPr>
        <w:pStyle w:val="BookText"/>
        <w:rPr/>
      </w:pPr>
      <w:bookmarkEnd w:id="142"/>
      <w:r>
        <w:rPr>
          <w:rFonts w:ascii="IRNazanin" w:hAnsi="IRNazanin" w:eastAsia="IRNazanin"/>
          <w:color w:val="111111"/>
          <w:sz w:val="28"/>
          <w:sz w:val="28"/>
          <w:szCs w:val="28"/>
          <w:rtl w:val="true"/>
          <w:lang w:bidi="fa-IR"/>
        </w:rPr>
        <w:t>تغییر کرده و در بین فرهنگ های گوناگون دارای معانی متفاوتی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ترجمۀ اصلی اِنجیل کلمۀ </w:t>
      </w:r>
      <w:r>
        <w:rPr>
          <w:rFonts w:eastAsia="Times New Roman" w:cs="Times New Roman" w:ascii="Times New Roman" w:hAnsi="Times New Roman"/>
          <w:color w:val="111111"/>
          <w:sz w:val="28"/>
          <w:szCs w:val="28"/>
          <w:lang w:val="en-US" w:bidi="en-US"/>
        </w:rPr>
        <w:t>piss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شده است ولی در ترجمۀ امروزی آن این واژه به </w:t>
      </w:r>
      <w:r>
        <w:rPr>
          <w:rFonts w:eastAsia="Times New Roman" w:cs="Times New Roman" w:ascii="Times New Roman" w:hAnsi="Times New Roman"/>
          <w:color w:val="111111"/>
          <w:sz w:val="28"/>
          <w:szCs w:val="28"/>
          <w:lang w:val="en-US" w:bidi="en-US"/>
        </w:rPr>
        <w:t>urinate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کِبک، در عبارات توهین آمیز، از کلماتی برگرفته از مذهب کاتولیک و آیین عشای ربانی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راه برای نشان دادن عصبانیت، فریاد کشیدنِ واژه هایی مانند </w:t>
      </w:r>
      <w:r>
        <w:rPr>
          <w:rFonts w:eastAsia="Times New Roman" w:cs="Times New Roman" w:ascii="Times New Roman" w:hAnsi="Times New Roman"/>
          <w:color w:val="111111"/>
          <w:sz w:val="28"/>
          <w:szCs w:val="28"/>
          <w:lang w:val="en-US" w:bidi="en-US"/>
        </w:rPr>
        <w:t>tabarnak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sacrament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calice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جام خون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3" w:name="__RefHeading___Toc1656090_2281741623"/>
      <w:bookmarkStart w:id="144" w:name="_Toc51"/>
      <w:bookmarkEnd w:id="143"/>
      <w:r>
        <w:rPr>
          <w:rtl w:val="true"/>
        </w:rPr>
        <w:t>تعریفی مدرن از کفرگویی</w:t>
      </w:r>
      <w:bookmarkEnd w:id="144"/>
    </w:p>
    <w:p>
      <w:pPr>
        <w:pStyle w:val="BookText"/>
        <w:rPr/>
      </w:pPr>
      <w:r>
        <w:rPr>
          <w:rFonts w:ascii="IRNazanin" w:hAnsi="IRNazanin" w:eastAsia="IRNazanin"/>
          <w:color w:val="111111"/>
          <w:sz w:val="28"/>
          <w:sz w:val="28"/>
          <w:szCs w:val="28"/>
          <w:rtl w:val="true"/>
          <w:lang w:bidi="fa-IR"/>
        </w:rPr>
        <w:t>تعریفی مدرن از کفرگویی</w:t>
      </w:r>
    </w:p>
    <w:p>
      <w:pPr>
        <w:pStyle w:val="BookText"/>
        <w:rPr/>
      </w:pPr>
      <w:r>
        <w:rPr>
          <w:rFonts w:ascii="IRNazanin" w:hAnsi="IRNazanin" w:eastAsia="IRNazanin"/>
          <w:color w:val="111111"/>
          <w:sz w:val="28"/>
          <w:sz w:val="28"/>
          <w:szCs w:val="28"/>
          <w:rtl w:val="true"/>
          <w:lang w:bidi="fa-IR"/>
        </w:rPr>
        <w:t xml:space="preserve">جفری هیو در کتاب خود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کفرگویی مدرن را تشکیل می دهند قالباً به بخش هایی از بدن از قبیل مقعد و آلت تناسلی اشاره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 زننده ترین لغات آن هایی هستند که به فعالیت ها یا کارکردهای آلت تناسلی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مفسرین معتقدند که مردم از بحث و گفت وگو دربارۀ ویژگی های مشترکی که آن ها با حیوانات دارند، به ویژه رابطۀ جنسی، اندام های جنسی و مدفوع کردن،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کلامیِ رایج امروزی کلمات خاصی را در برمی گیرد که در محیط های عمومی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کمیسیون استانداردهای خبرپراکنی بریتانیا، کمیسیون تلویزیون مستقل،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هیئت استانداردهای تبلیغاتی فهرست لغاتی را که عموماً توهین آمیز تلقی می شدند، به تصویب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و یافته های مربوط به آن به طور شایسته ای حذف ناسزاها</w:t>
      </w:r>
      <w:r>
        <w:rPr>
          <w:rStyle w:val="FootnoteAnchor"/>
          <w:rtl w:val="true"/>
        </w:rPr>
        <w:footnoteReference w:id="30"/>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31"/>
      </w:r>
      <w:bookmarkStart w:id="145" w:name="pg3881_27689"/>
    </w:p>
    <w:p>
      <w:pPr>
        <w:pStyle w:val="BookText"/>
        <w:rPr/>
      </w:pPr>
      <w:bookmarkEnd w:id="145"/>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کمیسیون ارتباطات فدرال، قانونی تصویب کرد که به موجب آن سخنان توهین آمیز این گونه 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گفتاری که بسیار زننده است، خواه با کلمات مرتبط با سکس یا مدفوع کردن ارتباطی داشته باشد و خواه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مکمل قانونی است که </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برنامۀ طنز جُرج کارلین، که در آن از کلمات توهین آمیز بسیاری در یک شبکۀ تلویزیونی پربیننده استفاده می شد،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هفت کلمه ای که شما هرگز نمی توانید در تلویزیون بیان کنید،</w:t>
      </w:r>
      <w:r>
        <w:rPr>
          <w:rStyle w:val="FootnoteAnchor"/>
          <w:rtl w:val="true"/>
        </w:rPr>
        <w:footnoteReference w:id="32"/>
      </w:r>
      <w:r>
        <w:rPr>
          <w:rFonts w:ascii="IRNazanin" w:hAnsi="IRNazanin" w:eastAsia="IRNazanin"/>
          <w:color w:val="111111"/>
          <w:sz w:val="28"/>
          <w:sz w:val="28"/>
          <w:szCs w:val="28"/>
          <w:rtl w:val="true"/>
          <w:lang w:bidi="fa-IR"/>
        </w:rPr>
        <w:t>می گوید که از چنین لغاتی نمی توان در زمان هایی که امکان تماشای تلویزیون از سوی کودکان وجود دارد، بهره برد</w:t>
      </w:r>
      <w:r>
        <w:rPr>
          <w:rFonts w:eastAsia="IRNazanin" w:cs="IRNazanin"/>
          <w:color w:val="111111"/>
          <w:sz w:val="28"/>
          <w:szCs w:val="28"/>
          <w:rtl w:val="true"/>
          <w:lang w:bidi="fa-IR"/>
        </w:rPr>
        <w:t>.</w:t>
      </w:r>
    </w:p>
    <w:p>
      <w:pPr>
        <w:pStyle w:val="Heading3"/>
        <w:numPr>
          <w:ilvl w:val="2"/>
          <w:numId w:val="1"/>
        </w:numPr>
        <w:rPr/>
      </w:pPr>
      <w:bookmarkStart w:id="146" w:name="__RefHeading___Toc1656092_2281741623"/>
      <w:bookmarkStart w:id="147" w:name="_Toc52"/>
      <w:bookmarkEnd w:id="146"/>
      <w:r>
        <w:rPr>
          <w:rtl w:val="true"/>
        </w:rPr>
        <w:t>پیشینه</w:t>
      </w:r>
      <w:bookmarkEnd w:id="147"/>
    </w:p>
    <w:p>
      <w:pPr>
        <w:pStyle w:val="BookText"/>
        <w:rPr/>
      </w:pP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کفرگویی همیشه نگرانی اولیۀ مسئولین کلیسا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سیزده و چهارده، راهبه های کاتولیک هنگامی که دربارۀ بخشی از زندگی عیسی مسیح یا موضوعاتی مربوط به کلیسا، حتی به صورت شوخی، صحبت می کردند، به شدت تنبیه می شدند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چهاردهم، کشیش نیکولاس اِیمریخ بر این عقیده بود که ارتباط مستقیمی میان روش سخن گفتن مردم و بصیرت آن ها وجود دارد؛ وی عقیده داشت افرادی که دشنام و ناسزا می گویند از لحاظ روحی بیمار بوده و این سخنانِ خودانگیخته نشان دهندۀ روحی فاسد و آمادگی برای کفرگویی مذهبی و ارتداد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پانزدهم و اوایل قرن شانزدهم، مسئولین کلیسا بر این عقیده بودند که ناسزاگویی بزرگ ترین خطری است که پاکی و خلوص کلیسا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لغات توهین آمیزِ به کار برده شده از تقدس برخوردار باشند، آن گاه باعث به وجود آمدن ارتباط غیرمقدس شده و </w:t>
      </w:r>
    </w:p>
    <w:p>
      <w:pPr>
        <w:pStyle w:val="BookText"/>
        <w:rPr/>
      </w:pPr>
      <w:r>
        <w:rPr>
          <w:rFonts w:ascii="IRNazanin" w:hAnsi="IRNazanin" w:eastAsia="IRNazanin"/>
          <w:color w:val="111111"/>
          <w:sz w:val="28"/>
          <w:sz w:val="28"/>
          <w:szCs w:val="28"/>
          <w:rtl w:val="true"/>
          <w:lang w:bidi="fa-IR"/>
        </w:rPr>
        <w:t>این توان را خواهند داشت که به آسمان ها و خدا توهین نموده و از این رو باعث نزول خشم خداوند بر همگی جامعه و نیز سرازیر شدن بیماری های واگیردار، مرگ و میر و سیل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شوراهایی تشکیل شد و افراد برای به کار بردن الفاظ توهین آمیز محاکمه و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مجازات هایی که برای این افراد در نظر می گرفتند عبارت بود از شلاق زدن، تبعید، داغ گذاشتن بر روی لب ها توسط آهن داغ، قطع زبان، پوزبند زدن بر دهان به مانند سگ و نشاندن شخص به صورت برعکس بر روی الاغ و گرداندن وی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به کاربرندۀ الفاظ توهین آمیز بهتر از الاغی نیست که بر آن سوار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کفرگویی نوشتاری از حدود اواسط قرن شانزدهم آغاز شده است؛ به ویژه در آثار ویلیام 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واژه های مرتبط با سکس، خشونت، جنایت، نژادپرستی، هجو مذهبی، کفرگویی و سیاست در نمایش نامه های شکسپیر، مسئله ای غیرعادی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ادبی بر این عقیده بودند که شهرت نمایش نامه های شکسپیر مستقیماً مرتبط با این حقیقت است که آن ها سرشار از دشنام های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دشنام های مذهبی و مطالب تند و زننده روش هایی بودند که شکسپیر توسط آن ها به مبارزه با سخنان توهین آمیز و بی عدالتی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نمایش نامه های شکسپیر کاملا مورد سانسور قرار گرفتند تا بدین وسیله از انحراف افکار و عقاید جوانان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سانسور و نگرانی شدید مسئولین کلیسا از کفرگویی در نهایت منجر به طرح مباحثی شد که باعث ایجاد شک و بدبینی دربارۀ کلیسا و رویه های مرتبط با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ردیه نویس های سکولار و روحانیون کلیسا این گونه دلیل می آوردند که کفرگویی همیشه هم ناپسند نیست؛ گرچه </w:t>
      </w:r>
      <w:bookmarkStart w:id="148" w:name="pg3881_27693"/>
    </w:p>
    <w:p>
      <w:pPr>
        <w:pStyle w:val="BookText"/>
        <w:rPr/>
      </w:pPr>
      <w:bookmarkEnd w:id="148"/>
      <w:r>
        <w:rPr>
          <w:rFonts w:ascii="IRNazanin" w:hAnsi="IRNazanin" w:eastAsia="IRNazanin"/>
          <w:color w:val="111111"/>
          <w:sz w:val="28"/>
          <w:sz w:val="28"/>
          <w:szCs w:val="28"/>
          <w:rtl w:val="true"/>
          <w:lang w:bidi="fa-IR"/>
        </w:rPr>
        <w:t>ممکن است بی نزاکتی گاهی اوقات خشونت آمیز و توهین آمیز باشد ولی در همان حال می تواند بی زیان و نوعی شوخی غیرمستقیم برای رهایی از عصبانیت و پریشانی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نزاکتی می تواند پاسخی غیرارادی به ناراحتی، شادی یا اضطراب باشد یا ممکن است به صورتی استراتژیک برای تحریک جنسی یا برانگیختن رفتارهای عاطفی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عصبی ـ روانی ـ اجتماعیِ دشنام گویی می گوید که زبان، همانند یک حرکت یا ژست فیزیکی می تواند نوعی شیوۀ عملکرد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اجتماعی بر این عقیده اند که بهتر است افراد به دشنام گویی بپردازند تا این که تخیلات خشونت آمیز خود را بروز دهند</w:t>
      </w:r>
      <w:r>
        <w:rPr>
          <w:rFonts w:eastAsia="IRNazanin" w:cs="IRNazanin"/>
          <w:color w:val="111111"/>
          <w:sz w:val="28"/>
          <w:szCs w:val="28"/>
          <w:rtl w:val="true"/>
          <w:lang w:bidi="fa-IR"/>
        </w:rPr>
        <w:t>.</w:t>
      </w:r>
    </w:p>
    <w:p>
      <w:pPr>
        <w:pStyle w:val="Heading3"/>
        <w:numPr>
          <w:ilvl w:val="2"/>
          <w:numId w:val="1"/>
        </w:numPr>
        <w:rPr/>
      </w:pPr>
      <w:bookmarkStart w:id="149" w:name="__RefHeading___Toc1656094_2281741623"/>
      <w:bookmarkStart w:id="150" w:name="_Toc53"/>
      <w:bookmarkEnd w:id="149"/>
      <w:r>
        <w:rPr>
          <w:rtl w:val="true"/>
        </w:rPr>
        <w:t>آینده</w:t>
      </w:r>
      <w:bookmarkEnd w:id="150"/>
    </w:p>
    <w:p>
      <w:pPr>
        <w:pStyle w:val="BookText"/>
        <w:rPr/>
      </w:pPr>
      <w:r>
        <w:rPr>
          <w:rFonts w:ascii="IRNazanin" w:hAnsi="IRNazanin" w:eastAsia="IRNazanin"/>
          <w:color w:val="111111"/>
          <w:sz w:val="28"/>
          <w:sz w:val="28"/>
          <w:szCs w:val="28"/>
          <w:rtl w:val="true"/>
          <w:lang w:bidi="fa-IR"/>
        </w:rPr>
        <w:t>آینده</w:t>
      </w:r>
    </w:p>
    <w:p>
      <w:pPr>
        <w:pStyle w:val="BookText"/>
        <w:rPr/>
      </w:pPr>
      <w:r>
        <w:rPr>
          <w:rFonts w:ascii="IRNazanin" w:hAnsi="IRNazanin" w:eastAsia="IRNazanin"/>
          <w:color w:val="111111"/>
          <w:sz w:val="28"/>
          <w:sz w:val="28"/>
          <w:szCs w:val="28"/>
          <w:rtl w:val="true"/>
          <w:lang w:bidi="fa-IR"/>
        </w:rPr>
        <w:t>سخن گفتن، فعال کنندۀ تخیلات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وجود ندارد که ذهن بشر قادر به تولید کلمات، نشانه ها و اَعمال مقدس و توهن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قطعه ای دیگر از معمای تکامل پیچیدۀ ارتباط مذهبی، ارتباط غیرمقدس به ما کمک می کند تا بفهمیم که چگونه گفتار ناشایست به نگرانی اولیۀ مسئولین کلیسا و جامعه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مقدس و غیرمقدس دوش به دوش یکدیگر وجود دارند، یکی به آشکار شدن دیگری کمک می کند و به نظر می رسد که نقش آتی ارتباط غیرمقدس مشابه با نقشی خواهد شد که در گذشته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متیو نلسِن درامهلر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علی اصغر حداد </w:t>
      </w:r>
      <w:bookmarkStart w:id="151" w:name="pg3881_27695"/>
    </w:p>
    <w:p>
      <w:pPr>
        <w:pStyle w:val="Heading3"/>
        <w:numPr>
          <w:ilvl w:val="2"/>
          <w:numId w:val="1"/>
        </w:numPr>
        <w:rPr/>
      </w:pPr>
      <w:bookmarkStart w:id="152" w:name="__RefHeading___Toc1656096_2281741623"/>
      <w:bookmarkStart w:id="153" w:name="_Toc54"/>
      <w:bookmarkEnd w:id="151"/>
      <w:bookmarkEnd w:id="152"/>
      <w:r>
        <w:rPr>
          <w:rtl w:val="true"/>
        </w:rPr>
        <w:t>برای مطالعۀ بیشتر</w:t>
      </w:r>
      <w:bookmarkEnd w:id="153"/>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Burchfield, R. (1972). Unlocking the English language. London: Faber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Guerlac, S. (1997). Literary polemics. Stanford, CA: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Hughes, G (1991). Swearing: Asocial history of foul language, oaths and profanity in English.Oxford: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Jay. T (2000). Why we curse: Aneuro-psycho-social theory of peech. Amsterdam and Philadelphia: Benjamins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Montagu, A. (1973). The anatomy of swearing. London and New York: Macmillan and Collier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Partridge, E. (1960). Slang(3rd ed.). London: Routledge and Kegan Paul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Rawson, H. (1989). Wicked words.New York: Crown Publishers</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Ullmann, S. (1951). Words and their use. London: Frederick Muller</w:t>
      </w:r>
      <w:r>
        <w:rPr>
          <w:rFonts w:eastAsia="Times New Roman" w:cs="Times New Roman" w:ascii="Times New Roman" w:hAnsi="Times New Roman"/>
          <w:color w:val="111111"/>
          <w:sz w:val="28"/>
          <w:szCs w:val="28"/>
          <w:rtl w:val="true"/>
          <w:lang w:val="en-US" w:bidi="en-US"/>
        </w:rPr>
        <w:t xml:space="preserve">. </w:t>
      </w:r>
      <w:bookmarkStart w:id="154" w:name="pg3881_27697"/>
    </w:p>
    <w:p>
      <w:pPr>
        <w:pStyle w:val="Heading2"/>
        <w:numPr>
          <w:ilvl w:val="1"/>
          <w:numId w:val="1"/>
        </w:numPr>
        <w:rPr/>
      </w:pPr>
      <w:bookmarkStart w:id="155" w:name="__RefHeading___Toc1656098_2281741623"/>
      <w:bookmarkStart w:id="156" w:name="_Toc55"/>
      <w:bookmarkEnd w:id="154"/>
      <w:bookmarkEnd w:id="155"/>
      <w:r>
        <w:rPr>
          <w:rtl w:val="true"/>
        </w:rPr>
        <w:t>ارتباطات ماهواره ای</w:t>
      </w:r>
      <w:bookmarkEnd w:id="156"/>
    </w:p>
    <w:p>
      <w:pPr>
        <w:pStyle w:val="Heading3"/>
        <w:numPr>
          <w:ilvl w:val="2"/>
          <w:numId w:val="1"/>
        </w:numPr>
        <w:rPr/>
      </w:pPr>
      <w:bookmarkStart w:id="157" w:name="__RefHeading___Toc1656100_2281741623"/>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ارتباطات ماهواره 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ماهواره ای تلویزیون، رادیو و هم چنین ارتباطات مخابراتی، میان سکوهای مستقر در فضا و آنتن های موجود در زمین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آرتور چارلز کلارک، نویسندة داستان های علمی ـ تخیلی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ایدة استفاده از قمرهای مصنوعی را برای برقراری ارتباطات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بینی کرد، اگر سه ماهواره در </w:t>
      </w:r>
      <w:r>
        <w:rPr>
          <w:rFonts w:eastAsia="IRNazanin" w:cs="IRNazanin"/>
          <w:color w:val="111111"/>
          <w:sz w:val="28"/>
          <w:szCs w:val="28"/>
          <w:lang w:bidi="fa-IR"/>
        </w:rPr>
        <w:t>22300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بالای خط استوا مستقر باشند، می توانند سیگنال ها را برای پخش در همۀ نقاط زمین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 ن ارتفاع، ماهواره با سرعتی مشابه سرعت زمین حرکت می کند و این کار باعث می شود که از زمین ساکن به نظر آیند؛ این پدیده معروف به چرخش همزمانی</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شوروی سابق با پرتاب اسپوتینک، ماهواره ای را برای گردش به دور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ایالات متحده نیز این کار را کرد ولی تنها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که تل استار آی شروع به کار کرد ـ ماهواره ای برای انتقال سیگنال ها میان ایالات متحده و اروپا استفاده شد و بدین سان دوران جدیدی در ارتباطات گروهی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رادیو و تلویزیون به </w:t>
      </w:r>
      <w:bookmarkStart w:id="159" w:name="pg3881_27699"/>
    </w:p>
    <w:p>
      <w:pPr>
        <w:pStyle w:val="BookText"/>
        <w:rPr/>
      </w:pPr>
      <w:bookmarkEnd w:id="159"/>
      <w:r>
        <w:rPr>
          <w:rFonts w:ascii="IRNazanin" w:hAnsi="IRNazanin" w:eastAsia="IRNazanin"/>
          <w:color w:val="111111"/>
          <w:sz w:val="28"/>
          <w:sz w:val="28"/>
          <w:szCs w:val="28"/>
          <w:rtl w:val="true"/>
          <w:lang w:bidi="fa-IR"/>
        </w:rPr>
        <w:t>وجود آمدند، نهادهای دینی از آن ها برای موعظه و تبلیغ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مورخ پخش برنامه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هارولد النس یادآوری می کند که اولین صدای پخش شده ـ پخش شب کریسمسِ رجینالد فسندن با تک نوازی ویولن با نام ای شب مقدس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معروف دینی از قبیل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گراهام و رکس هامبارد اولین بار از رسانة الکترونیک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فقط در دو دهة آخر قرن بیستم بود که ماهواره ها برای پخش پیام های دینیِ بسیار گسترده از شنوندگان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ماهواره های سی ـ باند استفاده شد تا مفهوم دینی را در اختیار مجاری پخش برنامه و سامانه های کابلی تلویزیونی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کلیسا ها از سیستم پخش ماهواره ای مستقیم به خانه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ارائة خدمات عبادی و تشکیل گروه های دینی به شکل جدید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بینندگان نیاز داشتند که بشقاب های ماهواره ای گران و بزرگ یا ایستگاه های زمینی دریافت انحصاری تلویزیون</w:t>
      </w:r>
      <w:r>
        <w:rPr>
          <w:rStyle w:val="FootnoteAnchor"/>
          <w:rtl w:val="true"/>
        </w:rPr>
        <w:footnoteReference w:id="35"/>
      </w:r>
      <w:r>
        <w:rPr>
          <w:rFonts w:ascii="IRNazanin" w:hAnsi="IRNazanin" w:eastAsia="IRNazanin"/>
          <w:color w:val="111111"/>
          <w:sz w:val="28"/>
          <w:sz w:val="28"/>
          <w:szCs w:val="28"/>
          <w:rtl w:val="true"/>
          <w:lang w:bidi="fa-IR"/>
        </w:rPr>
        <w:t>را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ماهواره های کیوـ باند، که قدرت بیشتری داشتند، به همراه پیشرفت هایی در زمینة فشرده سازی دیجیتالی تصاویر، منجر به تولید گیرنده های کوچک تر و ارزان تر شد و این کار توان بالقوه ای را برای دسترسی گسترۀ وسیع تری از مخاطبین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خانه فراهم ساخت</w:t>
      </w:r>
      <w:r>
        <w:rPr>
          <w:rFonts w:eastAsia="IRNazanin" w:cs="IRNazanin"/>
          <w:color w:val="111111"/>
          <w:sz w:val="28"/>
          <w:szCs w:val="28"/>
          <w:rtl w:val="true"/>
          <w:lang w:bidi="fa-IR"/>
        </w:rPr>
        <w:t>.</w:t>
      </w:r>
    </w:p>
    <w:p>
      <w:pPr>
        <w:pStyle w:val="Heading3"/>
        <w:numPr>
          <w:ilvl w:val="2"/>
          <w:numId w:val="1"/>
        </w:numPr>
        <w:rPr/>
      </w:pPr>
      <w:bookmarkStart w:id="160" w:name="__RefHeading___Toc1656102_2281741623"/>
      <w:bookmarkStart w:id="161" w:name="_Toc57"/>
      <w:bookmarkEnd w:id="160"/>
      <w:r>
        <w:rPr>
          <w:rtl w:val="true"/>
        </w:rPr>
        <w:t>تبشیر با تلویزیون ماهواره ای</w:t>
      </w:r>
      <w:bookmarkEnd w:id="161"/>
    </w:p>
    <w:p>
      <w:pPr>
        <w:pStyle w:val="BookText"/>
        <w:rPr/>
      </w:pPr>
      <w:r>
        <w:rPr>
          <w:rFonts w:ascii="IRNazanin" w:hAnsi="IRNazanin" w:eastAsia="IRNazanin"/>
          <w:color w:val="111111"/>
          <w:sz w:val="28"/>
          <w:sz w:val="28"/>
          <w:szCs w:val="28"/>
          <w:rtl w:val="true"/>
          <w:lang w:bidi="fa-IR"/>
        </w:rPr>
        <w:t>تبشیر با تلویزیون ماهواره ای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بنیادگرا، از اولین نهادهای دینی ای بودند که از پخش برنامة رادیویی استفاده کردند و اولین گروهی بودند که در ایالات متحده توان پخش برنامة ماهواره ای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سیاست اولیة پخش برنامة ایالات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متحده تا اندازه ای بر این کار تأثیر گذاشت؛ زیرا پخش کننده های رادیویی تمایل داشتند که از مجادله دوری کنند ولی بیشتر رهبران پروتستان و کاتولیک، زمان پخش برنامه ها را از دسترس دیگران مخفی می کردند یا خالی می گذاشتند تا مبلغان مسیحی بنیادگرا و چهره های جنجالی از قبیل پدر چارلز ای کاگلین ساکن دیتروید، از خرید زمان پخش برنامه محروم بمانند ولی نتیجة این کشمکش طولانی بر سر خرید زمان پخش، این شد که خریدِ حق پخش، برای پخش کننده های دینی باصرفه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پت رابرتسِن نیز همین گونه بود؛ او تلویزیون</w:t>
      </w:r>
      <w:r>
        <w:rPr>
          <w:rFonts w:eastAsia="Times New Roman" w:cs="Times New Roman" w:ascii="Times New Roman" w:hAnsi="Times New Roman"/>
          <w:color w:val="111111"/>
          <w:sz w:val="28"/>
          <w:szCs w:val="28"/>
          <w:lang w:val="en-US" w:bidi="en-US"/>
        </w:rPr>
        <w:t>UHF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پورتسموث ایالت ویرجینیا را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خرید و به تدریج از فن آوری ماهواره ای برای تبدیل آن به شبکة پخش برنامة مسیحی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رابرتسِن ایستگاه زمینی ماهواره ای را برای فرستادن برنامه های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ایستگاه های تلویزیونی تجاری دایر کرد که در سراسر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پخش را از آنان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به معنی صرفه جویی در هزینه های پخش رابرتسِن بود ولی او با سرمشق از </w:t>
      </w:r>
      <w:r>
        <w:rPr>
          <w:rFonts w:eastAsia="Times New Roman" w:cs="Times New Roman" w:ascii="Times New Roman" w:hAnsi="Times New Roman"/>
          <w:color w:val="111111"/>
          <w:sz w:val="28"/>
          <w:szCs w:val="28"/>
          <w:lang w:val="en-US" w:bidi="en-US"/>
        </w:rPr>
        <w:t>HBO</w:t>
      </w:r>
      <w:r>
        <w:rPr>
          <w:rStyle w:val="FootnoteAnchor"/>
          <w:rtl w:val="true"/>
        </w:rPr>
        <w:footnoteReference w:id="37"/>
      </w:r>
      <w:r>
        <w:rPr>
          <w:rFonts w:ascii="IRNazanin" w:hAnsi="IRNazanin" w:eastAsia="IRNazanin"/>
          <w:color w:val="111111"/>
          <w:sz w:val="28"/>
          <w:sz w:val="28"/>
          <w:szCs w:val="28"/>
          <w:rtl w:val="true"/>
          <w:lang w:bidi="fa-IR"/>
        </w:rPr>
        <w:t xml:space="preserve">و ارائة شبکۀ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اپراتورهای کابلی مخاطبان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مخاطبان بیشتری از افراد تحصیل کرده و دولتمردان را جذب کرد و بیش از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کمک نقدی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در این راه تنها نبود، دیگر اونجلیست ها، مانند اْرال رابرتز، جیم بیکر و جیمی سواگارت نیز از راه پخش برنامه های ماهواره ای شان بسیار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رابرتسِن،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تنها محدود به برنامه های دینی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 ترین برنامه های این شبکه، باشگاه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بود که بر اساس موفقیت اولیۀ رابرتسِن در جذب ماهانه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باشگاهی متشکل از هفتصد مشارکت کننده در امر همیاری، تأسیس شده بود؛ این برنامه، اخبار، </w:t>
      </w:r>
    </w:p>
    <w:p>
      <w:pPr>
        <w:pStyle w:val="BookText"/>
        <w:rPr/>
      </w:pPr>
      <w:r>
        <w:rPr>
          <w:rFonts w:ascii="IRNazanin" w:hAnsi="IRNazanin" w:eastAsia="IRNazanin"/>
          <w:color w:val="111111"/>
          <w:sz w:val="28"/>
          <w:sz w:val="28"/>
          <w:szCs w:val="28"/>
          <w:rtl w:val="true"/>
          <w:lang w:bidi="fa-IR"/>
        </w:rPr>
        <w:t>مصاحبه و تفاسیر را با نیایش و با مشارکت بینندگان ترکیب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برنامه های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سرگرمی های خانواده و برنامه هایی هماهنگ با ایده آل های مسیحی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با نام جدید کانال خانواده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در معافیت از مالیات به موفقیت بزرگی رسید ولی رابرتسِن مجبور شد که به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ماهیتی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خانوادگی بین المللی بخشد، که به تدریج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فاکس و سپس به در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دیزنی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حال حاضر به عنوان کانال خانوادۀ</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معروف است و به پخش برنامۀ 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گسترده تر از </w:t>
      </w:r>
      <w:r>
        <w:rPr>
          <w:rFonts w:eastAsia="Times New Roman" w:cs="Times New Roman" w:ascii="Times New Roman" w:hAnsi="Times New Roman"/>
          <w:color w:val="111111"/>
          <w:sz w:val="28"/>
          <w:szCs w:val="28"/>
          <w:lang w:val="en-US" w:bidi="en-US"/>
        </w:rPr>
        <w:t>CBN</w:t>
      </w:r>
      <w:r>
        <w:rPr>
          <w:rFonts w:ascii="IRNazanin" w:hAnsi="IRNazanin" w:eastAsia="IRNazanin"/>
          <w:color w:val="111111"/>
          <w:sz w:val="28"/>
          <w:sz w:val="28"/>
          <w:szCs w:val="28"/>
          <w:rtl w:val="true"/>
          <w:lang w:bidi="fa-IR"/>
        </w:rPr>
        <w:t>، شبکة پخش برنامة تثلیث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پال کراچ آن را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 هم مانند رابرتسِن با خرید ایستگاه تلویزیونی </w:t>
      </w:r>
      <w:r>
        <w:rPr>
          <w:rFonts w:eastAsia="Times New Roman" w:cs="Times New Roman" w:ascii="Times New Roman" w:hAnsi="Times New Roman"/>
          <w:color w:val="111111"/>
          <w:sz w:val="28"/>
          <w:szCs w:val="28"/>
          <w:lang w:val="en-US" w:bidi="en-US"/>
        </w:rPr>
        <w:t>UHF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اندازه ای کوچک در کالیفرنیای جنوبی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در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تقریباً مالک صد ایستگاه تلویزیونی بود که هر کدام از آن ها تبدیل به خروجی پخش برنامه های مسیحی تمام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 ادعا کرد، صاحب الهامی به این مضمون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پرتوهای روشنایی بیرون جهید و به بیشتر شهرهای آمریکا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باریک نور از آن ها سرچشمه گرفت و نقطه هایی کوچک از نور را به وجود آورد و همۀ کشور مانند مشعلی، شبکه ای از نور فراگیر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پس از این ادعا، فن آوری ماهواره در خدمت پیشرفت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 و رشد آن را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خداوند دربارة معنی رؤیای اش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کلمه ای به او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رؤیا، کراچ را به سوی اجارة ترانسپوندرهایی روی ماهواره های </w:t>
      </w:r>
      <w:r>
        <w:rPr>
          <w:rFonts w:eastAsia="Times New Roman" w:cs="Times New Roman" w:ascii="Times New Roman" w:hAnsi="Times New Roman"/>
          <w:color w:val="111111"/>
          <w:sz w:val="28"/>
          <w:szCs w:val="28"/>
          <w:lang w:val="en-US" w:bidi="en-US"/>
        </w:rPr>
        <w:t>RCA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دسترسی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تلویزیونی و تقریباً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مشترک کابلی در اواسط دهة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برای اش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 لنگر محبوب ترین برنامه های </w:t>
      </w:r>
      <w:r>
        <w:rPr>
          <w:rFonts w:eastAsia="Times New Roman" w:cs="Times New Roman" w:ascii="Times New Roman" w:hAnsi="Times New Roman"/>
          <w:color w:val="111111"/>
          <w:sz w:val="28"/>
          <w:szCs w:val="28"/>
          <w:lang w:val="en-US" w:bidi="en-US"/>
        </w:rPr>
        <w:t>TBN</w:t>
      </w:r>
      <w:r>
        <w:rPr>
          <w:rFonts w:ascii="IRNazanin" w:hAnsi="IRNazanin" w:eastAsia="IRNazanin"/>
          <w:color w:val="111111"/>
          <w:sz w:val="28"/>
          <w:sz w:val="28"/>
          <w:szCs w:val="28"/>
          <w:rtl w:val="true"/>
          <w:lang w:bidi="fa-IR"/>
        </w:rPr>
        <w:t>، یعنی نمایش ستایش پروردگار را محکم کرد؛ برنامه ای که مشتمل بر مصاحبه ها و اجراهای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هم چنین از فن آوری ماهواره ای برای پخش رخدادهای دور از دسترس به شکل زنده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وسیلة انتقال دهندة ماهوارة قابل حملی بر روی کامیون هجده چرخ ساخت که پرتوگر مقدس</w:t>
      </w:r>
      <w:r>
        <w:rPr>
          <w:rStyle w:val="FootnoteAnchor"/>
          <w:rtl w:val="true"/>
        </w:rPr>
        <w:footnoteReference w:id="41"/>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 با اتهام کهنه پرستی، تبعیض جنسی، تحمیل کار غیرمنصفانه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ادعاهایی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ولخرجی متظاهرانه و تلاش برای کتمان عشق بازی هم جنس گرایانه با کارمند سابق اش، چهره ا ی جنجالی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بحث برانگیزترین چهره در پخش برنامه های دینی، جیم بیکر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دهة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برای رابرتسِن کار می کرد و در سال</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برای کراچ، این پیش از راه اندازی شبکة تلویزیونی اش، باشگاه </w:t>
      </w:r>
      <w:r>
        <w:rPr>
          <w:rFonts w:eastAsia="Times New Roman" w:cs="Times New Roman" w:ascii="Times New Roman" w:hAnsi="Times New Roman"/>
          <w:color w:val="111111"/>
          <w:sz w:val="28"/>
          <w:szCs w:val="28"/>
          <w:lang w:val="en-US" w:bidi="en-US"/>
        </w:rPr>
        <w:t>PTL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مرکزیت برنامه های ماهواره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از بینندگانش، کمک های مالی می گرفت که بیشتر از یک میلیون دلار در هر هفته تخمین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بیکر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پس از این که معلوم شد او برای فاش نشدن رابطۀ جنسی با منشی اش </w:t>
      </w:r>
      <w:r>
        <w:rPr>
          <w:rFonts w:eastAsia="IRNazanin" w:cs="IRNazanin"/>
          <w:color w:val="111111"/>
          <w:sz w:val="28"/>
          <w:szCs w:val="28"/>
          <w:lang w:bidi="fa-IR"/>
        </w:rPr>
        <w:t>265000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او پرداخته، از </w:t>
      </w:r>
      <w:r>
        <w:rPr>
          <w:rFonts w:eastAsia="Times New Roman" w:cs="Times New Roman" w:ascii="Times New Roman" w:hAnsi="Times New Roman"/>
          <w:color w:val="111111"/>
          <w:sz w:val="28"/>
          <w:szCs w:val="28"/>
          <w:lang w:val="en-US" w:bidi="en-US"/>
        </w:rPr>
        <w:t>PTL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کلاهبرداری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شد ولی تنها پنج سال در زندان ماند</w:t>
      </w:r>
      <w:r>
        <w:rPr>
          <w:rFonts w:eastAsia="IRNazanin" w:cs="IRNazanin"/>
          <w:color w:val="111111"/>
          <w:sz w:val="28"/>
          <w:szCs w:val="28"/>
          <w:rtl w:val="true"/>
          <w:lang w:bidi="fa-IR"/>
        </w:rPr>
        <w:t xml:space="preserve">. </w:t>
      </w:r>
      <w:bookmarkStart w:id="162" w:name="pg3881_27707"/>
    </w:p>
    <w:p>
      <w:pPr>
        <w:pStyle w:val="Heading3"/>
        <w:numPr>
          <w:ilvl w:val="2"/>
          <w:numId w:val="1"/>
        </w:numPr>
        <w:rPr/>
      </w:pPr>
      <w:bookmarkStart w:id="163" w:name="__RefHeading___Toc1656104_2281741623"/>
      <w:bookmarkStart w:id="164" w:name="_Toc58"/>
      <w:bookmarkEnd w:id="162"/>
      <w:bookmarkEnd w:id="163"/>
      <w:r>
        <w:rPr>
          <w:rtl w:val="true"/>
        </w:rPr>
        <w:t>بناکردن گروه های دینی</w:t>
      </w:r>
      <w:bookmarkEnd w:id="164"/>
    </w:p>
    <w:p>
      <w:pPr>
        <w:pStyle w:val="BookText"/>
        <w:rPr/>
      </w:pPr>
      <w:r>
        <w:rPr>
          <w:rFonts w:ascii="IRNazanin" w:hAnsi="IRNazanin" w:eastAsia="IRNazanin"/>
          <w:color w:val="111111"/>
          <w:sz w:val="28"/>
          <w:sz w:val="28"/>
          <w:szCs w:val="28"/>
          <w:rtl w:val="true"/>
          <w:lang w:bidi="fa-IR"/>
        </w:rPr>
        <w:t>بناکردن گروه های دینی</w:t>
      </w:r>
    </w:p>
    <w:p>
      <w:pPr>
        <w:pStyle w:val="BookText"/>
        <w:rPr/>
      </w:pPr>
      <w:r>
        <w:rPr>
          <w:rFonts w:ascii="IRNazanin" w:hAnsi="IRNazanin" w:eastAsia="IRNazanin"/>
          <w:color w:val="111111"/>
          <w:sz w:val="28"/>
          <w:sz w:val="28"/>
          <w:szCs w:val="28"/>
          <w:rtl w:val="true"/>
          <w:lang w:bidi="fa-IR"/>
        </w:rPr>
        <w:t>به جز تبشیر، نهادهای دینی از پخش برنامه های ماهواره ای برای برپاکردن گروه هایِ دینی و ترویج فعالیت های ایمانی سود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چنین کوشش هایی، از فعالیت گروه های منفرد در زمینة پخش نشست ها، گفت و گوها و جلسات آموزشی است تا گروه های متعدد گردهم آیند و شبکه ای جهانی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 بینی توان ارتباط ماهواره ای، قلمروهای اسقف نشینِ کاتولیک ایالات متحده، شبکة ارتباط از راه دور کاتولیکی ملی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راه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شبکۀ ماهواره ای </w:t>
      </w:r>
      <w:r>
        <w:rPr>
          <w:rFonts w:eastAsia="Times New Roman" w:cs="Times New Roman" w:ascii="Times New Roman" w:hAnsi="Times New Roman"/>
          <w:color w:val="111111"/>
          <w:sz w:val="28"/>
          <w:szCs w:val="28"/>
          <w:lang w:val="en-US" w:bidi="en-US"/>
        </w:rPr>
        <w:t>CTNA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برقراری تله کنفرانس، پخش برنامه ها روی خروجی های کابلی و قلمروهای اسقف نشین دارای بشقاب های ماهواره ای استفاده می شد که سالانه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شهریه پرداخت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شبکه اساساً با نگاه وسیله ای برای صرفه جویی در هزینه های ارتباطات داخلی و برگزاری جلسات و همایش های کار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های کاتولیک پیش از راه اندازی این پروژه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تخمینی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میلیون دلار برای این کار هزینه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کلیسای عیسی مسیح متعلق به گروه قدیسان روز واپسین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شروع به ساخت سامانۀ عرضۀ ماهواره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 امتیاز ترانسپوندر را از سرویس پخش برنامة عمومی اجاره کرد و اداره مرکزی اش در شهر سالت لیک امکانات اتصال پرقدرت</w:t>
      </w:r>
      <w:r>
        <w:rPr>
          <w:rStyle w:val="FootnoteAnchor"/>
          <w:rtl w:val="true"/>
        </w:rPr>
        <w:footnoteReference w:id="42"/>
      </w:r>
      <w:r>
        <w:rPr>
          <w:rFonts w:ascii="IRNazanin" w:hAnsi="IRNazanin" w:eastAsia="IRNazanin"/>
          <w:color w:val="111111"/>
          <w:sz w:val="28"/>
          <w:sz w:val="28"/>
          <w:szCs w:val="28"/>
          <w:rtl w:val="true"/>
          <w:lang w:bidi="fa-IR"/>
        </w:rPr>
        <w:t>را فراهم نمود و در مراکز اصلی اش در سراسر آمریکای شمالی بشقاب های دریافت ماهواره نصب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کلیسای </w:t>
      </w:r>
      <w:r>
        <w:rPr>
          <w:rFonts w:eastAsia="Times New Roman" w:cs="Times New Roman" w:ascii="Times New Roman" w:hAnsi="Times New Roman"/>
          <w:color w:val="111111"/>
          <w:sz w:val="28"/>
          <w:szCs w:val="28"/>
          <w:lang w:val="en-US" w:bidi="en-US"/>
        </w:rPr>
        <w:t>LDS</w:t>
      </w:r>
      <w:r>
        <w:rPr>
          <w:rFonts w:ascii="IRNazanin" w:hAnsi="IRNazanin" w:eastAsia="IRNazanin"/>
          <w:color w:val="111111"/>
          <w:sz w:val="28"/>
          <w:sz w:val="28"/>
          <w:szCs w:val="28"/>
          <w:rtl w:val="true"/>
          <w:lang w:bidi="fa-IR"/>
        </w:rPr>
        <w:t xml:space="preserve">، شبکۀ ماهواره ای خود را گسترش داد و به طور تخمینی دارای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و تجهیزات در سراسر جهان شد؛ شروع </w:t>
      </w:r>
    </w:p>
    <w:p>
      <w:pPr>
        <w:pStyle w:val="BookText"/>
        <w:rPr/>
      </w:pPr>
      <w:r>
        <w:rPr>
          <w:rFonts w:ascii="IRNazanin" w:hAnsi="IRNazanin" w:eastAsia="IRNazanin"/>
          <w:color w:val="111111"/>
          <w:sz w:val="28"/>
          <w:sz w:val="28"/>
          <w:szCs w:val="28"/>
          <w:rtl w:val="true"/>
          <w:lang w:bidi="fa-IR"/>
        </w:rPr>
        <w:t xml:space="preserve">کار این شبکه،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بود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آمریکای لاتین، آفریقا و جزایر کاراییب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سیستم برای پخش گردهمایی دوسالانة کلیسا استفاده شد ولی به تدریج پخش فعالیت های کلیساهای دیگر، مانند گفت و گوهای آزاد و نشست های ویژه را به کار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این کلیسا شروع به استفاده از ماهواره در پخش برنامه های آموزشی برای اعضا و جلسات آموزشی رهبران غیر روحانی اش در سراسر جهان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برنامه ها با فرمت </w:t>
      </w:r>
      <w:r>
        <w:rPr>
          <w:rFonts w:eastAsia="Times New Roman" w:cs="Times New Roman" w:ascii="Times New Roman" w:hAnsi="Times New Roman"/>
          <w:color w:val="111111"/>
          <w:sz w:val="28"/>
          <w:szCs w:val="28"/>
          <w:lang w:val="en-US" w:bidi="en-US"/>
        </w:rPr>
        <w:t>HDTV</w:t>
      </w:r>
      <w:r>
        <w:rPr>
          <w:rStyle w:val="FootnoteAnchor"/>
          <w:rtl w:val="true"/>
        </w:rPr>
        <w:footnoteReference w:id="43"/>
      </w:r>
      <w:r>
        <w:rPr>
          <w:rFonts w:ascii="IRNazanin" w:hAnsi="IRNazanin" w:eastAsia="IRNazanin"/>
          <w:color w:val="111111"/>
          <w:sz w:val="28"/>
          <w:sz w:val="28"/>
          <w:szCs w:val="28"/>
          <w:rtl w:val="true"/>
          <w:lang w:bidi="fa-IR"/>
        </w:rPr>
        <w:t>و در بیش از</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ارسال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با توجه به این که مخاطبان کلیسا، عمومی باشند یا خصوصی، به شکل کدگذاری و باز فرستاده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اتحاد کابلی بین الایمانی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ائتلاف هفتاد نهاد مسیحی و یهودی، شبکۀ ماهواره ای بین الایمانی بصیرت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عضو </w:t>
      </w:r>
      <w:r>
        <w:rPr>
          <w:rFonts w:eastAsia="Times New Roman" w:cs="Times New Roman" w:ascii="Times New Roman" w:hAnsi="Times New Roman"/>
          <w:color w:val="111111"/>
          <w:sz w:val="28"/>
          <w:szCs w:val="28"/>
          <w:lang w:val="en-US" w:bidi="en-US"/>
        </w:rPr>
        <w:t>NICC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فعالیت </w:t>
      </w:r>
      <w:r>
        <w:rPr>
          <w:rFonts w:eastAsia="Times New Roman" w:cs="Times New Roman" w:ascii="Times New Roman" w:hAnsi="Times New Roman"/>
          <w:color w:val="111111"/>
          <w:sz w:val="28"/>
          <w:szCs w:val="28"/>
          <w:lang w:val="en-US" w:bidi="en-US"/>
        </w:rPr>
        <w:t>VISN</w:t>
      </w:r>
      <w:r>
        <w:rPr>
          <w:rFonts w:ascii="IRNazanin" w:hAnsi="IRNazanin" w:eastAsia="IRNazanin"/>
          <w:color w:val="111111"/>
          <w:sz w:val="28"/>
          <w:sz w:val="28"/>
          <w:szCs w:val="28"/>
          <w:rtl w:val="true"/>
          <w:lang w:bidi="fa-IR"/>
        </w:rPr>
        <w:t>، حمایت مالی می کردند و برنامه هایی را برای عرضه در شبکه، تولید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که روی سامانۀ کابلی نیز در دسترس بود، برنامه ها را برای گروه های پروتستان، اونجلیست، کاتولیک، ارتدکس شرقی، </w:t>
      </w:r>
      <w:r>
        <w:rPr>
          <w:rFonts w:eastAsia="Times New Roman" w:cs="Times New Roman" w:ascii="Times New Roman" w:hAnsi="Times New Roman"/>
          <w:color w:val="111111"/>
          <w:sz w:val="28"/>
          <w:szCs w:val="28"/>
          <w:lang w:val="en-US" w:bidi="en-US"/>
        </w:rPr>
        <w:t>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یهودی ارسال می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VISN</w:t>
      </w:r>
      <w:r>
        <w:rPr>
          <w:rFonts w:ascii="IRNazanin" w:hAnsi="IRNazanin" w:eastAsia="IRNazanin"/>
          <w:color w:val="111111"/>
          <w:sz w:val="28"/>
          <w:sz w:val="28"/>
          <w:szCs w:val="28"/>
          <w:rtl w:val="true"/>
          <w:lang w:bidi="fa-IR"/>
        </w:rPr>
        <w:t xml:space="preserve">، با سامانۀ تلویزیونی مسیحی آمریکاییِ باپتیست جنوبی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تلفیق شد و به کانال ایمان و ارزش ها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رسانة آزادی، شبکۀ ایمان و ارزش ها را خریداری کرد و این شبکه به کانال ادیسه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ادیسه به مأموریت بین الایمانی خود تا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زمانی که سرگرمی هالمارک و شرکت جیم هنس آن را خریداری کنند ـ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ساعات برنامه های دینی به منظور تأکید روی برنامه های خانوادگی از پنجاه ساعت به چهارده ساعت در هفته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این </w:t>
      </w:r>
      <w:bookmarkStart w:id="165" w:name="pg3881_27711"/>
    </w:p>
    <w:p>
      <w:pPr>
        <w:pStyle w:val="BookText"/>
        <w:rPr/>
      </w:pPr>
      <w:bookmarkEnd w:id="165"/>
      <w:r>
        <w:rPr>
          <w:rFonts w:ascii="IRNazanin" w:hAnsi="IRNazanin" w:eastAsia="IRNazanin"/>
          <w:color w:val="111111"/>
          <w:sz w:val="28"/>
          <w:sz w:val="28"/>
          <w:szCs w:val="28"/>
          <w:rtl w:val="true"/>
          <w:lang w:bidi="fa-IR"/>
        </w:rPr>
        <w:t>شبکه به کانال هالمارک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رسانة ایمان و ارزش ها ـ ائتلاف ایجاد کنندة </w:t>
      </w:r>
      <w:r>
        <w:rPr>
          <w:rFonts w:eastAsia="Times New Roman" w:cs="Times New Roman" w:ascii="Times New Roman" w:hAnsi="Times New Roman"/>
          <w:color w:val="111111"/>
          <w:sz w:val="28"/>
          <w:szCs w:val="28"/>
          <w:lang w:val="en-US" w:bidi="en-US"/>
        </w:rPr>
        <w:t>VISN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برنامه هایی تولید کرده، که این شبکه آن را پخش می کند</w:t>
      </w:r>
      <w:r>
        <w:rPr>
          <w:rFonts w:eastAsia="IRNazanin" w:cs="IRNazanin"/>
          <w:color w:val="111111"/>
          <w:sz w:val="28"/>
          <w:szCs w:val="28"/>
          <w:rtl w:val="true"/>
          <w:lang w:bidi="fa-IR"/>
        </w:rPr>
        <w:t>.</w:t>
      </w:r>
    </w:p>
    <w:p>
      <w:pPr>
        <w:pStyle w:val="Heading3"/>
        <w:numPr>
          <w:ilvl w:val="2"/>
          <w:numId w:val="1"/>
        </w:numPr>
        <w:rPr/>
      </w:pPr>
      <w:bookmarkStart w:id="166" w:name="__RefHeading___Toc1656106_2281741623"/>
      <w:bookmarkStart w:id="167" w:name="_Toc59"/>
      <w:bookmarkEnd w:id="166"/>
      <w:r>
        <w:rPr>
          <w:rtl w:val="true"/>
        </w:rPr>
        <w:t>دسترسی مستقیم به بینندگان</w:t>
      </w:r>
      <w:bookmarkEnd w:id="167"/>
    </w:p>
    <w:p>
      <w:pPr>
        <w:pStyle w:val="BookText"/>
        <w:rPr/>
      </w:pPr>
      <w:r>
        <w:rPr>
          <w:rFonts w:ascii="IRNazanin" w:hAnsi="IRNazanin" w:eastAsia="IRNazanin"/>
          <w:color w:val="111111"/>
          <w:sz w:val="28"/>
          <w:sz w:val="28"/>
          <w:szCs w:val="28"/>
          <w:rtl w:val="true"/>
          <w:lang w:bidi="fa-IR"/>
        </w:rPr>
        <w:t>دسترسی مستقیم به بینندگان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برخی از مالکان خانگی، ایستگاه های زمینی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Style w:val="FootnoteAnchor"/>
          <w:rtl w:val="true"/>
        </w:rPr>
        <w:footnoteReference w:id="44"/>
      </w:r>
      <w:r>
        <w:rPr>
          <w:rFonts w:ascii="IRNazanin" w:hAnsi="IRNazanin" w:eastAsia="IRNazanin"/>
          <w:color w:val="111111"/>
          <w:sz w:val="28"/>
          <w:sz w:val="28"/>
          <w:szCs w:val="28"/>
          <w:rtl w:val="true"/>
          <w:lang w:bidi="fa-IR"/>
        </w:rPr>
        <w:t>نصب کرده بودند که برای قطع کردن و گرفتن امواج شبکه های تلویزیونی و شرکت های کابلی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بشقاب ها بزرگ و گران بودند و این بدان معنی بود که تنها افراد توانمند و کسانی که در نزدیکی امواج تلویزیونی کابلی و امواج زمینی قرار داشتند آن ها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پخش کنندگان برنامه ها بر دارندگان این گونه بشقاب ها اعتراض کردند؛ زیرا آنان برنامه های شان را قطع کرده، در آخر امواج ماهواره ای آنان را دچار مشکل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بیشتر، ایدۀ سامانۀ ماهواره ای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سامانه ای ابتدا در کشورهایی با موفقیت مواجه شد که از پیش زیربنای تلویزیون کابلی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ماهواره های جدید با قدرت بالا و ترفندهای فشرده سازی دیجیتال تصویر، این امکان را فراهم ساختند که بشقاب های ماهواره ای کوچک با قیمتی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مالکان خانگی فروخته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جانسِن که در سال</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متقاضی کسب امتیاز </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پرقدرت شد، جزء اولین کسانی بود که به توان پخش مستقیم ماهواره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پخش برنامة دینی توجه کرد ولی با وجود این،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بود که جانسن، فرشتۀ آسمان ـ تلویزیون چند کاناله ـ و سرویس </w:t>
      </w:r>
      <w:r>
        <w:rPr>
          <w:rFonts w:eastAsia="Times New Roman" w:cs="Times New Roman" w:ascii="Times New Roman" w:hAnsi="Times New Roman"/>
          <w:color w:val="111111"/>
          <w:sz w:val="28"/>
          <w:szCs w:val="28"/>
          <w:lang w:val="en-US" w:bidi="en-US"/>
        </w:rPr>
        <w:t>DBS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رادیویی را راه اندازی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آسمان در مرکز فلوریدا،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دارد و از برنامه 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دهندة مسیحی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کانال ها در همه چیز از برنامه های کودکان گرفته تا ویدیو کلیپ ها تخصصی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 باید تجهیزات دریافت ماهواره ای را فراهم کنند که شبکۀ بشقاب به منظور دریافت کانال های فرشتۀ آسمان از آن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جانسن وقتی فرشتۀ آسمان را راه اندازی کرد که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وارد توافقی با شرکت دارندة بشقاب، اکو 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جانسن ـ ماهوارة ویدیویی سلطه ـ توافق کرد که از ترانسپوندرهای ماهوارة اکو استار استفاده کند و اکو استار نیز از فرکانس هایی استفاده کند که ماهوارة ویدیویی سلطه جواز استفاده از آن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هم چنین تصریح می کرد که اکو استار نباید کانال های دینی دیگری را روی سرویس بشقابش پشتیبانی کند و باید ماهوارة ویدیویی سلطه، شبکة فرشتۀ آسمان را تنها در خدمت برنامه های دینی قرار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سلطه علیه اکو استار اقامه دعوی کرد، با این ادعا که وقتی بشقاب، دو کانال دینی دیگر ـ شبکۀ تلویزیونی ستارۀ روز و خانوادۀ پیمان باپتیست جنوبی ـ را اضافه کرده، قرارداد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اکو استار چنین حکم شد که باید به سلطه خسارت بپردازد و به این شکل می تواند به پشتیبانی ستارۀ روز و شبکۀ خانواده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w:t>
      </w:r>
      <w:r>
        <w:rPr>
          <w:rFonts w:eastAsia="Times New Roman" w:cs="Times New Roman" w:ascii="Times New Roman" w:hAnsi="Times New Roman"/>
          <w:color w:val="111111"/>
          <w:sz w:val="28"/>
          <w:szCs w:val="28"/>
          <w:lang w:val="en-US" w:bidi="en-US"/>
        </w:rPr>
        <w:t>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کانال ماهواره ای حمایت می کند به این شرط که ماهیت آن تنها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Times New Roman" w:cs="Times New Roman" w:ascii="Times New Roman" w:hAnsi="Times New Roman"/>
          <w:color w:val="111111"/>
          <w:sz w:val="28"/>
          <w:szCs w:val="28"/>
          <w:lang w:val="en-US" w:bidi="en-US"/>
        </w:rPr>
        <w:t>BYU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منبع آن دانشگاه جوان بریگام در یوتای آمریکاست، برنامه های دینی و آموزشی ای را برای بینندگان شبکۀ بشقاب، دایرک تی وی و هم چنین خروجی های کابلی در سراسر ایالات متحده فراهم می کند</w:t>
      </w:r>
      <w:r>
        <w:rPr>
          <w:rFonts w:eastAsia="IRNazanin" w:cs="IRNazanin"/>
          <w:color w:val="111111"/>
          <w:sz w:val="28"/>
          <w:szCs w:val="28"/>
          <w:rtl w:val="true"/>
          <w:lang w:bidi="fa-IR"/>
        </w:rPr>
        <w:t xml:space="preserve">. </w:t>
      </w:r>
      <w:bookmarkStart w:id="168" w:name="pg3881_27715"/>
    </w:p>
    <w:p>
      <w:pPr>
        <w:pStyle w:val="BookText"/>
        <w:rPr/>
      </w:pPr>
      <w:bookmarkEnd w:id="168"/>
      <w:r>
        <w:rPr>
          <w:rFonts w:ascii="IRNazanin" w:hAnsi="IRNazanin" w:eastAsia="IRNazanin"/>
          <w:color w:val="111111"/>
          <w:sz w:val="28"/>
          <w:sz w:val="28"/>
          <w:szCs w:val="28"/>
          <w:rtl w:val="true"/>
          <w:lang w:bidi="fa-IR"/>
        </w:rPr>
        <w:t>مسلمانان نیز در حال استفاده از فن آوری ماهواره ای برای ترویج دینشان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ماهوارة کانال یک عربستان سعودی و المنارِ حزب الله لبنان، بیشتر، برنامه های تلویزیونی دینی در خاورمیانه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بین المللی اسلام که در آفریقای جنوبی بنا شده، برنامۀ رادیویی دینی برای بیش از شصت کشور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کانال که هنوز به بهره برداری نرسیده، ماهوارة مکه است که قصد دارد تصویری معتدل از اسلام به زبان های متعدد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چندین کانال ماهواره ای مسیحی در خاورمیانه فعالیت می کنند که صریح به مقابله با پیام و رسالت کانال های اسلامی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خاور میانه، با مالکیت پت رابرتسِن و مرکزیت لبنان، از فن آوری ماهواره ای استفاده می کند تا برنامه هایی را برای بینندگان در عربستان سعودی، سوریه، ایران، عراق، مصر و کویت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رضا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مسلمان شیعه ای که به مسیحیت گرویده، برنامه هایی را از طریق ماهواره به زبان فارسی به ایران می فرستد</w:t>
      </w:r>
      <w:r>
        <w:rPr>
          <w:rFonts w:eastAsia="IRNazanin" w:cs="IRNazanin"/>
          <w:color w:val="111111"/>
          <w:sz w:val="28"/>
          <w:szCs w:val="28"/>
          <w:rtl w:val="true"/>
          <w:lang w:bidi="fa-IR"/>
        </w:rPr>
        <w:t>.</w:t>
      </w:r>
    </w:p>
    <w:p>
      <w:pPr>
        <w:pStyle w:val="Heading3"/>
        <w:numPr>
          <w:ilvl w:val="2"/>
          <w:numId w:val="1"/>
        </w:numPr>
        <w:rPr/>
      </w:pPr>
      <w:bookmarkStart w:id="169" w:name="__RefHeading___Toc1656108_2281741623"/>
      <w:bookmarkStart w:id="170" w:name="_Toc60"/>
      <w:bookmarkEnd w:id="169"/>
      <w:r>
        <w:rPr>
          <w:rtl w:val="true"/>
        </w:rPr>
        <w:t>ایجاد ایمان از راه فضا</w:t>
      </w:r>
      <w:bookmarkEnd w:id="170"/>
    </w:p>
    <w:p>
      <w:pPr>
        <w:pStyle w:val="BookText"/>
        <w:rPr/>
      </w:pPr>
      <w:r>
        <w:rPr>
          <w:rFonts w:ascii="IRNazanin" w:hAnsi="IRNazanin" w:eastAsia="IRNazanin"/>
          <w:color w:val="111111"/>
          <w:sz w:val="28"/>
          <w:sz w:val="28"/>
          <w:szCs w:val="28"/>
          <w:rtl w:val="true"/>
          <w:lang w:bidi="fa-IR"/>
        </w:rPr>
        <w:t>ایجاد ایمان از راه فضا</w:t>
      </w:r>
    </w:p>
    <w:p>
      <w:pPr>
        <w:pStyle w:val="BookText"/>
        <w:rPr/>
      </w:pPr>
      <w:r>
        <w:rPr>
          <w:rFonts w:ascii="IRNazanin" w:hAnsi="IRNazanin" w:eastAsia="IRNazanin"/>
          <w:color w:val="111111"/>
          <w:sz w:val="28"/>
          <w:sz w:val="28"/>
          <w:szCs w:val="28"/>
          <w:rtl w:val="true"/>
          <w:lang w:bidi="fa-IR"/>
        </w:rPr>
        <w:t>فن آوری ماهواره، این توان را به نهادهای دینی داده است که با گروه خود و افراد تشرف نیافته به دین،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ماهواره ای که ابتدا برای عرضة برنامه های دینی به ایستگاه های تلویزیونی و خروجی های کابلی مفید بود، برای کلیساها نیز استفاده شدند تا برای طرفدارانشان جلسات غیرحضوری، خدمات مذهبی و نشست های آموزشی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فن آوری های ماهواره ای به نهاد های دینی این اجازه را می دهند تا با بینندگان تلویزیونی خود در خانة آن ها از طریق ماهواره ارتباط مستقیم زنده برقرار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دِیل کِرِسمَن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احمد شاکرنژاد </w:t>
      </w:r>
      <w:bookmarkStart w:id="171" w:name="pg3881_27717"/>
    </w:p>
    <w:p>
      <w:pPr>
        <w:pStyle w:val="Heading3"/>
        <w:numPr>
          <w:ilvl w:val="2"/>
          <w:numId w:val="1"/>
        </w:numPr>
        <w:rPr/>
      </w:pPr>
      <w:bookmarkStart w:id="172" w:name="__RefHeading___Toc1656110_2281741623"/>
      <w:bookmarkStart w:id="173" w:name="_Toc61"/>
      <w:bookmarkEnd w:id="171"/>
      <w:bookmarkEnd w:id="172"/>
      <w:r>
        <w:rPr>
          <w:rtl w:val="true"/>
        </w:rPr>
        <w:t>برای مطالعۀ بیشتر</w:t>
      </w:r>
      <w:bookmarkEnd w:id="173"/>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Ellens, J. H. (1974). Models of religious broadcasting. Grand Rapids, MI:Eerdmans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Ferré, J. (1990). Channels of belief: Religion and American commercial television.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Gunther, B., &amp; Viney, R. (1994). Seeing is believing: Religion and television in the 1990’s. London: John Libbey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Howell, W. J. (1986). World broadcasting in the age of the satellite. Norwood, NJ: Ablex Publishing Corporation</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Melton, J., Lucas, P., &amp; Stone, J. (1997). Prime-time religion:An encyclopedia of religious broadcasting. Phoenix, AZ: Oryx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Negrine, R. (Ed.). (1988). Satellite broadcasting: The politics and implications of the new media.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F. L., Wright, J. W., &amp; Ostroff, D. H. (1998). Perspectives on radio and television: Telecommunications in the United States. Mahwah, NJ: Lawrence Erlbaum Associates, Publishers</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Wood, J. (1992). History of international broadcasting. London: Peter Peregrinus</w:t>
      </w:r>
      <w:r>
        <w:rPr>
          <w:rFonts w:eastAsia="Times New Roman" w:cs="Times New Roman" w:ascii="Times New Roman" w:hAnsi="Times New Roman"/>
          <w:color w:val="111111"/>
          <w:sz w:val="28"/>
          <w:szCs w:val="28"/>
          <w:rtl w:val="true"/>
          <w:lang w:val="en-US" w:bidi="en-US"/>
        </w:rPr>
        <w:t xml:space="preserve">. </w:t>
      </w:r>
      <w:bookmarkStart w:id="174" w:name="pg3881_27721"/>
    </w:p>
    <w:p>
      <w:pPr>
        <w:pStyle w:val="Heading2"/>
        <w:numPr>
          <w:ilvl w:val="1"/>
          <w:numId w:val="1"/>
        </w:numPr>
        <w:rPr/>
      </w:pPr>
      <w:bookmarkStart w:id="175" w:name="__RefHeading___Toc1656112_2281741623"/>
      <w:bookmarkStart w:id="176" w:name="_Toc62"/>
      <w:bookmarkEnd w:id="174"/>
      <w:bookmarkEnd w:id="175"/>
      <w:r>
        <w:rPr>
          <w:rtl w:val="true"/>
        </w:rPr>
        <w:t>ارتباطات مقدس</w:t>
      </w:r>
      <w:bookmarkEnd w:id="176"/>
    </w:p>
    <w:p>
      <w:pPr>
        <w:pStyle w:val="Heading3"/>
        <w:numPr>
          <w:ilvl w:val="2"/>
          <w:numId w:val="1"/>
        </w:numPr>
        <w:rPr/>
      </w:pPr>
      <w:bookmarkStart w:id="177" w:name="__RefHeading___Toc1656114_2281741623"/>
      <w:bookmarkStart w:id="178" w:name="_Toc6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ارتباطات مقدس</w:t>
      </w:r>
    </w:p>
    <w:p>
      <w:pPr>
        <w:pStyle w:val="BookText"/>
        <w:rPr/>
      </w:pPr>
      <w:r>
        <w:rPr>
          <w:rFonts w:ascii="IRNazanin" w:hAnsi="IRNazanin" w:eastAsia="IRNazanin"/>
          <w:color w:val="111111"/>
          <w:sz w:val="28"/>
          <w:sz w:val="28"/>
          <w:szCs w:val="28"/>
          <w:rtl w:val="true"/>
          <w:lang w:bidi="fa-IR"/>
        </w:rPr>
        <w:t>در مفهومی اساسی، همۀ ارتباطات،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هر پیام این است که پیام ساز دلالت هایی روحانی و گرایش هایی قلبی را فرض بگیرد که بخش عمده ای است از ادعای ریچارد ویور، عالِم بلاغت و مورخ آرا، با ادعای این که هر زبانی وعظی است؛ ولی شکل های شناخته شدۀ مقدسی از ارتباطات وجود دارند که از همتاهای سکولارشان تشخیص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شکل هایی انسان ها را قادر می سازند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ندا؛ یک نشانی از فاعل ماورایی پاسخ دهند، هر چند این فاعل به منزلۀ خداوند، طبیعت، یک یگانگی بسیط یا یک تجربۀ زیبایی شناسانه درک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کالینز،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نشان دادن نقاط طلاقی عمدۀ ارتباطات و تقدس، این مقاله پنج گونۀ بارز گفتمان مقدس شامل خطابه، شمایل نگاری، معاشرت،</w:t>
      </w:r>
      <w:r>
        <w:rPr>
          <w:rStyle w:val="FootnoteAnchor"/>
          <w:rtl w:val="true"/>
        </w:rPr>
        <w:footnoteReference w:id="45"/>
      </w:r>
      <w:r>
        <w:rPr>
          <w:rFonts w:ascii="IRNazanin" w:hAnsi="IRNazanin" w:eastAsia="IRNazanin"/>
          <w:color w:val="111111"/>
          <w:sz w:val="28"/>
          <w:sz w:val="28"/>
          <w:szCs w:val="28"/>
          <w:rtl w:val="true"/>
          <w:lang w:bidi="fa-IR"/>
        </w:rPr>
        <w:t xml:space="preserve">نیایش و مناسک را بر حسب پنج سنت نظریۀ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نشانه شناسی، پدیدارشناسی، روان شناسی و مطالعات فرهنگی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رابرت </w:t>
      </w:r>
      <w:bookmarkStart w:id="179" w:name="pg3881_27723"/>
    </w:p>
    <w:p>
      <w:pPr>
        <w:pStyle w:val="BookText"/>
        <w:rPr/>
      </w:pPr>
      <w:bookmarkEnd w:id="179"/>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کریگ، یک پژوهشگر در زمینۀ ارتباطات و تحلیل گفتمان مطرح شده، بیان می کند</w:t>
      </w:r>
      <w:r>
        <w:rPr>
          <w:rFonts w:eastAsia="IRNazanin" w:cs="IRNazanin"/>
          <w:color w:val="111111"/>
          <w:sz w:val="28"/>
          <w:szCs w:val="28"/>
          <w:rtl w:val="true"/>
          <w:lang w:bidi="fa-IR"/>
        </w:rPr>
        <w:t>.</w:t>
      </w:r>
    </w:p>
    <w:p>
      <w:pPr>
        <w:pStyle w:val="Heading3"/>
        <w:numPr>
          <w:ilvl w:val="2"/>
          <w:numId w:val="1"/>
        </w:numPr>
        <w:rPr/>
      </w:pPr>
      <w:bookmarkStart w:id="180" w:name="__RefHeading___Toc1656116_2281741623"/>
      <w:bookmarkStart w:id="181" w:name="_Toc64"/>
      <w:bookmarkEnd w:id="180"/>
      <w:r>
        <w:rPr>
          <w:rtl w:val="true"/>
        </w:rPr>
        <w:t>خطابه و سنت بلاغی</w:t>
      </w:r>
      <w:bookmarkEnd w:id="181"/>
    </w:p>
    <w:p>
      <w:pPr>
        <w:pStyle w:val="BookText"/>
        <w:rPr/>
      </w:pPr>
      <w:r>
        <w:rPr>
          <w:rFonts w:ascii="IRNazanin" w:hAnsi="IRNazanin" w:eastAsia="IRNazanin"/>
          <w:color w:val="111111"/>
          <w:sz w:val="28"/>
          <w:sz w:val="28"/>
          <w:szCs w:val="28"/>
          <w:rtl w:val="true"/>
          <w:lang w:bidi="fa-IR"/>
        </w:rPr>
        <w:t>خطابه و سنت بلاغی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بلاغت غربی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عمر دارد و مقدار قابل توجهی از تفکر دربارۀ خطاب عامه</w:t>
      </w:r>
      <w:r>
        <w:rPr>
          <w:rStyle w:val="FootnoteAnchor"/>
          <w:rtl w:val="true"/>
        </w:rPr>
        <w:footnoteReference w:id="46"/>
      </w:r>
      <w:r>
        <w:rPr>
          <w:rFonts w:ascii="IRNazanin" w:hAnsi="IRNazanin" w:eastAsia="IRNazanin"/>
          <w:color w:val="111111"/>
          <w:sz w:val="28"/>
          <w:sz w:val="28"/>
          <w:szCs w:val="28"/>
          <w:rtl w:val="true"/>
          <w:lang w:bidi="fa-IR"/>
        </w:rPr>
        <w:t>که پیش از هزاره به انجام رسیده بر نگهداری و حمایت از یک سیاست مدنی سالم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دلیل آورد که این سنت که تقریباً تمام و کمال ریشه هایی سکولار دارد، زمانی پدید آمد که سوفسطاییان دریافتند دموکراسی یونانی هم به قانونگذار</w:t>
      </w:r>
      <w:r>
        <w:rPr>
          <w:rStyle w:val="FootnoteAnchor"/>
          <w:rtl w:val="true"/>
        </w:rPr>
        <w:footnoteReference w:id="47"/>
      </w:r>
      <w:r>
        <w:rPr>
          <w:rFonts w:ascii="IRNazanin" w:hAnsi="IRNazanin" w:eastAsia="IRNazanin"/>
          <w:color w:val="111111"/>
          <w:sz w:val="28"/>
          <w:sz w:val="28"/>
          <w:szCs w:val="28"/>
          <w:rtl w:val="true"/>
          <w:lang w:bidi="fa-IR"/>
        </w:rPr>
        <w:t>نیاز دارد هم به وکیل قانونی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شکل نظریه پردازانه ای از بلاغت مقدس در غرب تا پیش از آگوستین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رسالۀ خود با نام در باب اصول عقاید مسیحی</w:t>
      </w:r>
      <w:r>
        <w:rPr>
          <w:rStyle w:val="FootnoteAnchor"/>
          <w:rtl w:val="true"/>
        </w:rPr>
        <w:footnoteReference w:id="49"/>
      </w:r>
      <w:r>
        <w:rPr>
          <w:rFonts w:ascii="IRNazanin" w:hAnsi="IRNazanin" w:eastAsia="IRNazanin"/>
          <w:color w:val="111111"/>
          <w:sz w:val="28"/>
          <w:sz w:val="28"/>
          <w:szCs w:val="28"/>
          <w:rtl w:val="true"/>
          <w:lang w:bidi="fa-IR"/>
        </w:rPr>
        <w:t>نظریۀ بلاغی سیسرون را در هنرِ خطابۀ مسیحی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آگوستین از ضرورت آیین سخنوری مقدس بیش از دفاعی که ارسطو از آیین سخنوری مدنی کرده بود،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که با فضلیت اند، فصیح نباشند و آن هایی که تبهکارند، فصیح باشند، حقیقت مغلوب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آگوستین، فن خطابۀ فصیح سه گونۀ کاربردی زبانی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اسلوب سطحی که بر محتوا بیش از شکل خطاب عامه تأکید دارد و کاربردش در ساختار است؛ دوم، اسلوب میانه که التذاذ را نشانه می گیرد، به ویژه برای موقعیت هایی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از این که شنونده مانده است،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اسلوب برتر که هدفش ترغیب یک گروه برای انجام یک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اسلوب، مدعی است که پیام مقدس، شنوندگان خود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رنسانس، </w:t>
      </w:r>
      <w:bookmarkStart w:id="182" w:name="pg3881_27725"/>
    </w:p>
    <w:p>
      <w:pPr>
        <w:pStyle w:val="BookText"/>
        <w:rPr/>
      </w:pPr>
      <w:bookmarkEnd w:id="182"/>
      <w:r>
        <w:rPr>
          <w:rFonts w:ascii="IRNazanin" w:hAnsi="IRNazanin" w:eastAsia="IRNazanin"/>
          <w:color w:val="111111"/>
          <w:sz w:val="28"/>
          <w:sz w:val="28"/>
          <w:szCs w:val="28"/>
          <w:rtl w:val="true"/>
          <w:lang w:bidi="fa-IR"/>
        </w:rPr>
        <w:t>اسلوب سطحی به این دلیل که شکل جدی تر و مؤثرتر خطابه دانسته می شد بر اسلوب های دیگر رجحان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در بعضی از مناطق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درستکاری فلسفی و دشواری دیالکتیک افلاطون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اسلوب برتر، با بلاغت سیسرون هم بسته بود، همبستگی ای که کار خطیبان را برای سخن گفتن با عامۀ فرهیخته دشوار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اخلاف متعلق به اصلاحات پروتستانی، در برابر گرایشی که خطابه ها را برای گروهی از گوش های تحریک شده می آرایند، مقاومت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موضع گیری در عرض تعهد سابقه دار سیسرونی که حقیقت را برای شنونده و موقعیت، جرح و تعدیل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چنان که والتر اُنگ یک پژوهشگر کاتولیک اشاره نموده است، حتی پیوریتن ها که به لزوم آرایش بلاغی معترضند، لزوم بلاغت را نفی نمی کنند؛ زیرا دبورا شوگر به طرز مستدلی نشان داده است که اسلوب برتر، عملاً یک مجوز الهیاتی در سنت مسیحیت دارد</w:t>
      </w:r>
      <w:r>
        <w:rPr>
          <w:rFonts w:eastAsia="IRNazanin" w:cs="IRNazanin"/>
          <w:color w:val="111111"/>
          <w:sz w:val="28"/>
          <w:szCs w:val="28"/>
          <w:rtl w:val="true"/>
          <w:lang w:bidi="fa-IR"/>
        </w:rPr>
        <w:t>.</w:t>
      </w:r>
    </w:p>
    <w:p>
      <w:pPr>
        <w:pStyle w:val="Heading3"/>
        <w:numPr>
          <w:ilvl w:val="2"/>
          <w:numId w:val="1"/>
        </w:numPr>
        <w:rPr/>
      </w:pPr>
      <w:bookmarkStart w:id="183" w:name="__RefHeading___Toc1656118_2281741623"/>
      <w:bookmarkStart w:id="184" w:name="_Toc65"/>
      <w:bookmarkEnd w:id="183"/>
      <w:r>
        <w:rPr>
          <w:rtl w:val="true"/>
        </w:rPr>
        <w:t>نشانه شناسی و شمایل مقدس</w:t>
      </w:r>
      <w:bookmarkEnd w:id="184"/>
    </w:p>
    <w:p>
      <w:pPr>
        <w:pStyle w:val="BookText"/>
        <w:rPr/>
      </w:pPr>
      <w:r>
        <w:rPr>
          <w:rFonts w:ascii="IRNazanin" w:hAnsi="IRNazanin" w:eastAsia="IRNazanin"/>
          <w:color w:val="111111"/>
          <w:sz w:val="28"/>
          <w:sz w:val="28"/>
          <w:szCs w:val="28"/>
          <w:rtl w:val="true"/>
          <w:lang w:bidi="fa-IR"/>
        </w:rPr>
        <w:t>نشانه شناسی و شمایل مقدس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بلاغت اغلب کهن ترین رشتۀ مطالعۀ ارتباطات دانسته می شود ولی نشانه شناسان می توانند مخالف این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نشانه شناسی با مطالعۀ این که نمادها چگونه معنا را حمل می کنند، یک رگۀ باستانی پژوهش است، هر چند که برخی از مشهورترین نظریه پردازان نشانه شناسی از مدرن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ویژه ای که دانش نشانه شناسی مطرح می کند ـ تحریف و سوء تعبیر ـ مسائل دیرین مورد توجه ادیان بزرگ جهان، به ویژه یهودیت، مسیحیت و اسلام نیز هست؛ برای نمونه، قرآن، مجسمه سازی را نهی کرده است و محمد صلی الله علیه و آله ظاهراً نقاشی را ممنوع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یهود تصاویر خدا را ممنوع کرده، درست </w:t>
      </w:r>
      <w:bookmarkStart w:id="185" w:name="pg3881_27727"/>
    </w:p>
    <w:p>
      <w:pPr>
        <w:pStyle w:val="BookText"/>
        <w:rPr/>
      </w:pPr>
      <w:bookmarkEnd w:id="185"/>
      <w:r>
        <w:rPr>
          <w:rFonts w:ascii="IRNazanin" w:hAnsi="IRNazanin" w:eastAsia="IRNazanin"/>
          <w:color w:val="111111"/>
          <w:sz w:val="28"/>
          <w:sz w:val="28"/>
          <w:szCs w:val="28"/>
          <w:rtl w:val="true"/>
          <w:lang w:bidi="fa-IR"/>
        </w:rPr>
        <w:t>مانند مسیحیت غربی که بعداً رابطۀ مغشوشی با تصاویر مقدس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سرانجام با این درک که تصاویر عیسی مسیح و قدیسان را به جای این که حاملان ملکوت بشناسند، راهنمایان به ملکوت بدانند، موافقت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دیدگاهی قابل پی گیری در نشانه شناسی آگوستین در رسالۀ در باب اصول عقاید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دین شناسان معاصر مانند کالوینیست فرانسوی، ژاک ایول، نگرانی شدیدی نسبت به فراگیری تصویر سازی بصری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شمایل شکنی هم ارز پافشاری ای است که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و آگدن نش در اثر بزرگ نشانه شناسانه شان، معنای معنا</w:t>
      </w:r>
      <w:r>
        <w:rPr>
          <w:rStyle w:val="FootnoteAnchor"/>
          <w:rtl w:val="true"/>
        </w:rPr>
        <w:footnoteReference w:id="50"/>
      </w:r>
      <w:r>
        <w:rPr>
          <w:rFonts w:ascii="IRNazanin" w:hAnsi="IRNazanin" w:eastAsia="IRNazanin"/>
          <w:color w:val="111111"/>
          <w:sz w:val="28"/>
          <w:sz w:val="28"/>
          <w:szCs w:val="28"/>
          <w:rtl w:val="true"/>
          <w:lang w:bidi="fa-IR"/>
        </w:rPr>
        <w:t xml:space="preserve">دارند که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مستقیمی بین نمادها و واقعیتی که به آن اشاره دارند،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ادیان بزرگ دنیا، درست مانند نشانه شناسان که به این فکر می کنند که آیا انسان ها عملاً می توانند بگویند منظورشان چیست یا نه، تلاش برای نمایش نمادین خداوند را مورد پرسش قرار داده یا محکوم کرده اند ولی در مسیحیت ارتدکس شرقی، تصویر ملکوت، نشانۀ صرفاً عرفی امر متعالی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تصاویر یا شمایل ها، پیش روی عبادت کننده قرار می گرفتند تا یکی را به عشق ورزیدن برانگیزند و یکی را الگویی باشند برای نقاشی؛ بدین معنا که یک عشق دنیایی را به سوی عشقی خالص تر به خداوند بکشانند ولی این تصاویر چیزی بیش از یک یادآوری ساده یا بازنمایی واقعیت پشتِ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غرب، تصویرها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معنایی مهم این تصاویر تبدیل به حاملان این واقعیت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دیرنس،</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اندیشۀ ارتدکس شرقی پیشنهاد می کند که سخن گفتن دربارۀ شمایل شکنی، دادن نشانی نقاط تلاقی نشانه شناسی و امر قدسی است</w:t>
      </w:r>
      <w:r>
        <w:rPr>
          <w:rFonts w:eastAsia="IRNazanin" w:cs="IRNazanin"/>
          <w:color w:val="111111"/>
          <w:sz w:val="28"/>
          <w:szCs w:val="28"/>
          <w:rtl w:val="true"/>
          <w:lang w:bidi="fa-IR"/>
        </w:rPr>
        <w:t>.</w:t>
      </w:r>
    </w:p>
    <w:p>
      <w:pPr>
        <w:pStyle w:val="Heading3"/>
        <w:numPr>
          <w:ilvl w:val="2"/>
          <w:numId w:val="1"/>
        </w:numPr>
        <w:rPr/>
      </w:pPr>
      <w:bookmarkStart w:id="186" w:name="__RefHeading___Toc1656120_2281741623"/>
      <w:bookmarkStart w:id="187" w:name="_Toc66"/>
      <w:bookmarkEnd w:id="186"/>
      <w:r>
        <w:rPr>
          <w:rtl w:val="true"/>
        </w:rPr>
        <w:t>نیایش به منزلۀ گفتمانی اجتماعی ـ روانی</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 به منزلۀ گفتمانی اجتماعی ـ روانی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عمل مقدسِ مایۀ برکت، واسطۀ حضور و توشۀ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امر مقدس در حوزۀ رسانه، پیشنهادکردن یک رابطۀ وثیق است بین دین و تمام شاخه های نظریۀ ارتباطات؛ زیرا هیچ سنتی در حوزۀ ارتباطات به ارتباطات رسانه ای بی اعتنا نیست؛ برای نمونه، یک سخنور دینی باید بررسی کند که موعظه ای که از تلویزیون پخش می شود، چگونه منجر به اعتقاد می شود و یک نشانه شناس ایمانی باید تحقیق کند که فیلم های سینمایی چگونه منزلت شمایل گونه را برای خود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شاخه ای از دانش ارتباطات به اندازۀ سنت اجتماعی ـ روانی به اثرات ارتباطات رسانه ای جذب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مشغولیت روان شناس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درگیری ذهنی یک بلاغت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باوراندن چگونه محقق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درگیری ذهنی یک نشانه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نمادها چگونه معنا را می رسانند، بلکه او بیشتر به این توجه دارد که یک هم کنش به خصوص، چه تأثیر اجتماعی و روانی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مشهور ارتباطی گیرنده ـ فرستندۀ این سنت برای نیایش قرینه ای در ادبیات به عنوان گونه ای از ارتباطات مقدس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بلز پاسکال در یادها مانده است که در نیایش، به مؤمنین مقام اسباب ثانی بودن</w:t>
      </w:r>
      <w:r>
        <w:rPr>
          <w:rStyle w:val="FootnoteAnchor"/>
          <w:rtl w:val="true"/>
        </w:rPr>
        <w:footnoteReference w:id="51"/>
      </w:r>
      <w:r>
        <w:rPr>
          <w:rFonts w:ascii="IRNazanin" w:hAnsi="IRNazanin" w:eastAsia="IRNazanin"/>
          <w:color w:val="111111"/>
          <w:sz w:val="28"/>
          <w:sz w:val="28"/>
          <w:szCs w:val="28"/>
          <w:rtl w:val="true"/>
          <w:lang w:bidi="fa-IR"/>
        </w:rPr>
        <w:t>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 مؤمن خردمندی، نیایش را به یک شگرد محض برای وقوع چیزی یا انجام کاری فرو نمی کاهد؛ اکثریت مردم، نیایش می کنند به امید این که تعامل با خداوند منجر به تأثیرات شناخته شده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تأثیرات ممکن است مانند از حرکت ایستاندن خورشید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دعای یوشع، مطابق با آن چه در روایات انجیل ضبط است،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دانش اجتماعی ـ روانی بر استعدادهای اجتماعی ـ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گرایش ها، حالات هیجانی، ویژگی های شخصیتی، </w:t>
      </w:r>
      <w:bookmarkStart w:id="188" w:name="pg3881_27731"/>
    </w:p>
    <w:p>
      <w:pPr>
        <w:pStyle w:val="BookText"/>
        <w:rPr/>
      </w:pPr>
      <w:bookmarkEnd w:id="188"/>
      <w:r>
        <w:rPr>
          <w:rFonts w:ascii="IRNazanin" w:hAnsi="IRNazanin" w:eastAsia="IRNazanin"/>
          <w:color w:val="111111"/>
          <w:sz w:val="28"/>
          <w:sz w:val="28"/>
          <w:szCs w:val="28"/>
          <w:rtl w:val="true"/>
          <w:lang w:bidi="fa-IR"/>
        </w:rPr>
        <w:t>ناسازگاری های ناخودآگاه، ناسازگاری های اجتماعی و شناخت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دارد، نیایشگر اغلب امیدوار است که تعامل با خداوند تأثیرات روانی و اثرهای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نیایش، درون فردی و میان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برای اثرهای درون فردی نیایشگر، جُرج مک دانلد، یک داستان نویس مذهبی اسکاتلندی، اقرار دارد که فواید نیایش حتی برای کسانی که به خدا ایمان ندارند، نیز حس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برای روح، آن چنان ضروری است که حالت محض آن می تواند خُلق نیکو را بپروراند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اثرات میان فردی نیایش، این مقاله، اکنون رو به سوی نوعی دیگر از گفتمان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سنتی دیگر در نظریۀ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Heading3"/>
        <w:numPr>
          <w:ilvl w:val="2"/>
          <w:numId w:val="1"/>
        </w:numPr>
        <w:rPr/>
      </w:pPr>
      <w:bookmarkStart w:id="189" w:name="__RefHeading___Toc1656122_2281741623"/>
      <w:bookmarkStart w:id="190" w:name="_Toc67"/>
      <w:bookmarkEnd w:id="189"/>
      <w:r>
        <w:rPr>
          <w:rtl w:val="true"/>
        </w:rPr>
        <w:t>پدیدارشناسی و گفت وگوی مقدس</w:t>
      </w:r>
      <w:bookmarkEnd w:id="190"/>
    </w:p>
    <w:p>
      <w:pPr>
        <w:pStyle w:val="BookText"/>
        <w:rPr/>
      </w:pPr>
      <w:r>
        <w:rPr>
          <w:rFonts w:ascii="IRNazanin" w:hAnsi="IRNazanin" w:eastAsia="IRNazanin"/>
          <w:color w:val="111111"/>
          <w:sz w:val="28"/>
          <w:sz w:val="28"/>
          <w:szCs w:val="28"/>
          <w:rtl w:val="true"/>
          <w:lang w:bidi="fa-IR"/>
        </w:rPr>
        <w:t>پدیدارشناسی و گفت وگوی مقدس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ارتباطات، جولیا وود توضیح می دهد که در سنت بودایی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اندیشناک بودن، تخلیۀ ذهن شخص است از اندیشه ها، احساسات، اشتغالات و بر این منوال پاک کردن ذهن تا کاملاً، در یک آن، برای یک تجربه، یک گفت وگو مهیا شود</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توجه بودایی به اشتغال تام به شخصی دیگر با توجه سنت پدیدارشناسی به دیالوگ به منزلۀ واسطۀ دانستن، احترام و اتصال به غیریت</w:t>
      </w:r>
      <w:r>
        <w:rPr>
          <w:rStyle w:val="FootnoteAnchor"/>
          <w:rtl w:val="true"/>
        </w:rPr>
        <w:footnoteReference w:id="52"/>
      </w:r>
      <w:r>
        <w:rPr>
          <w:rFonts w:ascii="IRNazanin" w:hAnsi="IRNazanin" w:eastAsia="IRNazanin"/>
          <w:color w:val="111111"/>
          <w:sz w:val="28"/>
          <w:sz w:val="28"/>
          <w:szCs w:val="28"/>
          <w:rtl w:val="true"/>
          <w:lang w:bidi="fa-IR"/>
        </w:rPr>
        <w:t>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پدیدارشناسان دربارۀ غیاب</w:t>
      </w:r>
      <w:r>
        <w:rPr>
          <w:rStyle w:val="FootnoteAnchor"/>
          <w:rtl w:val="true"/>
        </w:rPr>
        <w:footnoteReference w:id="53"/>
      </w:r>
      <w:r>
        <w:rPr>
          <w:rFonts w:ascii="IRNazanin" w:hAnsi="IRNazanin" w:eastAsia="IRNazanin"/>
          <w:color w:val="111111"/>
          <w:sz w:val="28"/>
          <w:sz w:val="28"/>
          <w:szCs w:val="28"/>
          <w:rtl w:val="true"/>
          <w:lang w:bidi="fa-IR"/>
        </w:rPr>
        <w:t>و عدم اصالت</w:t>
      </w:r>
      <w:r>
        <w:rPr>
          <w:rStyle w:val="FootnoteAnchor"/>
          <w:rtl w:val="true"/>
        </w:rPr>
        <w:footnoteReference w:id="54"/>
      </w:r>
      <w:r>
        <w:rPr>
          <w:rFonts w:ascii="IRNazanin" w:hAnsi="IRNazanin" w:eastAsia="IRNazanin"/>
          <w:color w:val="111111"/>
          <w:sz w:val="28"/>
          <w:sz w:val="28"/>
          <w:szCs w:val="28"/>
          <w:rtl w:val="true"/>
          <w:lang w:bidi="fa-IR"/>
        </w:rPr>
        <w:t xml:space="preserve">با علائق ارتباطات مقدس، به ویژه هنگامی که در مذاهب باستانی به عمل تهذیب گفت وگو یا معاشرت می رسد، به سرعت همگرا می شود؛ برای نمونه، در سنت مسیحی، عروج عیسی مسیح حوار یونش </w:t>
      </w:r>
    </w:p>
    <w:p>
      <w:pPr>
        <w:pStyle w:val="BookText"/>
        <w:rPr/>
      </w:pPr>
      <w:r>
        <w:rPr>
          <w:rFonts w:ascii="IRNazanin" w:hAnsi="IRNazanin" w:eastAsia="IRNazanin"/>
          <w:color w:val="111111"/>
          <w:sz w:val="28"/>
          <w:sz w:val="28"/>
          <w:szCs w:val="28"/>
          <w:rtl w:val="true"/>
          <w:lang w:bidi="fa-IR"/>
        </w:rPr>
        <w:t>را با دو مسئله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یاد گیری از یک استاد غایب ادامه دهند و چگونه یکد یگر را با آموختن از آن استاد مهذب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قرن میلادی، یک راه حل برای هر دو مسئله، مفهوم عهد جدیدی معاشرت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با ملکوت از طریق نیایش، عملی که به طور جدی مسئلۀ پدیدارشناسانۀ غیاب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ضمناً معاشرت برای مسیحیت اولیه از اهمیت اجتماعی بنیادینی برخوردار بود؛ چنان که مسیحیان در جست وجوی پرهیزگار کردن یکدیگر و تحمل کردن ضعف های نفسانی همدیگر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معاشرت با مسئلۀ پدیدارشناسانۀ عدم اصالت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چیز به شدت فراگیرندگی رسانه های جمعی، گفتمان تهذیب را به چالش نکشیده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کلیسایی که توسط تلفن های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می شوند، سرپرست های کلیسایی که با جمعیت های کلیسایی شان از طریق ماهواره ارتباط برقرار می کنند، ناتوانانی که به کشیش رادیوی مذهبی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های مشترک مسئله های پدیدارشناسانۀ غیاب و عدم اصالت را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زولکیپل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یک دانشمند مسلمان حوزۀ ارتباطات، چالش هایی را که صنایع رسانه ای تحت سلطۀ بازار علیه حقیقت ایجاد می کنند، یادآور می شود و کریگ گِی، یک مسیحی جامعه شناس، در سخنرانی اش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تذکر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 و بیشتر فضاهای زندگی اجتماعی معاصر، گفتار مشترک یا به سفسطۀ محض تفویض شده یا در حال تفویض شدن است؛ یعنی تفویض به سخنی ماهرانه برای به دست گرفتن کنترل چیزها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پردازان ارتباطات مقدس ـ به عنوان یک جایگزین برای گفتمان بی روح شده و جابه جاشده ای که گاهی رسانه های جمعی آن را تبلیغ می کنند ـ </w:t>
      </w:r>
      <w:bookmarkStart w:id="191" w:name="pg3881_27735"/>
    </w:p>
    <w:p>
      <w:pPr>
        <w:pStyle w:val="BookText"/>
        <w:rPr/>
      </w:pPr>
      <w:bookmarkEnd w:id="191"/>
      <w:r>
        <w:rPr>
          <w:rFonts w:ascii="IRNazanin" w:hAnsi="IRNazanin" w:eastAsia="IRNazanin"/>
          <w:color w:val="111111"/>
          <w:sz w:val="28"/>
          <w:sz w:val="28"/>
          <w:szCs w:val="28"/>
          <w:rtl w:val="true"/>
          <w:lang w:bidi="fa-IR"/>
        </w:rPr>
        <w:t>عمل معاشرت را که همتایی برای دیالوگ تلقینی</w:t>
      </w:r>
      <w:r>
        <w:rPr>
          <w:rStyle w:val="FootnoteAnchor"/>
          <w:rtl w:val="true"/>
        </w:rPr>
        <w:footnoteReference w:id="55"/>
      </w:r>
      <w:r>
        <w:rPr>
          <w:rFonts w:ascii="IRNazanin" w:hAnsi="IRNazanin" w:eastAsia="IRNazanin"/>
          <w:color w:val="111111"/>
          <w:sz w:val="28"/>
          <w:sz w:val="28"/>
          <w:szCs w:val="28"/>
          <w:rtl w:val="true"/>
          <w:lang w:bidi="fa-IR"/>
        </w:rPr>
        <w:t>پدیدارشناسی است، پیشنهاد می کنند</w:t>
      </w:r>
      <w:r>
        <w:rPr>
          <w:rFonts w:eastAsia="IRNazanin" w:cs="IRNazanin"/>
          <w:color w:val="111111"/>
          <w:sz w:val="28"/>
          <w:szCs w:val="28"/>
          <w:rtl w:val="true"/>
          <w:lang w:bidi="fa-IR"/>
        </w:rPr>
        <w:t>.</w:t>
      </w:r>
    </w:p>
    <w:p>
      <w:pPr>
        <w:pStyle w:val="Heading3"/>
        <w:numPr>
          <w:ilvl w:val="2"/>
          <w:numId w:val="1"/>
        </w:numPr>
        <w:rPr/>
      </w:pPr>
      <w:bookmarkStart w:id="192" w:name="__RefHeading___Toc1656124_2281741623"/>
      <w:bookmarkStart w:id="193" w:name="_Toc68"/>
      <w:bookmarkEnd w:id="192"/>
      <w:r>
        <w:rPr>
          <w:rtl w:val="true"/>
        </w:rPr>
        <w:t>مناسک و ارتباطات اجتماعی ـ فرهنگی</w:t>
      </w:r>
      <w:bookmarkEnd w:id="193"/>
    </w:p>
    <w:p>
      <w:pPr>
        <w:pStyle w:val="BookText"/>
        <w:rPr/>
      </w:pPr>
      <w:r>
        <w:rPr>
          <w:rFonts w:ascii="IRNazanin" w:hAnsi="IRNazanin" w:eastAsia="IRNazanin"/>
          <w:color w:val="111111"/>
          <w:sz w:val="28"/>
          <w:sz w:val="28"/>
          <w:szCs w:val="28"/>
          <w:rtl w:val="true"/>
          <w:lang w:bidi="fa-IR"/>
        </w:rPr>
        <w:t>مناسک و ارتباطات اجتماعی ـ فرهنگی</w:t>
      </w:r>
    </w:p>
    <w:p>
      <w:pPr>
        <w:pStyle w:val="BookText"/>
        <w:rPr/>
      </w:pPr>
      <w:r>
        <w:rPr>
          <w:rFonts w:ascii="IRNazanin" w:hAnsi="IRNazanin" w:eastAsia="IRNazanin"/>
          <w:color w:val="111111"/>
          <w:sz w:val="28"/>
          <w:sz w:val="28"/>
          <w:szCs w:val="28"/>
          <w:rtl w:val="true"/>
          <w:lang w:bidi="fa-IR"/>
        </w:rPr>
        <w:t>یوزف پایپر، یک فیلسوف کاتولیک آلمانی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سکنای طبیعی حقیقت در ارتباطات میان فردی است، حقیقت در دیالوگ زندگی می کند، در مذاکره، در گفت وگو؛ بنابراین در زبان مقیم است، در کلمه</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پایپر بر دیالوگ، نه تنها با سنت پدیدارشناسانه سازگار است بلکه با نقطۀ تمرکز سنت ساختگرایی بر آن چه کریگ، سنت اجتماعی ـ فرهنگی</w:t>
      </w:r>
      <w:r>
        <w:rPr>
          <w:rStyle w:val="FootnoteAnchor"/>
          <w:rtl w:val="true"/>
        </w:rPr>
        <w:footnoteReference w:id="56"/>
      </w:r>
      <w:r>
        <w:rPr>
          <w:rFonts w:ascii="IRNazanin" w:hAnsi="IRNazanin" w:eastAsia="IRNazanin"/>
          <w:color w:val="111111"/>
          <w:sz w:val="28"/>
          <w:sz w:val="28"/>
          <w:szCs w:val="28"/>
          <w:rtl w:val="true"/>
          <w:lang w:bidi="fa-IR"/>
        </w:rPr>
        <w:t>می نامد، نیز 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نظریه پردازان اجتماعی ـ فرهنگی،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دیالوگ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دیالوگ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کری، شاید مشهورترین نمایندۀ این مدرسۀ نظریه پردازی،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توصیف سنت روانی ـ اجتماعی از فرستندگانی که با پیام هایی در کانال های معین بر گیرنده ها اثر می گذارند، ارتباطات، به طرز مفید تری، به زبان مجامعی که معنا را به وسیلۀ معانی مراسم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تقویت می کنند،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عملی است نمادین که در یک جامعه گسترش و انجام می یابد، آن چنان که عمل کنندگان می توانند به همدیگر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دنیا، آن چنان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تباین با تأکید اطلاعاتی ویژۀ موعظۀ پروتستانی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به زبان غیر آیینی الگوی فرستنده ـ گیرنده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کاتولیکی مراسم عشای ربانی که در کانون وظایف کلیسایی است، بر طریقی که گروه های مردمی </w:t>
      </w:r>
      <w:bookmarkStart w:id="194" w:name="pg3881_27737"/>
    </w:p>
    <w:p>
      <w:pPr>
        <w:pStyle w:val="BookText"/>
        <w:rPr/>
      </w:pPr>
      <w:bookmarkEnd w:id="194"/>
      <w:r>
        <w:rPr>
          <w:rFonts w:ascii="IRNazanin" w:hAnsi="IRNazanin" w:eastAsia="IRNazanin"/>
          <w:color w:val="111111"/>
          <w:sz w:val="28"/>
          <w:sz w:val="28"/>
          <w:szCs w:val="28"/>
          <w:rtl w:val="true"/>
          <w:lang w:bidi="fa-IR"/>
        </w:rPr>
        <w:t>گرد می آیند، تأکید می کند، نه برای شنیدن اطلاعات تازه بلکه بیشتر برای برپاکردن و تقویت معناهایی که عزیز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کری، جهان بینی های مذهبی به وسیلۀ اعمال مشترک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نگهداری، ترمیم و 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کری معرفت شناسانه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تر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ضدمعرفت 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او بر این نیست که ارتباطات چگونه به جوامع، برای دانستن این یا آن یاری می رسانند بلکه بیشتر بر این علاقه است که چگونه مراعات آیینی</w:t>
      </w:r>
      <w:r>
        <w:rPr>
          <w:rStyle w:val="FootnoteAnchor"/>
          <w:rtl w:val="true"/>
        </w:rPr>
        <w:footnoteReference w:id="57"/>
      </w:r>
      <w:r>
        <w:rPr>
          <w:rFonts w:ascii="IRNazanin" w:hAnsi="IRNazanin" w:eastAsia="IRNazanin"/>
          <w:color w:val="111111"/>
          <w:sz w:val="28"/>
          <w:sz w:val="28"/>
          <w:szCs w:val="28"/>
          <w:rtl w:val="true"/>
          <w:lang w:bidi="fa-IR"/>
        </w:rPr>
        <w:t>آن چه را که جوامع برای دانستن اخذ می کنند، آفریده و مستحکم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باید افزود که دانشمند پروتستان، استفن وب، یک دریافت اکوستمیولوژیک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واژه از خانوادۀ واژۀ </w:t>
      </w:r>
      <w:r>
        <w:rPr>
          <w:rFonts w:eastAsia="Times New Roman" w:cs="Times New Roman" w:ascii="Times New Roman" w:hAnsi="Times New Roman"/>
          <w:color w:val="111111"/>
          <w:sz w:val="28"/>
          <w:szCs w:val="28"/>
          <w:lang w:val="en-US" w:bidi="en-US"/>
        </w:rPr>
        <w:t>accustom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عادت‌کردن، آموخته‌کردن، آشناکردن یا شدن، خو و 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از مراسم آیینی ارائه داده که درکی غنی از این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موعظۀ پروتستانی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چنان که شاید و باید درک شود، همۀ اعمال مطروحۀ در این مقاله ـ خطابه، شمایل نگاری، معاشرت، نیایش و شرکت در جشن های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امکان اجرای فرهنگی ـ اجتماعی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آیینی یک وظیفۀ عبادی کامل، اهمیتی ضمنی به اعمال عبادی ویژه به عنوان ابزار نگهداری جهان بینی یک جامعه می بخشد و کمک به روشن شدن این مسئله می کند که چرا عمل کنندگان این مراسم آیینی، به طرز حیرت آوری حاضر به تغییرِ حتی جزییات کوچکی از آیین عبادی شان نیستند</w:t>
      </w:r>
      <w:r>
        <w:rPr>
          <w:rFonts w:eastAsia="IRNazanin" w:cs="IRNazanin"/>
          <w:color w:val="111111"/>
          <w:sz w:val="28"/>
          <w:szCs w:val="28"/>
          <w:rtl w:val="true"/>
          <w:lang w:bidi="fa-IR"/>
        </w:rPr>
        <w:t>.</w:t>
      </w:r>
    </w:p>
    <w:p>
      <w:pPr>
        <w:pStyle w:val="Heading3"/>
        <w:numPr>
          <w:ilvl w:val="2"/>
          <w:numId w:val="1"/>
        </w:numPr>
        <w:rPr/>
      </w:pPr>
      <w:bookmarkStart w:id="195" w:name="__RefHeading___Toc1656126_2281741623"/>
      <w:bookmarkStart w:id="196" w:name="_Toc69"/>
      <w:bookmarkEnd w:id="195"/>
      <w:r>
        <w:rPr>
          <w:rtl w:val="true"/>
        </w:rPr>
        <w:t>کاوش های بیشترِ گفتمان مقدس</w:t>
      </w:r>
      <w:bookmarkEnd w:id="196"/>
    </w:p>
    <w:p>
      <w:pPr>
        <w:pStyle w:val="BookText"/>
        <w:rPr/>
      </w:pPr>
      <w:r>
        <w:rPr>
          <w:rFonts w:ascii="IRNazanin" w:hAnsi="IRNazanin" w:eastAsia="IRNazanin"/>
          <w:color w:val="111111"/>
          <w:sz w:val="28"/>
          <w:sz w:val="28"/>
          <w:szCs w:val="28"/>
          <w:rtl w:val="true"/>
          <w:lang w:bidi="fa-IR"/>
        </w:rPr>
        <w:t>کاوش های بیشترِ گفتمان مقدس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قلمرو گفتمان مذهبی، همانندی های بسیاری با شکل های سکولار ارتباط به نظر می آید؛ برای نمونه سیبرنتیک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در گفتمان دیرسال کَتِکیسم</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سؤال و جواب دینی، پرسش نامۀ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یابد و چگونگی سخن گفتن حقیقت با قدرت، برگی در مرثیه سرایی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برقرارشده، این است که برای مردمی که در درون سنت های ایمانی هستند و حتی برای مردمی که هرگز یک باور دینی را ابراز نکرده اند، شکل های مقدس ارتباطات هم چون واسطۀ پاسخ به واقعیتی بزرگ تر از پاسخگو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کریگ متسِن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سیداحمد نادمی </w:t>
      </w:r>
      <w:bookmarkStart w:id="197" w:name="pg3881_27740"/>
    </w:p>
    <w:p>
      <w:pPr>
        <w:pStyle w:val="Heading3"/>
        <w:numPr>
          <w:ilvl w:val="2"/>
          <w:numId w:val="1"/>
        </w:numPr>
        <w:rPr/>
      </w:pPr>
      <w:bookmarkStart w:id="198" w:name="__RefHeading___Toc1656128_2281741623"/>
      <w:bookmarkStart w:id="199" w:name="_Toc70"/>
      <w:bookmarkEnd w:id="197"/>
      <w:bookmarkEnd w:id="198"/>
      <w:r>
        <w:rPr>
          <w:rtl w:val="true"/>
        </w:rPr>
        <w:t>برای مطالعۀ بیشتر</w:t>
      </w:r>
      <w:bookmarkEnd w:id="199"/>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Abercrombie, N., &amp; Longhurst, B. (1998). Audiences.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Augustine. (1958). On Christian doctrine (D. W. Robertson Jr., Trans.). Upper Saddle River, NJ: Prentice 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Berger, P. (1977). Facing up to modernity: Excursions in society, politics, and religion.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Booth, W. C. (1974). Modern dogma and the rhetoric of assent.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Burke, K. (1970). The rhetoric of religion.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Carey, J. (1989). Communication as culture: Essays on media and society. In D. Thorburn (Ed.), Media and popular culture: A series of critical books.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Collins, K. (2000). Introduction. Exploring Christian spirituality. Grand Rapids, MI: Baker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Craig, R. T. (1999). Communication theory as a field. Communication Theory, 119-161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Darsey, J. (1997). The prophetic tradition and radical rhetoric in America. New York: New York University Press</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Dues, M., &amp; Brown, M. (2004). Boxing Plato’s shadow: An introduction to the study of human communication. New York: McGrawHill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Durant, W. (1950). The age of faith: Ahistory of medieval civilization- Christian, Islamic, and Judaic- from Constantine to Dante: A. D. 325- 1300. New York: Simon &amp; Schuster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Dyrness, W. A. (2001). Visual faith: Art, theology, and worship in dialogue. In W. A. Dyrness &amp; R. K. Johnston (Eds.), Engaging culture. Grand Rapids, MI: Baker Academic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Ellul, J. (1985). The humiliation of the word (J. Main Hanks, Trans.). Grand Rapids, MI: Eerdmans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Gay, C. (1999). Postmodernism and the profanation of communication. (Cassette Recording No. RG2862). Virginia Beach, VA: Regent College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Ghani Abd. Z. (2004). “Islamic Values and Ethics in Communication.” Journal of Communication and Religion, 27(1), 58-62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Graves, M. (2001). The Quaker tapestry: An artistic attempt to stitch together a diverse religious community. The Journal of Religion and Communication, 24, 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 Arthur W. III. (2003). The vanishing word: The veneration of visual imagery in the postmodern world. In G. E. Veith Jr. (Ed.), Focal Point Series. Wheaton, IL: Crossway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W. (1958). The varieties of religious experience. New York: Mentor</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Johannesen, R. L., Strickland, R., &amp; Eubanks, R. T., Eds. (1970). Language is sermonic: Richard M. Weaver on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nature of rhetoric. Baton Rouge: Louisiana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Kramer, K. (1986). World scriptures: An introduction to comparative religious. New York: Paulist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C. S. (2001). George MacDonald: An anthology. SanFrancisco, CA: HarperSanFrancisco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P. (1954). The New England mind: The seventeenth century.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Mitchell, J., &amp; Marriage, S (Eds.). (2003). Mediating religion: Conversations in media, religion and culture. New York: T &amp; T Clark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Ong, W. J. (1982). Orality and literacy: The technologizing of the word. In T. Hawkes (Ed.), New Accents.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 J. D. (1999). Speaking into the air.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Pieper, J. (1988). Abuse of language, abuse of power (L. Krauth, Trans.). San Francisco: Ignatius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Postman, N. (1985). Amusing ourselves to death: Public discourse in the age of show business. New York: Penguin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Shuger, D. K. (1988). Sacred rhetoric: The Christian grand style in the English Renaissance.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Webb, S. H. (2004). The divine voice: Christian proclamation and the theology of sound. Grand Rapids, MI: Brazos</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Wilder, A. N. (1971). Early Christian rhetoric: The language of the Gospel. Peabody, MA: Hendrickson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Wood, J. (2004). Buddhist influences in teaching and scholarship. Journal of Communication and Religion, 27(1), 32-39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Wuthnow, R. (1992). Rediscovering the sacred: Perspectives onreligion in contemporary society. Grand Rapids, MI: Eerdmans</w:t>
      </w:r>
      <w:r>
        <w:rPr>
          <w:rFonts w:eastAsia="Times New Roman" w:cs="Times New Roman" w:ascii="Times New Roman" w:hAnsi="Times New Roman"/>
          <w:color w:val="111111"/>
          <w:sz w:val="28"/>
          <w:szCs w:val="28"/>
          <w:rtl w:val="true"/>
          <w:lang w:val="en-US" w:bidi="en-US"/>
        </w:rPr>
        <w:t xml:space="preserve">. </w:t>
      </w:r>
      <w:bookmarkStart w:id="200" w:name="pg3881_27748"/>
    </w:p>
    <w:p>
      <w:pPr>
        <w:pStyle w:val="Heading2"/>
        <w:numPr>
          <w:ilvl w:val="1"/>
          <w:numId w:val="1"/>
        </w:numPr>
        <w:rPr/>
      </w:pPr>
      <w:bookmarkStart w:id="201" w:name="__RefHeading___Toc1656130_2281741623"/>
      <w:bookmarkStart w:id="202" w:name="_Toc71"/>
      <w:bookmarkEnd w:id="200"/>
      <w:bookmarkEnd w:id="201"/>
      <w:r>
        <w:rPr>
          <w:rtl w:val="true"/>
        </w:rPr>
        <w:t>اسطوره ها</w:t>
      </w:r>
      <w:bookmarkEnd w:id="202"/>
    </w:p>
    <w:p>
      <w:pPr>
        <w:pStyle w:val="Heading3"/>
        <w:numPr>
          <w:ilvl w:val="2"/>
          <w:numId w:val="1"/>
        </w:numPr>
        <w:rPr/>
      </w:pPr>
      <w:bookmarkStart w:id="203" w:name="__RefHeading___Toc1656132_2281741623"/>
      <w:bookmarkStart w:id="204" w:name="_Toc7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اسطوره 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اساطیر، داستان هایی قوی هستند که فرهنگ ها عمیق ترین ارزش ها و دغدغه های خود را از طریق آن ها ابراز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اسطوره هایی مدرن وجود دارند و یا اسطوره های کهن هنوز در جامعۀ معاصر به سر می برند آن ها را از داستان های پخش شده از رسانه ها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داستان هایی عوام پسند و جالب دربارۀ خدایانِ کهن و قهرمانان هستند ولی در دنیای علمی معاصر قدرت و معنایی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طول قرن بیستم، محققان همواره به اسطوره علاقه نشان داده و از رابطۀ آن با مردم برای ما گفته اند</w:t>
      </w:r>
      <w:r>
        <w:rPr>
          <w:rFonts w:eastAsia="IRNazanin" w:cs="IRNazanin"/>
          <w:color w:val="111111"/>
          <w:sz w:val="28"/>
          <w:szCs w:val="28"/>
          <w:rtl w:val="true"/>
          <w:lang w:bidi="fa-IR"/>
        </w:rPr>
        <w:t xml:space="preserve">. </w:t>
      </w:r>
      <w:bookmarkStart w:id="205" w:name="pg3881_27750"/>
    </w:p>
    <w:p>
      <w:pPr>
        <w:pStyle w:val="Heading3"/>
        <w:numPr>
          <w:ilvl w:val="2"/>
          <w:numId w:val="1"/>
        </w:numPr>
        <w:rPr/>
      </w:pPr>
      <w:bookmarkStart w:id="206" w:name="__RefHeading___Toc1656134_2281741623"/>
      <w:bookmarkStart w:id="207" w:name="_Toc73"/>
      <w:bookmarkEnd w:id="205"/>
      <w:bookmarkEnd w:id="206"/>
      <w:r>
        <w:rPr>
          <w:rtl w:val="true"/>
        </w:rPr>
        <w:t>کارکرد اسطوره ها</w:t>
      </w:r>
      <w:bookmarkEnd w:id="207"/>
    </w:p>
    <w:p>
      <w:pPr>
        <w:pStyle w:val="BookText"/>
        <w:rPr/>
      </w:pPr>
      <w:r>
        <w:rPr>
          <w:rFonts w:ascii="IRNazanin" w:hAnsi="IRNazanin" w:eastAsia="IRNazanin"/>
          <w:color w:val="111111"/>
          <w:sz w:val="28"/>
          <w:sz w:val="28"/>
          <w:szCs w:val="28"/>
          <w:rtl w:val="true"/>
          <w:lang w:bidi="fa-IR"/>
        </w:rPr>
        <w:t>کارکرد اسطوره ها</w:t>
      </w:r>
    </w:p>
    <w:p>
      <w:pPr>
        <w:pStyle w:val="BookText"/>
        <w:rPr/>
      </w:pPr>
      <w:r>
        <w:rPr>
          <w:rFonts w:ascii="IRNazanin" w:hAnsi="IRNazanin" w:eastAsia="IRNazanin"/>
          <w:color w:val="111111"/>
          <w:sz w:val="28"/>
          <w:sz w:val="28"/>
          <w:szCs w:val="28"/>
          <w:rtl w:val="true"/>
          <w:lang w:bidi="fa-IR"/>
        </w:rPr>
        <w:t xml:space="preserve">میرچا الیاده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اسطوره های قدرتمند همواره تفکر ما در دنیای معاصر را 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اسطوره ها تفسیرگر خاستگاه مسائل مختلف هستند، ارزش های مشترک را ابراز می کنند و به تجارب ما شکل و معنا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فهم این مضامین و درک اسطوره ها در رسانه های مدرن بهتر است دربارۀ اسطوره های کهن مطالعه داشته و آن ها را با حکایات و تمثیلات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کهن با این که قالب داستانی دارند، شبیه قصه های پریان یا داستان های عامیانه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در جوامع مختلف، میراث فرهنگی با ارزشی بودند که حقایق مشترک عمیقی را در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عامیانه معمولاً جنبۀ سرگرمی داشته و حاوی درسی اخلاقی هستند؛ برای نمونه حکایات آسوپ که در پایان هر قسمت آن درسی نهفته است ولی برگرفته از رویدادهای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 تواند شنل قرمزی کوچولو را به عنوان داستانی پندآموز برای دختربچه ها بخواند ولی مطمئناً روابط بین دختر و گرگ واقعی نیستند و یقیناً تا به پایان همین طور باقی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برعکسِ حکایات آن قدر برگرفته از رویدادهای حقیقی اند که خود ماهیت واقعیت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الیاده اسطوره ها را داستان هایی مربوط به پیش از زمان حال یا متعلق به دنیای فراتر از زندگی روزمره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تبیین کنندۀ خاستگاه مسائل و معنای آن ها هستند برای غریبه ها اسطوره حکم قصۀ پریان را دارد ولی برای فرهنگ تولیدکنندۀ آن پنجره ای به سوی زمان مبدا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الیاده،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جوزف کمپبل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اسطوره برطرف کنندۀ چهار نیاز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شگفتی دربارۀ دنیا</w:t>
      </w:r>
      <w:bookmarkStart w:id="208" w:name="pg3881_27752"/>
    </w:p>
    <w:p>
      <w:pPr>
        <w:pStyle w:val="BookText"/>
        <w:rPr/>
      </w:pPr>
      <w:bookmarkEnd w:id="2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دنیا هم سو با تفکرات علمی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آیینی از ساختار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فرد در برابر آسیب های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اسطوره های یونان، روم، اسکاندیناوی و بومیان آمریکا به راحتی متوجه این مضامین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فکرکردن به مسائل فرهنگی بدین روش مشکل است؛ برای نمونه یهودیان و مسیحیان معمولاً در برابر اسطوره بودن قسمت هایی از انجیل مقاومت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معروف باغ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پیدایش،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اسطوره دربارۀ خاستگاه است و از آفرینش انسان توسط خالقی صحبت می کند که باید سر تعظیم در پیش پای او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اسطوره هم چنین از ارائۀ سلسله مراتب بین جنسیت ها و آسیب های شغل و زادو ولد، به عنوان توضیحی برای چگونگی رابطۀ بین خدا و انسان حمایت می کند</w:t>
      </w:r>
      <w:r>
        <w:rPr>
          <w:rFonts w:eastAsia="IRNazanin" w:cs="IRNazanin"/>
          <w:color w:val="111111"/>
          <w:sz w:val="28"/>
          <w:szCs w:val="28"/>
          <w:rtl w:val="true"/>
          <w:lang w:bidi="fa-IR"/>
        </w:rPr>
        <w:t>.</w:t>
      </w:r>
    </w:p>
    <w:p>
      <w:pPr>
        <w:pStyle w:val="Heading3"/>
        <w:numPr>
          <w:ilvl w:val="2"/>
          <w:numId w:val="1"/>
        </w:numPr>
        <w:rPr/>
      </w:pPr>
      <w:bookmarkStart w:id="209" w:name="__RefHeading___Toc1656136_2281741623"/>
      <w:bookmarkStart w:id="210" w:name="_Toc74"/>
      <w:bookmarkEnd w:id="209"/>
      <w:r>
        <w:rPr>
          <w:rtl w:val="true"/>
        </w:rPr>
        <w:t>اسطوره و ادبیات</w:t>
      </w:r>
      <w:bookmarkEnd w:id="210"/>
    </w:p>
    <w:p>
      <w:pPr>
        <w:pStyle w:val="BookText"/>
        <w:rPr/>
      </w:pPr>
      <w:r>
        <w:rPr>
          <w:rFonts w:ascii="IRNazanin" w:hAnsi="IRNazanin" w:eastAsia="IRNazanin"/>
          <w:color w:val="111111"/>
          <w:sz w:val="28"/>
          <w:sz w:val="28"/>
          <w:szCs w:val="28"/>
          <w:rtl w:val="true"/>
          <w:lang w:bidi="fa-IR"/>
        </w:rPr>
        <w:t>اسطوره و ادبیات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های کهن اعتقاد داشتند اسطوره های شان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با جداشدن از اعتقاد کاملاً ادبی شد؛ درست مانند اسطوره های یونان و روم در اروپای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دیگر داستان هایی کهن با تمثیل هایی ادبی بودند که معانی نهفته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قرن ها اسطوره به معنای غیرواقعی دقیقاً برعکس معنای اولیۀ خود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گفتمان عامه اسطوره را کهن و غیر واقعی می دانست ولی از آن به عنوان منبع غنی ایمان و روایت که الهام دهندۀ هنرمندان عصرهای مختلف بود، 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کهن بعدها به آثار ادبی مشهوری تبدیل شدند که سالیان سال، زبان به زبان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و هنرمندان بصری اسطوره را منبع دغدغه ها، مفاهیم، شخصیت ها و ایمان های انسانی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نورتروپ فرای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211" w:name="pg3881_27754"/>
    </w:p>
    <w:p>
      <w:pPr>
        <w:pStyle w:val="BookText"/>
        <w:rPr/>
      </w:pPr>
      <w:bookmarkEnd w:id="211"/>
      <w:r>
        <w:rPr>
          <w:rFonts w:ascii="IRNazanin" w:hAnsi="IRNazanin" w:eastAsia="IRNazanin"/>
          <w:color w:val="111111"/>
          <w:sz w:val="28"/>
          <w:sz w:val="28"/>
          <w:szCs w:val="28"/>
          <w:rtl w:val="true"/>
          <w:lang w:bidi="fa-IR"/>
        </w:rPr>
        <w:t>اسطوره جزءلاینفک ادبیات بوده و هست و علاقۀ شعرا به اسطوره و اسطوره شناسی از زمان هومر همواره چشم گیر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برای نمونه در اثر معروف کیت با نام قصیده ای در باب کوزۀ یونانی اشارۀ مستقیم به اسطوره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مانند کارتونی که وایل کویوت در آن نقش به روزشدۀ گرگ حقه باز، برگرفته از اسطورۀ بومیان آمریکایی را دارد، نشانه های اسطوره شناختی پنهان تر هستند</w:t>
      </w:r>
      <w:r>
        <w:rPr>
          <w:rFonts w:eastAsia="IRNazanin" w:cs="IRNazanin"/>
          <w:color w:val="111111"/>
          <w:sz w:val="28"/>
          <w:szCs w:val="28"/>
          <w:rtl w:val="true"/>
          <w:lang w:bidi="fa-IR"/>
        </w:rPr>
        <w:t>.</w:t>
      </w:r>
    </w:p>
    <w:p>
      <w:pPr>
        <w:pStyle w:val="Heading3"/>
        <w:numPr>
          <w:ilvl w:val="2"/>
          <w:numId w:val="1"/>
        </w:numPr>
        <w:rPr/>
      </w:pPr>
      <w:bookmarkStart w:id="212" w:name="__RefHeading___Toc1656138_2281741623"/>
      <w:bookmarkStart w:id="213" w:name="_Toc75"/>
      <w:bookmarkEnd w:id="212"/>
      <w:r>
        <w:rPr>
          <w:rtl w:val="true"/>
        </w:rPr>
        <w:t>اسطوره و روان شناسی</w:t>
      </w:r>
      <w:bookmarkEnd w:id="213"/>
    </w:p>
    <w:p>
      <w:pPr>
        <w:pStyle w:val="BookText"/>
        <w:rPr/>
      </w:pPr>
      <w:r>
        <w:rPr>
          <w:rFonts w:ascii="IRNazanin" w:hAnsi="IRNazanin" w:eastAsia="IRNazanin"/>
          <w:color w:val="111111"/>
          <w:sz w:val="28"/>
          <w:sz w:val="28"/>
          <w:szCs w:val="28"/>
          <w:rtl w:val="true"/>
          <w:lang w:bidi="fa-IR"/>
        </w:rPr>
        <w:t>اسطوره و روان شناسی</w:t>
      </w:r>
    </w:p>
    <w:p>
      <w:pPr>
        <w:pStyle w:val="BookText"/>
        <w:rPr/>
      </w:pPr>
      <w:r>
        <w:rPr>
          <w:rFonts w:ascii="IRNazanin" w:hAnsi="IRNazanin" w:eastAsia="IRNazanin"/>
          <w:color w:val="111111"/>
          <w:sz w:val="28"/>
          <w:sz w:val="28"/>
          <w:szCs w:val="28"/>
          <w:rtl w:val="true"/>
          <w:lang w:bidi="fa-IR"/>
        </w:rPr>
        <w:t>اسطوره، ذهن روان شناسان اولیه را نیز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زیگموند فروید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نمود حقایق عمیق اجتماعی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در تحقیقات خود روی امیال نامشروع به عنوان عامل پیشرفت انسان و هم چنین عقدۀ اُدیپ، از اسطورۀ یونانی اودیپوس کمک می گیرد که پدر خود لایوس را می کشد و با مادرش یوکاستا ازدواج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یونگ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فروید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شده و نظریات خود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نظریۀ فروید مبنی بر ریشه دار بودن عقده های روانی در آسیب های روحی دوران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تجارب خارجی را رها کرد و معتقد بود که ساختارهای درونی عمیقی شبیه ناخودآگاه جمعی وجود دارند که رشد و درکمان از دنیا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یونگ نمادهای پایان ناپذیری در ضمیر ناخودآگاه وجود دارند که جزو میراث انسانی ما بوده و تجارب و تفکرات ما در دنیای اطراف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قهرمان، شیاد، زمین و دیگر ایماژها در رویاها، اسطوره ها و داستان های فرهنگ های مردمان مختلف همواره حضور داشته اند</w:t>
      </w:r>
      <w:r>
        <w:rPr>
          <w:rFonts w:eastAsia="IRNazanin" w:cs="IRNazanin"/>
          <w:color w:val="111111"/>
          <w:sz w:val="28"/>
          <w:szCs w:val="28"/>
          <w:rtl w:val="true"/>
          <w:lang w:bidi="fa-IR"/>
        </w:rPr>
        <w:t xml:space="preserve">. </w:t>
      </w:r>
      <w:bookmarkStart w:id="214" w:name="pg3881_27756"/>
    </w:p>
    <w:p>
      <w:pPr>
        <w:pStyle w:val="Heading3"/>
        <w:numPr>
          <w:ilvl w:val="2"/>
          <w:numId w:val="1"/>
        </w:numPr>
        <w:rPr/>
      </w:pPr>
      <w:bookmarkStart w:id="215" w:name="__RefHeading___Toc1656140_2281741623"/>
      <w:bookmarkStart w:id="216" w:name="_Toc76"/>
      <w:bookmarkEnd w:id="214"/>
      <w:bookmarkEnd w:id="215"/>
      <w:r>
        <w:rPr>
          <w:rtl w:val="true"/>
        </w:rPr>
        <w:t>رویکردهای کهن</w:t>
      </w:r>
      <w:bookmarkEnd w:id="216"/>
    </w:p>
    <w:p>
      <w:pPr>
        <w:pStyle w:val="BookText"/>
        <w:rPr/>
      </w:pPr>
      <w:r>
        <w:rPr>
          <w:rFonts w:ascii="IRNazanin" w:hAnsi="IRNazanin" w:eastAsia="IRNazanin"/>
          <w:color w:val="111111"/>
          <w:sz w:val="28"/>
          <w:sz w:val="28"/>
          <w:szCs w:val="28"/>
          <w:rtl w:val="true"/>
          <w:lang w:bidi="fa-IR"/>
        </w:rPr>
        <w:t>رویکردهای کهن</w:t>
      </w:r>
    </w:p>
    <w:p>
      <w:pPr>
        <w:pStyle w:val="BookText"/>
        <w:rPr/>
      </w:pPr>
      <w:r>
        <w:rPr>
          <w:rFonts w:ascii="IRNazanin" w:hAnsi="IRNazanin" w:eastAsia="IRNazanin"/>
          <w:color w:val="111111"/>
          <w:sz w:val="28"/>
          <w:sz w:val="28"/>
          <w:szCs w:val="28"/>
          <w:rtl w:val="true"/>
          <w:lang w:bidi="fa-IR"/>
        </w:rPr>
        <w:t>در اوسط قرن بیست، این رویکردهای غنی ادبی و روان شناختی به اسطوره باعث علاقه مندی دوباره به اسطوره شناسی سنتی یا کهن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محققانی مانند الیاده و کمپبل به دنبال مضامین، دغدغه ها و ساختارهای مشترک در اسطوره های فرهنگ 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کمپبل اعتقاد داشت که اسطوره ها و مذهب تابع نمونه های مشترک یا جهانی اند و به اعتقاد یونگ این نمونه ها شکل دهندۀ جهان درونی رویاها و ناخودآگاه جمعی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 برعکسِ نقد ادبی روزگار خویش، یعنی تمرکز بر تاثیر ادبیات بر خوانندۀ مدرن، قدم برداشت تا نقدی را شکل دهد که بینش ادبی را در پرتو مضامین و قالب ادبی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خوانش ما از متن را از طریق ارتباط دادن آن ها با دغدغه ها و قالب های ادبی و اسطوره شناختیِ مقدم و موخر غنا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اولیه به اسطوره به عنوان محصول فرهنگ های کهن و اولیه نگاه نمی کردند و اعتقاد داشتند که در دنیای عقل گرا و علمی حال حاضر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متفکرانی مانند فروید، یونگ، کمپبل، الیاده و فرای نشان دادند که چگونه اسطوره ها در زندگی ناخودآگاه مردم معاصر و قالب های نوینِ داستان گویی مانند رمان، فیلم و تلویزیون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ها اسطوره هنوز هم به تفکرات مردم دربارۀ تجاربشان شکل می بخشد</w:t>
      </w:r>
      <w:r>
        <w:rPr>
          <w:rFonts w:eastAsia="IRNazanin" w:cs="IRNazanin"/>
          <w:color w:val="111111"/>
          <w:sz w:val="28"/>
          <w:szCs w:val="28"/>
          <w:rtl w:val="true"/>
          <w:lang w:bidi="fa-IR"/>
        </w:rPr>
        <w:t>.</w:t>
      </w:r>
    </w:p>
    <w:p>
      <w:pPr>
        <w:pStyle w:val="Heading3"/>
        <w:numPr>
          <w:ilvl w:val="2"/>
          <w:numId w:val="1"/>
        </w:numPr>
        <w:rPr/>
      </w:pPr>
      <w:bookmarkStart w:id="217" w:name="__RefHeading___Toc1656142_2281741623"/>
      <w:bookmarkStart w:id="218" w:name="_Toc77"/>
      <w:bookmarkEnd w:id="217"/>
      <w:r>
        <w:rPr>
          <w:rtl w:val="true"/>
        </w:rPr>
        <w:t>اسطوره و رسانه های مردمی</w:t>
      </w:r>
      <w:bookmarkEnd w:id="218"/>
    </w:p>
    <w:p>
      <w:pPr>
        <w:pStyle w:val="BookText"/>
        <w:rPr/>
      </w:pPr>
      <w:r>
        <w:rPr>
          <w:rFonts w:ascii="IRNazanin" w:hAnsi="IRNazanin" w:eastAsia="IRNazanin"/>
          <w:color w:val="111111"/>
          <w:sz w:val="28"/>
          <w:sz w:val="28"/>
          <w:szCs w:val="28"/>
          <w:rtl w:val="true"/>
          <w:lang w:bidi="fa-IR"/>
        </w:rPr>
        <w:t>اسطوره و رسانه های مردمی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اسطوره و نمونه های کهن در رسانه های معاصر، راه های جدیدی برای پرداختن به فرهنگ عامه را به محققان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فرهنگ عامه به منزلۀ سرگرمی کلیشه ای و عمومی نگاه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پدیده ها مورد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کاوِلتی معتقد بود که در بطن مقولاتی مانند ماجراجویی، </w:t>
      </w:r>
    </w:p>
    <w:p>
      <w:pPr>
        <w:pStyle w:val="BookText"/>
        <w:rPr/>
      </w:pPr>
      <w:r>
        <w:rPr>
          <w:rFonts w:ascii="IRNazanin" w:hAnsi="IRNazanin" w:eastAsia="IRNazanin"/>
          <w:color w:val="111111"/>
          <w:sz w:val="28"/>
          <w:sz w:val="28"/>
          <w:szCs w:val="28"/>
          <w:rtl w:val="true"/>
          <w:lang w:bidi="fa-IR"/>
        </w:rPr>
        <w:t>اسرار و عشق اسطوره های قدرتمند یا داستان های اخلاقی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داستان عشقی حاوی درسی اخلاقی است که در آن عشق پیروز و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مضامین باعث دسترسی به رضایت زیبایی شناختی و اسطوره های فرهنگی نقاب دار در پسِ نمایش تلویزیونی، فیلم یا رمان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نگارانی مانند کمپبل و الیاده، اسطوره ها را میراثی فرهنگی تلقی می کنند که تبدیل به جزوی از دنیای مشترک معنا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تهیه کنندگان رسانه بدون آگاه بودن از این فرآیند، بیانگر اسطوره هایی از فرهنگشان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بینیم که کار آن ها چیزی بیش از سرگرم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کتاب داستان های هویت اثر فرای نام نویسندگانی چون میلتِن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بلیک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دیکنسِن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جویس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متوجه می شویم که اکثر نویسندگان از وام گیری خود از اسطوره ها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ساز مشهور، جُرج لوکاس، از تاثیر نویسندگانی مانند کمپبل و یونگ بر فیلم های جنگ ستارگان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با این که خلق رسانه های مردمی شبیه اسطوره هاست ولی در واقع اسطوره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باور نمی کنیم که فرهنگ مردمی مانند برداشت های کهن یونانیان از زئوس، هِرا و هرمس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ها داستان های رسانه های مردمی بیشتر شبیه قصه های عامیانه اند؛ داستان هایی اخلاقی در میان حکایاتی جذاب که هیچ کس جدی نمی گیردشان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ما کمک می کند که دقیق تر بگوییم اسطوره در پس این نمایش های رسانه ای خاص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مدرن شبیه نقابی است که هم اسطوره را پنهان می کند و هم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توصیفات داستان های علمی ـ تخیلی دربارۀ مکان ما در دنیا را فرض کنید که </w:t>
      </w:r>
      <w:bookmarkStart w:id="219" w:name="pg3881_27760"/>
    </w:p>
    <w:p>
      <w:pPr>
        <w:pStyle w:val="BookText"/>
        <w:rPr/>
      </w:pPr>
      <w:bookmarkEnd w:id="219"/>
      <w:r>
        <w:rPr>
          <w:rFonts w:ascii="IRNazanin" w:hAnsi="IRNazanin" w:eastAsia="IRNazanin"/>
          <w:color w:val="111111"/>
          <w:sz w:val="28"/>
          <w:sz w:val="28"/>
          <w:szCs w:val="28"/>
          <w:rtl w:val="true"/>
          <w:lang w:bidi="fa-IR"/>
        </w:rPr>
        <w:t>دقیقاً مناسب فرهنگ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سفر ستاره ای در اواخر دهۀ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در تلویزیون محبوبیت پیدا کرد و زمینه ساز فیلم های بعدی، مجموعه های تلویزیونی و فرهنگی عمومیِ مورد حمایت کلوب ها و انجمن ها، تا زمان نگارش این دانش 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سفر ستاره ای پیدایش انسان را در مرکز دنیای جذاب و گسترده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خدا یا خدایان خبری نیست، سفر ستاره ای از اسطورۀ قدرتمند پیشرفت صحبت می کند، اعتقادی که باعث تکامل در آینده خواهد شد</w:t>
      </w:r>
      <w:r>
        <w:rPr>
          <w:rFonts w:eastAsia="IRNazanin" w:cs="IRNazanin"/>
          <w:color w:val="111111"/>
          <w:sz w:val="28"/>
          <w:szCs w:val="28"/>
          <w:rtl w:val="true"/>
          <w:lang w:bidi="fa-IR"/>
        </w:rPr>
        <w:t>.</w:t>
      </w:r>
    </w:p>
    <w:p>
      <w:pPr>
        <w:pStyle w:val="Heading3"/>
        <w:numPr>
          <w:ilvl w:val="2"/>
          <w:numId w:val="1"/>
        </w:numPr>
        <w:rPr/>
      </w:pPr>
      <w:bookmarkStart w:id="220" w:name="__RefHeading___Toc1656144_2281741623"/>
      <w:bookmarkStart w:id="221" w:name="_Toc78"/>
      <w:bookmarkEnd w:id="220"/>
      <w:r>
        <w:rPr>
          <w:rtl w:val="true"/>
        </w:rPr>
        <w:t>اسطورۀ خلقت مردم توکانو</w:t>
      </w:r>
      <w:bookmarkEnd w:id="221"/>
    </w:p>
    <w:p>
      <w:pPr>
        <w:pStyle w:val="BookText"/>
        <w:rPr/>
      </w:pPr>
      <w:r>
        <w:rPr>
          <w:rFonts w:ascii="IRNazanin" w:hAnsi="IRNazanin" w:eastAsia="IRNazanin"/>
          <w:color w:val="111111"/>
          <w:sz w:val="28"/>
          <w:sz w:val="28"/>
          <w:szCs w:val="28"/>
          <w:rtl w:val="true"/>
          <w:lang w:bidi="fa-IR"/>
        </w:rPr>
        <w:t>بومیان توکانو، در برزیل و کلمبیا داستانی دربارۀ خلقت دارند که حول نبردی بین خورشید و ماه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فقط خورشید بود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برادران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تنها زندگی می کردند ولی خورشید دختردار شد و طوری با او زندگی می کرد، گویی که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 نداشت، پس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با همسر خورشید عشق بازی کند ولی خورشید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خورشید، در آسمان، مجلس رقصی برپا بود و هنگامی که ماه برای رقصیدن آمد، خورشید برای مجازاتش تاج پدربزرگش را از او گرفت و در عوض به او تاج پرِ کوچک و یک جفت گوشوارۀ مسی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خورشید و ماه از یکدیگر جدا شدند و به خاطر این مجازات، ماه همیشه در آسمان از خورشید دور افتاده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زمین را آفرید و به همین دلیل او را خورشید پدر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تمامی دِسانا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دنیا را با قدرت نور زردرنگش آفرید و آن را زندگی و ثبات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زمین را با جنگل ها، رودها، حیوانات و </w:t>
      </w:r>
      <w:bookmarkStart w:id="222" w:name="pg3881_27762"/>
    </w:p>
    <w:p>
      <w:pPr>
        <w:pStyle w:val="BookText"/>
        <w:rPr/>
      </w:pPr>
      <w:bookmarkEnd w:id="222"/>
      <w:r>
        <w:rPr>
          <w:rFonts w:ascii="IRNazanin" w:hAnsi="IRNazanin" w:eastAsia="IRNazanin"/>
          <w:color w:val="111111"/>
          <w:sz w:val="28"/>
          <w:sz w:val="28"/>
          <w:szCs w:val="28"/>
          <w:rtl w:val="true"/>
          <w:lang w:bidi="fa-IR"/>
        </w:rPr>
        <w:t>گیاهانش، از محل زندگی اش، از انعکاسات زردرنگش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خلقتش را عالی و بی نقص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ریچل ـ دولماتوف،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نمادگرایی جنسی و مذهبی بومیان توکانو،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انتشارات دانشگاه شیکاگو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سفر ستاره ای، حامی نظم اجتماعیِ نظامی و مردانه با تمامی رتبه ها و تعهداتش است؛ آن هنگام که مایکل جیندرا، به نقل از طرفداران سفر ستاره ای می گوید که سفر ستاره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در آینده 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این گونه تلقی می شود که سفر ستاره ای کارکردی شبیه اسطوره های کهن یا مذهب دارد</w:t>
      </w:r>
      <w:r>
        <w:rPr>
          <w:rFonts w:eastAsia="IRNazanin" w:cs="IRNazanin"/>
          <w:color w:val="111111"/>
          <w:sz w:val="28"/>
          <w:szCs w:val="28"/>
          <w:rtl w:val="true"/>
          <w:lang w:bidi="fa-IR"/>
        </w:rPr>
        <w:t>.</w:t>
      </w:r>
    </w:p>
    <w:p>
      <w:pPr>
        <w:pStyle w:val="Heading3"/>
        <w:numPr>
          <w:ilvl w:val="2"/>
          <w:numId w:val="1"/>
        </w:numPr>
        <w:rPr/>
      </w:pPr>
      <w:bookmarkStart w:id="223" w:name="__RefHeading___Toc1656146_2281741623"/>
      <w:bookmarkStart w:id="224" w:name="_Toc79"/>
      <w:bookmarkEnd w:id="223"/>
      <w:r>
        <w:rPr>
          <w:rtl w:val="true"/>
        </w:rPr>
        <w:t>اسطورۀ مبدأ</w:t>
      </w:r>
      <w:bookmarkEnd w:id="224"/>
    </w:p>
    <w:p>
      <w:pPr>
        <w:pStyle w:val="BookText"/>
        <w:rPr/>
      </w:pPr>
      <w:r>
        <w:rPr>
          <w:rFonts w:ascii="IRNazanin" w:hAnsi="IRNazanin" w:eastAsia="IRNazanin"/>
          <w:color w:val="111111"/>
          <w:sz w:val="28"/>
          <w:sz w:val="28"/>
          <w:szCs w:val="28"/>
          <w:rtl w:val="true"/>
          <w:lang w:bidi="fa-IR"/>
        </w:rPr>
        <w:t>اسطورۀ مبدأ</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دیگر از چگونگی کارکرد رسانۀ معاصر به منزلۀ اسطوره در غرب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رمان های ده سنتی مانند جِین بدبخت، قهرمان شادی اثر ادوارد ویلر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مجموعه های تلویزیونی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روی راجرز و مجموعۀ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Times New Roman" w:cs="Times New Roman" w:ascii="Times New Roman" w:hAnsi="Times New Roman"/>
          <w:color w:val="111111"/>
          <w:sz w:val="28"/>
          <w:szCs w:val="28"/>
          <w:lang w:val="en-US" w:bidi="en-US"/>
        </w:rPr>
        <w:t>HBO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نام بی مصرف ها، دنیای غرب به داستان گویی دربارۀ مبدأ آمریکا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توجیه کردن خشونت اذعان می دارد که ملت در نزاع بین وحشی گری و تمدن 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غربی سرشار از فردگرایی اند ولی زندگی شان را فدای تمدن نوظهور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اسطوره ای پویا در پس این داستان ها وجود داشته باشد، باید آمریکایی ها را از جایگاه شان در دنیا مطلع کرده و آن چهار نیاز انسانی کمپبل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احساس بهت و شگفتی انسان در این دنیای گسترده و جذب تمدن شرق به سمت غرب را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هم سو با درک علمی روز هستند و جادو یا خدایان جای خود را به قهرمانان قدرتمند و باشخصیت، به عنوان شکل دهندگان دنیا،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ها به وسیلۀ </w:t>
      </w:r>
      <w:bookmarkStart w:id="225" w:name="pg3881_27764"/>
    </w:p>
    <w:p>
      <w:pPr>
        <w:pStyle w:val="BookText"/>
        <w:rPr/>
      </w:pPr>
      <w:bookmarkEnd w:id="225"/>
      <w:r>
        <w:rPr>
          <w:rFonts w:ascii="IRNazanin" w:hAnsi="IRNazanin" w:eastAsia="IRNazanin"/>
          <w:color w:val="111111"/>
          <w:sz w:val="28"/>
          <w:sz w:val="28"/>
          <w:szCs w:val="28"/>
          <w:rtl w:val="true"/>
          <w:lang w:bidi="fa-IR"/>
        </w:rPr>
        <w:t>تعریف نقش جنسیت ها، از نظم اجتماعی حمایت آیینی می کنند و اذعان می دارند که گسترش جهان غرب و نابودکردن مردمان بومی، بازنمود اجتناب ناپذیر سرنوشت یا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غرب فرد را در رودررویی با آسیب های روحی زندگی از طریق بهادادن به فردگرایی و رنج دیدن جامعه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پرمخاطب شدن این داستان ها بدان معناست که اسطوره ای قدرتمند و دارای خاستگاه پشت غرب حاضر است که آمریکایی ها از طریق آن به تفسیر جایگاه خود در جهان می پردازند</w:t>
      </w:r>
      <w:r>
        <w:rPr>
          <w:rFonts w:eastAsia="IRNazanin" w:cs="IRNazanin"/>
          <w:color w:val="111111"/>
          <w:sz w:val="28"/>
          <w:szCs w:val="28"/>
          <w:rtl w:val="true"/>
          <w:lang w:bidi="fa-IR"/>
        </w:rPr>
        <w:t>.</w:t>
      </w:r>
    </w:p>
    <w:p>
      <w:pPr>
        <w:pStyle w:val="Heading3"/>
        <w:numPr>
          <w:ilvl w:val="2"/>
          <w:numId w:val="1"/>
        </w:numPr>
        <w:rPr/>
      </w:pPr>
      <w:bookmarkStart w:id="226" w:name="__RefHeading___Toc1656148_2281741623"/>
      <w:bookmarkStart w:id="227" w:name="_Toc80"/>
      <w:bookmarkEnd w:id="226"/>
      <w:r>
        <w:rPr>
          <w:rtl w:val="true"/>
        </w:rPr>
        <w:t>اشارات</w:t>
      </w:r>
      <w:bookmarkEnd w:id="227"/>
    </w:p>
    <w:p>
      <w:pPr>
        <w:pStyle w:val="BookText"/>
        <w:rPr/>
      </w:pPr>
      <w:r>
        <w:rPr>
          <w:rFonts w:ascii="IRNazanin" w:hAnsi="IRNazanin" w:eastAsia="IRNazanin"/>
          <w:color w:val="111111"/>
          <w:sz w:val="28"/>
          <w:sz w:val="28"/>
          <w:szCs w:val="28"/>
          <w:rtl w:val="true"/>
          <w:lang w:bidi="fa-IR"/>
        </w:rPr>
        <w:t>اشارات</w:t>
      </w:r>
    </w:p>
    <w:p>
      <w:pPr>
        <w:pStyle w:val="BookText"/>
        <w:rPr/>
      </w:pPr>
      <w:r>
        <w:rPr>
          <w:rFonts w:ascii="IRNazanin" w:hAnsi="IRNazanin" w:eastAsia="IRNazanin"/>
          <w:color w:val="111111"/>
          <w:sz w:val="28"/>
          <w:sz w:val="28"/>
          <w:szCs w:val="28"/>
          <w:rtl w:val="true"/>
          <w:lang w:bidi="fa-IR"/>
        </w:rPr>
        <w:t>اسطوره فرآیندی روایی است که مردم از طریق آن مبدأ مسائل را تبیین کرده، خود را با الوهیت و سرنوشت وفق داده، به نگرش ها و ساختارهای فرهنگی معنا بخشیده و جایگاه خود را در دنیا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اسطوره در فرهنگ های کهن بیشتر حضور داشته است، آن را در رسانه های معاصر نیز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اسطوره ها در پس داستان های مردمی به ما کمک می کند تا قدرت رسانه های معاصر در شکل دهی و تفسیر دنیا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جفری ماهان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228" w:name="pg3881_27765"/>
    </w:p>
    <w:p>
      <w:pPr>
        <w:pStyle w:val="Heading3"/>
        <w:numPr>
          <w:ilvl w:val="2"/>
          <w:numId w:val="1"/>
        </w:numPr>
        <w:rPr/>
      </w:pPr>
      <w:bookmarkStart w:id="229" w:name="__RefHeading___Toc1656150_2281741623"/>
      <w:bookmarkStart w:id="230" w:name="_Toc81"/>
      <w:bookmarkEnd w:id="228"/>
      <w:bookmarkEnd w:id="229"/>
      <w:r>
        <w:rPr>
          <w:rtl w:val="true"/>
        </w:rPr>
        <w:t>برای مطالعۀ بیشتر</w:t>
      </w:r>
      <w:bookmarkEnd w:id="230"/>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Campbell, J. (1959). The masks of God: Vol. 4. Creative mythology. New York: Viking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J. (1972). Hero with a thousand faces. Princeton, NJ: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Cawelti, J. G. (1976). Adventure, mystery, and romance.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Eliade, M. (1959). The sacred and the profane: The nature of religion. New York: Harcourt Brace Jovanovich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Freud, S. (1966). The complete lectures on psychoanalysis. New York: W. W. Norton. (Original work published 1920)</w:t>
      </w:r>
    </w:p>
    <w:p>
      <w:pPr>
        <w:pStyle w:val="BookText"/>
        <w:rPr/>
      </w:pPr>
      <w:r>
        <w:rPr>
          <w:rFonts w:eastAsia="Times New Roman" w:cs="Times New Roman" w:ascii="Times New Roman" w:hAnsi="Times New Roman"/>
          <w:color w:val="111111"/>
          <w:sz w:val="28"/>
          <w:szCs w:val="28"/>
          <w:lang w:val="en-US" w:bidi="en-US"/>
        </w:rPr>
        <w:t>Frye, N. (1963). Fables of identity: Studies in poetic mythology. New York: Harcourt Brace Jovanovich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Head, J. G., &amp; MacLea, L. (1976). Myth and meaning. Evanston, IL: McDougal, Littell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Jewett, R., &amp; Lawrence, J. S. (1977). The American monomyth. Garden City, NY: Anchor/Doubleday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Jindra, M. (2000). It’s about faith in our future: Star Trek fandom as cultural religion. In B. D. Forbes &amp; J. H. Mahan (Eds.), Religion and Popular Culture in America. 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Jung, C. (1964). Man and his symbols. Garden City, NY: Doubleday</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Turner, V. (1982). From ritual to theatre: The human seriousness of play. New York: PAJ Publications</w:t>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3881_27767"/>
      <w:bookmarkStart w:id="232" w:name="pg3881_27767"/>
      <w:bookmarkEnd w:id="232"/>
    </w:p>
    <w:p>
      <w:pPr>
        <w:pStyle w:val="Heading2"/>
        <w:numPr>
          <w:ilvl w:val="1"/>
          <w:numId w:val="1"/>
        </w:numPr>
        <w:rPr/>
      </w:pPr>
      <w:bookmarkStart w:id="233" w:name="pg3881_27767"/>
      <w:bookmarkStart w:id="234" w:name="__RefHeading___Toc1656152_2281741623"/>
      <w:bookmarkStart w:id="235" w:name="_Toc82"/>
      <w:bookmarkEnd w:id="233"/>
      <w:bookmarkEnd w:id="234"/>
      <w:r>
        <w:rPr>
          <w:rtl w:val="true"/>
        </w:rPr>
        <w:t>اسلام</w:t>
      </w:r>
      <w:bookmarkEnd w:id="235"/>
    </w:p>
    <w:p>
      <w:pPr>
        <w:pStyle w:val="Heading3"/>
        <w:numPr>
          <w:ilvl w:val="2"/>
          <w:numId w:val="1"/>
        </w:numPr>
        <w:rPr/>
      </w:pPr>
      <w:bookmarkStart w:id="236" w:name="__RefHeading___Toc1656154_2281741623"/>
      <w:bookmarkStart w:id="237" w:name="_Toc8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پژوهش های رسانه ای مبحثی به شمار می رود که روز به روز بر اهمیت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برخاسته از کشمکش هایی است که نمایش این دین و پیروانش یعنی مسلمانان در رسانه ها برانگیخته و خود حاصل بحث بر سر نقش مردم سالاری و رسانه های مردم سالار در حوزۀ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قریب یک میلیارد و سیصد میلیون مسلمان را در خود جای داده است که بیشترشان در سی کشور خاورمیانه، آفریقای شمالی و غربی و آسیا تمرکز یافته اند و اکثریت فراگیر جمعیت را در این کشورها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پنجاه و هفت کشور عضو سازمان کنفرانس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میان کشورهای اسلامی نقش هماهنگ کننده ای بین المللی را بر عهده دارد که امور اقتصادی، اجتماعی و سیاسی اسلام را به دنیا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جهان را اعراب تشکیل می دهند با این همه همگان </w:t>
      </w:r>
    </w:p>
    <w:p>
      <w:pPr>
        <w:pStyle w:val="BookText"/>
        <w:rPr/>
      </w:pPr>
      <w:r>
        <w:rPr>
          <w:rFonts w:ascii="IRNazanin" w:hAnsi="IRNazanin" w:eastAsia="IRNazanin"/>
          <w:color w:val="111111"/>
          <w:sz w:val="28"/>
          <w:sz w:val="28"/>
          <w:szCs w:val="28"/>
          <w:rtl w:val="true"/>
          <w:lang w:bidi="fa-IR"/>
        </w:rPr>
        <w:t>کانون این دین را خطۀ خاورمیانه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مسلمین، محمد صلی الله علیه و آله است که در قرن هفتم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مسلمانان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اعتقاد مسلمانان وحی مستقیم خداوند متعال است و از طریق جبرییل، فرشتۀ مقرب درگاه الهی، بر دل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پای یهودیان و مسیحیان، خود را دینداران صاحب کتاب برمی شمارند؛ یعنی می گویند همانند آن ها پیرو دینی وحدانی هستند که کتابشان وحی مُنزل خداوندی است و معتقد به یک پیامبر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هویتی بارز در حیطۀ تعاریف رسانه ای است که منحصر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پنج فریضۀ دینی را برای پیروانش در نظر گرفته است که در حکم ستون های این دین به شمار می آیند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یا اقرار به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 گانۀ یومیه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ماه مبارک رمضان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یا دستگیری از بینوایان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یا زیارت خانۀ خدا در شهر مکه در کشور عربستان که هر مسلمانی واجب است در صورت استطاعت یک بار در عمر خود انجام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و لباس مسلمانان در میان ملل مختلف و رسوم متفاوت، فرق می کند برخی زنان مسلمان از چادر و روبنده استفاده می کنند که به آن حجاب، برقع و نقاب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نیز سر خود را با سربند هایی مانند دستار یا عمامه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عبادت به مکان هایی می روند که مسجد نام دارند</w:t>
      </w:r>
      <w:r>
        <w:rPr>
          <w:rFonts w:eastAsia="IRNazanin" w:cs="IRNazanin"/>
          <w:color w:val="111111"/>
          <w:sz w:val="28"/>
          <w:szCs w:val="28"/>
          <w:rtl w:val="true"/>
          <w:lang w:bidi="fa-IR"/>
        </w:rPr>
        <w:t xml:space="preserve">. </w:t>
      </w:r>
      <w:bookmarkStart w:id="238" w:name="pg3881_27769"/>
    </w:p>
    <w:p>
      <w:pPr>
        <w:pStyle w:val="Heading3"/>
        <w:numPr>
          <w:ilvl w:val="2"/>
          <w:numId w:val="1"/>
        </w:numPr>
        <w:rPr/>
      </w:pPr>
      <w:bookmarkStart w:id="239" w:name="__RefHeading___Toc1656156_2281741623"/>
      <w:bookmarkStart w:id="240" w:name="_Toc84"/>
      <w:bookmarkEnd w:id="238"/>
      <w:bookmarkEnd w:id="239"/>
      <w:r>
        <w:rPr>
          <w:rtl w:val="true"/>
        </w:rPr>
        <w:t>مذاهب اسلامی</w:t>
      </w:r>
      <w:bookmarkEnd w:id="240"/>
    </w:p>
    <w:p>
      <w:pPr>
        <w:pStyle w:val="BookText"/>
        <w:rPr/>
      </w:pPr>
      <w:r>
        <w:rPr>
          <w:rFonts w:ascii="IRNazanin" w:hAnsi="IRNazanin" w:eastAsia="IRNazanin"/>
          <w:color w:val="111111"/>
          <w:sz w:val="28"/>
          <w:sz w:val="28"/>
          <w:szCs w:val="28"/>
          <w:rtl w:val="true"/>
          <w:lang w:bidi="fa-IR"/>
        </w:rPr>
        <w:t>مذاهب اسلامی</w:t>
      </w:r>
    </w:p>
    <w:p>
      <w:pPr>
        <w:pStyle w:val="BookText"/>
        <w:rPr/>
      </w:pPr>
      <w:r>
        <w:rPr>
          <w:rFonts w:ascii="IRNazanin" w:hAnsi="IRNazanin" w:eastAsia="IRNazanin"/>
          <w:color w:val="111111"/>
          <w:sz w:val="28"/>
          <w:sz w:val="28"/>
          <w:szCs w:val="28"/>
          <w:rtl w:val="true"/>
          <w:lang w:bidi="fa-IR"/>
        </w:rPr>
        <w:t>سنی و شیعه از جمله بارزترین مذاهب اسلامی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این دو گروه مذهبی بیشتر سیاسی و کمتر عقیدتی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شیعه و سنی حاصل یک دعوای تاریخی دربارۀ جانشینی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و سنت های سنی ها و شیعیان گوناگون هستند و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در ارتباط با هم، گاه دست برادری و تعاون داده اند و گاه در برابر هم به منازعه و کشمکش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دو مذهب زیارت خانۀ خدا را در مکه و دیگر مکان های مقدس سرزمین عربستان سعودی، یک فریضه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پیروان آیین صوفی گری، این دو مذهب را به سویی می نهند و تلاش می کنند تعبیر عرفانی تازه ای از اسلام پیش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صوفی مسلک در پی آن است تا خود به تنهایی حقیقت دین را جست 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عرفان صوفیانه در درازنای تاریخ نسبت به باورهای مذهبی شیعی و سنی و آداب و رسوم آن ها کمتر مطمح نظر پژوهشگران قرار 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مذاهب اسلامی می توان به وهابی گری اشاره کرد که امروزه شاهد قدرت گرفتن روز افزون آن در برخی مناطق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گری همان سنی گری مصری در شکل مقتدرانۀ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وهابی ها برخی مذاهب اسلامی هم چون صوفی گری و شیعه گری، بدعت گذاری در دین بوده و آداب و اعمال پیروانشان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و بارزترین نهضت های اسلامی در آمریکای شمالی، یکی جامعۀ مذهبی ملت اسلامی که گاه آن را مسلمانان سیاه پوست می خوانند و دیگری عبادت خانۀ مغربی های فرهیخته</w:t>
      </w:r>
      <w:r>
        <w:rPr>
          <w:rStyle w:val="FootnoteAnchor"/>
          <w:rtl w:val="true"/>
        </w:rPr>
        <w:footnoteReference w:id="60"/>
      </w:r>
      <w:r>
        <w:rPr>
          <w:rFonts w:ascii="IRNazanin" w:hAnsi="IRNazanin" w:eastAsia="IRNazanin"/>
          <w:color w:val="111111"/>
          <w:sz w:val="28"/>
          <w:sz w:val="28"/>
          <w:szCs w:val="28"/>
          <w:rtl w:val="true"/>
          <w:lang w:bidi="fa-IR"/>
        </w:rPr>
        <w:t>هستند که بنیانگذاران آن آسیایی 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پنج تا هشت میلیون مسلمان در ایالات متحدۀ آمریکا ساکنند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را </w:t>
      </w:r>
    </w:p>
    <w:p>
      <w:pPr>
        <w:pStyle w:val="BookText"/>
        <w:rPr/>
      </w:pPr>
      <w:r>
        <w:rPr>
          <w:rFonts w:ascii="IRNazanin" w:hAnsi="IRNazanin" w:eastAsia="IRNazanin"/>
          <w:color w:val="111111"/>
          <w:sz w:val="28"/>
          <w:sz w:val="28"/>
          <w:szCs w:val="28"/>
          <w:rtl w:val="true"/>
          <w:lang w:bidi="fa-IR"/>
        </w:rPr>
        <w:t>آمریکایی های آفریقایی تبار تشکیل می دهند و باقی اعراب، مردم جنوب آسیا، آفریقا، اروپا و دیگر کشورها هستند که آباء و اجداد آمریکایی های امروزی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اسلام، گرایش های آزاداندیشانه و میانه رو را در بطن خود می پرورد، آن چه اغلب در رسانه های غربی به گونه ای برجسته به نمایش درآمده، باورهای بنیادگرایانۀ اسلام است؛ برای نمونه یکی از مفاهیمی که همگان دربارۀ اسلامِ بنیادگرا از آن سخن می گویند، مفهوم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مومنان مسلمان از آن با عنوان نبرد در راه خدا یاد می کنند و غربی ها در نگاهی سطحی آن را به عنوان جنگ مقدس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اسلامی دربارۀ میزان مقبولیت ارزش های رایج در غرب و نوگرایی آن اختلاف نظر دارند؛ از جمله می توان به اختلاف آن ها دربارۀ مفهوم ساحت عمومی مردم سالاری به عنوان میدانی برای گفتمانی مشترک و نقش در خور رسانه ها در این میان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های سنتی اسلام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یا از قوانین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چیز زیادی دربارۀ کارکرد رسانه های جمعی به دست نمی دهد، جز آن که قرآن را به منزلة رسانۀ اصلی در هر ارتباط و گفتمانی به حساب می آورد و می پذیرد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اندیشمندان اسلامیِ علم رسانه اهمیت فراموش شدۀ کاروان های بیابان گرد را به عنوان یک الگوی ارتباطی در تاریخ گذشته گوشزد می کنند و آن ها را خاستگاه به وجود آمدن الگوهایی پایدار در روابط اجتماعی و مبادلۀ فرهنگی خطۀ خشک خاورمیانه معرفی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اندیشمندان به مجال بی مثال موسم سالانۀ حج و اجتماع بیش از چهارمیلیون مسلمان که </w:t>
      </w:r>
      <w:bookmarkStart w:id="241" w:name="pg3881_27771"/>
    </w:p>
    <w:p>
      <w:pPr>
        <w:pStyle w:val="BookText"/>
        <w:rPr/>
      </w:pPr>
      <w:bookmarkEnd w:id="241"/>
      <w:r>
        <w:rPr>
          <w:rFonts w:ascii="IRNazanin" w:hAnsi="IRNazanin" w:eastAsia="IRNazanin"/>
          <w:color w:val="111111"/>
          <w:sz w:val="28"/>
          <w:sz w:val="28"/>
          <w:szCs w:val="28"/>
          <w:rtl w:val="true"/>
          <w:lang w:bidi="fa-IR"/>
        </w:rPr>
        <w:t>خاستگاه فرهنگی هر یک با دیگری فرق دارد، اشاره می کنند و می گویند که آن ها همگی در پی رسیدن به آرمانی واحد و سراسر آشتی اند و درست از همین خاستگاه های اجتماعیِ منحصر به فرد است که برداشت های متمایز از رسانه و جامعه برخاسته است</w:t>
      </w:r>
      <w:r>
        <w:rPr>
          <w:rFonts w:eastAsia="IRNazanin" w:cs="IRNazanin"/>
          <w:color w:val="111111"/>
          <w:sz w:val="28"/>
          <w:szCs w:val="28"/>
          <w:rtl w:val="true"/>
          <w:lang w:bidi="fa-IR"/>
        </w:rPr>
        <w:t>.</w:t>
      </w:r>
    </w:p>
    <w:p>
      <w:pPr>
        <w:pStyle w:val="Heading3"/>
        <w:numPr>
          <w:ilvl w:val="2"/>
          <w:numId w:val="1"/>
        </w:numPr>
        <w:rPr/>
      </w:pPr>
      <w:bookmarkStart w:id="242" w:name="__RefHeading___Toc1656158_2281741623"/>
      <w:bookmarkStart w:id="243" w:name="_Toc85"/>
      <w:bookmarkEnd w:id="242"/>
      <w:r>
        <w:rPr>
          <w:rtl w:val="true"/>
        </w:rPr>
        <w:t>پاسخ به تصورهای کلیشه ای منفی</w:t>
      </w:r>
      <w:bookmarkEnd w:id="243"/>
    </w:p>
    <w:p>
      <w:pPr>
        <w:pStyle w:val="BookText"/>
        <w:rPr/>
      </w:pPr>
      <w:r>
        <w:rPr>
          <w:rFonts w:ascii="IRNazanin" w:hAnsi="IRNazanin" w:eastAsia="IRNazanin"/>
          <w:color w:val="111111"/>
          <w:sz w:val="28"/>
          <w:sz w:val="28"/>
          <w:szCs w:val="28"/>
          <w:rtl w:val="true"/>
          <w:lang w:bidi="fa-IR"/>
        </w:rPr>
        <w:t>پاسخ به تصورهای کلیشه ای منفی</w:t>
      </w:r>
    </w:p>
    <w:p>
      <w:pPr>
        <w:pStyle w:val="BookText"/>
        <w:rPr/>
      </w:pPr>
      <w:r>
        <w:rPr>
          <w:rFonts w:ascii="IRNazanin" w:hAnsi="IRNazanin" w:eastAsia="IRNazanin"/>
          <w:color w:val="111111"/>
          <w:sz w:val="28"/>
          <w:sz w:val="28"/>
          <w:szCs w:val="28"/>
          <w:rtl w:val="true"/>
          <w:lang w:bidi="fa-IR"/>
        </w:rPr>
        <w:t>در رسانه های غرب، تصورهای کلیشه ای منفی از مسلمانان و فرهنگ آن ها به دستمایه ای اصلی برای فیلم سازان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ادیسون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دستگاه ثبت تصاویر متحرک خود که آن را کینتوسکوپ می نامید، فیلمی به نام رقص فاطیما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زنان عرب در حالی که لباس های تحریک کننده بر تن داشتند، در برابر جماعتی از مردان می رقصیدند و آن ها را وسوسه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در بسیاری از موارد اعراب و مسلمانان را در رسانه ها به شکل کاریکاتورهایی از افرادی نخراشیده و نتراشیده به تصویر می کشیدند که یا سلطان های ثروتمند نفت بودند یا تروریست هایی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بدان جا پیش رفت که تصاویر کارتونیِ به ظاهر مظلوم علاء الدین و سندباد نیز منتقدان عرب و مسلمان را به ابراز انزجار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پوشش خبری در جهان غرب در قرن بیستم و اوایل قرن بیست و یکم گه گاه به ارائۀ تصویری از اسلام پرداخته که آن را دینی خشن و متعصب، دینی که زنان را سرکوب می کند و به طور کلی دینی که با آرمان های مردم سالارانه و آزاداندیش غرب دشمن است، معرفی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جریان اخبار که در کانال های رسانه ای شرق و غرب جریان داشت، خود در دام اتحاد های سیاسی و اقتصادی حاصل از </w:t>
      </w:r>
    </w:p>
    <w:p>
      <w:pPr>
        <w:pStyle w:val="BookText"/>
        <w:rPr/>
      </w:pPr>
      <w:r>
        <w:rPr>
          <w:rFonts w:ascii="IRNazanin" w:hAnsi="IRNazanin" w:eastAsia="IRNazanin"/>
          <w:color w:val="111111"/>
          <w:sz w:val="28"/>
          <w:sz w:val="28"/>
          <w:szCs w:val="28"/>
          <w:rtl w:val="true"/>
          <w:lang w:bidi="fa-IR"/>
        </w:rPr>
        <w:t>ملاحظات ژئوپولتیک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خبری در به تصویر کشیدن درگیری های خاورمیانه، به ویژه درگیری میان اسراییل و فلسطین، باز هم موجب شعله ور شدن آتش خشم و انزجار نسبت به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منازعات می توان به بحران کانال سوئز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جنگ میان اعراب و اسراییل در سال 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بحران نفت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انقلاب اسلامی ایران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های پایانی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جهان لب به شکایت گشود و حاصل آن به بار نشستن نظم نوین جهانی اطلاعات و رسانه ها بود که خود حاصل گزارشی به شمار می رفت که مصطفی مسمودی، وزیر وقت اطلاعات تونس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علمی، فرهنگی ملل متحد، یونسکو،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مسمودی پیشنهاد کرد در جریان اطلاعات، یکسان سازی انجام پذیرد و از جمله این که از ادامۀ فعالیت رسانه هایی که احتمالا تصویری نادرست و نامطلوب از اقدامات کشورهای در حال توسعه ارائه می دهند،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اخبار و انتقال آن در طول مرزهای ملی قانون مند شود و نهادی بین المللی کار نظم بخشیدن و کنترل فعالیت خبرنگاران خارجی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ادوارد سعید هم لب به اعتراض گشود و گفت که ارزش های غربی با تکیه بر تغییر جهت شگرف مصرف گرایی ژئوپولتیک، راه تسلط بر جهان اسلام و دنیای اعراب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اعراب در عرصۀ بازار آزاد جهان، نفت خود را می دهند و به جای آن فرهنگ غرب را که بیگانه و خصمانه است، می برند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خود را در دام مستعمره سازی اقتصادی و فرهنگی می دیدند، ناگزیر از در پیش گرفتن یکی از این دو راه افراطی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روابط خود را با ملل غرب قطع می کردند یا درصدد برمی آمدند تا ارزش ها و نهادهای </w:t>
      </w:r>
    </w:p>
    <w:p>
      <w:pPr>
        <w:pStyle w:val="BookText"/>
        <w:rPr/>
      </w:pPr>
      <w:r>
        <w:rPr>
          <w:rFonts w:ascii="IRNazanin" w:hAnsi="IRNazanin" w:eastAsia="IRNazanin"/>
          <w:color w:val="111111"/>
          <w:sz w:val="28"/>
          <w:sz w:val="28"/>
          <w:szCs w:val="28"/>
          <w:rtl w:val="true"/>
          <w:lang w:bidi="fa-IR"/>
        </w:rPr>
        <w:t>اسلامی را به شیوۀ خصمانه جهانی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نویسنده ها مانند ساموئل هانتینگتِن بر این باورند که برخورد تمدن ها، ستیزه های فرهنگی و مذهبی ریشه داری را به بار آورده اند که ثمرۀ تنش هایی از این دست اند ولی نویسنده های دیگر می گویند که تاریخچۀ تساهل و احترام نسبت به دیگر مذاهب در اسلام بس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آرای متضاد، اغلب محور بحث های جهان معاصر هستند که خود بر آنند تا نقش و جایگاه مسلمانان را در جهان نوگرا و کثرت گرای امروز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آغازین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نحوۀ گزارش وقایع جنگ خلیج فارس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وجود داشت و رهبران شیعۀ ایران کتاب جنجال برانگیز آیات شیطانی سلمان رشدی را منع کرده بودند، فاصلۀ عمیق میان نوگرایی غرب و سنت گرایی اسلام بیش از پیش ملموس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اروپا خواستار بهبود تصویر منفی غرب از جهان اسلام شد و جمعیت یورومد که نهادی غیردولتی و مدنی است، هشدار داد تنها در صورتی روابط سیاسی و اقتصادی میان اتحادیۀ اروپا و منطقۀ مدیترانه بهبود می یابد که تصویرهای کلیشه ای منفی به کناری نهاده شود و عملکرد رسانه ها همه جا بهبود یابد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انتشار تصاویر کاریکاتوری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محمد صلی الله علیه و آله در روزنامه ها و مجلات اروپایی، روابط میان دنیای اسلام و غرب رو به وخامت نهاد؛ چرا که دنیای اسلام اعتراض شدید خود را نسبت به انتشار این تصاویر که نخستین بار در روزنامۀ دانمارکی ژیلان پوستن به چاپ رسید،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چنین کاریکاتورهایی را تاراج دهندۀ دین و موهن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رو است که مسلمانان همه بر </w:t>
      </w:r>
      <w:bookmarkStart w:id="244" w:name="pg3881_27774"/>
    </w:p>
    <w:p>
      <w:pPr>
        <w:pStyle w:val="BookText"/>
        <w:rPr/>
      </w:pPr>
      <w:bookmarkEnd w:id="244"/>
      <w:r>
        <w:rPr>
          <w:rFonts w:ascii="IRNazanin" w:hAnsi="IRNazanin" w:eastAsia="IRNazanin"/>
          <w:color w:val="111111"/>
          <w:sz w:val="28"/>
          <w:sz w:val="28"/>
          <w:szCs w:val="28"/>
          <w:rtl w:val="true"/>
          <w:lang w:bidi="fa-IR"/>
        </w:rPr>
        <w:t>این باورند که به تصویر کشیدن پیامبر در قالب یک کاریکاتور برای جلوگیری از رواج بت پرستی ممنوع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سازمان کنفرانس اسلامی در واکنش به این تصاویر موهن، موضعی هماهنگ اتخاذ کرد و یک صدا به اعتراض پرداخت ولی این اعتراض در بسیاری از کشورهای اسلامی رنگی خشنونت بار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مدافعان کاریکاتورهای موهن بر این باور بودند که این تصاویر حتی با وجود زنندگی، در مقولۀ آزادی بیان قرار می گیرد و باید در برابرشان تساهل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تصاویر کاریکاتوری بحث برانگیز خود مرافعۀ رو به تزاید بر سر سازگاری آزاد اندیشی مردم سالار با اسلام سنتی و احترام نسبت به باورهای سنتی در مردم سالاری غرب را در آستانۀ بحران تازه ای قرار داد</w:t>
      </w:r>
      <w:r>
        <w:rPr>
          <w:rFonts w:eastAsia="IRNazanin" w:cs="IRNazanin"/>
          <w:color w:val="111111"/>
          <w:sz w:val="28"/>
          <w:szCs w:val="28"/>
          <w:rtl w:val="true"/>
          <w:lang w:bidi="fa-IR"/>
        </w:rPr>
        <w:t>.</w:t>
      </w:r>
    </w:p>
    <w:p>
      <w:pPr>
        <w:pStyle w:val="Heading3"/>
        <w:numPr>
          <w:ilvl w:val="2"/>
          <w:numId w:val="1"/>
        </w:numPr>
        <w:rPr/>
      </w:pPr>
      <w:bookmarkStart w:id="245" w:name="__RefHeading___Toc1656160_2281741623"/>
      <w:bookmarkStart w:id="246" w:name="_Toc86"/>
      <w:bookmarkEnd w:id="245"/>
      <w:r>
        <w:rPr>
          <w:rtl w:val="true"/>
        </w:rPr>
        <w:t>تحلیل تصویر کلیشه ای رسانه</w:t>
      </w:r>
      <w:bookmarkEnd w:id="2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تصویر کلیشه ای رسانه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رسانه ای، کانون توجه خود را بر ابعاد میان فرهنگی تصورهای کلیشه ای مربوط به اعراب و مسلمانان در رسانه های خبری، ادبیات و فیلم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های کلیشه ایی از این دست صورت هایی تحریف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صورت های تحریف شده چیزی حاصل می شود که به قول یک نویسنده همان احساس نومیدی و هراس است؛ حال آن که به گفتۀ حداد، اعراب و مسلمانان هم چنان با تعصب، ارعاب، تبعیض، سوءتفاهم و حتی نفرت دست به گریبان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 های ضربت سیاسی فعال در آمریکا و اروپای غربی با بهره گیری از راهبرد اعتراض و مقاومت، در برابر آن چه رسانه ها به ناحق عرضه می کنند، اعتراض های مذهبی و نژادی را که خود حاصل هوشیاری است، برانگیخته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گروه های سیاسی می توان به شورای روابط اسلام و آمریکا، کمیتۀ ضدتبیض اعراب و آمریکا و گروه دیده بان رسانۀ عرب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راهبرد واکنش رسانه ای مسلمانان، مبتنی بر نظریه های کلیشه پردازانه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نظریات مریوط به کلیشه پردازی را می توان به دو گروه تقسیم کرد؛ بخشی از این نظریات فرآیند های شناختی فردی را مطمح نظر قرار می دهند و بخشی دیگر به علل فرهنگی و اجتماعی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فردیِ کلیشه پردازی، مبتنی بر انگیزه های خاص و خصلت های شخصیتی اند ولی رویکردهای فرهنگی و اجتماعی برای توضیح فرایند کلیشه پردازی بر نظریات متعارض و الگوهای یادگیری اجتماعی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واپسین سدۀ بیستم، نگرش های نوین تحلیل رسانه های اسلامی در پی دستیابی به جایگزین هایی برای کلیشه پردازی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نگرش ها گفتمان فرهنگی دربارۀ بنیادهای اجتماعی رسانه بر پنداشت های گوناگونی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حافظ در این باره به ترسیم مراحل معینی پرداخت </w:t>
      </w:r>
      <w:bookmarkStart w:id="247" w:name="pg3881_27776"/>
    </w:p>
    <w:p>
      <w:pPr>
        <w:pStyle w:val="BookText"/>
        <w:rPr/>
      </w:pPr>
      <w:bookmarkEnd w:id="247"/>
      <w:r>
        <w:rPr>
          <w:rFonts w:ascii="IRNazanin" w:hAnsi="IRNazanin" w:eastAsia="IRNazanin"/>
          <w:color w:val="111111"/>
          <w:sz w:val="28"/>
          <w:sz w:val="28"/>
          <w:szCs w:val="28"/>
          <w:rtl w:val="true"/>
          <w:lang w:bidi="fa-IR"/>
        </w:rPr>
        <w:t>تا به کمک آن ها عملکرد رسانه های غرب در مواجهه با جهان اسلام بهبود یابد و هم چنین نگرش های موجود در جهان اسلام به موضوع نوگرایی در غرب نیز بهتر شود؛ از جملۀ این مراحل می توان به این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 لازم برای رشد رسانه های نقاد داخلی، تدوین شیوه نامه ای قانون مند برای ارباب رسانه ها تا در چهارچوب آن دست اندرکاران رسانه ای به دیگر فرهنگ ها و سنت ها احترام بگذارند، گوناگونی منابعِ در دسترس ارباب رسانه ها، بهبود پوشش اخبار مربوط به بحران ها توسط رسانه های خبری با هدف جلوگیری از گسترش تنش ها، ایجاد کانال ها و شبکه هایی برای توسعۀ گفتمان فرهنگی و ایجاد مرکزی در منطقۀ مدیترانه برای رصد کردن و بررسی مقایسه ای رسانه ها</w:t>
      </w:r>
      <w:r>
        <w:rPr>
          <w:rFonts w:eastAsia="IRNazanin" w:cs="IRNazanin"/>
          <w:color w:val="111111"/>
          <w:sz w:val="28"/>
          <w:szCs w:val="28"/>
          <w:rtl w:val="true"/>
          <w:lang w:bidi="fa-IR"/>
        </w:rPr>
        <w:t>.</w:t>
      </w:r>
    </w:p>
    <w:p>
      <w:pPr>
        <w:pStyle w:val="Heading3"/>
        <w:numPr>
          <w:ilvl w:val="2"/>
          <w:numId w:val="1"/>
        </w:numPr>
        <w:rPr/>
      </w:pPr>
      <w:bookmarkStart w:id="248" w:name="__RefHeading___Toc1656162_2281741623"/>
      <w:bookmarkStart w:id="249" w:name="_Toc87"/>
      <w:bookmarkEnd w:id="248"/>
      <w:r>
        <w:rPr>
          <w:rtl w:val="true"/>
        </w:rPr>
        <w:t>رسانه های اسلامی مردم سالار</w:t>
      </w:r>
      <w:bookmarkEnd w:id="249"/>
    </w:p>
    <w:p>
      <w:pPr>
        <w:pStyle w:val="BookText"/>
        <w:rPr/>
      </w:pPr>
      <w:r>
        <w:rPr>
          <w:rFonts w:ascii="IRNazanin" w:hAnsi="IRNazanin" w:eastAsia="IRNazanin"/>
          <w:color w:val="111111"/>
          <w:sz w:val="28"/>
          <w:sz w:val="28"/>
          <w:szCs w:val="28"/>
          <w:rtl w:val="true"/>
          <w:lang w:bidi="fa-IR"/>
        </w:rPr>
        <w:t>رسانه های اسلامی مردم سالار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کشور صاحب سنت های اسلامی از موفقیت چشمگیری در رشد و توسعۀ رسانه های مردم سالار برخوردار بوده اند؛ مانند لبنان، مصر، اردن و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نه چندان زیاد ولی دست کم تا اندازه ای توانسته اند در زمینۀ میدان دادن به گفتمان مردم سالارانه از طریق رسانه های ملی و وضع سیاست هایی که به رسانه های نوشتاریِ خصوصی مجالی برای رشد می دهند، موفقیت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بیشتر حکومت های این کشورها، عنان بنگاه های عمومی سخن پراکنی را به سختی در دست می فشارند ولی طرفداران مطبوعات آزاد در این کشورها از خطرهایی بیمناک هستند که از اردوگاه بنیادگرایان مذهبی مخالف مانند وهابی ها برمی خیزند و روزنامه نگاران را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پدیده های نوظهور در صنعت تلویزیون نیز مطمح نظر بسیاری </w:t>
      </w:r>
    </w:p>
    <w:p>
      <w:pPr>
        <w:pStyle w:val="BookText"/>
        <w:rPr/>
      </w:pPr>
      <w:r>
        <w:rPr>
          <w:rFonts w:ascii="IRNazanin" w:hAnsi="IRNazanin" w:eastAsia="IRNazanin"/>
          <w:color w:val="111111"/>
          <w:sz w:val="28"/>
          <w:sz w:val="28"/>
          <w:szCs w:val="28"/>
          <w:rtl w:val="true"/>
          <w:lang w:bidi="fa-IR"/>
        </w:rPr>
        <w:t>قرار گرفته است؛ این مهم به ویژه دربارۀ تلویزیون قطری الجزیره و پوشش خبری این شبکه از تحولات جنگ عراق و پیامدهای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طلایه دار تحول چشم انداز خبر پراکنی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شبکه ای است که اندیشۀ سلطۀ رسانه ای غرب را به چالش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های تروریستی یازدهم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در چگونگی نمایش اسلام و اعراب در رسانه های غربی نقشی محوری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یازده سپتامبر، پوشش رسانه ای غرب در ابتدا هنوز متاثر از همان تصورات کلیشه ای از اسلام و اعراب بود ولی در پی آن، پوشش خبری هویت ها و انگیزه های مذهبیِ نقش آفرینان دری را گشود که در پسِ آن ابعاد سیاسی و اجتماعی به هم بافتۀ اسلام و جوامع خاورمیانه و روابط دگرگون شوندۀ آن ها با اروپای غربی و آمریکای شمالی خودنمایی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آلن پالمر و عبدالله قَلّاب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رضا بهار </w:t>
      </w:r>
      <w:bookmarkStart w:id="250" w:name="pg3881_27778"/>
    </w:p>
    <w:p>
      <w:pPr>
        <w:pStyle w:val="Heading3"/>
        <w:numPr>
          <w:ilvl w:val="2"/>
          <w:numId w:val="1"/>
        </w:numPr>
        <w:rPr/>
      </w:pPr>
      <w:bookmarkStart w:id="251" w:name="__RefHeading___Toc1656164_2281741623"/>
      <w:bookmarkStart w:id="252" w:name="_Toc88"/>
      <w:bookmarkEnd w:id="250"/>
      <w:bookmarkEnd w:id="251"/>
      <w:r>
        <w:rPr>
          <w:rtl w:val="true"/>
        </w:rPr>
        <w:t>برای مطالعۀ بیشتر</w:t>
      </w:r>
      <w:bookmarkEnd w:id="252"/>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Ahmed, A. S. (1988). Discovering Islam: Making sense of Muslim history and society.NewYork: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Barber, B. R. (1995). Jihad vs. McWorld: Terrorism’s challenge to democracy. NewYork : Ballentine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Eickelman, D. F. &amp; Anderson, J. W. (2003). New Media in the Muslim World: The Emerging Public Sphere .Bloomington: Indiana Universit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Gareeb, E. (1983). Split vision: The portrayal of Arabs in the American media.Washington, DC: American Arab Affairs Council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Haddad, Y. (1991). The Muslims of America.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Hafez, K. (1999). The West and Islam in the mass media: Fragmented images in a globalizing world.Cresskill, NJ: Hampton Press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Huntington, S. P. (1996). The clash of civilizations and the remaking of world order.New York: Simon &amp; Schuster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Hussain, M. (1986). Islamization of communication theory. Media Asia,13(1), 32–36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Kamalipour, Y. R. (1995). The U.S. media and the Middle East: Image and perception. Westport, CT: Greenwood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Leonard, K. I. (2003). Muslims in the United States: The state of research.New York: Russell Sage Foundation</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Palmer, A., &amp; Gallab, A. (2001a). Beyond antipathy: a dialogic approach to conflict between Arab and Western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cultures. Paper presented at Arab Stereotypes Conference. Retrieved June 22, 2005,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http://www.lau.edu.lb/centers-institutes/bima/papers.html</w:t>
      </w:r>
    </w:p>
    <w:p>
      <w:pPr>
        <w:pStyle w:val="BookText"/>
        <w:rPr/>
      </w:pPr>
      <w:r>
        <w:rPr>
          <w:rFonts w:eastAsia="Times New Roman" w:cs="Times New Roman" w:ascii="Times New Roman" w:hAnsi="Times New Roman"/>
          <w:color w:val="111111"/>
          <w:sz w:val="28"/>
          <w:szCs w:val="28"/>
          <w:lang w:val="en-US" w:bidi="en-US"/>
        </w:rPr>
        <w:t>Palmer, A., &amp; Gallab, A. (2001b). Islam and Western culture: Navigating terra incognito. In D. A. Stout &amp; J. M. Buddenbaum (Eds.), Religion and popular culture: Studies on the interaction of world views.Ames: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Qumsiyey, M. B. (1998, January). 100 Years of Anti-Arab and AntiMuslim Stereotyping. The Prism.Retrieved June 22, 2005,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http://www.ibiblio.org/prism/jan98/anti_arab.html</w:t>
      </w:r>
    </w:p>
    <w:p>
      <w:pPr>
        <w:pStyle w:val="BookText"/>
        <w:rPr/>
      </w:pPr>
      <w:r>
        <w:rPr>
          <w:rFonts w:eastAsia="Times New Roman" w:cs="Times New Roman" w:ascii="Times New Roman" w:hAnsi="Times New Roman"/>
          <w:color w:val="111111"/>
          <w:sz w:val="28"/>
          <w:szCs w:val="28"/>
          <w:lang w:val="en-US" w:bidi="en-US"/>
        </w:rPr>
        <w:t>Said, E. (1978). Orientalism. New York: Vintage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Said, E. (1981). Covering Islam. How the media and the experts determine how we see the rest of the world. New York: Pantheon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Schlesinger, P. (1993). Islam, postmodernity, and the media: An interview with Akbar S. Ahmed. Media, Culture and Society,15(1), 29–42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Shaheen, J. (1984). The TV Arab. Bowling Green, OH: Bowling Green State University Popular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Shaheen, J. (2001). Reel bad Arabs: How Hollywood vilifies a people.Brooklyn, NY: Olive Branch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Terry, J. (1985). Mistaken identity: Arab stereotypes in popular writings. Washington, DC: American Arab Affairs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Council</w:t>
      </w:r>
      <w:r>
        <w:rPr>
          <w:rFonts w:eastAsia="Times New Roman" w:cs="Times New Roman" w:ascii="Times New Roman" w:hAnsi="Times New Roman"/>
          <w:color w:val="111111"/>
          <w:sz w:val="28"/>
          <w:szCs w:val="28"/>
          <w:rtl w:val="true"/>
          <w:lang w:val="en-US" w:bidi="en-US"/>
        </w:rPr>
        <w:t xml:space="preserve">. </w:t>
      </w:r>
      <w:bookmarkStart w:id="253" w:name="pg3881_27780"/>
    </w:p>
    <w:p>
      <w:pPr>
        <w:pStyle w:val="Heading2"/>
        <w:numPr>
          <w:ilvl w:val="1"/>
          <w:numId w:val="1"/>
        </w:numPr>
        <w:rPr/>
      </w:pPr>
      <w:bookmarkStart w:id="254" w:name="__RefHeading___Toc1656166_2281741623"/>
      <w:bookmarkStart w:id="255" w:name="_Toc89"/>
      <w:bookmarkEnd w:id="253"/>
      <w:bookmarkEnd w:id="254"/>
      <w:r>
        <w:rPr>
          <w:rtl w:val="true"/>
        </w:rPr>
        <w:t>اینترنت و محیط های مجازی</w:t>
      </w:r>
      <w:bookmarkEnd w:id="255"/>
    </w:p>
    <w:p>
      <w:pPr>
        <w:pStyle w:val="Heading3"/>
        <w:numPr>
          <w:ilvl w:val="2"/>
          <w:numId w:val="1"/>
        </w:numPr>
        <w:rPr/>
      </w:pPr>
      <w:bookmarkStart w:id="256" w:name="__RefHeading___Toc1656168_2281741623"/>
      <w:bookmarkStart w:id="257" w:name="_Toc90"/>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اینترنت و محیط های مجازی</w:t>
      </w:r>
    </w:p>
    <w:p>
      <w:pPr>
        <w:pStyle w:val="BookText"/>
        <w:rPr/>
      </w:pPr>
      <w:r>
        <w:rPr>
          <w:rFonts w:ascii="IRNazanin" w:hAnsi="IRNazanin" w:eastAsia="IRNazanin"/>
          <w:color w:val="111111"/>
          <w:sz w:val="28"/>
          <w:sz w:val="28"/>
          <w:szCs w:val="28"/>
          <w:rtl w:val="true"/>
          <w:lang w:bidi="fa-IR"/>
        </w:rPr>
        <w:t>اینترنت، آرایشی از سیم ها و ارتباطات رایانه ای است که افراد پس از وارد شدن به یک سامانۀ رایانه ای به آن دسترسی پیدا می کنند و از این طریق به جست وجو در وب سایت های گوناگون پرداخته یا به ای میل خود دسترسی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واژۀ اینترنت کلمه ای است که بیشتر مردم برای توصیف شبکۀ جهانی وب از آن استفاده می کنند ولی این واژه چیزی بیش از این مفهوم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شبکۀ شبکه ها تعریف شده است که فراهم آورندۀ زیرساختاری است که از طریق آن تمامی رایانه های سراسر جهان با یکدیگر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میزبانی اینترنت به کاربران این امکان را می دهد تا توسط اتاق های گفت وگو با یکدیگر ارتباط برقرار کنند، اقدام به جست وجو در محیط اینترنت نمایند و به دوستان خود پیام های خصوصی بفرستند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Style w:val="FootnoteAnchor"/>
          <w:rtl w:val="true"/>
        </w:rPr>
        <w:footnoteReference w:id="62"/>
      </w:r>
      <w:r>
        <w:rPr>
          <w:rFonts w:ascii="IRNazanin" w:hAnsi="IRNazanin" w:eastAsia="IRNazanin"/>
          <w:color w:val="111111"/>
          <w:sz w:val="28"/>
          <w:sz w:val="28"/>
          <w:szCs w:val="28"/>
          <w:rtl w:val="true"/>
          <w:lang w:bidi="fa-IR"/>
        </w:rPr>
        <w:t>عبارت دیگری است که به عنوان مترادفی برای اینترنت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بیانگر دنیایی مجازی است که در آن فن آوری و تخیل در ورای صفحۀ رایانۀ کاربر با یکدیگر پیوند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گیبسِن در </w:t>
      </w:r>
    </w:p>
    <w:p>
      <w:pPr>
        <w:pStyle w:val="BookText"/>
        <w:rPr/>
      </w:pPr>
      <w:r>
        <w:rPr>
          <w:rFonts w:ascii="IRNazanin" w:hAnsi="IRNazanin" w:eastAsia="IRNazanin"/>
          <w:color w:val="111111"/>
          <w:sz w:val="28"/>
          <w:sz w:val="28"/>
          <w:szCs w:val="28"/>
          <w:rtl w:val="true"/>
          <w:lang w:bidi="fa-IR"/>
        </w:rPr>
        <w:t xml:space="preserve">رمان تخیلی خود با نام </w:t>
      </w:r>
      <w:r>
        <w:rPr>
          <w:rFonts w:eastAsia="Times New Roman" w:cs="Times New Roman" w:ascii="Times New Roman" w:hAnsi="Times New Roman"/>
          <w:color w:val="111111"/>
          <w:sz w:val="28"/>
          <w:szCs w:val="28"/>
          <w:lang w:val="en-US" w:bidi="en-US"/>
        </w:rPr>
        <w:t>Neuromancer (1984)</w:t>
      </w:r>
      <w:r>
        <w:rPr>
          <w:rFonts w:ascii="IRNazanin" w:hAnsi="IRNazanin" w:eastAsia="IRNazanin"/>
          <w:color w:val="111111"/>
          <w:sz w:val="28"/>
          <w:sz w:val="28"/>
          <w:szCs w:val="28"/>
          <w:rtl w:val="true"/>
          <w:lang w:bidi="fa-IR"/>
        </w:rPr>
        <w:t>، برای تشریح محدودۀ دیجیتالی ای که قهرمانان داستان هنگام متصل شدن رایانه به مغز ایشان، وارد آن می شدند از عبارت فضای مجازی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مجازی، به عنوان فضای شبکه ایِ واقعیت مجازی، به نوعی به محدوده ای اسرارآمیز تبدیل شده که در آن مردم تنها به استفاده از فن آوری نمی پردازند بلکه به بخشی از یک شبکۀ رایانه ای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و اینترنت به عنوان سرحدی جدید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مردم این امکان را می یابند تا با یکدیگر و با اطلاعات به طُرقی جدید برخورد پیدا کنند؛ زیرا اینترنت جابجایی بین فضای واقعی و مجازی را سهل و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حرکت و جابجایی بین این فضاها را می توان به خوبی در پیشوند</w:t>
      </w:r>
      <w:r>
        <w:rPr>
          <w:rFonts w:eastAsia="Times New Roman" w:cs="Times New Roman" w:ascii="Times New Roman" w:hAnsi="Times New Roman"/>
          <w:color w:val="111111"/>
          <w:sz w:val="28"/>
          <w:szCs w:val="28"/>
          <w:lang w:val="en-US" w:bidi="en-US"/>
        </w:rPr>
        <w:t>cyber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ریشه ای یونانی داشته و به معنی سکاندار یا خلبان، کسی که دیگران را در جابجایی از نقطه ای به نقطۀ دیگر راهنمایی می کند،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های سایبر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فضاهایی رایانه ای و نمایانگر گستره ای از تصاویر دیجیتال، نمادهای تصویری و متون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بین محیط واقعی یا آف لاین و محیط آن لاین به واسطۀ فن آوری اینترنت امکان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اینترنت ابزاری است که شکل دهندۀ فضا و حرکت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برای اهداف گوناگونی استفاده می شود؛ به عنوان منبع اطلاعاتی یا ابزاری برای انجام بحث و گفت وگو، فضایی برای ساخت شناسه و محل تبادل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علاوه بر کاربردهای فراوانی که اینترنت دارد از این فن آوری به طور فزاینده ای به عنوان فضایی برای انجام امور دینی استفاده می شود و این امکان را برای افراد فراهم می آورد تا به اطلاعات مذهبی، فعالیت های دینی و هم کیشان خود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بیش از دو دهه اینترنت فضایی بوده </w:t>
      </w:r>
      <w:bookmarkStart w:id="258" w:name="pg3881_27782"/>
    </w:p>
    <w:p>
      <w:pPr>
        <w:pStyle w:val="BookText"/>
        <w:rPr/>
      </w:pPr>
      <w:bookmarkEnd w:id="258"/>
      <w:r>
        <w:rPr>
          <w:rFonts w:ascii="IRNazanin" w:hAnsi="IRNazanin" w:eastAsia="IRNazanin"/>
          <w:color w:val="111111"/>
          <w:sz w:val="28"/>
          <w:sz w:val="28"/>
          <w:szCs w:val="28"/>
          <w:rtl w:val="true"/>
          <w:lang w:bidi="fa-IR"/>
        </w:rPr>
        <w:t>است که در آن، مراسم های مذهبی انجام گرفته و در آن عقاید مذهبی سنتی به بحث و گفت وگو گذاشته شده است</w:t>
      </w:r>
      <w:r>
        <w:rPr>
          <w:rFonts w:eastAsia="IRNazanin" w:cs="IRNazanin"/>
          <w:color w:val="111111"/>
          <w:sz w:val="28"/>
          <w:szCs w:val="28"/>
          <w:rtl w:val="true"/>
          <w:lang w:bidi="fa-IR"/>
        </w:rPr>
        <w:t>.</w:t>
      </w:r>
    </w:p>
    <w:p>
      <w:pPr>
        <w:pStyle w:val="Heading3"/>
        <w:numPr>
          <w:ilvl w:val="2"/>
          <w:numId w:val="1"/>
        </w:numPr>
        <w:rPr/>
      </w:pPr>
      <w:bookmarkStart w:id="259" w:name="__RefHeading___Toc1656170_2281741623"/>
      <w:bookmarkStart w:id="260" w:name="_Toc91"/>
      <w:bookmarkEnd w:id="259"/>
      <w:r>
        <w:rPr>
          <w:rtl w:val="true"/>
        </w:rPr>
        <w:t>ظهور مذهب آن لاین</w:t>
      </w:r>
      <w:bookmarkEnd w:id="260"/>
    </w:p>
    <w:p>
      <w:pPr>
        <w:pStyle w:val="BookText"/>
        <w:rPr/>
      </w:pPr>
      <w:r>
        <w:rPr>
          <w:rFonts w:ascii="IRNazanin" w:hAnsi="IRNazanin" w:eastAsia="IRNazanin"/>
          <w:color w:val="111111"/>
          <w:sz w:val="28"/>
          <w:sz w:val="28"/>
          <w:szCs w:val="28"/>
          <w:rtl w:val="true"/>
          <w:lang w:bidi="fa-IR"/>
        </w:rPr>
        <w:t>ظهور مذهب آن لاین</w:t>
      </w:r>
    </w:p>
    <w:p>
      <w:pPr>
        <w:pStyle w:val="BookText"/>
        <w:rPr/>
      </w:pPr>
      <w:r>
        <w:rPr>
          <w:rFonts w:ascii="IRNazanin" w:hAnsi="IRNazanin" w:eastAsia="IRNazanin"/>
          <w:color w:val="111111"/>
          <w:sz w:val="28"/>
          <w:sz w:val="28"/>
          <w:szCs w:val="28"/>
          <w:rtl w:val="true"/>
          <w:lang w:bidi="fa-IR"/>
        </w:rPr>
        <w:t>شروع استفاده از اینترنت برای انجام امور مذهبی به اوایل سال</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مشتاقان استفاده از رایانه برای انجام این گونه امور به راه هایی که اینترنت می توانست برای انتقال اطلاعات دینی و مذهبی مورد استفاده قرار گیرد، آگاهی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مذهبی آن لاین،</w:t>
      </w:r>
      <w:r>
        <w:rPr>
          <w:rFonts w:eastAsia="Times New Roman" w:cs="Times New Roman" w:ascii="Times New Roman" w:hAnsi="Times New Roman"/>
          <w:color w:val="111111"/>
          <w:sz w:val="28"/>
          <w:szCs w:val="28"/>
          <w:lang w:val="en-US" w:bidi="en-US"/>
        </w:rPr>
        <w:t>net.religion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مجمعی که به بحث و گفت وگو دربارۀ مسائل مذهبی، اخلاقی و نتایج اخلاقی اعمال انسان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مجمع تا اواسط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 پیوسته داشت و در این هنگام به زیرگروه های دیگری تقسیم شد که این زیرگروه ها عبارتند 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alt.religion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soc.culture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soc.religion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talk.religion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سال</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دیگر علاقه مندان به استفاده از رایانه برای امور دینی و برنامه نویسان به تشکیل گروه های گوناگون آن لاین پرداختند که هر کدام از این گروه ها به امور مذاهب مطبوع خود می پرداختند؛مانند اولین خبرنامۀ ای میلی مسیحیت،اطلاعات یک پارچۀ کلیسای متدیست و گروه </w:t>
      </w:r>
      <w:r>
        <w:rPr>
          <w:rFonts w:eastAsia="Times New Roman" w:cs="Times New Roman" w:ascii="Times New Roman" w:hAnsi="Times New Roman"/>
          <w:color w:val="111111"/>
          <w:sz w:val="28"/>
          <w:szCs w:val="28"/>
          <w:lang w:val="en-US" w:bidi="en-US"/>
        </w:rPr>
        <w:t>net.religion.jewish</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خاص برای دین و اینترنت رخ داد؛ آن هنگام که مراسم یادبودی به صورت آن لاین برای بزرگداشت چالنجر، شاتل فضایی آمریکا که کمی پس از پرتاب به فضا منفجر شد، برگزار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که در انجمن گفت وگوی شبکۀ </w:t>
      </w:r>
      <w:r>
        <w:rPr>
          <w:rFonts w:eastAsia="Times New Roman" w:cs="Times New Roman" w:ascii="Times New Roman" w:hAnsi="Times New Roman"/>
          <w:color w:val="111111"/>
          <w:sz w:val="28"/>
          <w:szCs w:val="28"/>
          <w:lang w:val="en-US" w:bidi="en-US"/>
        </w:rPr>
        <w:t>unision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ترتیب داده شده بود، مراسم </w:t>
      </w:r>
    </w:p>
    <w:p>
      <w:pPr>
        <w:pStyle w:val="BookText"/>
        <w:rPr/>
      </w:pPr>
      <w:r>
        <w:rPr>
          <w:rFonts w:ascii="IRNazanin" w:hAnsi="IRNazanin" w:eastAsia="IRNazanin"/>
          <w:color w:val="111111"/>
          <w:sz w:val="28"/>
          <w:sz w:val="28"/>
          <w:szCs w:val="28"/>
          <w:rtl w:val="true"/>
          <w:lang w:bidi="fa-IR"/>
        </w:rPr>
        <w:t>عشای ربانی با استفاده از نیایش های مسیحیت و کتاب مقدس برگزار شد که در حین این مراسم، فرجه ای نیز پیش بینی شده بود که طی آن افراد بتوانند نظرات خود را دربارۀ این حادثه به شبکه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آن لاین، نشان دهندۀ نیروی ابزاری چون رایانه برای گردهم آوردن یک مجمع در زمانی خاص و با وجود محدودیت های جغرافیایی یا فرقه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دین همیشه بر ارتباطات تاکید داشته است، اینترنت ابزاری منحصر به فرد و فرصتی مناسب برای شناساندن مذاهب سنتی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گروه های دینی و فهرست های پُستی بیشتری مانند</w:t>
      </w:r>
      <w:r>
        <w:rPr>
          <w:rFonts w:eastAsia="Times New Roman" w:cs="Times New Roman" w:ascii="Times New Roman" w:hAnsi="Times New Roman"/>
          <w:color w:val="111111"/>
          <w:sz w:val="28"/>
          <w:szCs w:val="28"/>
          <w:lang w:val="en-US" w:bidi="en-US"/>
        </w:rPr>
        <w:t>Ecunet</w:t>
      </w:r>
      <w:r>
        <w:rPr>
          <w:rFonts w:ascii="IRNazanin" w:hAnsi="IRNazanin" w:eastAsia="IRNazanin"/>
          <w:color w:val="111111"/>
          <w:sz w:val="28"/>
          <w:sz w:val="28"/>
          <w:szCs w:val="28"/>
          <w:lang w:bidi="fa-IR"/>
        </w:rPr>
        <w:t>،</w:t>
      </w:r>
      <w:r>
        <w:rPr>
          <w:rStyle w:val="FootnoteAnchor"/>
        </w:rPr>
        <w:footnoteReference w:id="63"/>
      </w:r>
      <w:r>
        <w:rPr>
          <w:rFonts w:eastAsia="Times New Roman" w:cs="Times New Roman" w:ascii="Times New Roman" w:hAnsi="Times New Roman"/>
          <w:color w:val="111111"/>
          <w:sz w:val="28"/>
          <w:szCs w:val="28"/>
          <w:lang w:val="en-US" w:bidi="en-US"/>
        </w:rPr>
        <w:t>H-judic</w:t>
      </w:r>
      <w:r>
        <w:rPr>
          <w:rStyle w:val="FootnoteAnchor"/>
          <w:rtl w:val="true"/>
        </w:rPr>
        <w:footnoteReference w:id="64"/>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Buddha 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منصۀ ظهور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پایگاه های اینترنتی دینی برجسته، راه اندازی اولین کلیسا در فضای مجازی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یک همایش مذهبی مسیحی مجازی که توسط پرزبیتارین های آمریکا به عنوان اولین کلیسای آن لاین غیرفرقه ای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مقالۀ ویژۀ مجلۀ تایم دربارۀ مذاهب آن لاین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شماری از وب سایت های مذهبی و منابع آن لاین پا به عرصۀ ظهور گذاشتند؛ از نخستین وب سایت مربوط به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صومعۀ عیسی مسیح در بیابان</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اولین فصل نامۀ الکترونیکی اسلامی یعنی تولد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نامۀ اسلامی</w:t>
      </w:r>
      <w:r>
        <w:rPr>
          <w:rStyle w:val="FootnoteAnchor"/>
          <w:rtl w:val="true"/>
        </w:rPr>
        <w:footnoteReference w:id="67"/>
      </w:r>
      <w:r>
        <w:rPr>
          <w:rFonts w:ascii="IRNazanin" w:hAnsi="IRNazanin" w:eastAsia="IRNazanin"/>
          <w:color w:val="111111"/>
          <w:sz w:val="28"/>
          <w:sz w:val="28"/>
          <w:szCs w:val="28"/>
          <w:rtl w:val="true"/>
          <w:lang w:bidi="fa-IR"/>
        </w:rPr>
        <w:t xml:space="preserve">و راه اندازی وب سایت </w:t>
      </w:r>
      <w:r>
        <w:rPr>
          <w:rFonts w:eastAsia="Times New Roman" w:cs="Times New Roman" w:ascii="Times New Roman" w:hAnsi="Times New Roman"/>
          <w:color w:val="111111"/>
          <w:sz w:val="28"/>
          <w:szCs w:val="28"/>
          <w:lang w:val="en-US" w:bidi="en-US"/>
        </w:rPr>
        <w:t>virtual Memorial Garden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با مسائل مربوط به انسان و حیوانات خانگی</w:t>
      </w:r>
      <w:r>
        <w:rPr>
          <w:rFonts w:eastAsia="IRNazanin" w:cs="IRNazanin"/>
          <w:color w:val="111111"/>
          <w:sz w:val="28"/>
          <w:szCs w:val="28"/>
          <w:rtl w:val="true"/>
          <w:lang w:bidi="fa-IR"/>
        </w:rPr>
        <w:t>.</w:t>
      </w:r>
      <w:r>
        <w:rPr>
          <w:rStyle w:val="FootnoteAnchor"/>
          <w:rtl w:val="true"/>
        </w:rPr>
        <w:footnoteReference w:id="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مقالۀ یافتن خداوند در اینترنت، نشان دهندۀ آگاهی رسانه ها از جنبه ای از کارکرد اینترنت است که می توان از آن به عنوان فضای دینی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دینیِ بسیاری دربارۀ دین آن لاین ارائه شده است؛ مانند صومعه های مجازی، آیین های مذهبی آن لاین، مجامع دینی آن لاین و اونجلیسم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برای مبلغین </w:t>
      </w:r>
      <w:bookmarkStart w:id="261" w:name="pg3881_27784"/>
    </w:p>
    <w:p>
      <w:pPr>
        <w:pStyle w:val="BookText"/>
        <w:rPr/>
      </w:pPr>
      <w:bookmarkEnd w:id="261"/>
      <w:r>
        <w:rPr>
          <w:rFonts w:ascii="IRNazanin" w:hAnsi="IRNazanin" w:eastAsia="IRNazanin"/>
          <w:color w:val="111111"/>
          <w:sz w:val="28"/>
          <w:sz w:val="28"/>
          <w:szCs w:val="28"/>
          <w:rtl w:val="true"/>
          <w:lang w:bidi="fa-IR"/>
        </w:rPr>
        <w:t>دینی شرایط جدیدی را فراهم می آورد تا از عقاید دینی و تجارب مربوط با آن به واسطۀ انواع گوناگون وب سایت ها، اتاق های گفت وگو و ای میل که به مباحث دینی و مذهبی مختلف اختصاص یافته اند، آگاهی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جست وجوگران مذهبی علاقه به کاوش مذاهب کهن در بافتاری جدید دارند؛ وب سایت های ارتباط محور مانند </w:t>
      </w:r>
      <w:r>
        <w:rPr>
          <w:rFonts w:eastAsia="Times New Roman" w:cs="Times New Roman" w:ascii="Times New Roman" w:hAnsi="Times New Roman"/>
          <w:color w:val="111111"/>
          <w:sz w:val="28"/>
          <w:szCs w:val="28"/>
          <w:lang w:val="en-US" w:bidi="en-US"/>
        </w:rPr>
        <w:t>www.crosswalk.com</w:t>
      </w:r>
    </w:p>
    <w:p>
      <w:pPr>
        <w:pStyle w:val="BookText"/>
        <w:rPr/>
      </w:pPr>
      <w:r>
        <w:rPr>
          <w:rFonts w:ascii="IRNazanin" w:hAnsi="IRNazanin" w:eastAsia="IRNazanin"/>
          <w:color w:val="111111"/>
          <w:sz w:val="28"/>
          <w:sz w:val="28"/>
          <w:szCs w:val="28"/>
          <w:rtl w:val="true"/>
          <w:lang w:bidi="fa-IR"/>
        </w:rPr>
        <w:t>ابزارهای مطالعاتی کتاب مقدس و اطلاعات انجمن اخوت را از طریق اینترنت در اختیار مسیحیان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استفاده از اعتقادات سنتی، در دنیای دیجیتال قالب های جدید مذهب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کهن مانند ویکا و مذاهب جدید اینترنتی مانند تکنوکفر</w:t>
      </w:r>
      <w:r>
        <w:rPr>
          <w:rStyle w:val="FootnoteAnchor"/>
          <w:rtl w:val="true"/>
        </w:rPr>
        <w:footnoteReference w:id="69"/>
      </w:r>
      <w:r>
        <w:rPr>
          <w:rFonts w:ascii="IRNazanin" w:hAnsi="IRNazanin" w:eastAsia="IRNazanin"/>
          <w:color w:val="111111"/>
          <w:sz w:val="28"/>
          <w:sz w:val="28"/>
          <w:szCs w:val="28"/>
          <w:rtl w:val="true"/>
          <w:lang w:bidi="fa-IR"/>
        </w:rPr>
        <w:t>همگی دارای پایگاه های اینترتنی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وب سایت بیلیف نت</w:t>
      </w:r>
      <w:r>
        <w:rPr>
          <w:rStyle w:val="FootnoteAnchor"/>
          <w:rtl w:val="true"/>
        </w:rPr>
        <w:footnoteReference w:id="70"/>
      </w:r>
      <w:r>
        <w:rPr>
          <w:rFonts w:ascii="IRNazanin" w:hAnsi="IRNazanin" w:eastAsia="IRNazanin"/>
          <w:color w:val="111111"/>
          <w:sz w:val="28"/>
          <w:sz w:val="28"/>
          <w:szCs w:val="28"/>
          <w:rtl w:val="true"/>
          <w:lang w:bidi="fa-IR"/>
        </w:rPr>
        <w:t>که یک جامعۀ الکترونیک چنداعتقادی است، شاهد آثار دیجیتال بینامذهبی هستیم که انعکاس دهندۀ تفکرات دالایی لاما، صفحه نمایش های الهام بخش و متون مذهبی آیین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اینترنتی به جست وجوگران مذهبی فرصت کاوش در قالب های گوناگون مذهب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بیلیف نِت امیدوار است که با کمک رسانی به مردم از طریق ارائۀ اطلاعات، ایجاد انگیزه و الهام بخشی، نیازهای مذهبی، معنوی و اخلاقی آن ها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بیلیف نِت پذیرای انواع گوناگون رویکردهای مذهبی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هواخواه یک نظام اعتقادی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بیانیۀ بیلیف نِت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2005</w:t>
      </w:r>
    </w:p>
    <w:p>
      <w:pPr>
        <w:pStyle w:val="BookText"/>
        <w:rPr/>
      </w:pPr>
      <w:r>
        <w:rPr>
          <w:rFonts w:eastAsia="Times New Roman" w:cs="Times New Roman" w:ascii="Times New Roman" w:hAnsi="Times New Roman"/>
          <w:color w:val="111111"/>
          <w:sz w:val="28"/>
          <w:szCs w:val="28"/>
          <w:lang w:val="en-US" w:bidi="en-US"/>
        </w:rPr>
        <w:t>www.beliefnet.com/about/index.asp</w:t>
      </w:r>
    </w:p>
    <w:p>
      <w:pPr>
        <w:pStyle w:val="Heading3"/>
        <w:numPr>
          <w:ilvl w:val="2"/>
          <w:numId w:val="1"/>
        </w:numPr>
        <w:rPr/>
      </w:pPr>
      <w:bookmarkStart w:id="262" w:name="__RefHeading___Toc1656172_2281741623"/>
      <w:bookmarkStart w:id="263" w:name="_Toc92"/>
      <w:bookmarkEnd w:id="262"/>
      <w:r>
        <w:rPr>
          <w:rtl w:val="true"/>
        </w:rPr>
        <w:t>کلیساهای مجازی و معابد مجازی</w:t>
      </w:r>
      <w:bookmarkEnd w:id="26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کلیساهای مجازی و معابد مجازی </w:t>
      </w:r>
    </w:p>
    <w:p>
      <w:pPr>
        <w:pStyle w:val="BookText"/>
        <w:rPr/>
      </w:pPr>
      <w:r>
        <w:rPr>
          <w:rFonts w:ascii="IRNazanin" w:hAnsi="IRNazanin" w:eastAsia="IRNazanin"/>
          <w:color w:val="111111"/>
          <w:sz w:val="28"/>
          <w:sz w:val="28"/>
          <w:szCs w:val="28"/>
          <w:rtl w:val="true"/>
          <w:lang w:bidi="fa-IR"/>
        </w:rPr>
        <w:t>معابد و کلیساهای مجازی از اَشکال خاص کاربرد اینترنت در ارتباط با امور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هایی آن لاین که در آن ها گروه های پیوندیافتۀ الکترونیکی به صورت نمادهایی نو از کلیساها و معابد سنتی ظهور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ها بیشتر به شکل سایت های اینترنتی هستند، از هزاران هزار کلیسا یا معبد موجود در دنیای حقیقی که در وب سایت ها ارائه شده اند، متفاوت 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تنها در اینترنت وجود داشته و هیچ معادل و ساختار همسانی در بیرون از دنیای شبکه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نوع از این فضاهای مجازی برای نیایش و عبادت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کلیساها و معابد مجازی، منابعی آن لاین را برای انجام مراسم عبادی فراهم می آورند؛ مانند ای میل هایی از خواندنی های دینی روزمره یا آرشیوهایی از خطابه های 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دیگری نیز وجود دارند که خدمات بولتنی</w:t>
      </w:r>
      <w:r>
        <w:rPr>
          <w:rStyle w:val="FootnoteAnchor"/>
          <w:rtl w:val="true"/>
        </w:rPr>
        <w:footnoteReference w:id="71"/>
      </w:r>
      <w:r>
        <w:rPr>
          <w:rFonts w:ascii="IRNazanin" w:hAnsi="IRNazanin" w:eastAsia="IRNazanin"/>
          <w:color w:val="111111"/>
          <w:sz w:val="28"/>
          <w:sz w:val="28"/>
          <w:szCs w:val="28"/>
          <w:rtl w:val="true"/>
          <w:lang w:bidi="fa-IR"/>
        </w:rPr>
        <w:t>را ارائه می کنند که به افراد این امکان را می دهند تا پرسش های دینی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یا کلیساهای جامعِ مجازی بیشتر سایت هایی هستند که با استفاده از زبان و تصاویر بناهای سنتی، برای فراهم آوردن چهارچوبی جهت جست وجو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سایت ها می توانند نمادهایی از کلیساهای کوچک برای دعا و یک شبستان کلیسا که افراد می توانند با یکدیگر ملاقات کنند و با یکدیگر تعامل داشته باشند و یک متن از انجیل یا متون دینی آن لاین دیگر را شامل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ها با عنوان کلیساهای بدون دیوار اشاره می شود؛ نمونه هایی از این دست اولین کلیساهای مجازی را شامل می شوند که توجه بیشتر رسانه ها را به خود جلب کرده است؛ مانند کلیسای احمقان؛</w:t>
      </w:r>
      <w:r>
        <w:rPr>
          <w:rStyle w:val="FootnoteAnchor"/>
          <w:rtl w:val="true"/>
        </w:rPr>
        <w:footnoteReference w:id="72"/>
      </w:r>
      <w:r>
        <w:rPr>
          <w:rFonts w:ascii="IRNazanin" w:hAnsi="IRNazanin" w:eastAsia="IRNazanin"/>
          <w:color w:val="111111"/>
          <w:sz w:val="28"/>
          <w:sz w:val="28"/>
          <w:szCs w:val="28"/>
          <w:rtl w:val="true"/>
          <w:lang w:bidi="fa-IR"/>
        </w:rPr>
        <w:t xml:space="preserve">این کلیسا اولین کلیسای آن لاین انگلستان است که امکان همایش آن لاین را برای شرکت در خدمات هفتگی </w:t>
      </w:r>
      <w:bookmarkStart w:id="264" w:name="pg3881_27786"/>
    </w:p>
    <w:p>
      <w:pPr>
        <w:pStyle w:val="BookText"/>
        <w:rPr/>
      </w:pPr>
      <w:bookmarkEnd w:id="264"/>
      <w:r>
        <w:rPr>
          <w:rFonts w:ascii="IRNazanin" w:hAnsi="IRNazanin" w:eastAsia="IRNazanin"/>
          <w:color w:val="111111"/>
          <w:sz w:val="28"/>
          <w:sz w:val="28"/>
          <w:szCs w:val="28"/>
          <w:rtl w:val="true"/>
          <w:lang w:bidi="fa-IR"/>
        </w:rPr>
        <w:t>در یک محیط سه بعدی ایجاد می کند و برای یک انجمن آن لاین این امکان را فراهم می آورد تا به صورت هفتگی در آیین های مذهبی ای که در محیطی چندکاربره برگزار می شوند،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اولیه، کلیسا </w:t>
      </w:r>
      <w:r>
        <w:rPr>
          <w:rFonts w:eastAsia="IRNazanin" w:cs="IRNazanin"/>
          <w:color w:val="111111"/>
          <w:sz w:val="28"/>
          <w:szCs w:val="28"/>
          <w:lang w:bidi="fa-IR"/>
        </w:rPr>
        <w:t>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بازدیدکننده داشت و در طی آن بحث های بسیاری در رسانه های بین المللی دربارۀ کاربرد کلیسای آن لاین برای مذاهب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مجالس هفتگی متوقف شده، کلیسا هنوز به اعضای آن لاین خود این امکان را می دهد تا وارد سایت شده و به تعامل با یکدیگر بپردازند</w:t>
      </w:r>
      <w:r>
        <w:rPr>
          <w:rFonts w:eastAsia="IRNazanin" w:cs="IRNazanin"/>
          <w:color w:val="111111"/>
          <w:sz w:val="28"/>
          <w:szCs w:val="28"/>
          <w:rtl w:val="true"/>
          <w:lang w:bidi="fa-IR"/>
        </w:rPr>
        <w:t>.</w:t>
      </w:r>
    </w:p>
    <w:p>
      <w:pPr>
        <w:pStyle w:val="Heading3"/>
        <w:numPr>
          <w:ilvl w:val="2"/>
          <w:numId w:val="1"/>
        </w:numPr>
        <w:rPr/>
      </w:pPr>
      <w:bookmarkStart w:id="265" w:name="__RefHeading___Toc1656174_2281741623"/>
      <w:bookmarkStart w:id="266" w:name="_Toc93"/>
      <w:bookmarkEnd w:id="265"/>
      <w:r>
        <w:rPr>
          <w:rtl w:val="true"/>
        </w:rPr>
        <w:t>آیین های آن لاین</w:t>
      </w:r>
      <w:bookmarkEnd w:id="266"/>
    </w:p>
    <w:p>
      <w:pPr>
        <w:pStyle w:val="BookText"/>
        <w:rPr/>
      </w:pPr>
      <w:r>
        <w:rPr>
          <w:rFonts w:ascii="IRNazanin" w:hAnsi="IRNazanin" w:eastAsia="IRNazanin"/>
          <w:color w:val="111111"/>
          <w:sz w:val="28"/>
          <w:sz w:val="28"/>
          <w:szCs w:val="28"/>
          <w:rtl w:val="true"/>
          <w:lang w:bidi="fa-IR"/>
        </w:rPr>
        <w:t>آیین های آن لاین</w:t>
      </w:r>
    </w:p>
    <w:p>
      <w:pPr>
        <w:pStyle w:val="BookText"/>
        <w:rPr/>
      </w:pPr>
      <w:r>
        <w:rPr>
          <w:rFonts w:ascii="IRNazanin" w:hAnsi="IRNazanin" w:eastAsia="IRNazanin"/>
          <w:color w:val="111111"/>
          <w:sz w:val="28"/>
          <w:sz w:val="28"/>
          <w:szCs w:val="28"/>
          <w:rtl w:val="true"/>
          <w:lang w:bidi="fa-IR"/>
        </w:rPr>
        <w:t>اینترنت هم چنین می تواند به عنوان فضایی مقدس استفاده شود؛ فضایی مختص به انجام مراسم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آیین های مذهبی تا حد بسیار زیادی در تبدیل اینترنت به فضایی مقدس موثر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مراسم دینی برگزارشده در اینترنت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زمانی که راهبه های تبتیِ مستقر در نیویورک مراسم خاصی را انجام دادند که طی آن فضای اینترنت را برای انجام آیین های مذهبی بودا تقدیس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وابسته به راهبه ها این امر را این گونه تشریح می کند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از اینترنت ما بیشترِ توجه خود را معطوف به انواع شبکه هایی کردیم که هم به طور مثبت و هم منفی، بازتاب دهندۀ ماهیت انسانی افرادی است که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جنبه آشکار است که فضایی، فضای مجازی شناخته می شود که برای دعا و طلب مغفرت روحی بسیار مناسب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دقیقۀ مراسم، راهبه ها شعر می خواندند و در این حال فضا را به عنوان فضای مجازی تجسم می کنند؛ قلمرو شبکه بندی شدۀ رایانه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دیگر گروه های دینی، اینترنت را به عنوان یک محیط دینی مجازی، مقدس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 براشر در تحقیق خود دربارۀ دین آن لاین، نمونه های متعددی از مراسم عبادی آن لاین آورده است؛ مانند </w:t>
      </w:r>
      <w:r>
        <w:rPr>
          <w:rFonts w:eastAsia="Times New Roman" w:cs="Times New Roman" w:ascii="Times New Roman" w:hAnsi="Times New Roman"/>
          <w:color w:val="111111"/>
          <w:sz w:val="28"/>
          <w:szCs w:val="28"/>
          <w:lang w:val="en-US" w:bidi="en-US"/>
        </w:rPr>
        <w:t>cyberseder</w:t>
      </w:r>
      <w:r>
        <w:rPr>
          <w:rFonts w:ascii="IRNazanin" w:hAnsi="IRNazanin" w:eastAsia="IRNazanin"/>
          <w:color w:val="111111"/>
          <w:sz w:val="28"/>
          <w:sz w:val="28"/>
          <w:szCs w:val="28"/>
          <w:rtl w:val="true"/>
          <w:lang w:bidi="fa-IR"/>
        </w:rPr>
        <w:t>، آیینی آن لاین از عید رهایی است که به یهودیان کمک می کند دوباره در خلوت خانه های شان با خدای خود عهد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براشر می گوید که از طریق تقویت مفاهیمی هم چون زمان مقدس، وجود و تمرین روحی، مذاهب آن لاین به افراد این امکان را می دهند که میراث فرهنگی دینی ادیان و اعتقادات گوناگون را مشاهده کنند و بدین گونه می توانند به پیدایش توافق نظر در بین ادیان کمک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عبادی مشترک عبارتست از زیارت های مجازی که می توانند معبدهای مجازی کاتولیک مانند معبد مریم مقدس یا معبد مجازی انجمن فرهنگی شینتو در ژاپن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زیارت های مجازی شامل ملاقات های آن لاین از زیارتگاه های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مجازی اورشلیم، یهودیان را قادر می سازد تا به اطلاعات دینی و فرهنگی مرتبط با دین یهودیت دست یافته و یا حتی دعایی را ای میل کرده تا در شکاف های دیوار باختری شهر اورشلیم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نرم افزار</w:t>
      </w:r>
      <w:r>
        <w:rPr>
          <w:rFonts w:eastAsia="Times New Roman" w:cs="Times New Roman" w:ascii="Times New Roman" w:hAnsi="Times New Roman"/>
          <w:color w:val="111111"/>
          <w:sz w:val="28"/>
          <w:szCs w:val="28"/>
          <w:lang w:val="en-US" w:bidi="en-US"/>
        </w:rPr>
        <w:t>IRC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نوعی چَت تقویت شدۀ اینترنتی که این امکان را فراهم می آورد چند کاربر بر روی یک کانال به طور هم زمان قرار گرفته و مکالمات نوشتاری گروهی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اتاق های گفت وگو، کاربران اینترنتی دینی می توانند در جلسه های آن لاینِ دعا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کاربران یکدیگر را در دیگر اتاق های گفت وگوی آن لاین ملاقات کرده و سپس تصمیم به تشکیل جلسه های هفتگی می گیرند و این جلسه های در زمانی خاص و با تعداد محدودی دعاکننده برگزار می شوند</w:t>
      </w:r>
      <w:r>
        <w:rPr>
          <w:rFonts w:eastAsia="IRNazanin" w:cs="IRNazanin"/>
          <w:color w:val="111111"/>
          <w:sz w:val="28"/>
          <w:szCs w:val="28"/>
          <w:rtl w:val="true"/>
          <w:lang w:bidi="fa-IR"/>
        </w:rPr>
        <w:t xml:space="preserve">. </w:t>
      </w:r>
      <w:bookmarkStart w:id="267" w:name="pg3881_27788"/>
    </w:p>
    <w:p>
      <w:pPr>
        <w:pStyle w:val="BookText"/>
        <w:rPr/>
      </w:pPr>
      <w:bookmarkEnd w:id="267"/>
      <w:r>
        <w:rPr>
          <w:rFonts w:ascii="IRNazanin" w:hAnsi="IRNazanin" w:eastAsia="IRNazanin"/>
          <w:color w:val="111111"/>
          <w:sz w:val="28"/>
          <w:sz w:val="28"/>
          <w:szCs w:val="28"/>
          <w:rtl w:val="true"/>
          <w:lang w:bidi="fa-IR"/>
        </w:rPr>
        <w:t>تحقیق انجام گرفته دربارة جلسه های نیایش در محیط های چندکاربرۀ مجازیِ واقعی نشان می دهد که گرچه جلسات آن لاینِ دعا مانند مراسم نیایش سنتی نیست ولی برخی از ویژگی های بنیادین مراسم کلیساهای سنتی را البته با سبک هایی بدیع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نشان دهندۀ روش های گوناگونی است که رهبران دینی و مبلغین مذهبی به واسطۀ آن ها سعی در گسترش آموزه های سنتی به صورت آن لاین داشته اند</w:t>
      </w:r>
      <w:r>
        <w:rPr>
          <w:rFonts w:eastAsia="IRNazanin" w:cs="IRNazanin"/>
          <w:color w:val="111111"/>
          <w:sz w:val="28"/>
          <w:szCs w:val="28"/>
          <w:rtl w:val="true"/>
          <w:lang w:bidi="fa-IR"/>
        </w:rPr>
        <w:t>.</w:t>
      </w:r>
    </w:p>
    <w:p>
      <w:pPr>
        <w:pStyle w:val="Heading3"/>
        <w:numPr>
          <w:ilvl w:val="2"/>
          <w:numId w:val="1"/>
        </w:numPr>
        <w:rPr/>
      </w:pPr>
      <w:bookmarkStart w:id="268" w:name="__RefHeading___Toc1656176_2281741623"/>
      <w:bookmarkStart w:id="269" w:name="_Toc94"/>
      <w:bookmarkEnd w:id="268"/>
      <w:r>
        <w:rPr>
          <w:rtl w:val="true"/>
        </w:rPr>
        <w:t>انجمن های مذهبی آن لاین</w:t>
      </w:r>
      <w:bookmarkEnd w:id="269"/>
    </w:p>
    <w:p>
      <w:pPr>
        <w:pStyle w:val="BookText"/>
        <w:rPr/>
      </w:pPr>
      <w:r>
        <w:rPr>
          <w:rFonts w:ascii="IRNazanin" w:hAnsi="IRNazanin" w:eastAsia="IRNazanin"/>
          <w:color w:val="111111"/>
          <w:sz w:val="28"/>
          <w:sz w:val="28"/>
          <w:szCs w:val="28"/>
          <w:rtl w:val="true"/>
          <w:lang w:bidi="fa-IR"/>
        </w:rPr>
        <w:t>انجمن های مذهبی آن لاین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های مذهبی آن لاین، گروه هایی هستند که تعامل بین هم کیشانی که دارای برخی ارتباطات یا عقاید مذهبی مشترک بوده و به دلایل جغرافیایی از هم دور افتاده اند را تسهیل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انجمن های آن لاین تعمداً توسط کلیسا یا گروه های مذهبی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ها می توانند از طریق سایت ایجاد شوند و ممکن است از فن آوری های واقعیِ دیداری ـ شنیداری برای ایجاد گردهمایی های مذهبیِ الکترونیکی استفاده کنند؛ مانند آن چه توسط برخی افراد برای ایجاد گردهمایی های مذهبیِ تلویزیونی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دیگری نیز در سطح عامۀ مردم توسط افراد عامه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زمانی رخ می دهد که افراد در حین جست وجو برای پیدا کردن گروه های مورد نظر خود، افراد دیگری را به صورت آن لاین و اتفاقی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مذهبی آن لاین دربارۀ یک موضوع دینی خاصِ مرتبط با یک مذهب مشخص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موضوعات دینی عبارتند از عرفان یا علوم دینی یا توجه خاص به بخشی از یک موضوع دینی مانند موهبت غیب گویی یا یک وابستگی مذهبی مانند وابستگی به کلیسای انگلیس یا </w:t>
      </w:r>
    </w:p>
    <w:p>
      <w:pPr>
        <w:pStyle w:val="BookText"/>
        <w:rPr/>
      </w:pPr>
      <w:r>
        <w:rPr>
          <w:rFonts w:ascii="IRNazanin" w:hAnsi="IRNazanin" w:eastAsia="IRNazanin"/>
          <w:color w:val="111111"/>
          <w:sz w:val="28"/>
          <w:sz w:val="28"/>
          <w:szCs w:val="28"/>
          <w:rtl w:val="true"/>
          <w:lang w:bidi="fa-IR"/>
        </w:rPr>
        <w:t>عضویت در کلیسای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سایت ها خود را جزء انجمن های آن لاین قلمداد می کنند ولی بیشتر آن ها ارتباط با متون ترکیبی و تصاویر را امکان پذیر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مذهبی آن لاین، گروه های تعاملی ای هستند که ارتباط دوطرفه را با استفاده از فن آوری های رایانه ای متعددی مانند ایمیل یا </w:t>
      </w:r>
      <w:r>
        <w:rPr>
          <w:rFonts w:eastAsia="Times New Roman" w:cs="Times New Roman" w:ascii="Times New Roman" w:hAnsi="Times New Roman"/>
          <w:color w:val="111111"/>
          <w:sz w:val="28"/>
          <w:szCs w:val="28"/>
          <w:lang w:val="en-US" w:bidi="en-US"/>
        </w:rPr>
        <w:t>IRC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تسهیل می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توجه به این که چه نوع فن آوری ای استفاده می شود، انجمن های مذهبی آن لاین اطراف موضوعات و تم های عمومی دور می زنند؛ چیزهایی مانند بصیرت، تعامل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انجمن مورد نظر خود را مطابق با نوع بینش و بصیرتی که خواهان کسب آن هستند،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ارتباط بر اساس وابستگی و نزدیکی ای که افراد به گروه یا موضوع مورد بحث حس می کنند،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متعددی دربارۀ ماهیت و تاثیرات انجمن های مذهبی آن لاین بر عقاید دینی اعضاء با در نظر گرفتن آیین های گوناگونی مانند مسیحیت و حتی ادیان بت پرستی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این موضوع را بررسی می کنند که چگونه مشارکت اعضا در محیط های متنیِ آن لاین به طور فردی و اجتماعی بر تعیین هویت دینی آن ها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نشان می دهند که اینترنت راهی را برای بررسی مجدد مفاهیم سنتیِ مشارکت در مراسم دینی از طریق تسهیل تعامل بین افرادی که دارای عقاید مشترک هستند و معمولا به دلیل محدودیت های جغرافیایی یا زمانی از یکدیگر دور افتاده اند،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این اعضاء، زندگی در محیط جمعی آن لاین نسبت به شرکت در انجمن های معمول در دنیای واقعی از جذابیت بیشتری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دیگر اینترنت ابزاری برای آزمودن و محکم کردن پایه های مذهبی شخصی فراهم </w:t>
      </w:r>
      <w:bookmarkStart w:id="270" w:name="pg3881_27790"/>
    </w:p>
    <w:p>
      <w:pPr>
        <w:pStyle w:val="BookText"/>
        <w:rPr/>
      </w:pPr>
      <w:bookmarkEnd w:id="270"/>
      <w:r>
        <w:rPr>
          <w:rFonts w:ascii="IRNazanin" w:hAnsi="IRNazanin" w:eastAsia="IRNazanin"/>
          <w:color w:val="111111"/>
          <w:sz w:val="28"/>
          <w:sz w:val="28"/>
          <w:szCs w:val="28"/>
          <w:rtl w:val="true"/>
          <w:lang w:bidi="fa-IR"/>
        </w:rPr>
        <w:t>می کند که به مذهب ایشان و آیین های مربوط به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آن لاین هم چنان به عنوان جنبه ای خاص از کاربرد دینی اینترنت باقی خواهند ماند</w:t>
      </w:r>
      <w:r>
        <w:rPr>
          <w:rFonts w:eastAsia="IRNazanin" w:cs="IRNazanin"/>
          <w:color w:val="111111"/>
          <w:sz w:val="28"/>
          <w:szCs w:val="28"/>
          <w:rtl w:val="true"/>
          <w:lang w:bidi="fa-IR"/>
        </w:rPr>
        <w:t>.</w:t>
      </w:r>
    </w:p>
    <w:p>
      <w:pPr>
        <w:pStyle w:val="Heading3"/>
        <w:numPr>
          <w:ilvl w:val="2"/>
          <w:numId w:val="1"/>
        </w:numPr>
        <w:rPr/>
      </w:pPr>
      <w:bookmarkStart w:id="271" w:name="__RefHeading___Toc1656178_2281741623"/>
      <w:bookmarkStart w:id="272" w:name="_Toc95"/>
      <w:bookmarkEnd w:id="271"/>
      <w:r>
        <w:rPr>
          <w:rtl w:val="true"/>
        </w:rPr>
        <w:t xml:space="preserve">شاهدان آن لاین </w:t>
      </w:r>
      <w:r>
        <w:rPr>
          <w:rtl w:val="true"/>
        </w:rPr>
        <w:t>(</w:t>
      </w:r>
      <w:r>
        <w:rPr>
          <w:rtl w:val="true"/>
        </w:rPr>
        <w:t>اِونجلیسم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شاهدان آن 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ایده های بحث برانگیز دربارۀ چگونگی تشکیل کلیسا یا انجمن مذهبی، اینترنت سبک های انتقال عقاید بین افراد گوناگون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در زمینۀ شاهدان آن لاین، که بیشتر با نام اونجلیسم از آن یاد می شود، پا به عرصۀ ظهور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متعدد و منابع آن لاین گوناگونی برای مشاوره در این زمینه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آن لاین به معنی حضور مذهبی هدفمند در فضای مجازی به طرق گوناگون مانند وب سایت ها، اتاق های گفت وگو و از طریق فهرست های ای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برخی موارد این کار به روش از بالا به پایین انجام می گیرد که در آن نهادهای دینی از این فعالیت ها حمایت کرده و منابع لازم را برای انجام آن ها فراهم می آورند، در مواردی دیگر مبلغین مذهبیِ اینترنتی هستند که این وظیفه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گروه هایی که اینترنت را به عنوان یک نیروی بالقوه در حیطۀ تبلیغ دینی معرفی کرد، شبکۀ ارتباطی گاسپل</w:t>
      </w:r>
      <w:r>
        <w:rPr>
          <w:rStyle w:val="FootnoteAnchor"/>
          <w:rtl w:val="true"/>
        </w:rPr>
        <w:footnoteReference w:id="74"/>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راه اندازی شد و هدف آن تشویق افراد برای تفکر عمیق در ماهیت خدا بود که این امر توسط بهترین اخبار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این سایت، خدمات خاص و حمایت های تکنولوژیکی را برای کشیش های مسیحی مانند مرکز بیلی گراهام</w:t>
      </w:r>
      <w:r>
        <w:rPr>
          <w:rStyle w:val="FootnoteAnchor"/>
          <w:rtl w:val="true"/>
        </w:rPr>
        <w:footnoteReference w:id="75"/>
      </w:r>
      <w:r>
        <w:rPr>
          <w:rFonts w:ascii="IRNazanin" w:hAnsi="IRNazanin" w:eastAsia="IRNazanin"/>
          <w:color w:val="111111"/>
          <w:sz w:val="28"/>
          <w:sz w:val="28"/>
          <w:szCs w:val="28"/>
          <w:rtl w:val="true"/>
          <w:lang w:bidi="fa-IR"/>
        </w:rPr>
        <w:t>فراهم می کرد؛ هم چنین انجمن بین الملل کتاب مقدس</w:t>
      </w:r>
      <w:r>
        <w:rPr>
          <w:rStyle w:val="FootnoteAnchor"/>
          <w:rtl w:val="true"/>
        </w:rPr>
        <w:footnoteReference w:id="76"/>
      </w:r>
      <w:r>
        <w:rPr>
          <w:rFonts w:ascii="IRNazanin" w:hAnsi="IRNazanin" w:eastAsia="IRNazanin"/>
          <w:color w:val="111111"/>
          <w:sz w:val="28"/>
          <w:sz w:val="28"/>
          <w:szCs w:val="28"/>
          <w:rtl w:val="true"/>
          <w:lang w:bidi="fa-IR"/>
        </w:rPr>
        <w:t>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منابع شاهدان آن لاین مسیحی، آیین نامه ها و دوره های </w:t>
      </w:r>
      <w:bookmarkStart w:id="273" w:name="pg3881_27791"/>
    </w:p>
    <w:p>
      <w:pPr>
        <w:pStyle w:val="BookText"/>
        <w:rPr/>
      </w:pPr>
      <w:bookmarkEnd w:id="273"/>
      <w:r>
        <w:rPr>
          <w:rFonts w:ascii="IRNazanin" w:hAnsi="IRNazanin" w:eastAsia="IRNazanin"/>
          <w:color w:val="111111"/>
          <w:sz w:val="28"/>
          <w:sz w:val="28"/>
          <w:szCs w:val="28"/>
          <w:rtl w:val="true"/>
          <w:lang w:bidi="fa-IR"/>
        </w:rPr>
        <w:t>آموزشی را برای کسانی که به دنبال راهبردهایی برای شهادت دادن بودند،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آن لاین </w:t>
      </w:r>
      <w:r>
        <w:rPr>
          <w:rFonts w:eastAsia="Times New Roman" w:cs="Times New Roman" w:ascii="Times New Roman" w:hAnsi="Times New Roman"/>
          <w:color w:val="111111"/>
          <w:sz w:val="28"/>
          <w:szCs w:val="28"/>
          <w:lang w:val="en-US" w:bidi="en-US"/>
        </w:rPr>
        <w:t>Brigada</w:t>
      </w:r>
      <w:r>
        <w:rPr>
          <w:rStyle w:val="FootnoteAnchor"/>
          <w:rtl w:val="true"/>
        </w:rPr>
        <w:footnoteReference w:id="77"/>
      </w:r>
      <w:r>
        <w:rPr>
          <w:rFonts w:ascii="IRNazanin" w:hAnsi="IRNazanin" w:eastAsia="IRNazanin"/>
          <w:color w:val="111111"/>
          <w:sz w:val="28"/>
          <w:sz w:val="28"/>
          <w:szCs w:val="28"/>
          <w:rtl w:val="true"/>
          <w:lang w:bidi="fa-IR"/>
        </w:rPr>
        <w:t>راهکارهای خاصی را برای ایجاد محیط های وب که به سمت وسوی غیر مسیحی است، برای معرفی مسیح به آن ها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سایت ها به عنوان محیط های تعاملی طراحی شده اند؛ مانند سایت مسیح کیست؟،</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www.ccci.org/whoisjesus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بحث های اعتذاری دربارۀ شخص مسیح را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آندرو کارگا در کتاب خود با نام اونجلیسم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کتاب مقدس در فضای سایبر</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تحقیق دربارۀ اونجلیسم در همایش های آن لاین یا وب سایت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مبلغین مذهبی پیش از ورود به فضای مجازی بایستی به زبان فن آوری و هم چنین به این فرهنگ بدیع آشنایی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اونجلیسم تنها یک پدیدۀ انجیلی یا پروتستان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در یک سند رسمی آن لاین از جانب واتیکان اونجلیسم را تایید و مورد حمایت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اینترنت به عنوان ابزاری برای تبلیغ دین در بین دیگر جوامع دینی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قابل توجه، طراحی وب سایت هایی از سوی بخش هایی از جامعۀ ارتدکس افراطی یهودیت است که از آن ها به عنوان ابزارهایی برای برقراری ارتباط با یهودیان سکولار استفاده می کنند</w:t>
      </w:r>
      <w:r>
        <w:rPr>
          <w:rFonts w:eastAsia="IRNazanin" w:cs="IRNazanin"/>
          <w:color w:val="111111"/>
          <w:sz w:val="28"/>
          <w:szCs w:val="28"/>
          <w:rtl w:val="true"/>
          <w:lang w:bidi="fa-IR"/>
        </w:rPr>
        <w:t>.</w:t>
      </w:r>
    </w:p>
    <w:p>
      <w:pPr>
        <w:pStyle w:val="Heading3"/>
        <w:numPr>
          <w:ilvl w:val="2"/>
          <w:numId w:val="1"/>
        </w:numPr>
        <w:rPr/>
      </w:pPr>
      <w:bookmarkStart w:id="274" w:name="__RefHeading___Toc1656180_2281741623"/>
      <w:bookmarkStart w:id="275" w:name="_Toc96"/>
      <w:bookmarkEnd w:id="274"/>
      <w:r>
        <w:rPr>
          <w:rtl w:val="true"/>
        </w:rPr>
        <w:t>مطالعۀ مذاهب شبکه ای</w:t>
      </w:r>
      <w:bookmarkEnd w:id="275"/>
    </w:p>
    <w:p>
      <w:pPr>
        <w:pStyle w:val="BookText"/>
        <w:rPr/>
      </w:pPr>
      <w:r>
        <w:rPr>
          <w:rFonts w:ascii="IRNazanin" w:hAnsi="IRNazanin" w:eastAsia="IRNazanin"/>
          <w:color w:val="111111"/>
          <w:sz w:val="28"/>
          <w:sz w:val="28"/>
          <w:szCs w:val="28"/>
          <w:rtl w:val="true"/>
          <w:lang w:bidi="fa-IR"/>
        </w:rPr>
        <w:t>مطالعۀ مذاهب شبکه ای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مذهب آن لاین، نظر بسیاری از محققین و مبلغین دینی را به خود جلب نمود و سبب بروز و ظهور واکنش ها و روش شناسی گوناگونی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ارتباطات مذهبی کامپیوتری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سعی در </w:t>
      </w:r>
    </w:p>
    <w:p>
      <w:pPr>
        <w:pStyle w:val="BookText"/>
        <w:rPr/>
      </w:pPr>
      <w:r>
        <w:rPr>
          <w:rFonts w:ascii="IRNazanin" w:hAnsi="IRNazanin" w:eastAsia="IRNazanin"/>
          <w:color w:val="111111"/>
          <w:sz w:val="28"/>
          <w:sz w:val="28"/>
          <w:szCs w:val="28"/>
          <w:rtl w:val="true"/>
          <w:lang w:bidi="fa-IR"/>
        </w:rPr>
        <w:t>توضیح و معرفی اینترنت به عنوان قلمرو جدیدی برای انجام امور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دربارۀ استفاده از اینترنت به عنوان فضایی روحانی دارای جنبه های گوناگونی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ها مواردی مانند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پدیدۀ کلی مذهب مجازی،</w:t>
      </w:r>
      <w:r>
        <w:rPr>
          <w:rStyle w:val="FootnoteAnchor"/>
          <w:rtl w:val="true"/>
        </w:rPr>
        <w:footnoteReference w:id="80"/>
      </w:r>
      <w:r>
        <w:rPr>
          <w:rFonts w:ascii="IRNazanin" w:hAnsi="IRNazanin" w:eastAsia="IRNazanin"/>
          <w:color w:val="111111"/>
          <w:sz w:val="28"/>
          <w:sz w:val="28"/>
          <w:szCs w:val="28"/>
          <w:rtl w:val="true"/>
          <w:lang w:bidi="fa-IR"/>
        </w:rPr>
        <w:t>تفسیر اصول اخلاقی مذهبی و اصالت وجود مجازی،</w:t>
      </w:r>
      <w:r>
        <w:rPr>
          <w:rStyle w:val="FootnoteAnchor"/>
          <w:rtl w:val="true"/>
        </w:rPr>
        <w:footnoteReference w:id="81"/>
      </w:r>
      <w:r>
        <w:rPr>
          <w:rFonts w:ascii="IRNazanin" w:hAnsi="IRNazanin" w:eastAsia="IRNazanin"/>
          <w:color w:val="111111"/>
          <w:sz w:val="28"/>
          <w:sz w:val="28"/>
          <w:szCs w:val="28"/>
          <w:rtl w:val="true"/>
          <w:lang w:bidi="fa-IR"/>
        </w:rPr>
        <w:t>بررسی این که چگونه اینترنت افرادی را که دارای عقاید دینی یکسانی هستند به یکدیگر ارتباط می دهد،</w:t>
      </w:r>
      <w:r>
        <w:rPr>
          <w:rStyle w:val="FootnoteAnchor"/>
          <w:rtl w:val="true"/>
        </w:rPr>
        <w:footnoteReference w:id="82"/>
      </w:r>
      <w:r>
        <w:rPr>
          <w:rFonts w:ascii="IRNazanin" w:hAnsi="IRNazanin" w:eastAsia="IRNazanin"/>
          <w:color w:val="111111"/>
          <w:sz w:val="28"/>
          <w:sz w:val="28"/>
          <w:szCs w:val="28"/>
          <w:rtl w:val="true"/>
          <w:lang w:bidi="fa-IR"/>
        </w:rPr>
        <w:t>تحقیق دربارۀ سازگاری با آیین های دینی سنتی به صورت آنلاین</w:t>
      </w:r>
      <w:r>
        <w:rPr>
          <w:rStyle w:val="FootnoteAnchor"/>
          <w:rtl w:val="true"/>
        </w:rPr>
        <w:footnoteReference w:id="83"/>
      </w:r>
      <w:r>
        <w:rPr>
          <w:rFonts w:ascii="IRNazanin" w:hAnsi="IRNazanin" w:eastAsia="IRNazanin"/>
          <w:color w:val="111111"/>
          <w:sz w:val="28"/>
          <w:sz w:val="28"/>
          <w:szCs w:val="28"/>
          <w:rtl w:val="true"/>
          <w:lang w:bidi="fa-IR"/>
        </w:rPr>
        <w:t>و تعیین تعابیر جدید مذهبی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شمار زیادی از مقاله های انتقادی دربارۀ استفادۀ مذهبی از اینترنت از سوی منتقدان</w:t>
      </w:r>
      <w:r>
        <w:rPr>
          <w:rStyle w:val="FootnoteAnchor"/>
          <w:rtl w:val="true"/>
        </w:rPr>
        <w:footnoteReference w:id="85"/>
      </w:r>
      <w:r>
        <w:rPr>
          <w:rFonts w:ascii="IRNazanin" w:hAnsi="IRNazanin" w:eastAsia="IRNazanin"/>
          <w:color w:val="111111"/>
          <w:sz w:val="28"/>
          <w:sz w:val="28"/>
          <w:szCs w:val="28"/>
          <w:rtl w:val="true"/>
          <w:lang w:bidi="fa-IR"/>
        </w:rPr>
        <w:t>و نیز مشتاقان و طرفداران آن</w:t>
      </w:r>
      <w:r>
        <w:rPr>
          <w:rStyle w:val="FootnoteAnchor"/>
          <w:rtl w:val="true"/>
        </w:rPr>
        <w:footnoteReference w:id="86"/>
      </w:r>
      <w:r>
        <w:rPr>
          <w:rFonts w:ascii="IRNazanin" w:hAnsi="IRNazanin" w:eastAsia="IRNazanin"/>
          <w:color w:val="111111"/>
          <w:sz w:val="28"/>
          <w:sz w:val="28"/>
          <w:szCs w:val="28"/>
          <w:rtl w:val="true"/>
          <w:lang w:bidi="fa-IR"/>
        </w:rPr>
        <w:t>برای نشان دادن نقاط قوت و ضعف فن آوری اینترنت انتشار یافته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مذهبی رایانه محور یکی از مهم ترین زمینه های پژوهش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جست وجوهای اولیه به طور خاص بر روی طبقه بندی، تعیین و تغییر پدیدۀ مذهب آن لاین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 و کوآن در کتاب چشم اندازها و نویدهای اینترنت مذهبی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تحقیق دربارۀ مذهب آن لاین را ارائه می کنند و رویکردهای نظری متفاوتی را برای مطالعۀ پدیدۀ دین مورد توجه قرار می دهند که بر روی فعالیت های جدید دینی، سازمان های دینی سنتی و فرقه 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شامل کار هِلاند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بندی عمومی ای است که توسط بسیاری از محققان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پژوهشی بارنا، و پروژۀ نیمکت اینترنتی و زندگی آمریکاییان، گزارش های مهمی دربارۀ مسائل مربوط به کاربران دینی آن لاین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کلیسای مجازی بارنادر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ارزیابی کرد که در حدود صدمیلیون آمریکایی در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 از اینترنت برای انجام امور دینی یا روحانی استفاده می کنند و هم چنین به انجام فعالیت هایی مانند گوش دادن به دروس دینی آرشیو شده، مطالعۀ آن لاین مذهبی و خرید آن لاین محصولات دینی نیز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مشابه تحقیقات ارائه شده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دهند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اینترنتی در حال حاضر به دنبال اطلاعات آن لاین دینی یا روحانی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 مطالعۀ انجام شده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روزافزون تحقیقات دینی آن لاین پرسش هایی را به وجود می آورند که نه تنها به بررسی پدیدۀ دین آن لاین می پردازد، این که انجام امور دینی در بین یک انجمن خاصِ آن لاین چگونه می تواند به تغییر در فرهنگ منجر شود را نیز مد نظر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w:t>
      </w:r>
      <w:r>
        <w:rPr>
          <w:rFonts w:eastAsia="Times New Roman" w:cs="Times New Roman" w:ascii="Times New Roman" w:hAnsi="Times New Roman"/>
          <w:color w:val="111111"/>
          <w:sz w:val="28"/>
          <w:szCs w:val="28"/>
          <w:lang w:val="en-US" w:bidi="en-US"/>
        </w:rPr>
        <w:t>CMC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مسائلی مانند قدرت دینی آ ن لاین، فرایند ایجاد هویت، تعریف دوباره از وظایف مذهب سنتی و شبکه بندی انجمنی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مرتبط با اصول اخلاقی آن لاین که در متن دین شکل می گیرند نیز به دنبال بررسی مسائل گسترده ترِ مربوط به اعتبار اجتماعی، صحت و تعهد اخلاقی آن لاین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عمیق تر سامان مند دربارۀ استفاده های دینی از اینترنت هم چنان ادامه دارند و فوائد مطالعات دینی</w:t>
      </w:r>
      <w:r>
        <w:rPr>
          <w:rFonts w:eastAsia="Times New Roman" w:cs="Times New Roman" w:ascii="Times New Roman" w:hAnsi="Times New Roman"/>
          <w:color w:val="111111"/>
          <w:sz w:val="28"/>
          <w:szCs w:val="28"/>
          <w:lang w:val="en-US" w:bidi="en-US"/>
        </w:rPr>
        <w:t>CMC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بیشتر نمایان می سازند و روش های بدیع و نظرات انتقادی سازنده را در این زمینه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بحث گسترده تری دربارۀ چگونگی وارد شدن اینترنت به زندگی روزمره و تغییر راه هایی که افراد با دیگران ارتباط برقرار می کنند را نشان می دهد</w:t>
      </w:r>
      <w:r>
        <w:rPr>
          <w:rFonts w:eastAsia="IRNazanin" w:cs="IRNazanin"/>
          <w:color w:val="111111"/>
          <w:sz w:val="28"/>
          <w:szCs w:val="28"/>
          <w:rtl w:val="true"/>
          <w:lang w:bidi="fa-IR"/>
        </w:rPr>
        <w:t xml:space="preserve">. </w:t>
      </w:r>
      <w:bookmarkStart w:id="276" w:name="pg3881_27794"/>
    </w:p>
    <w:p>
      <w:pPr>
        <w:pStyle w:val="Heading3"/>
        <w:numPr>
          <w:ilvl w:val="2"/>
          <w:numId w:val="1"/>
        </w:numPr>
        <w:rPr/>
      </w:pPr>
      <w:bookmarkStart w:id="277" w:name="__RefHeading___Toc1656182_2281741623"/>
      <w:bookmarkStart w:id="278" w:name="_Toc97"/>
      <w:bookmarkEnd w:id="276"/>
      <w:bookmarkEnd w:id="277"/>
      <w:r>
        <w:rPr>
          <w:rtl w:val="true"/>
        </w:rPr>
        <w:t>چالش های مذهب آن لاین</w:t>
      </w:r>
      <w:bookmarkEnd w:id="278"/>
    </w:p>
    <w:p>
      <w:pPr>
        <w:pStyle w:val="BookText"/>
        <w:rPr/>
      </w:pPr>
      <w:r>
        <w:rPr>
          <w:rFonts w:ascii="IRNazanin" w:hAnsi="IRNazanin" w:eastAsia="IRNazanin"/>
          <w:color w:val="111111"/>
          <w:sz w:val="28"/>
          <w:sz w:val="28"/>
          <w:szCs w:val="28"/>
          <w:rtl w:val="true"/>
          <w:lang w:bidi="fa-IR"/>
        </w:rPr>
        <w:t>چالش های مذهب آن لاین</w:t>
      </w:r>
    </w:p>
    <w:p>
      <w:pPr>
        <w:pStyle w:val="BookText"/>
        <w:rPr/>
      </w:pPr>
      <w:r>
        <w:rPr>
          <w:rFonts w:ascii="IRNazanin" w:hAnsi="IRNazanin" w:eastAsia="IRNazanin"/>
          <w:color w:val="111111"/>
          <w:sz w:val="28"/>
          <w:sz w:val="28"/>
          <w:szCs w:val="28"/>
          <w:rtl w:val="true"/>
          <w:lang w:bidi="fa-IR"/>
        </w:rPr>
        <w:t>برای برخی دینداری از طریق اینترنت از لحاظ اصولی و اعتقادی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در یک فضای ناشناخته که بخشی از کلیسا یا جامعۀ مذهبی است، اذهان بسیاری از مردم 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 این است که استفاده از اینترنت به عنوان محیطی برای جست وجوی مذاهب کهن یا یا تشکیل گونه های جدیدی از انجمن ها، روزبه روز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جدایی دسته جمعی دیندارانِ اینترنتی از نیمکت های کلیسا می ترسند، باید بدانند که کلیساهای اینترنتی و آن لاین در کنار فوایدی مانند بالا بردن تعاملات اجتماعی و ایجاد روابط بیشتر، دارای معایبی مانند نبود ارزش های مردمی، تعاملات رو در رو و نیایش 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عشاء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توسط تحقیقات انجام شده دربارۀ اینترنت تایید می شوند؛ مانند مقالۀ کتز و رایس با نام عواقب اجتماعی اینترنت؛ این دو گفته اند که اینترنت جای دیگر روش های ارتباطی را نمی گیرد بلکه آن ها را در انواع گوناگون نهادهای اجتماعی از جمله گروه های مذهبی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پی بردند استفاده از اینترنت ظاهراً تعاملات اجتماعی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آن لاین از وارد شدن در یک انجمن دینی آف لاین متفاوت است؛ گرچه نیاز نیست به عنوان شکلی مجزا از یک اقدام مذهبی روزمره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دینی به صورت آن لاین، خواه در کلیسا، جلسۀ دعای آن لاین یا جست وجوی آن لاین اطلاعات مذهبی، تنها زمینه ای را برای افراد فراهم می آورد تا از طریق آن به شکلی بدیع و تازه به انجام امور زندگی دینی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هیدی کمپبل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علی اصغر حداد </w:t>
      </w:r>
      <w:bookmarkStart w:id="279" w:name="pg3881_27795"/>
    </w:p>
    <w:p>
      <w:pPr>
        <w:pStyle w:val="Heading3"/>
        <w:numPr>
          <w:ilvl w:val="2"/>
          <w:numId w:val="1"/>
        </w:numPr>
        <w:rPr/>
      </w:pPr>
      <w:bookmarkStart w:id="280" w:name="__RefHeading___Toc1656184_2281741623"/>
      <w:bookmarkStart w:id="281" w:name="_Toc98"/>
      <w:bookmarkEnd w:id="279"/>
      <w:bookmarkEnd w:id="280"/>
      <w:r>
        <w:rPr>
          <w:rtl w:val="true"/>
        </w:rPr>
        <w:t>برای مطالعۀ بیشتر</w:t>
      </w:r>
      <w:bookmarkEnd w:id="281"/>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Barna Research Group. (2001). More Americans are seeking Net-based faith experiences. Retrieved June 2,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PressReleaseID=90&amp;Reference=D</w:t>
      </w:r>
    </w:p>
    <w:p>
      <w:pPr>
        <w:pStyle w:val="BookText"/>
        <w:rPr/>
      </w:pPr>
      <w:r>
        <w:rPr>
          <w:rFonts w:eastAsia="Times New Roman" w:cs="Times New Roman" w:ascii="Times New Roman" w:hAnsi="Times New Roman"/>
          <w:color w:val="111111"/>
          <w:sz w:val="28"/>
          <w:szCs w:val="28"/>
          <w:lang w:val="en-US" w:bidi="en-US"/>
        </w:rPr>
        <w:t>Brasher,B. (2001). Give me that online religion.San Francisco: Jossey-Bass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Brooke, T. (1997). Virtual gods. Eugene, OR: Harvest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Bunt, G. (2000). Virtually Islamic: Computer-mediated communication and cyber Islamic environments. Lampeter, UK: University of Wales Press</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Campbell, H. (2003). A review of religious computer mediated communication research. In S. Marriage &amp; J.Mitchell (Eds.), Mediating religion: Conversations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media, culture and religion (pp. 213–228). Edinburgh, UK:T&amp;TClark/Continuum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H. (2005). Exploring religious community online: We are one in the network.New York: Peter Lang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Carega, A. (1999). E-vangelism: Sharing the Gospel in cyberspace .Lafayette: Vital Issues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Cobb, J. (1998). Cybergrace: The search for God in the digital world.New York: Crown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Ciolek, T. M. (2004). Online religion: The Internet and religion. In H. Bidgoli (Ed.), The Internet Encyclopedia (Vol.2,pp. 798–811). New York: John Wiley &amp; Sons,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Chama, J. R. C. (1996, December 16). Finding God on the Web. Time,149(1), 52–59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Dawson, L, &amp; Cowan, D. (Eds.). (2004). Religion online: Finding faith on the Internet.New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Davis, E. (1998). Techngnosis.New York: Random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Dixon, P. (1997). Cyberchurch, Christianity and the Internet. Eastborne, UK: Kingsway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Gibson, W. (1984). Neuromancer. New York: Ace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 K., &amp; Cowan, D. E. (2000). Religion on the Internet: Research prospects and promises.New York: JAI Press</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Helland, C. (2000). Online-religion/religion-online and virtual communitas. In J. K. Hadden &amp; D. E. Cowan (Eds.)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Religion on the Internet: Research prospects and promises (pp. 205–223). New York: JAI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Clark, L. S., &amp; Rainie, L. (2004). Faith Online: 64 percent of wired Americans have used the Internet for spiritual or religious information. Pew Internet and American Life Project. Retrieved June 2,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http://www.pewinternet.org/reports/toc.asp?Report=119</w:t>
      </w:r>
    </w:p>
    <w:p>
      <w:pPr>
        <w:pStyle w:val="BookText"/>
        <w:rPr/>
      </w:pPr>
      <w:r>
        <w:rPr>
          <w:rFonts w:eastAsia="Times New Roman" w:cs="Times New Roman" w:ascii="Times New Roman" w:hAnsi="Times New Roman"/>
          <w:color w:val="111111"/>
          <w:sz w:val="28"/>
          <w:szCs w:val="28"/>
          <w:lang w:val="en-US" w:bidi="en-US"/>
        </w:rPr>
        <w:t>Houston, G. (1998). Virtual morality. Leicester, UK: Apollos. Larsen, E. (2000). Wired churches, wired temples: Taking congregations and missions into cyberspace. Pew Internet and American Life Project. Retrieved June 2,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Report=28</w:t>
      </w:r>
    </w:p>
    <w:p>
      <w:pPr>
        <w:pStyle w:val="BookText"/>
        <w:rPr/>
      </w:pPr>
      <w:r>
        <w:rPr>
          <w:rFonts w:eastAsia="Times New Roman" w:cs="Times New Roman" w:ascii="Times New Roman" w:hAnsi="Times New Roman"/>
          <w:color w:val="111111"/>
          <w:sz w:val="28"/>
          <w:szCs w:val="28"/>
          <w:lang w:val="en-US" w:bidi="en-US"/>
        </w:rPr>
        <w:t>Larsen, E. (2001). CyberFaith: How Americans pursue religion online. Pew Internet and American Life Project. Retrieved June 2,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http://www.pewinternet.org/reports/toc.asp?Report=53</w:t>
      </w:r>
    </w:p>
    <w:p>
      <w:pPr>
        <w:pStyle w:val="BookText"/>
        <w:rPr/>
      </w:pPr>
      <w:r>
        <w:rPr>
          <w:rFonts w:eastAsia="Times New Roman" w:cs="Times New Roman" w:ascii="Times New Roman" w:hAnsi="Times New Roman"/>
          <w:color w:val="111111"/>
          <w:sz w:val="28"/>
          <w:szCs w:val="28"/>
          <w:lang w:val="en-US" w:bidi="en-US"/>
        </w:rPr>
        <w:t>Linderman, A., &amp; Lovheim, M. (2003). Internet and religion: The making of meaning, identity and community through computer mediated communication. In S. Marriage &amp; J. Mitchell (Eds.), Mediating religion: Conversations in media, culture and religion (pp.229–240). Edinburgh, UK: T &amp; T Clark/Continuum</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Lochhead, D. (1997). Shifting realities: Information technology and the church. Geneva, Switzerland: WCC Publications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Nightmar M. M. (2001). Witchcraft and the Web: Weaving e, Pagan traditions online.Toronto, Canada: ECW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Pontifical Council for Social Communications. (2002). The church and the Internet. Retrieved June 2,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http://www.vatican.va/roman_curia/pontifical_councils/pccs/documents/rc_pc_pccs_doc_20020228_church-internet_en.html</w:t>
      </w:r>
    </w:p>
    <w:p>
      <w:pPr>
        <w:pStyle w:val="BookText"/>
        <w:rPr/>
      </w:pPr>
      <w:r>
        <w:rPr>
          <w:rFonts w:eastAsia="Times New Roman" w:cs="Times New Roman" w:ascii="Times New Roman" w:hAnsi="Times New Roman"/>
          <w:color w:val="111111"/>
          <w:sz w:val="28"/>
          <w:szCs w:val="28"/>
          <w:lang w:val="en-US" w:bidi="en-US"/>
        </w:rPr>
        <w:t>Schroeder, R., Heather, N., &amp; Lee, R. M. (1998). The sacred and the virtual: Religion in multi-user virtual reality. Journal of Computer Mediated Communication,4.Retrieved June 2,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http://www.ascusc.org/jcmc/vol4/issue2/schroeder.html LANGUAGE</w:t>
      </w:r>
    </w:p>
    <w:p>
      <w:pPr>
        <w:pStyle w:val="BookText"/>
        <w:rPr/>
      </w:pPr>
      <w:r>
        <w:rPr>
          <w:rFonts w:eastAsia="Times New Roman" w:cs="Times New Roman" w:ascii="Times New Roman" w:hAnsi="Times New Roman"/>
          <w:color w:val="111111"/>
          <w:sz w:val="28"/>
          <w:szCs w:val="28"/>
          <w:lang w:val="en-US" w:bidi="en-US"/>
        </w:rPr>
        <w:t>Schultze, Q. (2002). Habits of the high-tech heart. Grand Rapids, MI: Baker Academic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Wertheim, M. (1999). The pearly gates of cyberspace. London:Virago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M. (Ed.). (2003). Virtual morality: Morals, ethics and new media.London: Peter Lang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Zaleski, J. (1997). The soul of cyberspace: How technology is changing our spiritual lives. San Francisco: Harper-SanFranciso</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Zukowski, A., &amp; Babin, P. (2002). The gospel in cyberspace: Nurturing faith in the Internet age. Chicago: Loyola Press</w:t>
      </w:r>
      <w:r>
        <w:rPr>
          <w:rFonts w:eastAsia="Times New Roman" w:cs="Times New Roman" w:ascii="Times New Roman" w:hAnsi="Times New Roman"/>
          <w:color w:val="111111"/>
          <w:sz w:val="28"/>
          <w:szCs w:val="28"/>
          <w:rtl w:val="true"/>
          <w:lang w:val="en-US" w:bidi="en-US"/>
        </w:rPr>
        <w:t xml:space="preserve">. </w:t>
      </w:r>
      <w:bookmarkStart w:id="282" w:name="pg3881_27799"/>
    </w:p>
    <w:p>
      <w:pPr>
        <w:pStyle w:val="Heading2"/>
        <w:numPr>
          <w:ilvl w:val="1"/>
          <w:numId w:val="1"/>
        </w:numPr>
        <w:rPr/>
      </w:pPr>
      <w:bookmarkStart w:id="283" w:name="__RefHeading___Toc1656186_2281741623"/>
      <w:bookmarkStart w:id="284" w:name="_Toc99"/>
      <w:bookmarkEnd w:id="282"/>
      <w:bookmarkEnd w:id="283"/>
      <w:r>
        <w:rPr>
          <w:rtl w:val="true"/>
        </w:rPr>
        <w:t>بت پرستی</w:t>
      </w:r>
      <w:bookmarkEnd w:id="284"/>
    </w:p>
    <w:p>
      <w:pPr>
        <w:pStyle w:val="Heading3"/>
        <w:numPr>
          <w:ilvl w:val="2"/>
          <w:numId w:val="1"/>
        </w:numPr>
        <w:rPr/>
      </w:pPr>
      <w:bookmarkStart w:id="285" w:name="__RefHeading___Toc1656188_2281741623"/>
      <w:bookmarkStart w:id="286" w:name="_Toc100"/>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بت پرستی</w:t>
      </w:r>
    </w:p>
    <w:p>
      <w:pPr>
        <w:pStyle w:val="BookText"/>
        <w:rPr/>
      </w:pPr>
      <w:r>
        <w:rPr>
          <w:rFonts w:ascii="IRNazanin" w:hAnsi="IRNazanin" w:eastAsia="IRNazanin"/>
          <w:color w:val="111111"/>
          <w:sz w:val="28"/>
          <w:sz w:val="28"/>
          <w:szCs w:val="28"/>
          <w:rtl w:val="true"/>
          <w:lang w:bidi="fa-IR"/>
        </w:rPr>
        <w:t>با تعریفی ساده می توان گفت که بت پرستی</w:t>
      </w:r>
      <w:r>
        <w:rPr>
          <w:rStyle w:val="FootnoteAnchor"/>
          <w:rtl w:val="true"/>
        </w:rPr>
        <w:footnoteReference w:id="88"/>
      </w:r>
      <w:r>
        <w:rPr>
          <w:rFonts w:ascii="IRNazanin" w:hAnsi="IRNazanin" w:eastAsia="IRNazanin"/>
          <w:color w:val="111111"/>
          <w:sz w:val="28"/>
          <w:sz w:val="28"/>
          <w:szCs w:val="28"/>
          <w:rtl w:val="true"/>
          <w:lang w:bidi="fa-IR"/>
        </w:rPr>
        <w:t>عبارت است از پرستش هر گونه شیء ساختگی به عنوان خداوند یا تجسم نیروهای جادویی و ماوراء الطبیعه برای هر نوع از تندیس و مجسمه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شیء می تواند یک حیوان، یک گیاه یا یک مشخصۀ طبیعی غیرجاندار مانند کوه، تپه یا رودخانه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بت ها اغلب تصاویر کنده کاری شده یا تصاویر مجازی و نشانه هایی هستند که به اشیایی برای عبادت تبدیل شده اند یا این که برخی ویژگی های فوق طبیعی خاص به آن ها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کلمۀ بت،</w:t>
      </w:r>
      <w:r>
        <w:rPr>
          <w:rStyle w:val="FootnoteAnchor"/>
          <w:rtl w:val="true"/>
        </w:rPr>
        <w:footnoteReference w:id="89"/>
      </w:r>
      <w:r>
        <w:rPr>
          <w:rFonts w:ascii="IRNazanin" w:hAnsi="IRNazanin" w:eastAsia="IRNazanin"/>
          <w:color w:val="111111"/>
          <w:sz w:val="28"/>
          <w:sz w:val="28"/>
          <w:szCs w:val="28"/>
          <w:rtl w:val="true"/>
          <w:lang w:bidi="fa-IR"/>
        </w:rPr>
        <w:t>تصویر است؛ چه این تصویر تجسمی باشد و چه کنده کاری شده؛ و در عصر مدرن از برخی تصاویر به عنوان آثار هنری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بت پرستی، تشریح تصاویر و نیروی انتقال آن ها به عنوان تولیدات فرهنگی در طول زمان و فرهنگ ها را شامل می شود</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به عنوان شکلی از ارتباط مذهبی، منتقل کنندۀ تاریخ، عقاید و احساسات هستند؛ آن ها باعث تقویت آیین ها و ارزش ها شده و باعث برانگیخته شدن حس تعالی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توحیدی اغلب بین دین حقیقی و دروغین تمایز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این عقیده اند که بت پرستی می تواند هم پرستش خدایان دروغین و هم نسبت دادن موجودات یا اشیاء خلق شده و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نظر می رسد که بت پرستان رفتاری از روی جهل و نادانی داشته و یا قادر به استدلال نیستند؛ زیرا همۀ توجه خود را به اشیاء ساختگی معطوف کرده اند تا به پروردگاری که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به عرف مذاهبی توجه می کنند که دلبستگی به تصاویر پَست و خوار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به اشکال گوناگون وجود دارد؛ پرستش مظاهر طبیعت مانند خورشید، ماه و ستارگان، پرستش قهرمانان و پیشینیان مانند پرستش امپراطور در یونان و رومِ پیش از قرن چهارم و اعتقاد به طلسم مانند اعتقاد به این که اشیاء طبیعی مانند درختان، سنگ ها و تپه ها دارای نیروهای ماوراءالطبیعه یا جادویی هستند؛ حتی میهن پرستی ـ به صورت وابستگی بیش از اندازه به میهن ـ را می توان نوعی از بت پرستی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در برگیرندۀ نوعی تقدس هستند، نقش عمده ای در زندگی افراد غیرغربی ایفا کرده است و اولین برخورد اروپایی ها ـ اغلب کاشفین و مبلغین مذهبی ـ با این افراد باعث برانگیختن حس کنجکاوی و ایجاد حیرت در آن ها شده و در گزارش های اولیه، وابستگی آن ها به این اشیاء را بت پرستی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شناسان قرون نوزده و اوایل قرن بیستم مجذوب این دیدگاه شده و سعی کردند تا اغلب اَشکال ابتدایی مذهب را در متن پرستش اشیاء جست 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مانند توتم پرستی،</w:t>
      </w:r>
      <w:r>
        <w:rPr>
          <w:rStyle w:val="FootnoteAnchor"/>
          <w:rtl w:val="true"/>
        </w:rPr>
        <w:footnoteReference w:id="90"/>
      </w:r>
      <w:r>
        <w:rPr>
          <w:rFonts w:ascii="IRNazanin" w:hAnsi="IRNazanin" w:eastAsia="IRNazanin"/>
          <w:color w:val="111111"/>
          <w:sz w:val="28"/>
          <w:sz w:val="28"/>
          <w:szCs w:val="28"/>
          <w:rtl w:val="true"/>
          <w:lang w:bidi="fa-IR"/>
        </w:rPr>
        <w:t>روح گرایی</w:t>
      </w:r>
      <w:r>
        <w:rPr>
          <w:rStyle w:val="FootnoteAnchor"/>
          <w:rtl w:val="true"/>
        </w:rPr>
        <w:footnoteReference w:id="91"/>
      </w:r>
      <w:r>
        <w:rPr>
          <w:rFonts w:ascii="IRNazanin" w:hAnsi="IRNazanin" w:eastAsia="IRNazanin"/>
          <w:color w:val="111111"/>
          <w:sz w:val="28"/>
          <w:sz w:val="28"/>
          <w:szCs w:val="28"/>
          <w:rtl w:val="true"/>
          <w:lang w:bidi="fa-IR"/>
        </w:rPr>
        <w:t>و یادگار پرستی</w:t>
      </w:r>
      <w:r>
        <w:rPr>
          <w:rStyle w:val="FootnoteAnchor"/>
          <w:rtl w:val="true"/>
        </w:rPr>
        <w:footnoteReference w:id="9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تشریح پرستش تصاویر و تجسم ارواح یا نیروهای ماوراء الطبیعه برای اشیاء یا حیوانات یا مظاهر سمبلیک ایشان استفاده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درکی صحیح از فرهنگ ها و مذاهبِ این افراد منجر به عدم پذیرش ارزیابی های انسان شناسانۀ ادیان افراد غیرغربی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نام نهادن ادیان غیرتوحیدی، تمثال های غیرغربی و اشیای آیینی به عنوان ابزار بت پرستی، روشی ذهنی در طبقه بندی و نکوهش ادیان غیرمسیحی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 روش نشان دهندۀ تضاد فرهنگ هاست و از طرفی دیگر اشاعه دهندۀ این عقیده است که ادیان توحیدی بر مذاهب چندخدایی ارجحیت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های انسان شناسی انجام شده در قرن نوزدهم، ادیان نانویسا</w:t>
      </w:r>
      <w:r>
        <w:rPr>
          <w:rStyle w:val="FootnoteAnchor"/>
          <w:rtl w:val="true"/>
        </w:rPr>
        <w:footnoteReference w:id="93"/>
      </w:r>
      <w:r>
        <w:rPr>
          <w:rFonts w:ascii="IRNazanin" w:hAnsi="IRNazanin" w:eastAsia="IRNazanin"/>
          <w:color w:val="111111"/>
          <w:sz w:val="28"/>
          <w:sz w:val="28"/>
          <w:szCs w:val="28"/>
          <w:rtl w:val="true"/>
          <w:lang w:bidi="fa-IR"/>
        </w:rPr>
        <w:t>را به عنوان دین حقیقی نمی دانند بلکه آن ها را به عنوان یک مذهب دروغین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 جایی که هر مذهب از برخی مظاهر و نشانه ها استفاده می کند، محکوم کردن یک مظهر و تصدیق دیگری نمی تواند بر اساس یک استاندارد دینی منسجم باشد و نام گذاری یک تمثال به عنوان مظهری بت پرستانه هیچ ارتباطی با کیفیت محصول هنری آن ندارد؛ زیرا مظاهر ابتدایی و مظاهر ناب هر دو به دست بت شکنان تخریب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تمثال ها از این باور سرچشمه می گیرد که آن ها دارای نیرویی ذاتی هستند که می تواند اذهان پرستشگران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بت پرستی اغلب به منظور تشریح هر چیزی که رسماً به عنوان بخشی از رسم و سنت معمول تایید نشده، استفاده شده است</w:t>
      </w:r>
      <w:r>
        <w:rPr>
          <w:rFonts w:eastAsia="IRNazanin" w:cs="IRNazanin"/>
          <w:color w:val="111111"/>
          <w:sz w:val="28"/>
          <w:szCs w:val="28"/>
          <w:rtl w:val="true"/>
          <w:lang w:bidi="fa-IR"/>
        </w:rPr>
        <w:t xml:space="preserve">. </w:t>
      </w:r>
      <w:bookmarkStart w:id="287" w:name="pg3881_27802"/>
    </w:p>
    <w:p>
      <w:pPr>
        <w:pStyle w:val="Heading3"/>
        <w:numPr>
          <w:ilvl w:val="2"/>
          <w:numId w:val="1"/>
        </w:numPr>
        <w:rPr/>
      </w:pPr>
      <w:bookmarkStart w:id="288" w:name="__RefHeading___Toc1656190_2281741623"/>
      <w:bookmarkStart w:id="289" w:name="_Toc101"/>
      <w:bookmarkEnd w:id="287"/>
      <w:bookmarkEnd w:id="288"/>
      <w:r>
        <w:rPr>
          <w:rtl w:val="true"/>
        </w:rPr>
        <w:t>بت پرستی و ادیان توحیدی</w:t>
      </w:r>
      <w:bookmarkEnd w:id="289"/>
    </w:p>
    <w:p>
      <w:pPr>
        <w:pStyle w:val="BookText"/>
        <w:rPr/>
      </w:pPr>
      <w:r>
        <w:rPr>
          <w:rFonts w:ascii="IRNazanin" w:hAnsi="IRNazanin" w:eastAsia="IRNazanin"/>
          <w:color w:val="111111"/>
          <w:sz w:val="28"/>
          <w:sz w:val="28"/>
          <w:szCs w:val="28"/>
          <w:rtl w:val="true"/>
          <w:lang w:bidi="fa-IR"/>
        </w:rPr>
        <w:t>بت پرستی و ادیان توحیدی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های مرتبط با بت پرستی در کتب مقدس مذاهب توحیدی چون یهودیت، مسیحیت و دین اسلام به وفور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مذهب عموماً انسان را به پرستش خداوند تعالی دعوت کرده و از پرستش و ستایش هر گونه شیء ساختگی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در دین اسلام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احادیث، هر گونه بازنمایی هنری از خداوند را منع کرده اند و نسبت دادن هر گونه موجودی به خداوند را شرک می دانند که خود گناهی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برخی از دوران تاریخ اسلام می توان تصاویری را به صورت نوشته جات، طراحی ها، فرشینه ها و دیگر لوازم عبادی و مذهبی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متون اسلامی آورده شده است که عرب های پیش از اسلام، بت پرستانی بودند که به آزار و اذیت حضرت محمد صلی الله علیه و آله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در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حضرت محمد صلی الله علیه و آله همگی بت هایی را که در داخل و اطراف کعبه بودند، نابود ساخت و پیروانش را نیز به انجام این کار دعوت کرد و فرمود که نابودی بت ها یعنی از بین بردن باطل و افشای حقیقت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 همراه با تعالیم توحیدی و اعتقاد به خدای یگانه پایه و اساسی شدند برای مردود دانستن بت ها و بت پرستی از سوی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خانۀ کعبه، بنای یادبود دوران پیش از اسلام که در آن بت پرستی انجام می شد، دست نخورده باقی ماند و تنها برای یک منظور استفاده می شد و آن هم وحی پروردگار به حضرت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سنت اسلام پس از قرن هفتم جایگزین چندخدایی گرایی</w:t>
      </w:r>
      <w:r>
        <w:rPr>
          <w:rStyle w:val="FootnoteAnchor"/>
          <w:rtl w:val="true"/>
        </w:rPr>
        <w:footnoteReference w:id="94"/>
      </w:r>
      <w:r>
        <w:rPr>
          <w:rFonts w:ascii="IRNazanin" w:hAnsi="IRNazanin" w:eastAsia="IRNazanin"/>
          <w:color w:val="111111"/>
          <w:sz w:val="28"/>
          <w:sz w:val="28"/>
          <w:szCs w:val="28"/>
          <w:rtl w:val="true"/>
          <w:lang w:bidi="fa-IR"/>
        </w:rPr>
        <w:t>و بت پرستی شد و سنت اعتقاد به خدای یگانه مرسوم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بت پرستی از سوی مذهب مسیحیت تا اندازه ای ریشه در عقاید یهودیت دربارۀ یگانگی خداوند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انجیلِ یهود سرشار از نمونه هایی است که به بت پرستیِ یهودیان مشابه با آن چه در کشورهای همسایه شان انجام می 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طرد کامل بت پرستی و حمایت از یکتاپرستی احتمالاً فرآیندی تدریجی بوده که مدتی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خروج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پس از صدور ده فرمان حضرت موسی، اختلاف دربارۀ گوسالۀ طلایی که توسط هارون</w:t>
      </w:r>
      <w:r>
        <w:rPr>
          <w:rStyle w:val="FootnoteAnchor"/>
          <w:rtl w:val="true"/>
        </w:rPr>
        <w:footnoteReference w:id="95"/>
      </w:r>
      <w:r>
        <w:rPr>
          <w:rFonts w:ascii="IRNazanin" w:hAnsi="IRNazanin" w:eastAsia="IRNazanin"/>
          <w:color w:val="111111"/>
          <w:sz w:val="28"/>
          <w:sz w:val="28"/>
          <w:szCs w:val="28"/>
          <w:rtl w:val="true"/>
          <w:lang w:bidi="fa-IR"/>
        </w:rPr>
        <w:t>برای مردم ساخته شده بود تا به عنوان بت استفاده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 نقض دستور ده فرمان بود که برای جلوگیری از پرستش تصاویر و نسبت دادن خداوند به چنین تصاویری صادر شده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دائماً بت پرستی ـ که همانند سرکشی در برابر خداوند است ـ را نکوهش کرده اند و از این رو این عمل را گناهی بزرگ دانسته اند و از شکست و تبعید یهودیان تا حدودی به عنوان عذاب الهی برای گناه بت پرستی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کوچک تر در کتاب خروج </w:t>
      </w:r>
      <w:r>
        <w:rPr>
          <w:rFonts w:ascii="IRNazanin" w:hAnsi="IRNazanin" w:eastAsia="IRNazanin"/>
          <w:color w:val="111111"/>
          <w:sz w:val="28"/>
          <w:sz w:val="28"/>
          <w:szCs w:val="28"/>
          <w:lang w:bidi="fa-IR"/>
        </w:rPr>
        <w:t>٢٠</w:t>
      </w:r>
      <w:r>
        <w:rPr>
          <w:rFonts w:eastAsia="IRNazanin" w:cs="IRNazanin"/>
          <w:color w:val="111111"/>
          <w:sz w:val="28"/>
          <w:szCs w:val="28"/>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و کتاب سفر تثنیه </w:t>
      </w:r>
      <w:r>
        <w:rPr>
          <w:rFonts w:ascii="IRNazanin" w:hAnsi="IRNazanin" w:eastAsia="IRNazanin"/>
          <w:color w:val="111111"/>
          <w:sz w:val="28"/>
          <w:sz w:val="28"/>
          <w:szCs w:val="28"/>
          <w:lang w:bidi="fa-IR"/>
        </w:rPr>
        <w:t>١۰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برای کسانی که بت پرستی می کردند، مجازات مرگ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عهد جدید، پُل قدیس، رهبر مسیحی قرن اول، به طور دائم مسیحیان را از اعتقاد و وابستگی به بت ها بر حذر می داشت که این عمل در بسیاری از شهرهای آسیای صغیر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قرن چهارم دین مسیحیت به مذهبی پرطرفدار تبدیل شد، بت شکنی به عنوان پاسخی در برابر بت پرستی به منصۀ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قرن ششم در زمان جنبش پروتستان 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کالوین، آلریچ زینگلی و آندریاس کار ل استات به همراه دیگر اصلاح طلبان، تمثال های مذهبی را مردود دانسته و زدودن و نابودی آن ها را از کلیساها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این عقیده بودند که </w:t>
      </w:r>
      <w:bookmarkStart w:id="290" w:name="pg3881_27804"/>
    </w:p>
    <w:p>
      <w:pPr>
        <w:pStyle w:val="BookText"/>
        <w:rPr/>
      </w:pPr>
      <w:bookmarkEnd w:id="290"/>
      <w:r>
        <w:rPr>
          <w:rFonts w:ascii="IRNazanin" w:hAnsi="IRNazanin" w:eastAsia="IRNazanin"/>
          <w:color w:val="111111"/>
          <w:sz w:val="28"/>
          <w:sz w:val="28"/>
          <w:szCs w:val="28"/>
          <w:rtl w:val="true"/>
          <w:lang w:bidi="fa-IR"/>
        </w:rPr>
        <w:t>استفاده از تمثال ها در مراسم عبادی در کتب مقدس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بت شکنانه از طرف مبلغین مذهبی غربی در مبارزتشان با مذاهب غیرغربی از قرن شانزدهم تا اوایل قرن بیستم مورد حمایت قرار گرفت</w:t>
      </w:r>
      <w:r>
        <w:rPr>
          <w:rFonts w:eastAsia="IRNazanin" w:cs="IRNazanin"/>
          <w:color w:val="111111"/>
          <w:sz w:val="28"/>
          <w:szCs w:val="28"/>
          <w:rtl w:val="true"/>
          <w:lang w:bidi="fa-IR"/>
        </w:rPr>
        <w:t>.</w:t>
      </w:r>
    </w:p>
    <w:p>
      <w:pPr>
        <w:pStyle w:val="Heading3"/>
        <w:numPr>
          <w:ilvl w:val="2"/>
          <w:numId w:val="1"/>
        </w:numPr>
        <w:rPr/>
      </w:pPr>
      <w:bookmarkStart w:id="291" w:name="__RefHeading___Toc1656192_2281741623"/>
      <w:bookmarkStart w:id="292" w:name="_Toc102"/>
      <w:bookmarkEnd w:id="291"/>
      <w:r>
        <w:rPr>
          <w:rtl w:val="true"/>
        </w:rPr>
        <w:t>بت پرستی و بت شکنی</w:t>
      </w:r>
      <w:bookmarkEnd w:id="292"/>
    </w:p>
    <w:p>
      <w:pPr>
        <w:pStyle w:val="BookText"/>
        <w:rPr/>
      </w:pPr>
      <w:r>
        <w:rPr>
          <w:rFonts w:ascii="IRNazanin" w:hAnsi="IRNazanin" w:eastAsia="IRNazanin"/>
          <w:color w:val="111111"/>
          <w:sz w:val="28"/>
          <w:sz w:val="28"/>
          <w:szCs w:val="28"/>
          <w:rtl w:val="true"/>
          <w:lang w:bidi="fa-IR"/>
        </w:rPr>
        <w:t>بت پرستی و بت شکنی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بشر، اعصاری وجود داشته که در آن ها رهبران مذهبی از خود گرایشات بت شکنانه نشان داده و به پیروان خود توصیۀ اکید داشته اند که از آن ها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شکنی ـ عمل از بین بردن تمثال هایی که برای پرستش و اهداف مذهبی استفاده می شوند ـ اغلب واکنشی رسمی یا نیمه رسمی به بت پرستی است و این عمل توجیه خاصی را برای آزار و اذیت و خشونت مذهبی فراهم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هر چیزی که با بت پرستی در ارتباط است، بدین صورت توجیه شده است که از بین بردن تمثال های منع شده توسط دین، تزکیۀ مذهبی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بت ها رابطۀ تنگاتنگی با مسائل خرافه داشتند و حاصل جهل و نادانی شناخته می شدند، بعضی از رهبران دینی اظهار می داشتند که از بین بردن آن ها نوعی آزادی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دیوید مورگان در مقاله ای دربارۀ بت شکنی بیان کرده، بت شکنی همیشه به معنی از بین بردن تمثال ها نیست بلکه راهبردی است برای جانشین سازی؛ تنها به این دلیل که هیچ یک از مذاهب توحیدی جهان تا کنون عاری از این گونه تصاویر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مواجهۀ دین مسیحیت با دیگر فرهنگ ها و مذاهب، بت شکنی به نقطۀ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مذهبی مسیحی در سرزمین های بسیاری برای تصاویر، اهمیتی مذهبی قائل شده و نوکیشان جدید را به رها کردن و تخریب آن ها ترغیب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بیست و یکم، </w:t>
      </w:r>
    </w:p>
    <w:p>
      <w:pPr>
        <w:pStyle w:val="BookText"/>
        <w:rPr/>
      </w:pPr>
      <w:r>
        <w:rPr>
          <w:rFonts w:ascii="IRNazanin" w:hAnsi="IRNazanin" w:eastAsia="IRNazanin"/>
          <w:color w:val="111111"/>
          <w:sz w:val="28"/>
          <w:sz w:val="28"/>
          <w:szCs w:val="28"/>
          <w:rtl w:val="true"/>
          <w:lang w:bidi="fa-IR"/>
        </w:rPr>
        <w:t xml:space="preserve">گروه های مسیحیِ انجیلیِ تندرو در بسیاری از قسمت های جهان به این سنت بت شکنی به عنوان راهبردی برای تغییر مذهب ادامه دادند؛ برای نمونه در سال </w:t>
      </w: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 xml:space="preserve"> یک گروه دگراندیش باپتیست با نام سلحشوران داوود واقع در جنوب شیلی، تندیس</w:t>
      </w:r>
      <w:r>
        <w:rPr>
          <w:rFonts w:eastAsia="Times New Roman" w:cs="Times New Roman" w:ascii="Times New Roman" w:hAnsi="Times New Roman"/>
          <w:color w:val="111111"/>
          <w:sz w:val="28"/>
          <w:szCs w:val="28"/>
          <w:lang w:val="en-US" w:bidi="en-US"/>
        </w:rPr>
        <w:t>Roman Catholic virgin of Carmen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آتش کشیدند؛ با این عقیده که این تندیس، بت است و از این رو برگزاری فستیوال مرتبط با آن نیز یک مراسم مشرکانه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شما پیامبری، یا برآورده کنندۀ آرزوها، برخیزد و برای شما نشانه یا معجزه ای بیاورد و نشانه یا معجزه تحقق پیدا کند، دربارۀ آن با شما صحبت کرده و بگوید بیایید به دنبال خدایان دیگر برویم، خدایانی که شما نمی شناسید، و بیایید به آن ها خدمت کنیم؛ شما نبایستی به سخنان آن پیامبرِ برآورده کنندۀ آرزوها، گوش فرا دهید؛ زیرا پروردگارتان شما را در بوتۀ آزمایش قرار می دهد تا ببیند شما با همۀ جان و روح خود خداوند را دوست دارید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خدای خود پیروی کنید، از خشم او بترسید و از دستورات او اطاعت نمایید و تسلیم گفته های او بشوید و بایستی او را پرستش کنید و به ریسمان او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پیامبرِ برآورده کنندۀ آرزوها، بایستی کشته شود؛ زیرا سخنانی را گفته که شما را از پروردگارتان باز گرداند؛ خداوندی که شما را از سرزمین مصر بیرون آورد و شما را از اسارت و بندگی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راندن شما از راهی که پروردگارتان به شما امر کرده در آن قدم گذارید، پس شما باید شیطان را از خود دور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سفر تثنیه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یافتن یک معیار مشخص برای قضاوت دربارۀ این که یک تصویر خاص بت به حساب می آید یا خیر کاری بس دشوار است؛ زیرا انواع گوناگونی از تمثال ها و نیز انواع مختلفی از مراسم مذهبی وجود دارند؛ برای نمونه در حالی که اصلاح طلبانِ پروتستان تمثال ها را مردود می دانستند و دست به تخریب آن ها می زدند و در مقابل، کاتولیک ها این عمل را نفرت انگیز می شمردند، هر دو گروه خواستار این بودند که به دین مسیحیت به درستی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مجادله دربارۀ تمثال ها ریشه در تاریخ اِحیای ذاتی دین مسیحیت، اشاعۀ مذهب فرقه ای و تعصبی و نیز حفظ گردهمایی های مذهبیِ انجیلی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دنیای مدرن درک بهتری از هنر مذهبی و غیر مذهبی وجود دارد ولی سنت بت شکنی هم چنان در بین گروه های مذهبی اقلیت و تندرو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سنت بت شکنی که تا کنون گزارش شده به تخریب دو تندیس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فوتی بودا در شهر بامیان افغانستان، در اوایل مارس سال </w:t>
      </w: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 xml:space="preserve"> مربوط است که به دستور ملامحمد عمر، رهبر گروه طالبان، که این تندیس ها را به بت تشبیه کرده و آن ها را توهینی به اسلام دانسته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درخواست های انجام گرفته از سوی مراجع بین المللی، گروه طالبان بسیاری از تندیس هایی را که دارای قدمتی</w:t>
      </w:r>
      <w:r>
        <w:rPr>
          <w:rFonts w:ascii="IRNazanin" w:hAnsi="IRNazanin" w:eastAsia="IRNazanin"/>
          <w:color w:val="111111"/>
          <w:sz w:val="28"/>
          <w:sz w:val="28"/>
          <w:szCs w:val="28"/>
          <w:lang w:bidi="fa-IR"/>
        </w:rPr>
        <w:t>١٥٠٠</w:t>
      </w:r>
      <w:r>
        <w:rPr>
          <w:rFonts w:ascii="IRNazanin" w:hAnsi="IRNazanin" w:eastAsia="IRNazanin"/>
          <w:color w:val="111111"/>
          <w:sz w:val="28"/>
          <w:sz w:val="28"/>
          <w:szCs w:val="28"/>
          <w:rtl w:val="true"/>
          <w:lang w:bidi="fa-IR"/>
        </w:rPr>
        <w:t xml:space="preserve"> ساله بودند و نمادی از آثار تاریخی مهم به حساب می آمدند، توسط خمپاره و توپ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وجود دارد که آیا سنت بت شکنی هرگز در از بین بردن هر دین نانویسا و روی هم رفته هر گونه شاخۀ هنری موفق بوده است یا خیر؛ یا این که تنها قادر بوده تا نیروی گرایش به تمثال ها را از طریق از بین بردن فواید اقتصادی و به کنترل درآوردن پرستش آن ها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بت شکنی پدیدۀ اجتماعی پیچیده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پدیده می توان به عنوان ویرانگری، جنبه ای از </w:t>
      </w:r>
      <w:bookmarkStart w:id="293" w:name="pg3881_27807"/>
    </w:p>
    <w:p>
      <w:pPr>
        <w:pStyle w:val="BookText"/>
        <w:rPr/>
      </w:pPr>
      <w:bookmarkEnd w:id="293"/>
      <w:r>
        <w:rPr>
          <w:rFonts w:ascii="IRNazanin" w:hAnsi="IRNazanin" w:eastAsia="IRNazanin"/>
          <w:color w:val="111111"/>
          <w:sz w:val="28"/>
          <w:sz w:val="28"/>
          <w:szCs w:val="28"/>
          <w:rtl w:val="true"/>
          <w:lang w:bidi="fa-IR"/>
        </w:rPr>
        <w:t xml:space="preserve">تضاد اجتماعی، فرآیند پاکسازی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اشیاء تخریب می شوند از اهمیت کمتری برخوردار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عقلانیت یا به عنوان تقویت تعصب مذهبی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 شما، پسر مادرتان یا پسرتان یا دخترتان یا همسر دوست نزدیک شما یا دوستانی که بخشی از وجود شما هستند، شما را مخفیانه وسوسه کرده اند و به شما بگویند بیایید خدایان دیگر را بپرستیم، خدایانی که شما نمی شناسید، نه شما و نه نیاکانتان؛ یعنی، از خدایان مردمی که در اطراف شما هستند، به شما نزدیک می شوند یا از شما دور می گردند، حتی از یک طرف زمین به طرف دیگران می روند؛ شما نباید به سخنان آن ها تن دردهید و نباید به سخنان آن ها گوش فرا دهید و نباید برای آن ها دلسوزی کنید و نباید از آن ها غفلت کنید و نباید به آن ها پناه دهید؛ بلکه باید آن ها را بکشید؛ باید اولاً با دست خودتان آن ها را از بین ببرید، و سپس با کمک دیگر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با سنگ آن ها را بزنید، تا وقتی که بمیرند؛ زیرا آن ها سعی داشتند شما را از راه پروردگارتان منحرف نمایند؛ پروردگاری که شما را از سرزمین مصر بیرون آورد و شما را از اسارت و بندگی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سفر تثنیه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Heading3"/>
        <w:numPr>
          <w:ilvl w:val="2"/>
          <w:numId w:val="1"/>
        </w:numPr>
        <w:rPr/>
      </w:pPr>
      <w:bookmarkStart w:id="294" w:name="__RefHeading___Toc1656194_2281741623"/>
      <w:bookmarkStart w:id="295" w:name="_Toc103"/>
      <w:bookmarkEnd w:id="294"/>
      <w:r>
        <w:rPr>
          <w:rtl w:val="true"/>
        </w:rPr>
        <w:t>بت پرستی و هنر</w:t>
      </w:r>
      <w:bookmarkEnd w:id="295"/>
    </w:p>
    <w:p>
      <w:pPr>
        <w:pStyle w:val="BookText"/>
        <w:rPr/>
      </w:pPr>
      <w:r>
        <w:rPr>
          <w:rFonts w:ascii="IRNazanin" w:hAnsi="IRNazanin" w:eastAsia="IRNazanin"/>
          <w:color w:val="111111"/>
          <w:sz w:val="28"/>
          <w:sz w:val="28"/>
          <w:szCs w:val="28"/>
          <w:rtl w:val="true"/>
          <w:lang w:bidi="fa-IR"/>
        </w:rPr>
        <w:t>بت پرستی و هنر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شمایل شناسی و مطالعۀ تمثال نگاری، فهمی عمیق از عبارت تفکر مذهبی و عبارت پرستش تمثال 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تفسیری جدید و درکی بهتر از بت ها به عنوان آثار هنری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 استعماری، کاشفین، تجار و مبلغین مذهبی از این درک جدید و تصاویری که </w:t>
      </w:r>
    </w:p>
    <w:p>
      <w:pPr>
        <w:pStyle w:val="BookText"/>
        <w:rPr/>
      </w:pPr>
      <w:r>
        <w:rPr>
          <w:rFonts w:ascii="IRNazanin" w:hAnsi="IRNazanin" w:eastAsia="IRNazanin"/>
          <w:color w:val="111111"/>
          <w:sz w:val="28"/>
          <w:sz w:val="28"/>
          <w:szCs w:val="28"/>
          <w:rtl w:val="true"/>
          <w:lang w:bidi="fa-IR"/>
        </w:rPr>
        <w:t>دیگر تخریب نمی شدند، بهرۀ خوبی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تصاویر در محلی مخصوص نگهداری می شدند و برخی دیگر به کشورهای غربی برده شده و در موزه های هنری به دور از استفاده های مذهبی مرتبط با آن ها قرار می گرفتند یا به عنوان نشانه های تغییر مذهب مسیحیت به نمایش گذاشته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یک زمان به عنوان بت از آن ها نام برده می شد اکنون لقبی تازه، یعنی آثار هنری به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خشونت های سنت بت شکنی هنوز گاه به گاه نمایان می گردند و این خشونت به قرن بیست و یکم نیز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شکلی از ارتباط هستند که خلاقیت را از نسلی به نسل دیگر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بخش عمده ای از فرهنگ بسیاری از مردم غیرغربی را به آینده منتقل کرده و نمایانگر حالات معنوی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تمامی تصاویر با مذهب در ارتباط نیستند ولی آن هایی هم که برای بت پرستی استفاده می شوند، بیانگر این مهم هستند که چگونه مذهب، محتوا و ویژگی های هنر سنتی را در فرهنگ های غیرغربی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قدرتمند مردم عامی، نشان دهندۀ بینش جهانی آن ها و میزان درک آن ها از مفهوم ماوراءالطبیعه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تصاویر خاص به عنوان ابزار بت پرستی شمرده می شوند؛ زیرا در جهان غیرغربی، هنر و مذهب دارای ارتباطی تنگاتنگ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هنر تنها به تصویرکشانندۀ یک فرهنگ خاص نیست بلکه نمادی از تقدس نیز به حساب می آید و برخی از تصاویر رابطۀ نزدیکی با سرچشمۀ روحی و روانی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بحث برانگیز بت پرستی ریشه در روابط اجتماعی و قومی بین غرب و شرق، بین دنیای متمدن و جهان بدوی و بین مذاهب توحیدی سازمان یافته و مذاهب چندخدایی نامنظم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متیو اُجو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علی اصغر حداد </w:t>
      </w:r>
      <w:bookmarkStart w:id="296" w:name="pg3881_27809"/>
    </w:p>
    <w:p>
      <w:pPr>
        <w:pStyle w:val="Heading3"/>
        <w:numPr>
          <w:ilvl w:val="2"/>
          <w:numId w:val="1"/>
        </w:numPr>
        <w:rPr/>
      </w:pPr>
      <w:bookmarkStart w:id="297" w:name="__RefHeading___Toc1656196_2281741623"/>
      <w:bookmarkStart w:id="298" w:name="_Toc104"/>
      <w:bookmarkEnd w:id="296"/>
      <w:bookmarkEnd w:id="297"/>
      <w:r>
        <w:rPr>
          <w:rtl w:val="true"/>
        </w:rPr>
        <w:t>برای مطالعۀ بیشتر</w:t>
      </w:r>
      <w:bookmarkEnd w:id="29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Apostolos-Cappadona, D. (Ed.). (1984). Art, creativity and the sacred: An anthology in religion and art. New York: Crossroad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Besançon, A. (2000). The forbidden image: An intellectual history of iconoclasm (J. M. Todd, Trans.).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Child, A. B., &amp; Child, I. L. (1993). Religion and magic in the life of traditional peoples.Englewood Cliffs, NJ: Prentice 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Dupré, W. (1975). Religion in primitive cultures: Astudy in ethnophilosophy. The Hague &amp; Paris: Mouton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Gamboni, D. (1997). The destruction of art: Iconoclasm and vandalism since the French Revolution. New Haven CT: Yale University Press</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Hackett, R. I. J. (1996). Art and religion in Africa. (Religion and the arts).London &amp; New York: Cassell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Hawting, G. R. (1999). The idea of idolatry and the emergence of Islam: From polemic to history. Cambridge,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Laeuchli, S. (1980). Religion and art in conflict: Introduction to across-disciplinary task. Philadelphia: Fortress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Mills, K. (1997). Idolatry and its enemies: Colonial Andean religion and extirpation. Princeton, NJ: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Moore, A. C. (1977). Iconography of Religion: An Introduction. London: SCM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Moore, A. C. (1995). Arts in the religions of the Pacific: Symbols of life.London: Pinter</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Morgan, D. (2003). The vicissitudes of seeing: Iconoclasm and idolatry. Religion,33,170–180</w:t>
      </w:r>
      <w:r>
        <w:rPr>
          <w:rFonts w:eastAsia="Times New Roman" w:cs="Times New Roman" w:ascii="Times New Roman" w:hAnsi="Times New Roman"/>
          <w:color w:val="111111"/>
          <w:sz w:val="28"/>
          <w:szCs w:val="28"/>
          <w:rtl w:val="true"/>
          <w:lang w:val="en-US" w:bidi="en-US"/>
        </w:rPr>
        <w:t xml:space="preserve">. </w:t>
      </w:r>
      <w:bookmarkStart w:id="299" w:name="pg3881_27811"/>
    </w:p>
    <w:p>
      <w:pPr>
        <w:pStyle w:val="Heading2"/>
        <w:numPr>
          <w:ilvl w:val="1"/>
          <w:numId w:val="1"/>
        </w:numPr>
        <w:rPr/>
      </w:pPr>
      <w:bookmarkStart w:id="300" w:name="__RefHeading___Toc1656198_2281741623"/>
      <w:bookmarkStart w:id="301" w:name="_Toc105"/>
      <w:bookmarkEnd w:id="299"/>
      <w:bookmarkEnd w:id="300"/>
      <w:r>
        <w:rPr>
          <w:rtl w:val="true"/>
        </w:rPr>
        <w:t>بنیادگرایی</w:t>
      </w:r>
      <w:bookmarkEnd w:id="301"/>
    </w:p>
    <w:p>
      <w:pPr>
        <w:pStyle w:val="Heading3"/>
        <w:numPr>
          <w:ilvl w:val="2"/>
          <w:numId w:val="1"/>
        </w:numPr>
        <w:rPr/>
      </w:pPr>
      <w:bookmarkStart w:id="302" w:name="__RefHeading___Toc1656200_2281741623"/>
      <w:bookmarkStart w:id="303" w:name="_Toc106"/>
      <w:bookmarkEnd w:id="302"/>
      <w:r>
        <w:rPr>
          <w:rtl w:val="true"/>
        </w:rPr>
        <w:t>اشاره</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مطالعات دین، اصطلاح بنیادگرایی</w:t>
      </w:r>
      <w:r>
        <w:rPr>
          <w:rStyle w:val="FootnoteAnchor"/>
          <w:rtl w:val="true"/>
        </w:rPr>
        <w:footnoteReference w:id="96"/>
      </w:r>
      <w:r>
        <w:rPr>
          <w:rFonts w:ascii="IRNazanin" w:hAnsi="IRNazanin" w:eastAsia="IRNazanin"/>
          <w:color w:val="111111"/>
          <w:sz w:val="28"/>
          <w:sz w:val="28"/>
          <w:szCs w:val="28"/>
          <w:rtl w:val="true"/>
          <w:lang w:bidi="fa-IR"/>
        </w:rPr>
        <w:t>عموماً برای اشاره به هر ایدئولوژی دینی ای به کار می رود که ستیزه جویانه با تاکید بر دسترسی بشر به ولایتی الهی با مدرنیسمِ فراگیر غربی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تعریف عمومی، یک جنبش پروتستان است که در اوایل قرن بیستم به مخالفت با کمرنگ شدن پیوند گفتمان عمومی با وحی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تعریف عمومی برای ارجاع به آن گروه از ایدئولوژی های غیرمسیحی به کار می رود که پژوهش های علمی غربی منش و ارزش های دنیوی ای را که این تلقی از علم اقتضاء می کند،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این طرد و رد، اعتقاد به دسترسی بشری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در فعالیت های رسانه ای خود، غالبا به متن مقدسی استناد می کنند که به اعتقاد آنان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بنیادگرایان، وثوق این متن مقدس را مناقشه ناپذیر می دانند، با استناد به آن ها و بدون مستدل کردن دعاوی یا درخواست های شان به معیارهای گستردۀ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4" w:name="pg3881_27812"/>
    </w:p>
    <w:p>
      <w:pPr>
        <w:pStyle w:val="BookText"/>
        <w:rPr/>
      </w:pPr>
      <w:bookmarkEnd w:id="304"/>
      <w:r>
        <w:rPr>
          <w:rFonts w:ascii="IRNazanin" w:hAnsi="IRNazanin" w:eastAsia="IRNazanin"/>
          <w:color w:val="111111"/>
          <w:sz w:val="28"/>
          <w:sz w:val="28"/>
          <w:szCs w:val="28"/>
          <w:rtl w:val="true"/>
          <w:lang w:bidi="fa-IR"/>
        </w:rPr>
        <w:t>اظهاراتی شورانگیز و احساسی ابراز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بنیادگرایان، ارزش های تکثرگرای دنیاگرایی غربی، ارزش هایی تهدیدکننده تلقی می شوند؛ چرا که معیارهای وارسی این ارزش ها خارج از گسترۀ یک دین به خصوص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طرز تلقی، تلاش رسانه های بنیادگرا برای طرد رسانه های دنیاگرای حاکم یا معرفی رسانه های جایگزین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بنیادگرایانه در بسیاری موارد به شکل گیری اجتماعات کوچک و بسته ای منجر شده است که در جوامع باز به صورت فعالان افراطی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چنین وضعیتی این است که اجتماعات بنیادگرا معمولا به عنوان اجتماعاتی شناخته می شوند که به ناشکیبایی در قبال عقاید، ارزش ها و دیدگاه های متنوع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 جا که بنیادگرایان نوعا گروه هایی فرعی با سطح بالایی از برانگیختگی هستند، حتی این اجتماعات اقلیت بنیادگرا هم می توانند قدرت های سیاسی چشمگیری به وجود آورند</w:t>
      </w:r>
      <w:r>
        <w:rPr>
          <w:rFonts w:eastAsia="IRNazanin" w:cs="IRNazanin"/>
          <w:color w:val="111111"/>
          <w:sz w:val="28"/>
          <w:szCs w:val="28"/>
          <w:rtl w:val="true"/>
          <w:lang w:bidi="fa-IR"/>
        </w:rPr>
        <w:t>.</w:t>
      </w:r>
    </w:p>
    <w:p>
      <w:pPr>
        <w:pStyle w:val="Heading3"/>
        <w:numPr>
          <w:ilvl w:val="2"/>
          <w:numId w:val="1"/>
        </w:numPr>
        <w:rPr/>
      </w:pPr>
      <w:bookmarkStart w:id="305" w:name="__RefHeading___Toc1656202_2281741623"/>
      <w:bookmarkStart w:id="306" w:name="_Toc107"/>
      <w:bookmarkEnd w:id="305"/>
      <w:r>
        <w:rPr>
          <w:rtl w:val="true"/>
        </w:rPr>
        <w:t>شکل گیری بنیادگرایان مسیحی</w:t>
      </w:r>
      <w:bookmarkEnd w:id="306"/>
    </w:p>
    <w:p>
      <w:pPr>
        <w:pStyle w:val="BookText"/>
        <w:rPr/>
      </w:pPr>
      <w:r>
        <w:rPr>
          <w:rFonts w:ascii="IRNazanin" w:hAnsi="IRNazanin" w:eastAsia="IRNazanin"/>
          <w:color w:val="111111"/>
          <w:sz w:val="28"/>
          <w:sz w:val="28"/>
          <w:szCs w:val="28"/>
          <w:rtl w:val="true"/>
          <w:lang w:bidi="fa-IR"/>
        </w:rPr>
        <w:t>شکل گیری بنیادگرایان مسیحی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تاریخی واژۀ بنیادگرایی به مجموعه ای دوازده گانه از جزواتی که بنیادها خوانده می شدند،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ها را فردی به نام لیمن استیوارت، بین سال های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غیر روحانی پروتستان بود که در صنعت نفت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اعتقاداتی که خداشناسان و نویسنده های وابسته به این شکل اولیۀ بنیادگرایی، گسترش دادند، از باور مشترک آن ها به تفسیری منحصراَ ادبی از انجیل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اصالت بی چون و چرا و معنای ادبی انجیل، هنجارهای احساسی و ابرازگزایانه ای را که اینک ارتباطات بنیادگرایانه از خود بروز می دهد،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مسیحی در واکنش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رشد نفوذ ارزش های دنیوی، در درون و خارج از نهادهای پروتستان در اواخر قرن نوزدهم و اوایل قرن بیستم، درگیر منازعات شورمندانه 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زمانی رخ داد که رهبران پروتستان در خصوص رسیدن به درک شایستۀ مسیحی از نظریۀ تکامل چارلز داروین دچار انشعاب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لیبرال ها شرح آفرینش در سفر پیدایش، شکل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نمی شد آن را با نظریۀ داروین ناسازگار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محافظه کاران، نظریۀ داروین، تصادف احتمالی و ارادۀ انسان را جایگزین تدبیر الهی خداوند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متالهین لیبرال پروتستان، مانند والتر راشنبوش به سمت تکثرگرایی و عدالت اجتماعی گرایش پیدا کرد، محافظه کارانی مانند لیمن استیوارت بر نظریه های درک ادبی انجیل تاکید می ورزیدند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از نظر محافظه کارانِ پروتستان، اتکای افراطی بر اعتبار علوم دنیوی به انحطاط دنیاگرایانۀ اخلاق، مادی گرایی مهارناپذیر و رشد نظامی گری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سالی که نخستین مجموعه از بنیاد ها انتشار یافت، متالهین محافظه کار پرزبیتارین در پرینستِن مدعی بی غلط بودن متون انجیلی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پروتستان در آمریکا آشکارا به دو اردوگاه لیبرال و محافظه کار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جوی بود که لیمن استیوارت تامین هزینه های انتشار و توزیع رایگان بنیادها را تقبل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ویراستاران اصلی بنیادها مبلِّغی به نام روبن 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نزدیک او و معروف ترین واعظ آن دوره، دوایت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مودی که گاهی از او به عنوان زمینه ساز بنیادگرایی یاد می شود، در اواخر دهه های قرن نوزدهم از موفق ترین واعظان عمومی اونجلیکال به حساب 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ایالات متحده در اواخر قرن نوزدهم، تشدید علاقه به ابراز عاطفی عقاید دینی را تجربه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به سخنرانان فرهمندی مانند جیمز مک گریدی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با مواردی مانند مبارزان خیمه یا گردهمایی های اردویی که مجالس وعظ را مشخص می کرد، سرودخوانی و دعاهایی که با احساسات غنی شده بود، تشخص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هفتادِ قرن نوزدهم، مودی که مراسمی دستکاری شده تر را باب کرد، در منظر عمومی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مودی بدون این که به گرایش دینی خاصی ابراز تعلق کند، تمامی مخاطبان خود را به مشارکت در مراسم فرا می خواند و به جای مستثنا کردن گروهی از مخاطبان، پیام ساده ای به مخاطبان خود می داد و اخلاق فردی را نشانه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کت و شلواری عادی از نوع لباس کارمندان بر تن داشت و به مانند افراد طبقۀ متوسط، وعظ خود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او توانست برای خود گروه عظیمی از مخاطبان طبقۀ متوسط را که با نهادهای مختلف مسیحی همبسته بودند،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مودی رویکردی ساده و تحت اللفظی به کتاب مقدس ـ عقیده به مصونیت انجیل از سهو و تحریف ـ و باوری آخرالزمانی داشت، می توان آرای او را باورهایی منسجم تلقی کرد که در دهه های پس از مرگ او به صورت بنیادگرایی مسیحی درآمد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سلسله کنفرانس های عظیمی در پشتیبانی از توجه روزافزون به فهم ادبی انجیل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حکومت بریتانیا بیانیه ای در حمایت از برپایی سرزمین مادری یهودیان در فلسطین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تشکیل دوبارۀ سرزمین یهودی وعده ای است که مکررا در انجیل تکرار می شود، به نظر می رسد که صدور این بیانیه پشتیبانی مدرنی از روایت آخرالزمانی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بر شعله های تفکر روبه رشد آخرالزمانی یا هزاره انگار</w:t>
      </w:r>
      <w:r>
        <w:rPr>
          <w:rStyle w:val="FootnoteAnchor"/>
          <w:rtl w:val="true"/>
        </w:rPr>
        <w:footnoteReference w:id="98"/>
      </w:r>
      <w:r>
        <w:rPr>
          <w:rFonts w:ascii="IRNazanin" w:hAnsi="IRNazanin" w:eastAsia="IRNazanin"/>
          <w:color w:val="111111"/>
          <w:sz w:val="28"/>
          <w:sz w:val="28"/>
          <w:szCs w:val="28"/>
          <w:rtl w:val="true"/>
          <w:lang w:bidi="fa-IR"/>
        </w:rPr>
        <w:t>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مبشری به نام ویلیام رایلی، انجمن جهانی بنیادهای مسیحی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اصلی این انجمن، اجرای برنامه های تبلیغاتی برای تاثیرگذاری بر آن دسته از نهادهای شناخته شدۀ رسمی بود که گمان می شد بیش از اندازه گرایش های لیبرال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WCFA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تلاش برای انسجام بخشیدن به مرده ریگ مودی، منادی تقابلی آخرالزمانی با ارزش های دنیوی در گفتمان مدرن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یک روزنامه باپتیست برای اولین بار اصطلاح بنیادگرایان را برای ارجاع به کسانی که حاضرند برای بنیادها با نهادهای حاکم دربیفتند،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تقابل به صورت گسترده در سطح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وقوع بود، سیاستمدار مشهور پرزبیتارین، ویلیام جنینگز برایان، اقدامات مبارزاتی معروف خود را برضد آموزش فرضیۀ تکامل در مدارس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احتمالا دغدغۀ برایان بیشتر پیوند میان نظریۀ تکامل با ملی گرایی آلمانی بود تا تفسیر لفظی سفر پیدایش، اقدامات او مناقشۀ کلامی دربارۀ وثوق کتاب مقدس را به گفتمان عمومی وارد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برایان، جان اسکوپز،</w:t>
      </w:r>
      <w:r>
        <w:rPr>
          <w:rStyle w:val="FootnoteAnchor"/>
          <w:rtl w:val="true"/>
        </w:rPr>
        <w:footnoteReference w:id="99"/>
      </w:r>
      <w:r>
        <w:rPr>
          <w:rFonts w:ascii="IRNazanin" w:hAnsi="IRNazanin" w:eastAsia="IRNazanin"/>
          <w:color w:val="111111"/>
          <w:sz w:val="28"/>
          <w:sz w:val="28"/>
          <w:szCs w:val="28"/>
          <w:rtl w:val="true"/>
          <w:lang w:bidi="fa-IR"/>
        </w:rPr>
        <w:t>معلم مدرسه ای را که در شهری کوچک زندگی می کرد و قوانین ایالت تنسی را دربارۀ عدم آموزش فرضیۀ تکامل زیر پا گذاشته بود، به دادگاه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سکولار مشهوری به نام مِنکِن </w:t>
      </w:r>
      <w:r>
        <w:rPr>
          <w:rStyle w:val="FootnoteAnchor"/>
          <w:rtl w:val="true"/>
        </w:rPr>
        <w:footnoteReference w:id="100"/>
      </w:r>
      <w:r>
        <w:rPr>
          <w:rFonts w:ascii="IRNazanin" w:hAnsi="IRNazanin" w:eastAsia="IRNazanin"/>
          <w:color w:val="111111"/>
          <w:sz w:val="28"/>
          <w:sz w:val="28"/>
          <w:szCs w:val="28"/>
          <w:rtl w:val="true"/>
          <w:lang w:bidi="fa-IR"/>
        </w:rPr>
        <w:t>حساسیت ها را دربارۀ این دادگاه برانگیخت و به این ترتیب این دادگاه به موضوعی ملی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کلارنس دارو وکیل مدافع اسکوپز، در این دادگاه که به صورت یک همه پرسی دربارۀ ارزش های زمانه درآمده بود، برایان را به تنگنا کشاند و او را برای مردودشمردن تفسیری لفظی از آفرینش تحت فشار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عموم مردم، برایان نمادی از عقاید سطحی و دارو یک قهرمان و نشانۀ فردی عقلانی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 در یکشنبۀ بعد از شکست مفتضحانه اش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در طول محاکمۀ اسکوپز، حسابی به اصطلاح بنیادگرایی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شکست و مرگ ناگهانی برایان، بنیادگرایی اصطلاحی کاریکاتورگونه از ارتجاعی عقیم و نشانه ای از مسیحیت روستایی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نهادهای پروتستان، محافظه کاران آب رفتند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خارج از موسسات رسمی پروتستان، این اصطلاح و مخالفت اعتقادی آن با ارزش های مدرن در سطحی عمومی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پروتستان های طبقۀ متوسط که خود را بنیادگرا به حساب می آوردند، احساس کردند که در جامعۀ بزرگ تر کنار زده شده، حاشیه نشین شده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دوم، ایدئولوژی بنیادگرایی تدریجا خود را در منظر عمومی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ـ به منظور یافتن راه هایی برای جلوگیری از وقوع یک جنگ جهانی دیگر ـ و حقوق بین الملل ـ متکی بر مفهومی جدید از حقوق جهانی بشر ـ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مسیحی با دغدغۀ امکان شکل گیری حکومتی جهانی که اساساً متکی بر اعتبار اخلاقی متون انجیلی باشد، دوباره تفسیر خود از انجیل را برای هدایت سیاست های عمومی به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محافظه کار با پیداکردن شواهدی از زمانۀ خود در متون باستانی انجیلی، دوباره توجه خود را بر سیاست های بین المللی متمرکز کردند و بر انحطاطی اخلاقی در ایالات متحده که شاهدی بر دورۀ آخرالزمان است، پا فشردند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دهۀ هفتادِ قرن بیستم رهبران مسیحی مانند جری فالول و پت رابرتسِن مجموعه ای از رسانه ها را برای تامین و حمایت از سیاست های تندروانه، محافظه کارانه و دستورکارهای انزواطلبانه، مدیریت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هال لیندزی از رسالت انجیلی به عنوان سیاست های جنگ سرد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و نیم میلیون نسخه فروش کرد و پرفروش ترین کتاب غیرداستانی دهۀ هفتاد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نود قرن بیستم، فرارسیدن پایان هزارۀ دوم به التهاب توجه به آخرالزمان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یک مبشر پروتستان دیگر به نام تیموتی لهایی در قالب داستان های پرفروش برجای مانده، دوباره به بازگویی روایات پیش گویانۀ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 پرداخت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اصطلاح بنیادگرایی مسیحی را می توان در گسترۀ وسیعی از کتاب های عامه پسند، موسیقی مسیحی، تلویزون های کابلی، فیلم ها و روی اینترنت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تاکید بر تفسیر لفظی انجیل، رسانه های بنیادگرا بر شواهد لفظی از انجیل در حمایت از موضعگیری های سیاسی پافشاری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تبشیری که کمتر خصلت سیاسی و بیشتر خصیصه ای صمیمانه دارند، معمولاً خصلتی شارحانه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رسانه ای تبشیری در قیاس با دیگر بنیادگراها طعمی عاطفی یا احساساتی تر دارد؛ بدین معنا که گرایش دارد تا بر رابطۀ مستقیم فرد و خدا در عبادت و روایاتی از تجربۀ مقدس فردی حاصل آمده از مجموعه ای مکاشفات تاکید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تاکید فردی، مسیحیان بنیادگرا را می توان زیرگروهی از تبشیرگری مسیحی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بنیادگرایی مسیحی خصلتی غیرنهادی دارد و بر هیچ نهاد یا متن بنیادینی متکی نیست، معمولا تفکیک آن از تبشیریون به دشواری امکانپذیر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مسیحیان ممکن است از سر </w:t>
      </w:r>
    </w:p>
    <w:p>
      <w:pPr>
        <w:pStyle w:val="BookText"/>
        <w:rPr/>
      </w:pPr>
      <w:r>
        <w:rPr>
          <w:rFonts w:ascii="IRNazanin" w:hAnsi="IRNazanin" w:eastAsia="IRNazanin"/>
          <w:color w:val="111111"/>
          <w:sz w:val="28"/>
          <w:sz w:val="28"/>
          <w:szCs w:val="28"/>
          <w:rtl w:val="true"/>
          <w:lang w:bidi="fa-IR"/>
        </w:rPr>
        <w:t>خود، خود را مسیحی بنیادگرا معرفی کنند در حالی که از اقتضائات تاریخی یا ایدئولوژیک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برخی دیگر از مسیحیان، بنیادگرا بودن خود را انکار کنند در حالی که از هواداران متعصب همان نشانه هایی باشند که نوعا به عنوان بنیادگرایی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نابودی موج اول بنیادگرایی 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قاطبۀ مسیحیان و نهادهای مسیحی به شکل گسترده اصطلاح بنیادگرایی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تصویر منفوری که طی دادگاه اسکوپز از این اصطلاح پیدا شد و با توجه به طرد این اصطلاح توسط نهادهای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نتیجه ای از افتضاح دادرسی اسکوپز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واژه، منظومه ای متنوع از بار معنایی نوعاً منفی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اطلاق بنیادگرا به پدیده ها، باید به اندازۀ کافی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عقاید مبنایی بنیادگرایی در سطح عوام به حیات و توسعۀ خود ادامه داده است و دانشمندان تلاش کرده اند تا این اصطلاح را از نظر مذهبی بیشتر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قوم نگاری و تجربی پدیدۀ بنیادگرایی توجه ها را به سمت تعریفی تشریحی و متکی بر تظاهرات ایدئولوژی های دینی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اجتماعی، بنیادگرایی مسیحی را چنین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زیرگروه در میان تبشیریون که به وثوق انجیل، رستگاری به مدد مسیح و تعهد به دعوت ایمانی، باور دارند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دیگر پژوهشگران با دقت بیشتر، این اصطلاح را چنین تعریف کرده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 که مومنان به آن معرفتی ویژه از رابطه ای خاص با خدا دارند که یا بر یک متن مقدس و مناقشه ناپذیر متکی است یا بر برقراری رابطه ای مستقیم با پیام خدا و تجربۀ مستقیم آن مبتنی است</w:t>
      </w:r>
      <w:r>
        <w:rPr>
          <w:rFonts w:eastAsia="IRNazanin" w:cs="IRNazanin"/>
          <w:color w:val="111111"/>
          <w:sz w:val="28"/>
          <w:szCs w:val="28"/>
          <w:rtl w:val="true"/>
          <w:lang w:bidi="fa-IR"/>
        </w:rPr>
        <w:t>.</w:t>
      </w:r>
      <w:r>
        <w:rPr>
          <w:rStyle w:val="FootnoteAnchor"/>
          <w:rtl w:val="true"/>
        </w:rPr>
        <w:footnoteReference w:id="102"/>
      </w:r>
      <w:bookmarkStart w:id="307" w:name="pg3881_27819"/>
    </w:p>
    <w:p>
      <w:pPr>
        <w:pStyle w:val="BookText"/>
        <w:rPr/>
      </w:pPr>
      <w:bookmarkEnd w:id="307"/>
      <w:r>
        <w:rPr>
          <w:rFonts w:ascii="IRNazanin" w:hAnsi="IRNazanin" w:eastAsia="IRNazanin"/>
          <w:color w:val="111111"/>
          <w:sz w:val="28"/>
          <w:sz w:val="28"/>
          <w:szCs w:val="28"/>
          <w:rtl w:val="true"/>
          <w:lang w:bidi="fa-IR"/>
        </w:rPr>
        <w:t>جامعه شناسان با اتکا بر مصاحبه های انجام شده با مسیحیان مومن، سیاهۀ سامان یافتۀ قابل بیانی از خصائص گفتمان بنیادگرا تدارک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مشخصۀ زیر را می توان از شاخص های یک بیان گفتمانی و به منزلۀ همراهی با بنیادگرایی مسیحی تلقی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به لفظ گرایی انجیلی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از انجیل به مثابه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تجربۀ تولد دوباره به واسطۀ ایمان؛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تبشیر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الزام به دعوت و گرواندن دیگران به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باور آخرالزمانی و به شکل خاص به قریب الوقوع بودن آن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سیمای استدلالی این چهار خصیصه را می توان نمود کاملی از مسیحیت بنیادگرا دانست ولی حتی این تعابیر نسبتا عینی هم نمی توانند مشکل بازشناسی بنیادگرایی را در یک رابطۀ انسانی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هر چهار ویژگی معین بالا را به یک اندازه ندارند، حتی اگر این چهار ویژگی را بتوان معرف عقاید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اگرچه وجود بعضی از این ویژگی ها مستلزم وجود ویژگی یا ویژگی های دیگر است، مشاهدۀ یکی به معنای وجود تمام ویژگی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هر چهار ویژگی در گروهی حاضر است، باید دقت داشت که افراد مختلف آن گروه ممکن است آن ها را به شیوه های متفاوت تفسیر یا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بنیادگرا به یک فرد یا عقیده همواره باید با ملاحظه ای دقیق از معنای این اصطلاح و توجیهی برای قابل اطلاق بودن این اصطلاح به مورد تحت بررسی، همراه باشد</w:t>
      </w:r>
      <w:r>
        <w:rPr>
          <w:rFonts w:eastAsia="IRNazanin" w:cs="IRNazanin"/>
          <w:color w:val="111111"/>
          <w:sz w:val="28"/>
          <w:szCs w:val="28"/>
          <w:rtl w:val="true"/>
          <w:lang w:bidi="fa-IR"/>
        </w:rPr>
        <w:t>.</w:t>
      </w:r>
    </w:p>
    <w:p>
      <w:pPr>
        <w:pStyle w:val="Heading3"/>
        <w:numPr>
          <w:ilvl w:val="2"/>
          <w:numId w:val="1"/>
        </w:numPr>
        <w:rPr/>
      </w:pPr>
      <w:bookmarkStart w:id="308" w:name="__RefHeading___Toc1656204_2281741623"/>
      <w:bookmarkStart w:id="309" w:name="_Toc108"/>
      <w:bookmarkEnd w:id="308"/>
      <w:r>
        <w:rPr>
          <w:rtl w:val="true"/>
        </w:rPr>
        <w:t>آن سوی قالب مسیحی</w:t>
      </w:r>
      <w:bookmarkEnd w:id="3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سوی قالب مسیحی </w:t>
      </w:r>
    </w:p>
    <w:p>
      <w:pPr>
        <w:pStyle w:val="BookText"/>
        <w:rPr/>
      </w:pPr>
      <w:r>
        <w:rPr>
          <w:rFonts w:ascii="IRNazanin" w:hAnsi="IRNazanin" w:eastAsia="IRNazanin"/>
          <w:color w:val="111111"/>
          <w:sz w:val="28"/>
          <w:sz w:val="28"/>
          <w:szCs w:val="28"/>
          <w:rtl w:val="true"/>
          <w:lang w:bidi="fa-IR"/>
        </w:rPr>
        <w:t>پیچیدگی تعریف بنیادگرایی هیچ جا بیشتر از زمانی که این اصطلاح برای اشاره به ایدئولوژی ها یا پیام های دینی غیرمسیحی به کار می رود،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محققان برآنند که وقتی این اصطلاح برای توصیف سیمای یک ایدئولوژی غیرمسیحی به کار گرفته می شود، تاریخچۀ مسیحی این اصطلاح، درک ما را از یک نظام اعتقادی بی ارتباط با آن تاریخچه،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موضوع تا اندازه ای درست است، شتاب جهانی در شکل گیری جنبش های دینی ـ که به نظر می رسد شباهت هایی اصولی به مسیحیت بنیادگرا دارند ـ این اصطلاح را برای فهم انگلیسی زبانان از سنت های دینیِ غیرغربی در محیط ارتباطی جهانی به اصطلاحی مفید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تعریف عام بنیادگرایی برای اشاره به گروهی از ایدئولوژی های غیرمسیحی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این ایدئولوژی ها هیچ جا مشهودتر از شناخت آن چه به عنوان بنیادگرایی اسلامی شناخته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بنیادگرایی اسلامی برای ارجاع به آن ایدئولوژی ای به کار می رود که از جریان غالب اعتقادات اسلامی منشعب می شود و در تقابل با ارزش ها و حکومت تکثرگرایی مانند الگوهای غربی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عثمانی تا پایان جنگ جهانی اول بر بیشتر دنیای اسلام حکمرانی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دوره، این امپراطوری، ظاهرا اسلامی بود ولی درجۀ بالایی از مدارای دینی را نشان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امپراطوری عثمانی پس از شکست در جنگ جهانی اول تجزیه شد و به صورت مستعمره هایی تحت نفوذ حکومت های اروپایی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عقاید غربی دربارۀ حکومت، به اجتماعاتی که پیش از این اسلامی بودند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همکاری بریتانیا، ایالات متحده و سازمان ملل متحد </w:t>
      </w:r>
    </w:p>
    <w:p>
      <w:pPr>
        <w:pStyle w:val="BookText"/>
        <w:rPr/>
      </w:pPr>
      <w:r>
        <w:rPr>
          <w:rFonts w:ascii="IRNazanin" w:hAnsi="IRNazanin" w:eastAsia="IRNazanin"/>
          <w:color w:val="111111"/>
          <w:sz w:val="28"/>
          <w:sz w:val="28"/>
          <w:szCs w:val="28"/>
          <w:rtl w:val="true"/>
          <w:lang w:bidi="fa-IR"/>
        </w:rPr>
        <w:t>وطنی برای یهودیان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احساس کردند که غرب به آنان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امروزه بنیادگرایی اسلامی خوانده می شود در افراطی ترین وجه، در تخاصم با نفوذ اروپا و آمریکا در خاورمیانه شکل گرفته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مشهورترین فرقۀ اسلامی بنیادگراست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برخاسته از آموزه های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وهابی از مقاومت رهبران سیاسی بومی در برابر عثمانی ها ـ در سرزمینی که امروزه عربستان سعودی خوانده می شودـ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مصر، به واسطۀ تاسیس جنبش اخوان المسلمین که مخالفتی شورمندانه در برابر غربی سازی و استبداد سیاسی بود، گرامی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و دیگر خیزش های شورمندانۀ اسلامی معاصر شباهت هایی با بنیادگرایی مسیحی دارند، ولی خیلی ها حس می کنند که بنیادگرا خواندن آن ها باعث می شود که پیش داوری و سوءبرداشتی دربارۀ اسلام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ایدئولوژی ها یا پیام های دینی، بنیادگرا خوانده می شوند، ملاحظات مشابهی در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پژوهشگران به استفاده از این واژه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که در جست وجوی بنیادگرایی در میان هواداران جنبش صهیونیسم بوده اند، به نهضت گوش امونیم یا خیل مومنان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سیاسی در زمان پیدایش خود، آمیزه ای از عقاید دنیوی و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بعدها این جنبش با اتکا به محبوبیت یک خاخام خشونت طلب صهیونیست به نام زی یهودا کوک، پسر یک خاخام متنفذ به نام آبراهام اسحق کوک، به افراط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واکنش به انقلاب ایران که روحانیون بنیادگرا را در آن کشور به قدرت رساند، </w:t>
      </w:r>
    </w:p>
    <w:p>
      <w:pPr>
        <w:pStyle w:val="BookText"/>
        <w:rPr/>
      </w:pPr>
      <w:r>
        <w:rPr>
          <w:rFonts w:ascii="IRNazanin" w:hAnsi="IRNazanin" w:eastAsia="IRNazanin"/>
          <w:color w:val="111111"/>
          <w:sz w:val="28"/>
          <w:sz w:val="28"/>
          <w:szCs w:val="28"/>
          <w:rtl w:val="true"/>
          <w:lang w:bidi="fa-IR"/>
        </w:rPr>
        <w:t>مدعی توسعۀ اسراییل از طریق پاکسازی سرزمین های تحت اشغال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اسراییلی ها پیدایش حکومت های اسلامی در ایران و نقاط دیگر را تهدیدی برای بقای اسراییل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کوک، نظام سیاسی اسراییل را در خنثی سازی این تهدید ابزاری ناکارآمد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اِعمال فشار بر حکومت اسراییل هم چون فعالانی افراطی در درون این کشور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کوک، گاهی در دل شب بر فراز بلندی ها مستقر می شدند تا دولت اسراییل ناگزیر شود با اِعمال خشونت آن ها را از این مناطق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مبادرت به این نوع اَعمال خشونت آمیز می خواستند رجعت به آن چه را که احساس می کردند در قیاس با تجلی یهودیت دولتی، صورتی راستین تر از یهودیت است،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یهودیت راستین مشتمل بر این عقیده بود که امت یهود از جانب خدا برگزیده شده اند تا سرزمین مشخصی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عقیده، یکی این بود که قواعد به اصطلاح الهیِ برگزیدۀ خدا بودن، وفاداری به قوانین بین المللی را ملغی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شامل مصوبات سازمان ملل می شد که گسترش اقامتگاه های یهودی را در سرزمین های تحت اختیار فلسطینی ها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جنبش گوش امونیم پس از مرگ کوک جوان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فروپاشید، پژوهشگران کماکان به اطلاق بنیادگرا به این گرایش خشونت آمیز صهیونیستی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رابین، نخست وزیر اسراییل،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به دست یک دانشجوی حقوق که به نظر می رسید تحت تاثیر این سنت افراطی صهیونیست قرار داشته است، ترور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گاهی چنین به نظر می رسد که ادیان غیر ابراهیمی نیز خصلت های بنیادگرایی را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هندوییسم، جنبش ملی گرای </w:t>
      </w:r>
      <w:bookmarkStart w:id="310" w:name="pg3881_27823"/>
    </w:p>
    <w:p>
      <w:pPr>
        <w:pStyle w:val="BookText"/>
        <w:rPr/>
      </w:pPr>
      <w:bookmarkEnd w:id="310"/>
      <w:r>
        <w:rPr>
          <w:rFonts w:ascii="IRNazanin" w:hAnsi="IRNazanin" w:eastAsia="IRNazanin"/>
          <w:color w:val="111111"/>
          <w:sz w:val="28"/>
          <w:sz w:val="28"/>
          <w:szCs w:val="28"/>
          <w:rtl w:val="true"/>
          <w:lang w:bidi="fa-IR"/>
        </w:rPr>
        <w:t>راشتریا سوایامسواک سانگ، به شکلی خشونت آمیز مروج ایدۀ هندوییسم بزرگ تر است که دیگر سنت های دینی و سیاسی را نابود خواهد ساخت یا آن ها را در خود جذب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میان سیک ها نیز نمونه هایی از نفی تندروانۀ تفکر مدرن و ترویج رجعت به سبک های زندگی اصیل را شناسایی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حتی در میان بودایی ها در تایلند و سریلانکا نیز نوعی ملی گرایی پیوسته با احیاگری دینی را شناسایی کرده اند که آن را بنیادگرایی خوانده اند</w:t>
      </w:r>
      <w:r>
        <w:rPr>
          <w:rFonts w:eastAsia="IRNazanin" w:cs="IRNazanin"/>
          <w:color w:val="111111"/>
          <w:sz w:val="28"/>
          <w:szCs w:val="28"/>
          <w:rtl w:val="true"/>
          <w:lang w:bidi="fa-IR"/>
        </w:rPr>
        <w:t>.</w:t>
      </w:r>
    </w:p>
    <w:p>
      <w:pPr>
        <w:pStyle w:val="Heading3"/>
        <w:numPr>
          <w:ilvl w:val="2"/>
          <w:numId w:val="1"/>
        </w:numPr>
        <w:rPr/>
      </w:pPr>
      <w:bookmarkStart w:id="311" w:name="__RefHeading___Toc1656206_2281741623"/>
      <w:bookmarkStart w:id="312" w:name="_Toc109"/>
      <w:bookmarkEnd w:id="311"/>
      <w:r>
        <w:rPr>
          <w:rtl w:val="true"/>
        </w:rPr>
        <w:t>آیندۀ بنیادگرایی</w:t>
      </w:r>
      <w:bookmarkEnd w:id="312"/>
    </w:p>
    <w:p>
      <w:pPr>
        <w:pStyle w:val="BookText"/>
        <w:rPr/>
      </w:pPr>
      <w:r>
        <w:rPr>
          <w:rFonts w:ascii="IRNazanin" w:hAnsi="IRNazanin" w:eastAsia="IRNazanin"/>
          <w:color w:val="111111"/>
          <w:sz w:val="28"/>
          <w:sz w:val="28"/>
          <w:szCs w:val="28"/>
          <w:rtl w:val="true"/>
          <w:lang w:bidi="fa-IR"/>
        </w:rPr>
        <w:t>آیندۀ بنیادگرایی</w:t>
      </w:r>
    </w:p>
    <w:p>
      <w:pPr>
        <w:pStyle w:val="BookText"/>
        <w:rPr/>
      </w:pPr>
      <w:r>
        <w:rPr>
          <w:rFonts w:ascii="IRNazanin" w:hAnsi="IRNazanin" w:eastAsia="IRNazanin"/>
          <w:color w:val="111111"/>
          <w:sz w:val="28"/>
          <w:sz w:val="28"/>
          <w:szCs w:val="28"/>
          <w:rtl w:val="true"/>
          <w:lang w:bidi="fa-IR"/>
        </w:rPr>
        <w:t xml:space="preserve">در حالی که مناقشات پر حرارت دربارۀ آن چه بنیادگرایی را در زمینۀ پیچیده و غنی ادیان دنیا می سازد، ادامه دارد، قدرت اقتصادی سنت روشنفکری غربی هنوز همان ارزش هایی را ترویج می کند که حمایت مالی لیمن استیوارت از بنیادگرایی را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الهام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آوری های جدید، ارتباطات جهانی و سفر را بسیار بیشتر از پیش ممکن ساخته است و این، خود همان احساس ناوابسته بودن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به نوبۀ خود تمنای بازگشت به پیوند نزدیک تر با خدا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تمنا هم چون یک ایدئولوژی پرشور و حرارت در حواشی تمامی سنت های دینی جهان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این حواشی را به این خاطر که اقلیتی از افراد متدین را نمایندگی می کنند،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شدت و حدت عقیدتی ای که بسیاری از بنیادگراها حس می کنند، محرک فعالیت های شورانگیز سیاسی ای است که آن ها مستعد مبادرت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می تواند حتی در اجتماعات یا ملت هایی که در ورای فاصله های </w:t>
      </w:r>
    </w:p>
    <w:p>
      <w:pPr>
        <w:pStyle w:val="BookText"/>
        <w:rPr/>
      </w:pPr>
      <w:r>
        <w:rPr>
          <w:rFonts w:ascii="IRNazanin" w:hAnsi="IRNazanin" w:eastAsia="IRNazanin"/>
          <w:color w:val="111111"/>
          <w:sz w:val="28"/>
          <w:sz w:val="28"/>
          <w:szCs w:val="28"/>
          <w:rtl w:val="true"/>
          <w:lang w:bidi="fa-IR"/>
        </w:rPr>
        <w:t>عظیم جغرافیایی از این جنبش ها قرار دارند،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یازدهم 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دیگر نمی توان نتیجۀ خشونت ملهم از بنیادگرایان را مسئله ای منحصر به ملل جداافتاده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فن آوری های ارتباطی و مسافرت در اکناف عالم دو نتیجه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آتش عقاید متخاصم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تدارک بستری برای تخاصم های واقعی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آوری های جهانی ارتباطات، ارزش ها و فرهنگ غربی را از طریق تلویزیون، فیلم، موسیقی عامه پسند و اینترنت به جوامع سنتی تر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بازنمایی های زندگی غربی باعث شده است، متدینین احساس کنند از جانب ارزش های تکثرگرای دموکراسی های غربی در معرض تهدید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همین فن آوری ها این امکان را فراهم کرده اند که فعالان بنیادگرا، ریشه های اقتصادی که این غربی شدن را دامن می زند، مورد تهاجم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مسافرت های جهانی، اجرای حملات تروریستی در هر کجای عالم امکان 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جهانی نیز با ارائۀ امکان نمایش رفتارهای ضد اعتقادی ملل خارجی در رسانه های خبری جهانی، به گروهک های افراطی اجازه می دهد بر فرآیندهای سیاسی آن ملل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های ارتباطات جهانی، گفت وگوی افراد و گروه ها را با سرعتی که هرگز سابقه نداشته، ممکن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سرعت در دهه های آینده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 که بنیادگرایان ایجاد کرده اند، در محیط جهانی ادامه خواهد یافت و همپای گسترش دامنه های این محیط جهانی، گسترده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یک جامعۀ جهانی چگونه قادر خواهیم بود راه هایی را برای مدیریت محیط مشترک خود پیدا کنیم، وقتی که بنیادین ترین </w:t>
      </w:r>
      <w:bookmarkStart w:id="313" w:name="pg3881_27825"/>
    </w:p>
    <w:p>
      <w:pPr>
        <w:pStyle w:val="BookText"/>
        <w:rPr/>
      </w:pPr>
      <w:bookmarkEnd w:id="313"/>
      <w:r>
        <w:rPr>
          <w:rFonts w:ascii="IRNazanin" w:hAnsi="IRNazanin" w:eastAsia="IRNazanin"/>
          <w:color w:val="111111"/>
          <w:sz w:val="28"/>
          <w:sz w:val="28"/>
          <w:szCs w:val="28"/>
          <w:rtl w:val="true"/>
          <w:lang w:bidi="fa-IR"/>
        </w:rPr>
        <w:t>ارزش های ما در تخاصم و تعارض قرار دارند؟ در اولین دهۀ قرن بیستم، این تخاصم در دو سطح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ملی، هر حکومتی تحت فشار است تا راهی را پیدا کند تا با توسل به آن بتواند پاسخگوی اقلیت های برانگیخته ای باشد که فکر می کنند عقاید آن ها از سوی خدا الهام شده است و حتی فکر می کنند که آن عقاید باید به قیمت محدود شدن حقوق بشر محقق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جهانی، اجزای حکومت جهانی در تلاشند حقوق و نظامات تبادل اقتصادی را به شیوه ای معقول و قابل دفاع توسعه دهند، تا این نظامات، محافظه کاران مذهبی را چندان حاشیه نشین نکند که فعالان بنیادگرا به خشونتی عالَم گیر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توازن بین عقاید دینی و سکولاریسم در عصر اشتراک اطلاعات جهانی به ارائۀ چالش ها برای تک تک ملت ها و سیاست های بین المللی ادامه خواهد داد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صهیونیسم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سایزر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بخشنده و قدسیه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 و کتاب طه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روبرت گلن هووارد</w:t>
      </w:r>
    </w:p>
    <w:p>
      <w:pPr>
        <w:pStyle w:val="BookText"/>
        <w:rPr/>
      </w:pPr>
      <w:r>
        <w:rPr>
          <w:rFonts w:ascii="IRNazanin" w:hAnsi="IRNazanin" w:eastAsia="IRNazanin"/>
          <w:color w:val="111111"/>
          <w:sz w:val="28"/>
          <w:sz w:val="28"/>
          <w:szCs w:val="28"/>
          <w:rtl w:val="true"/>
          <w:lang w:bidi="fa-IR"/>
        </w:rPr>
        <w:t>ترجمۀ عبدالله گیویان</w:t>
      </w:r>
    </w:p>
    <w:p>
      <w:pPr>
        <w:pStyle w:val="Heading3"/>
        <w:numPr>
          <w:ilvl w:val="2"/>
          <w:numId w:val="1"/>
        </w:numPr>
        <w:rPr/>
      </w:pPr>
      <w:bookmarkStart w:id="314" w:name="__RefHeading___Toc1656208_2281741623"/>
      <w:bookmarkStart w:id="315" w:name="_Toc110"/>
      <w:bookmarkEnd w:id="314"/>
      <w:r>
        <w:rPr>
          <w:rtl w:val="true"/>
        </w:rPr>
        <w:t>برای مطالعۀ بیشتر</w:t>
      </w:r>
      <w:bookmarkEnd w:id="31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Abu-Amr, Z. (1994). Islamic Fundamentalism in the West Bank and Gaza: Muslim brotherhood and Islamic jihad. Bloomington: Indiana University Press</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Armstong, K. (2000). The battle for God.New York: Alfred A. Knopf. Benjamin, D., &amp; Simon, S. (2002). The age of sacred terror. New York: Random House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Hadden, J. K., &amp; Shupe, A. (1988). Televangelism: Power and politics on God’sfrontier.New York: Henry Holt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 K., &amp; Shupe, A. (1989). Is there such a thing as global Fundamentalism? In J. K. Hadden &amp; A. Shupe (Eds.), Secularization and Fundamentalism reconsidered (pp. 109–122). New York: Paragon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H.A. (1998). Fundamentalism and Evangelicals. Oxford: Clarenton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R. G. (1997). Apocalypse in your in-box: End-Times communication on the Internet. Western Folklore, 56(3/4), 295–315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R. G. (2000). On-line ethnography of dispensationalist discourse: Revealed versus negotiated truth. In D. Cowan &amp; J. K. (Eds.), Hadden religion on the Internet (pp. 225–246). New York: Elsevier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R. G. (2005). The double bind of the Protestant Reformation: The birth of Fundamentalism and the necessity of pluralism. Journal of Church and State, 47(1),101–118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Kellstedt, L., &amp; Smidt, C. (1991). Measuring Fundamentalism: An analysis of different operational strategies. Journal for the Scientific Study of Religion, 30,259–278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LaHaye, T., &amp; Jenkins, J. B. (1995). Left behind: Anovel of the earth’s last days.Wheaton, IL: Tyndale House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Larson, E. J. (1997). Summer for the Gods: The Scopes trial and America’scontinuing debate over science and religion.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Lindsey, H., &amp; Carlson, C.C. (1970). The late great planet earth. Toronto/New York: Bantam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Marsden, G. (1980). Fundamentalism and American culture.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W.(1996). With God on our side: The rise of the religious right in America.New York: Broadway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Marty, M., &amp; Appleby, R. S. (Eds.). (1991). Fundamentalisms observed (The Fundamentalism Project), Vol. 1.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Marty, M., &amp; Appleby, R. S. (Eds.). (1993). Fundamentalisms and society (The Fundamentalism Project), Vol. 2.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Marty, M., &amp; Appleby, R. S. (Eds.). (1993). Fundamentalisms and the state (The Fundamentalism Project), Vol. 3.Chicago: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Marty, M., &amp; Appleby, R. S. (Eds.). (1994). Accounting for Fundamentalisms (The Fundamentalism Project), Vol. 4.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Marty, M., &amp; Appleby, R. S. (Eds.). (1995). Fundamentalisms comprehended (The Fundamentalism Project), Vol. 5. Chicago: University of Chicago Press</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Nielsen, N. S. (1993). Fundamentalism, mythos, and world religions.Albany: State University of New York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O’Leary, S. D. (1994). Arguing the Apocalypse: Atheory of millennial rhetoric.New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Perkin, H. (2000). American Fundamentalism and the selling of God. Political Quarterly, 71(1), 79–89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Robertson, P. (1991). The new world order. Dallas, TX: Word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Strozier, C. B. (1994). Apocalypse: On the psychology of Fundamentalism in America.Boston, MA: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Wojcik, D. (1997). The end of the world as we know it: Faith, fatalism, and Apocalypse in America. New York: New York University Press</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Woodberry, R. D., &amp; Smith, C. S. (1998). Fundamentalism et. al: Conservative Protestants in America. Annual Review of Sociology 24,25–56</w:t>
      </w:r>
      <w:r>
        <w:rPr>
          <w:rFonts w:eastAsia="Times New Roman" w:cs="Times New Roman" w:ascii="Times New Roman" w:hAnsi="Times New Roman"/>
          <w:color w:val="111111"/>
          <w:sz w:val="28"/>
          <w:szCs w:val="28"/>
          <w:rtl w:val="true"/>
          <w:lang w:val="en-US" w:bidi="en-US"/>
        </w:rPr>
        <w:t xml:space="preserve">. </w:t>
      </w:r>
      <w:bookmarkStart w:id="316" w:name="pg3881_27829"/>
    </w:p>
    <w:p>
      <w:pPr>
        <w:pStyle w:val="Heading2"/>
        <w:numPr>
          <w:ilvl w:val="1"/>
          <w:numId w:val="1"/>
        </w:numPr>
        <w:rPr/>
      </w:pPr>
      <w:bookmarkStart w:id="317" w:name="__RefHeading___Toc1656210_2281741623"/>
      <w:bookmarkStart w:id="318" w:name="_Toc111"/>
      <w:bookmarkEnd w:id="316"/>
      <w:bookmarkEnd w:id="317"/>
      <w:r>
        <w:rPr>
          <w:rtl w:val="true"/>
        </w:rPr>
        <w:t>تبشیرگری</w:t>
      </w:r>
      <w:bookmarkEnd w:id="318"/>
    </w:p>
    <w:p>
      <w:pPr>
        <w:pStyle w:val="Heading3"/>
        <w:numPr>
          <w:ilvl w:val="2"/>
          <w:numId w:val="1"/>
        </w:numPr>
        <w:rPr/>
      </w:pPr>
      <w:bookmarkStart w:id="319" w:name="__RefHeading___Toc1656212_2281741623"/>
      <w:bookmarkStart w:id="320" w:name="_Toc11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تبشیرگری</w:t>
      </w:r>
    </w:p>
    <w:p>
      <w:pPr>
        <w:pStyle w:val="BookText"/>
        <w:rPr/>
      </w:pPr>
      <w:r>
        <w:rPr>
          <w:rFonts w:ascii="IRNazanin" w:hAnsi="IRNazanin" w:eastAsia="IRNazanin"/>
          <w:color w:val="111111"/>
          <w:sz w:val="28"/>
          <w:sz w:val="28"/>
          <w:szCs w:val="28"/>
          <w:rtl w:val="true"/>
          <w:lang w:bidi="fa-IR"/>
        </w:rPr>
        <w:t>تبشیرگرایان</w:t>
      </w:r>
      <w:r>
        <w:rPr>
          <w:rStyle w:val="FootnoteAnchor"/>
          <w:rtl w:val="true"/>
        </w:rPr>
        <w:footnoteReference w:id="105"/>
      </w:r>
      <w:r>
        <w:rPr>
          <w:rFonts w:ascii="IRNazanin" w:hAnsi="IRNazanin" w:eastAsia="IRNazanin"/>
          <w:color w:val="111111"/>
          <w:sz w:val="28"/>
          <w:sz w:val="28"/>
          <w:szCs w:val="28"/>
          <w:rtl w:val="true"/>
          <w:lang w:bidi="fa-IR"/>
        </w:rPr>
        <w:t>از هر وسیلۀ ممکن برای مرتبط کردن رسالت عیسی مسیح با فرهنگ روزمره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تبشیرگرایان، به موازات تلاش برای تشویق افراد به گرویدن به مسیحیت، رسانه های جدید را راه اندازی می کنند، از آن ها استفاده می کنند و موضوعی برای رسانه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گروه های تبشیری در بهره گیری از رسانه های جدید پیشگام بوده اند و صورت ها و کارکردهای آن ها را با نیازهای خود سازگار کرده اند</w:t>
      </w:r>
      <w:r>
        <w:rPr>
          <w:rFonts w:eastAsia="IRNazanin" w:cs="IRNazanin"/>
          <w:color w:val="111111"/>
          <w:sz w:val="28"/>
          <w:szCs w:val="28"/>
          <w:rtl w:val="true"/>
          <w:lang w:bidi="fa-IR"/>
        </w:rPr>
        <w:t>.</w:t>
      </w:r>
    </w:p>
    <w:p>
      <w:pPr>
        <w:pStyle w:val="Heading3"/>
        <w:numPr>
          <w:ilvl w:val="2"/>
          <w:numId w:val="1"/>
        </w:numPr>
        <w:rPr/>
      </w:pPr>
      <w:bookmarkStart w:id="321" w:name="__RefHeading___Toc1656214_2281741623"/>
      <w:bookmarkStart w:id="322" w:name="_Toc113"/>
      <w:bookmarkEnd w:id="321"/>
      <w:r>
        <w:rPr>
          <w:rtl w:val="true"/>
        </w:rPr>
        <w:t>تبشیرگرایان چه کسانی هستند؟</w:t>
      </w:r>
      <w:bookmarkEnd w:id="32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تبشیرگرایان چه کسانی هستند؟ </w:t>
      </w:r>
      <w:bookmarkStart w:id="323" w:name="pg3881_27830"/>
    </w:p>
    <w:p>
      <w:pPr>
        <w:pStyle w:val="BookText"/>
        <w:rPr/>
      </w:pPr>
      <w:bookmarkEnd w:id="323"/>
      <w:r>
        <w:rPr>
          <w:rFonts w:ascii="IRNazanin" w:hAnsi="IRNazanin" w:eastAsia="IRNazanin"/>
          <w:color w:val="111111"/>
          <w:sz w:val="28"/>
          <w:sz w:val="28"/>
          <w:szCs w:val="28"/>
          <w:rtl w:val="true"/>
          <w:lang w:bidi="fa-IR"/>
        </w:rPr>
        <w:t>اصطلاح تبشیرگرایی را دسته جات متفاوتی برای اشاره به طیفی از گروه ها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مغشوش ـ و نه ته مایۀ محافظه کارانه ای که این اصطلاح دارد ـ برای برخی از گروه های پروتستان که مایلند خود را تبشیرگرا بخوانند، یک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سودمند از این اصطلاح می تواند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پروتستان ها که معتقدند مشارکت در ماجرای مسیح، در تدارک رستگاری برای دیگران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بسیاری از فعالیت های دینی تلویزیونی از زمرۀ فعالیت های تبشیرگرایانه تلقی خواهد شد و بسیاری از پروتستان ها هم خود را تبشیرگرا معرفی خواهند کرد</w:t>
      </w:r>
      <w:r>
        <w:rPr>
          <w:rFonts w:eastAsia="IRNazanin" w:cs="IRNazanin"/>
          <w:color w:val="111111"/>
          <w:sz w:val="28"/>
          <w:szCs w:val="28"/>
          <w:rtl w:val="true"/>
          <w:lang w:bidi="fa-IR"/>
        </w:rPr>
        <w:t>.</w:t>
      </w:r>
    </w:p>
    <w:p>
      <w:pPr>
        <w:pStyle w:val="Heading3"/>
        <w:numPr>
          <w:ilvl w:val="2"/>
          <w:numId w:val="1"/>
        </w:numPr>
        <w:rPr/>
      </w:pPr>
      <w:bookmarkStart w:id="324" w:name="__RefHeading___Toc1656216_2281741623"/>
      <w:bookmarkStart w:id="325" w:name="_Toc114"/>
      <w:bookmarkEnd w:id="324"/>
      <w:r>
        <w:rPr>
          <w:rtl w:val="true"/>
        </w:rPr>
        <w:t>تبشیرگرایان دربارۀ رسانه چگونه رفتار می کنند؟</w:t>
      </w:r>
      <w:bookmarkEnd w:id="325"/>
    </w:p>
    <w:p>
      <w:pPr>
        <w:pStyle w:val="BookText"/>
        <w:rPr/>
      </w:pPr>
      <w:r>
        <w:rPr>
          <w:rFonts w:ascii="IRNazanin" w:hAnsi="IRNazanin" w:eastAsia="IRNazanin"/>
          <w:color w:val="111111"/>
          <w:sz w:val="28"/>
          <w:sz w:val="28"/>
          <w:szCs w:val="28"/>
          <w:rtl w:val="true"/>
          <w:lang w:bidi="fa-IR"/>
        </w:rPr>
        <w:t>تبشیرگرایان دربارۀ رسانه چگونه رفتار می کنند؟</w:t>
      </w:r>
    </w:p>
    <w:p>
      <w:pPr>
        <w:pStyle w:val="BookText"/>
        <w:rPr/>
      </w:pPr>
      <w:r>
        <w:rPr>
          <w:rFonts w:ascii="IRNazanin" w:hAnsi="IRNazanin" w:eastAsia="IRNazanin"/>
          <w:color w:val="111111"/>
          <w:sz w:val="28"/>
          <w:sz w:val="28"/>
          <w:szCs w:val="28"/>
          <w:rtl w:val="true"/>
          <w:lang w:bidi="fa-IR"/>
        </w:rPr>
        <w:t>یکی از آرمان های اصلاحات دینی اعتقاد به اصالت متن مقدس است که بر اساس آن، بصیرت های کلامی تنها از دل متن مقدس استخراج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تبشیرگرایان به غفلت رسانه ها از این اصل اعتقاد دارند، متکلمان تبشیرگرا دربارۀ ابلاغ پیام های دینی در زمینه ای که این پیام ها در آن ها شنیده می شوند،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تبشیرگرایان به جد کوشیده اند تا از طریق پیام های انجیلی مسیر جامعۀ آمریکا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تبشیرگرایان معتقدند عقاید دینی همۀ جنبه های زندگی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عظیم</w:t>
      </w:r>
      <w:r>
        <w:rPr>
          <w:rStyle w:val="FootnoteAnchor"/>
          <w:rtl w:val="true"/>
        </w:rPr>
        <w:footnoteReference w:id="106"/>
      </w:r>
      <w:r>
        <w:rPr>
          <w:rFonts w:ascii="IRNazanin" w:hAnsi="IRNazanin" w:eastAsia="IRNazanin"/>
          <w:color w:val="111111"/>
          <w:sz w:val="28"/>
          <w:sz w:val="28"/>
          <w:szCs w:val="28"/>
          <w:rtl w:val="true"/>
          <w:lang w:bidi="fa-IR"/>
        </w:rPr>
        <w:t>تبشیرگرایان را بر آن می دارد تا راه های نوآورانه ای را برای گسترش عقایدشان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افتتاحیۀ اولین سرمقاله در نشریۀ</w:t>
      </w:r>
      <w:r>
        <w:rPr>
          <w:rFonts w:eastAsia="Times New Roman" w:cs="Times New Roman" w:ascii="Times New Roman" w:hAnsi="Times New Roman"/>
          <w:color w:val="111111"/>
          <w:sz w:val="28"/>
          <w:szCs w:val="28"/>
          <w:lang w:val="en-US" w:bidi="en-US"/>
        </w:rPr>
        <w:t>Christianity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و متالهان این نکته را دریابند که راه حل بنیادین بحران های کنونی جهان، امری وابسته به علوم دینی و الهی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اعتقاد تبشیرگرایان، کار کلیسا اساساً در حوزۀ ارتباطات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تبشیرگرایان از فن آوری های نوپدید برای ترویج آرای خود استقبال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پیدایش مستعمرات پلیموث تا کنون، ایالات متحده آزمایشگاه فوق العاده ای بوده است که تبشیرگرایان در آن می توانسته اند هر شکل و هر رسانۀ ارتباطی قابل تصور را، از چاپ انجیل یا اعلامیه گرفته تا رقابت های خیمه ای،</w:t>
      </w:r>
      <w:r>
        <w:rPr>
          <w:rStyle w:val="FootnoteAnchor"/>
          <w:rtl w:val="true"/>
        </w:rPr>
        <w:footnoteReference w:id="108"/>
      </w:r>
      <w:r>
        <w:rPr>
          <w:rFonts w:ascii="IRNazanin" w:hAnsi="IRNazanin" w:eastAsia="IRNazanin"/>
          <w:color w:val="111111"/>
          <w:sz w:val="28"/>
          <w:sz w:val="28"/>
          <w:szCs w:val="28"/>
          <w:rtl w:val="true"/>
          <w:lang w:bidi="fa-IR"/>
        </w:rPr>
        <w:t>بیلبوردهای انجیلی، کتاب، گروه های سیار نمایش مذهبی، پخش برنامه های رادیویی و تلویزیونی، رژه سکوهای نمایشی،</w:t>
      </w:r>
      <w:r>
        <w:rPr>
          <w:rStyle w:val="FootnoteAnchor"/>
          <w:rtl w:val="true"/>
        </w:rPr>
        <w:footnoteReference w:id="109"/>
      </w:r>
      <w:r>
        <w:rPr>
          <w:rFonts w:ascii="IRNazanin" w:hAnsi="IRNazanin" w:eastAsia="IRNazanin"/>
          <w:color w:val="111111"/>
          <w:sz w:val="28"/>
          <w:sz w:val="28"/>
          <w:szCs w:val="28"/>
          <w:rtl w:val="true"/>
          <w:lang w:bidi="fa-IR"/>
        </w:rPr>
        <w:t xml:space="preserve">تبشیر موتورسوارانه، نشریات دوره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بیازماید؛ در این میانه حتی از مواردی مانند رولِن استیوارد که تلاش می کرد، با وجود نادیده گرفته شدن، نشانه هایی از کتاب مقدس را در جریان مسابقات ورزشی در برابر دید دوربین های تلویزیونی ببرد، نیز بهره گیری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زیرا که خدا آن‌قدر جهان را دوست داشت که فرزند یگانۀ خود را ارزانی فرمود که تا هر کس که بر او ایمان آورد، هلاک نشود بلکه زندگانی جاوید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ترجمۀ هنری مرتن از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اساطیر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 نزول این روایت آمده است که عیسی مسیح در ارشاد یکی از اعضای شورای حکام وقت اورشلیم به نام نیکودموس به او گفت که که هیچ‌کس نخواهد توانست جبروت خدا را ببیند مگر این‌که دوباره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این موضوع را در قالب این موضوع که اعتقاد به مسیح، راه رسیدن به جاودانگی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ادعای مسیحا بودن عیسی و اهمیت جاودانگی و تولد دوباره را در الهیات و کلام مسیحی به میان می‌آورد، از آیات مهم انجیل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استیوارت در هیاتی عجیب، با کلاه‌گیسی شبیه آفریقایی‌ها و پوشیده در لباسی به شکل رنگین‌کمان، در مسابقات ورزشی تلاش می‌کرد این آیه را در معرض دید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حضور مطرح او در قالب تلاش برای این شیوه ترویج انجیل به مسابقات فینال جام </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 رفتارهای عجیب خود مورد توجه رسانه‌ها شد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کوتاهی در جریان المپیک مسکو توسط پلیس روسیه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فعالیت‌های هنجارشکنانۀ خود را ادامه داد و اکنون به جرم تلاش برای گروگانگیری در حبس ابد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شولتز، </w:t>
      </w:r>
      <w:r>
        <w:rPr>
          <w:rFonts w:eastAsia="IRNazanin" w:cs="IRNazanin"/>
          <w:color w:val="111111"/>
          <w:sz w:val="28"/>
          <w:szCs w:val="28"/>
          <w:lang w:bidi="fa-IR"/>
        </w:rPr>
        <w:t>1990</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تبشیرگرایان به این واسطه مشهورند که در مناطق فقیرنشین و جداافتادۀ جامعه مستقرند، در تمنای خود برای دعوت دینی، در استفاده از رسانه ها برای سازگار کردن پیام خود برای جامعۀ معاصر، خلاقانه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ابرکلیساهای بزرگ، بر اساس قواعد بازاریابی مدرن تاسیس شده اند و در روزهای آخر هفته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برای برگزاری مراسم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 و راهبردهای این کلیساها به روش هایی که تله ونجلیست ها استفاده می کنند،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کلیساها و گروه های فراکلیسایی تلاش کرده اند پایگاهی برای تجربۀ مسیحیت ایجاد کنند که از نظر ظاهری، شکلی شبیه به سرگرمی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فراکلیسایی مانند اردوی مبارزه برای مسیح و مداخلۀ همگنان مسیحی از رسانه ها برای ترویج عقایدشان استفاده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استفادۀ ماهرانه از شیوه های تبلیغات بازاریابی از طریق رسانه ها، از نظر تامین حمایت مالی و پشتیبانی اعتقادی، برای این گروه ها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پیشرفت موقعیت اجتماعی و مالی تبشیرگرایان در آمریکای شمالی، کارآمدی ایشان در دسترسی و استفاده از فن آوری های ارتباطاتی نیز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تبشیرگرایان نسبت به قابلیت رسانه ها در تغییر فرهنگ خوشبین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از تبشیرگرایان، رسانه ها را تهدیدی برای عقاید مسیحی می دانند و معتقدند که این رسانه ها در عقاید تبشیرگرایانه اختلال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تبشیرگرایان معتقدند رسانه قدرتمند است و می تواند برای تحقق اهداف خیر یا شر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فراکلیسا مانند اتحادیۀ خانوادۀ آمریکایی و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موادی برای انتقاد از اخلاقیات جریان مسلط رسانه ها تدارک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نه تنها دربارۀ موضوعات سیاسی مانند حقوق هم جنس بازان بحث می کنند، بلکه دربارۀ این که افراد چگونه می توانند فرزندانشان را شهروندان خوبی تربیت کنند، نیز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ویدیوهایی برای کودکان فراهم می کنند و هم محصولات رسانه ای عوام پسندانه ای را که برای کودکان تولید شده، درجه بندی می کنند تا اولیا بتوانند موارد مناسب را برای تماشای فرزندانشان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تبشیرگرایان، هم رسانه ها و هم فن آوری های آن ها را پذیرفته اند؛ برای نمونه، پروژکتورهای اُوِرهد و اخیراَ نمایش پاور پوینت در بسیاری از مراسم عبادی تبشیرگرایان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تبشیرگرایانِ جوانتر در جست وجوی ایمانی تجربی تر هستند و رسانه های جدید که با کامپیوتر توانمندتر شده اند، ممکن است بتواند آن ها را در تحقق خواسته های شان کمک </w:t>
      </w:r>
      <w:bookmarkStart w:id="326" w:name="pg3881_27833"/>
    </w:p>
    <w:p>
      <w:pPr>
        <w:pStyle w:val="BookText"/>
        <w:rPr/>
      </w:pPr>
      <w:bookmarkEnd w:id="326"/>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جوانترها در قیاس با تبشیرگرایان سالخورده تر، کمتر به رسانه های چاپی اتکا می کنند</w:t>
      </w:r>
      <w:r>
        <w:rPr>
          <w:rFonts w:eastAsia="IRNazanin" w:cs="IRNazanin"/>
          <w:color w:val="111111"/>
          <w:sz w:val="28"/>
          <w:szCs w:val="28"/>
          <w:rtl w:val="true"/>
          <w:lang w:bidi="fa-IR"/>
        </w:rPr>
        <w:t>.</w:t>
      </w:r>
    </w:p>
    <w:p>
      <w:pPr>
        <w:pStyle w:val="Heading3"/>
        <w:numPr>
          <w:ilvl w:val="2"/>
          <w:numId w:val="1"/>
        </w:numPr>
        <w:rPr/>
      </w:pPr>
      <w:bookmarkStart w:id="327" w:name="__RefHeading___Toc1656218_2281741623"/>
      <w:bookmarkStart w:id="328" w:name="_Toc115"/>
      <w:bookmarkEnd w:id="327"/>
      <w:r>
        <w:rPr>
          <w:rtl w:val="true"/>
        </w:rPr>
        <w:t>وعظ هم چون یک رسانۀ جمعی</w:t>
      </w:r>
      <w:bookmarkEnd w:id="328"/>
    </w:p>
    <w:p>
      <w:pPr>
        <w:pStyle w:val="BookText"/>
        <w:rPr/>
      </w:pPr>
      <w:r>
        <w:rPr>
          <w:rFonts w:ascii="IRNazanin" w:hAnsi="IRNazanin" w:eastAsia="IRNazanin"/>
          <w:color w:val="111111"/>
          <w:sz w:val="28"/>
          <w:sz w:val="28"/>
          <w:szCs w:val="28"/>
          <w:rtl w:val="true"/>
          <w:lang w:bidi="fa-IR"/>
        </w:rPr>
        <w:t>وعظ هم چون یک رسانۀ جمعی</w:t>
      </w:r>
    </w:p>
    <w:p>
      <w:pPr>
        <w:pStyle w:val="BookText"/>
        <w:rPr/>
      </w:pPr>
      <w:r>
        <w:rPr>
          <w:rFonts w:ascii="IRNazanin" w:hAnsi="IRNazanin" w:eastAsia="IRNazanin"/>
          <w:color w:val="111111"/>
          <w:sz w:val="28"/>
          <w:sz w:val="28"/>
          <w:szCs w:val="28"/>
          <w:rtl w:val="true"/>
          <w:lang w:bidi="fa-IR"/>
        </w:rPr>
        <w:t>وعظ تبشیرگرایانه، فعالیتی بین کلیسایی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گردهمایی مهم تر از خود گردهمایی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در قالب گردهمایی های عمومی در قرون هیجدهم و نوزدهم، استفاده ای متقدم از فن آوری های ارتباطاتی توسط تبشیرگرایان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یا موقعیت هایی که در آن ها برای گروهی وسیع از مخاطبان موعظه می شد ـ که توسط سازمان هایی چون بیلی گراهام کروسید، پرامیس کیپرز و سمینارهای بث مور در پیش گرفته شد ـ هم چون تلاشی برای ابلاغ پیام تبشیرگرایانه از جانب یکی برای گروهی انبوه در قالب ارتباطی زنده ادامه دارد</w:t>
      </w:r>
      <w:r>
        <w:rPr>
          <w:rFonts w:eastAsia="IRNazanin" w:cs="IRNazanin"/>
          <w:color w:val="111111"/>
          <w:sz w:val="28"/>
          <w:szCs w:val="28"/>
          <w:rtl w:val="true"/>
          <w:lang w:bidi="fa-IR"/>
        </w:rPr>
        <w:t>.</w:t>
      </w:r>
    </w:p>
    <w:p>
      <w:pPr>
        <w:pStyle w:val="Heading3"/>
        <w:numPr>
          <w:ilvl w:val="2"/>
          <w:numId w:val="1"/>
        </w:numPr>
        <w:rPr/>
      </w:pPr>
      <w:bookmarkStart w:id="329" w:name="__RefHeading___Toc1656220_2281741623"/>
      <w:bookmarkStart w:id="330" w:name="_Toc116"/>
      <w:bookmarkEnd w:id="329"/>
      <w:r>
        <w:rPr>
          <w:rtl w:val="true"/>
        </w:rPr>
        <w:t>رسانه های چاپی</w:t>
      </w:r>
      <w:bookmarkEnd w:id="330"/>
    </w:p>
    <w:p>
      <w:pPr>
        <w:pStyle w:val="BookText"/>
        <w:rPr/>
      </w:pPr>
      <w:r>
        <w:rPr>
          <w:rFonts w:ascii="IRNazanin" w:hAnsi="IRNazanin" w:eastAsia="IRNazanin"/>
          <w:color w:val="111111"/>
          <w:sz w:val="28"/>
          <w:sz w:val="28"/>
          <w:szCs w:val="28"/>
          <w:rtl w:val="true"/>
          <w:lang w:bidi="fa-IR"/>
        </w:rPr>
        <w:t>رسانه های چاپی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مولفه ای مهم در ماموریت های تبشیرگرایانه بوده است و هنوز چنان موقعیتی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چاپ انجیل و اعلامیه ها با بهره گیری از زبان های محلی، اقدامی مهم، مشوق و زمینه ساز در حمایت تبشیرگرایان از موسسات ترجمه و انتشار انجیل، مانند انجمن آمریکایی انجیل و انجمن وایکلیف انجیل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وقفی تبشیرگرایانه از مشاغل کوچک و خصوصی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های عظیمی مانند وُرد و تامس نلسِن با تلاش های فردی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توفیق فزایندۀ انتشاراتی کوچک، این بنگاه ها توسط شرکت های رسانه ای بزرگ تر خریداری شدند یا خود مستقلا به بنگاه های تجاری سهامی عام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به سهامداران عام به معنای التزام به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سهامداران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حالی که انتشاراتی های مذهبی ادعا می کنند که اهدافی تبشیرگرایانه دارند، تحت مالکیت شرکت های سهامی عامی کار می کنند که هدف آن ها کسب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سودمدارانه، آزادی تحریریۀ این انتشاراتی ها را محدود می کند و نیز موجب انتقاد تبشیرگرایان ـ که اکثریت مخاطبانِ هدف این انتشاراتی ها را تشکیل می دهند ـ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منتشرشده به دست انتشاراتی های مسیحی، بناست متونی الهام بخش یا آموزشی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کمتر خوانندگانی بی اعتقاد یا غیرمومن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آستانۀ قرن بیست و یکم مجموعه های انتشاراتی برجای مانده در موج دوم کارهای خود، ایدۀ صراحتاً تبشیری بودن کتاب های خود را به انتشار کتاب های پرفروشی که بتواند به بازار کتاب های عامه پسند راه پیدا کند،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مسیحی عمدتا به عنوان ارگان نهادهای اصلی مسیحی شروع به کار کردند و در دسترس اعضایی که تامین کنندۀ مالی این نهادها بودند،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دهۀ پنجاه قرن بیستم شروع به تغییر کرد تا این که در نهایت دامنۀ انتشار آن ها محدود و محدودتر شد و کاملا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تبشیرگرایان به انتشار مجلات به موازات ضعف انتشار مجلات نهادهای اصلی مسیحیت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 گراهام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 </w:t>
      </w:r>
      <w:r>
        <w:rPr>
          <w:rFonts w:eastAsia="Times New Roman" w:cs="Times New Roman" w:ascii="Times New Roman" w:hAnsi="Times New Roman"/>
          <w:color w:val="111111"/>
          <w:sz w:val="28"/>
          <w:szCs w:val="28"/>
          <w:lang w:val="en-US" w:bidi="en-US"/>
        </w:rPr>
        <w:t>Christianity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که بخشی از فعالیت های تبشیرگرایانۀ جدید بود، دو هدف عمده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دنبال توزیع پیام انجیلی بود و هم می خواست از جهت گیری های بنیادگرایانه فاصله بگیرد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گذر زمان، با فعالیت های مجلاتی مانند </w:t>
      </w:r>
      <w:r>
        <w:rPr>
          <w:rFonts w:eastAsia="Times New Roman" w:cs="Times New Roman" w:ascii="Times New Roman" w:hAnsi="Times New Roman"/>
          <w:color w:val="111111"/>
          <w:sz w:val="28"/>
          <w:szCs w:val="28"/>
          <w:lang w:val="en-US" w:bidi="en-US"/>
        </w:rPr>
        <w:t>Christian Standard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Moody mounthly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Sojourners</w:t>
      </w:r>
      <w:r>
        <w:rPr>
          <w:rFonts w:ascii="IRNazanin" w:hAnsi="IRNazanin" w:eastAsia="IRNazanin"/>
          <w:color w:val="111111"/>
          <w:sz w:val="28"/>
          <w:sz w:val="28"/>
          <w:szCs w:val="28"/>
          <w:rtl w:val="true"/>
          <w:lang w:bidi="fa-IR"/>
        </w:rPr>
        <w:t xml:space="preserve">، جهت گیری مجلات تبشیرگرایان، جذب مخاطبان </w:t>
      </w:r>
      <w:bookmarkStart w:id="331" w:name="pg3881_27835"/>
    </w:p>
    <w:p>
      <w:pPr>
        <w:pStyle w:val="BookText"/>
        <w:rPr/>
      </w:pPr>
      <w:bookmarkEnd w:id="331"/>
      <w:r>
        <w:rPr>
          <w:rFonts w:ascii="IRNazanin" w:hAnsi="IRNazanin" w:eastAsia="IRNazanin"/>
          <w:color w:val="111111"/>
          <w:sz w:val="28"/>
          <w:sz w:val="28"/>
          <w:szCs w:val="28"/>
          <w:rtl w:val="true"/>
          <w:lang w:bidi="fa-IR"/>
        </w:rPr>
        <w:t>عادی و غیر روحانی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مورد توجه مسیحیان مانند</w:t>
      </w:r>
      <w:r>
        <w:rPr>
          <w:rFonts w:eastAsia="Times New Roman" w:cs="Times New Roman" w:ascii="Times New Roman" w:hAnsi="Times New Roman"/>
          <w:color w:val="111111"/>
          <w:sz w:val="28"/>
          <w:szCs w:val="28"/>
          <w:lang w:val="en-US" w:bidi="en-US"/>
        </w:rPr>
        <w:t>Christianity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مجلات نهادی فراکلیساها مانند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نیز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رسالت و سود که در دیگر رسانه ها نیز به چشم می خورد، باعث شد که در طول زمان، مجلات، همانند کتاب ها، به سمت نمونه های تجاری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کتابفروشان مسیحی و انجمن انتشارات تبشیری عوامل شرکت های انتشاراتی در میان خیل تلاش های متفاوت انتشاراتی نهادهای مسیحی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نهادی به انتشار روزنامه هایی که ارگان این نهادها بوده اند، ادامه داده اند؛ برای نمونه </w:t>
      </w:r>
      <w:r>
        <w:rPr>
          <w:rFonts w:eastAsia="Times New Roman" w:cs="Times New Roman" w:ascii="Times New Roman" w:hAnsi="Times New Roman"/>
          <w:color w:val="111111"/>
          <w:sz w:val="28"/>
          <w:szCs w:val="28"/>
          <w:lang w:val="en-US" w:bidi="en-US"/>
        </w:rPr>
        <w:t>Southern Baptists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تداوم ارائۀ خدمات خبری در سطح ایالتی و ملی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تلاش برای کنترل محتوای انتشارات از طریق جابه جایی سردبیران نتیجۀ کشمکش بین نهادی بوده است</w:t>
      </w:r>
      <w:r>
        <w:rPr>
          <w:rFonts w:eastAsia="IRNazanin" w:cs="IRNazanin"/>
          <w:color w:val="111111"/>
          <w:sz w:val="28"/>
          <w:szCs w:val="28"/>
          <w:rtl w:val="true"/>
          <w:lang w:bidi="fa-IR"/>
        </w:rPr>
        <w:t>.</w:t>
      </w:r>
    </w:p>
    <w:p>
      <w:pPr>
        <w:pStyle w:val="Heading3"/>
        <w:numPr>
          <w:ilvl w:val="2"/>
          <w:numId w:val="1"/>
        </w:numPr>
        <w:rPr/>
      </w:pPr>
      <w:bookmarkStart w:id="332" w:name="__RefHeading___Toc1656222_2281741623"/>
      <w:bookmarkStart w:id="333" w:name="_Toc117"/>
      <w:bookmarkEnd w:id="332"/>
      <w:r>
        <w:rPr>
          <w:rtl w:val="true"/>
        </w:rPr>
        <w:t>رسانه‌های الکترونیک</w:t>
      </w:r>
      <w:bookmarkEnd w:id="3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معاصر موسیقی مسیحی نمونۀ دیگری از تولید محتوای تبشیری در بازار سودمدار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آلبوم موسیقی راک مسیح </w:t>
      </w:r>
      <w:r>
        <w:rPr>
          <w:rStyle w:val="FootnoteAnchor"/>
          <w:rtl w:val="true"/>
        </w:rPr>
        <w:footnoteReference w:id="111"/>
      </w:r>
      <w:r>
        <w:rPr>
          <w:rFonts w:ascii="IRNazanin" w:hAnsi="IRNazanin" w:eastAsia="IRNazanin"/>
          <w:color w:val="111111"/>
          <w:sz w:val="28"/>
          <w:sz w:val="28"/>
          <w:szCs w:val="28"/>
          <w:rtl w:val="true"/>
          <w:lang w:bidi="fa-IR"/>
        </w:rPr>
        <w:t xml:space="preserve">از حوالی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بعدها طرفدارانی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تا حدودی باید در رواج موسیقی عبادی در کلیسای کاریزماتیک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کلیساهای کاریزماتیک به سوی الگویی مکاشفه‌آمیزتر و پست‌مدرن‌تر از سبک عبادت پیش رفتند، موسیقی عبادی بخش مهمی از آیین‌های عبادی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شامل موسیقی است، بخشی است که معمولا گسترده‌تر از پیش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استقبال از سبکی مشابه موسیقی سکولار که کلیساروندگان می‌توانند آن را از طریق رادیوی خود هم بشنوند، بازاری برای ضبط این نوع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عمدۀ صنعت موسیقی مسیحی استفاده از موسیقی به عنوان ابزاری برای تبشیر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موسیقی مسیحی تا به آن‌جا پیشرفت کرده است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انجیلی بر اساس طبقه‌بندی صنعت ضبط موسیقی، بیشتر از موسیقی جاز و موسیقی کلاسیک به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نقطه‌عطفی در تقابل بین جنبۀ حرفه ای و جنبۀ تبشیری در صنعت موسیقی مسیحی رخ داد و این زمانی بود که خوانندگانی مانند امی گرانت و مایکل دبلیو اسمیت شروع به تولید و توزیع تصنیف‌هایی کردند که می‌شد آن‌ها را در دو گروه عمده قرار داد یا به طور مساوی به اقتضائات موسیقی راک و الزامات تبشیر و انجیل پایبند بودند یا در آن‌ها اصلا اشاره‌ای به معنویات و امور روحانی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تبشیریون آن دسته از هنرمندانی را که پا را از قواعد اولیه فراتر گذاشته بودند، نقد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راحت نبودن با سبک موسیقی‌ای که صنعت موسیقی مسیحی تولید می‌کرد نیز خود مسئله‌ای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پیام مسیحی بر موسیقی سکولار به جذب غیرمومنان منجر نشد، بلکه تبشیریون جوان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تبشیریون از فیلم هم برای ابلاغ پیام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آخرالزمانی قریب‌الوقوع که هم دربارۀ مکاشفات انجیل و هم در کتاب‌های پیشگویانه آمده است، روایتی است نمایشی که برای نمایشی دراماتیک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منوال، این داستان در فیلم‌هایی مانند رمز امگا و به شکلی کاملا سودآورانه در مجموعه‌کتاب‌ها و فیلم‌های منتشرشدۀ برجای‌مانده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فیلم‌هایی با مضامین مسیحی برای نمایش رایگان، همان شکل مشاهدۀ فیلم در کلیسا که پیشتر رایج بود، تولید می‌شد، از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تلاش‌هایی برای تولید فیلم‌هایی برای ورود به بازار انبوه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مصائب مسیح، تولید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به </w:t>
      </w:r>
      <w:bookmarkStart w:id="334" w:name="pg3881_27837"/>
    </w:p>
    <w:p>
      <w:pPr>
        <w:pStyle w:val="BookText"/>
        <w:rPr/>
      </w:pPr>
      <w:bookmarkEnd w:id="334"/>
      <w:r>
        <w:rPr>
          <w:rFonts w:ascii="IRNazanin" w:hAnsi="IRNazanin" w:eastAsia="IRNazanin"/>
          <w:color w:val="111111"/>
          <w:sz w:val="28"/>
          <w:sz w:val="28"/>
          <w:szCs w:val="28"/>
          <w:rtl w:val="true"/>
          <w:lang w:bidi="fa-IR"/>
        </w:rPr>
        <w:t>کارگردانی مل گیبسِن کارگردان پیرو کلیسای کاتولیک رومی را تبشیریون به طور گسترده‌ای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تشویق شده بودند که دوستان غیرمعتقد خود را نیز برای تماشا به تالارهای نمایش بیاورند</w:t>
      </w:r>
      <w:r>
        <w:rPr>
          <w:rFonts w:eastAsia="IRNazanin" w:cs="IRNazanin"/>
          <w:color w:val="111111"/>
          <w:sz w:val="28"/>
          <w:szCs w:val="28"/>
          <w:rtl w:val="true"/>
          <w:lang w:bidi="fa-IR"/>
        </w:rPr>
        <w:t>.</w:t>
      </w:r>
    </w:p>
    <w:p>
      <w:pPr>
        <w:pStyle w:val="Heading3"/>
        <w:numPr>
          <w:ilvl w:val="2"/>
          <w:numId w:val="1"/>
        </w:numPr>
        <w:rPr/>
      </w:pPr>
      <w:bookmarkStart w:id="335" w:name="__RefHeading___Toc1656224_2281741623"/>
      <w:bookmarkStart w:id="336" w:name="_Toc118"/>
      <w:bookmarkEnd w:id="335"/>
      <w:r>
        <w:rPr>
          <w:rtl w:val="true"/>
        </w:rPr>
        <w:t>باب جونز پسر</w:t>
      </w:r>
      <w:bookmarkEnd w:id="336"/>
    </w:p>
    <w:p>
      <w:pPr>
        <w:pStyle w:val="BookText"/>
        <w:rPr/>
      </w:pPr>
      <w:r>
        <w:rPr>
          <w:rFonts w:ascii="IRNazanin" w:hAnsi="IRNazanin" w:eastAsia="IRNazanin"/>
          <w:color w:val="111111"/>
          <w:sz w:val="28"/>
          <w:sz w:val="28"/>
          <w:szCs w:val="28"/>
          <w:rtl w:val="true"/>
          <w:lang w:bidi="fa-IR"/>
        </w:rPr>
        <w:t xml:space="preserve">باب جونز پسر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مسیحیان هیچ تفاوتی بین امر دنیوی و اخروی نیست؛ هر نوع خار، خاری قابل اشتعال است و هر زمین، ارض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می‌کنیم، خواه قربانی‌کردن باشد و خواه عبادت، باید به محضر حق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Bob Jones Sr. 1883 - 1968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بیلی گراهام در ابتدای فعالیت خود به ارزش رسانه‌ها پی برد و ابتدا از از رادیو و سپس از تلویزیون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آپالاچیا، هیات‌های دینیِ نسبتا فقیر هم مبالغی را برای پخش برنامه‌ها وقف می‌کنند چرا که معتقدند پخش برنامه، شکلی از مراسم دینی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گروه‌های آپالاچیایی در این حس که خود را مامورانی برای دعوت دینی بدانند،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خدا انسان‌ها را فراخوانده و به آنان نعماتی می‌بخشد تا در خدمتگزاری به خدا،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در انجام این کار، به شکست کشاندن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دارند که این بندگی هم در این دنیا و هم در آن دنیا ثواب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پخش برنامه شامل موسیقی و موعظه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زیادی نقل می‌شوند که چگونه دوستان گناهکار پس از </w:t>
      </w:r>
    </w:p>
    <w:p>
      <w:pPr>
        <w:pStyle w:val="BookText"/>
        <w:rPr/>
      </w:pPr>
      <w:r>
        <w:rPr>
          <w:rFonts w:ascii="IRNazanin" w:hAnsi="IRNazanin" w:eastAsia="IRNazanin"/>
          <w:color w:val="111111"/>
          <w:sz w:val="28"/>
          <w:sz w:val="28"/>
          <w:szCs w:val="28"/>
          <w:rtl w:val="true"/>
          <w:lang w:bidi="fa-IR"/>
        </w:rPr>
        <w:t>دیدن این آثار پخش شده به راه حق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مسیحی نیز در برخی از حوزه‌های بازارِ بزرگ‌ترِ رادیو به نیروی قابل ملاحظه‌ای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رادیوی مسیحی که تقریبا تماماً تبشیری است در شرایطی رشد کرد که در اواخر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رادیوهای قدرتمند بیش از یک ایستگاه فرستنده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ایستگاه‌های رادیویی مسیحی قطعاتی از موسیقی معاصر مسیحی را پخش می‌کنند، بسیاری از وقت آن‌ها به پخش برنامه‌های ضبط شده‌ای اختصاص دارد که توسط سندیکای مجامع ملی دعوت دینی مانند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خانواده، </w:t>
      </w:r>
      <w:r>
        <w:rPr>
          <w:rFonts w:eastAsia="Times New Roman" w:cs="Times New Roman" w:ascii="Times New Roman" w:hAnsi="Times New Roman"/>
          <w:color w:val="111111"/>
          <w:sz w:val="28"/>
          <w:szCs w:val="28"/>
          <w:lang w:val="en-US" w:bidi="en-US"/>
        </w:rPr>
        <w:t>Atlanta pastor Charles Stanley's in Touch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طریقت چانک سیندول برای زندگی </w:t>
      </w:r>
      <w:r>
        <w:rPr>
          <w:rStyle w:val="FootnoteAnchor"/>
          <w:rtl w:val="true"/>
        </w:rPr>
        <w:footnoteReference w:id="113"/>
      </w:r>
      <w:r>
        <w:rPr>
          <w:rFonts w:ascii="IRNazanin" w:hAnsi="IRNazanin" w:eastAsia="IRNazanin"/>
          <w:color w:val="111111"/>
          <w:sz w:val="28"/>
          <w:sz w:val="28"/>
          <w:szCs w:val="28"/>
          <w:rtl w:val="true"/>
          <w:lang w:bidi="fa-IR"/>
        </w:rPr>
        <w:t>تدارک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رادیوی مسیحی نوعا مخاطبان موجود تبشیری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هم برنامه‌ها و شبکه‌های تلویزیونی، مخاطبانی از مومنان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برنامه‌های مذهبی نوعاً زنان سالخورده‌اند و مجریان برنامه‌ها دغدغه‌های سالخوردگان بالغ مانند تنهایی، از میان رفتن سلامتی و ترس از مرگ ناگهانی را به میان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سطح سواد مخاطبان این برنامه‌ها در مقایسه با غیر بیننده‌ها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واعظان تلویزیونی، خود را مسیحی تبشیری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تبشیر‌گری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تله‌ونجلیسم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طبیعی استفادۀ تبشیریون از رسانه‌های جمعی است که با پخش موعظه‌های جرج وایتفیلد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مقررات </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دیگر شبکه‌های تلویزیونی را ملزم به پخش رایگان برنامه‌های مذهبی نمی‌کرد، تبشیریون را به خرید وقت ارزان‌قیمت پخش صبح یکشنبه‌ها،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رشد پدیدۀ تبشیر‌گری تلویزیونی، شبکه‌های تبشیری مانند شبکۀ پخش ترینیتی توسعه پیدا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تبشیرگری تلویزیونی یکی از موارد بهتر مطالعه‌شده و مناقشه‌آمیز از شیوه‌های ارتباطاتی تبشیریون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تبشیرگری تلویزیونی از این نظر که تحت حمایت مخاطبان است، با دیگر شیوه‌های برنامه‌سازی مذهبی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پخش برنامه‌ها گاهی به چند میلیون دلار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تامین این مبالغ تبشیرگرایان تلویزیونی نه تنها نیاز دارند مخاطب جمع کنند، بلکه باید کسانی را پیدا کنند که بخشی از این هزینه‌ها را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فعالیت بسیاری از تبشیرگرایان تلویزیونی مانند جیم بیکر و پت رابرتسِن اساساً متکی بر شیوه‌های رایج سرگرم‌کنندگی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 گراهام، رکس هامبارد و اُرال رابرتز شوهایی تولید می‌کنند که در ردۀ نمایش‌های مذهبی است که در آن‌ها شو مقدم بر پیام 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معجزه‌آسا مانند درمان با واسطۀ ایمان مذهبی معمولا بخشی از این برنامه‌ها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تبشیرگرایان مدرن تلویزیونی از الهیات مثبت برای جذب مخاطب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ایمانِ بیشتر معمولا به معنای جست‌وجوی دستاوردهای زمینی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هدیه‌دادن به مجریان تبشیرگر تلویزیونی شیوه‌ای است برای نشان‌دادن ایمان مذهبی مخاطبان که می‌تواند به دریافت جوایز بزرگ‌تر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تبشیرگری تلویزیونی به خاطر تلاش برای ایجاد تغییر سیاسی در آمریکا، محل مناقشه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میانۀ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تبشیرگرایان به سیاست، آن‌ها را به پیشخوان توجه رسانه‌ها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نیوزویک،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تبشیری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گرایش راست مسیحی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تبشیرگرا را در صفحۀ اول روزنامه‌های خبری و در صدر پخش اخبار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رسانه‌های تبشیری و سیاست اتفاق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 و تیم رابرتسِن از فروش شرکت خانوادۀ </w:t>
      </w:r>
      <w:bookmarkStart w:id="337" w:name="pg3881_27840"/>
    </w:p>
    <w:p>
      <w:pPr>
        <w:pStyle w:val="BookText"/>
        <w:rPr/>
      </w:pPr>
      <w:bookmarkEnd w:id="337"/>
      <w:r>
        <w:rPr>
          <w:rFonts w:ascii="IRNazanin" w:hAnsi="IRNazanin" w:eastAsia="IRNazanin"/>
          <w:color w:val="111111"/>
          <w:sz w:val="28"/>
          <w:sz w:val="28"/>
          <w:szCs w:val="28"/>
          <w:rtl w:val="true"/>
          <w:lang w:bidi="fa-IR"/>
        </w:rPr>
        <w:t xml:space="preserve">بین‌المللی شامل کانال خانواده به راپرت مُرداک،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حاصل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رابرتسِن در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کار خود رفت از عضویت در تشکیلات باپتیست جنوب، تبری جست و کوشید خود را نه یک تبشیرگرا که یک دست‌اندرکار رسانه‌ای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متعلق به تبشیرگرایان مانند </w:t>
      </w:r>
      <w:r>
        <w:rPr>
          <w:rFonts w:eastAsia="Times New Roman" w:cs="Times New Roman" w:ascii="Times New Roman" w:hAnsi="Times New Roman"/>
          <w:color w:val="111111"/>
          <w:sz w:val="28"/>
          <w:szCs w:val="28"/>
          <w:lang w:val="en-US" w:bidi="en-US"/>
        </w:rPr>
        <w:t>PAX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کانال خانواده، علاوه بر شوهای آشکارا مذهبی، شوهای عامه‌پسندِ تهیه‌شده توسط سندیکا را که متناسب با حساسیت‌های تبشیرگرایان تولید می‌شود،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کانال‌ها برنامه‌های ساخته‌شدۀ متناسب با معیارهای مذهبی مسیحی را با گزیده‌ای از برنامه‌های غیرمذهبی ترکیب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تبشیرگرا به سختی خریدار این تلویزیون‌ها می‌شوند؛ چراکه آنان خواهان برنامه‌های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 توجهی از ساعات پخش در سطح ملی آمریکا به تبشیریون تعلق دارد ولی آن‌ها توانسته‌اند درصد ناچیزی از مخاطبان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مذهبی در عرصۀ پخش برنامه به سوی سواحل پاسیفیک و آمریکای جنوبی که شامل اولین نظامات پخش بین‌المللی رادیویی بود، گرایش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 در سطح پخش بین‌المللی ادامه دارد، موانعی در کارآمدی پخش بین‌المللی، شامل موانع سیاسی، فنی و فرهنگی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کشورهای توسعه‌یافته اینترنت در حال تبدیل‌شدن به ابزاری مهم در ارتباطات بین‌المللی است، رادیو هم‌چنان وسیلۀ ارتباطی مهمی در کشورهای در حال توسعه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جوامع موجود که در کانون توجه تبشیرگرایان قرار دارند، به شکل گسترده‌ای به استفاده از رادیو ادامه خواهند داد</w:t>
      </w:r>
      <w:r>
        <w:rPr>
          <w:rFonts w:eastAsia="IRNazanin" w:cs="IRNazanin"/>
          <w:color w:val="111111"/>
          <w:sz w:val="28"/>
          <w:szCs w:val="28"/>
          <w:rtl w:val="true"/>
          <w:lang w:bidi="fa-IR"/>
        </w:rPr>
        <w:t>.</w:t>
      </w:r>
    </w:p>
    <w:p>
      <w:pPr>
        <w:pStyle w:val="Heading3"/>
        <w:numPr>
          <w:ilvl w:val="2"/>
          <w:numId w:val="1"/>
        </w:numPr>
        <w:rPr/>
      </w:pPr>
      <w:bookmarkStart w:id="338" w:name="__RefHeading___Toc1656226_2281741623"/>
      <w:bookmarkStart w:id="339" w:name="_Toc119"/>
      <w:bookmarkEnd w:id="338"/>
      <w:r>
        <w:rPr>
          <w:rtl w:val="true"/>
        </w:rPr>
        <w:t>اخبار مربوط به تبشیریون</w:t>
      </w:r>
      <w:bookmarkEnd w:id="33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مربوط به تبشیریون </w:t>
      </w:r>
    </w:p>
    <w:p>
      <w:pPr>
        <w:pStyle w:val="BookText"/>
        <w:rPr/>
      </w:pPr>
      <w:r>
        <w:rPr>
          <w:rFonts w:ascii="IRNazanin" w:hAnsi="IRNazanin" w:eastAsia="IRNazanin"/>
          <w:color w:val="111111"/>
          <w:sz w:val="28"/>
          <w:sz w:val="28"/>
          <w:szCs w:val="28"/>
          <w:rtl w:val="true"/>
          <w:lang w:bidi="fa-IR"/>
        </w:rPr>
        <w:t>گزارش ها، که شامل مقولۀ پوشش رسانه ای می شوند، ناظر بر فهم فرهنگی تبشیریون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تبشیرگرایان بنیادگرا در کتاب محاکمۀ شیطنت نوشتۀ اسکوپز به عنوان گروه های مرتجع و کوته بین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شده بودند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تبشیریون برای مدتی از کانون توجه رسانه ها خارج شدند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برخی تبشیرگران مانند اُرال رابرتز، رکس هامبارد و بیلی گراهام توجه رسانه ها را تا حدودی به تبشیرگرایی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همواره از مولفه های مهم جامعۀ آمریکا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در این زمینه، از ترویج عقاید دینی گرفته تا تعیین این که چه چیزی به واسطۀ میزان توجه به آن در دنیای دین قابل قبول است،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برجسته سازی مسائل دینی توسط رسانه ها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گزارش های مرتبط با راستگرایان دینی بر قدرت سیاسی تبشیرگرایان تاکید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تاکید به قدرتی واقعی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وقتی که سیاستمداران، فعالانه به دنبال کسب حمایت رهبران تبشیریون مانند جری فالول برآمدند ولی در عمل و وقتی جمعیت نسبتا محدود هواداران تبشیرگرایانی مانند فالول و پت رابرتسِن شناخته شدند، روایات رسانه ای از دامنۀ نفوذ این گروه ها و افراد به محاق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مسیحی، عمدتا از طریق بایکوت کردن تبلیغاتچی ها در شوهای مذهبی، متعرض صنعت سرگرمی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مانند اکثریت اخلاقی و جبهۀ دونالد وایلدمِن برای تلویزیون بهتر پیشتاز بایکوت کردن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خاص، بایکوت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رویه در اصلاح یک شخصیت هم جنس باز در یک مجموعۀ تلویزیونی اثربخش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بایکوت کردن در مجموع، بیشتر به خودسانسوری شبکه های مذهبی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تا اواسط دهۀ</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bookmarkStart w:id="340" w:name="pg3881_27842"/>
    </w:p>
    <w:p>
      <w:pPr>
        <w:pStyle w:val="BookText"/>
        <w:rPr/>
      </w:pPr>
      <w:bookmarkEnd w:id="340"/>
      <w:r>
        <w:rPr>
          <w:rFonts w:ascii="IRNazanin" w:hAnsi="IRNazanin" w:eastAsia="IRNazanin"/>
          <w:color w:val="111111"/>
          <w:sz w:val="28"/>
          <w:sz w:val="28"/>
          <w:szCs w:val="28"/>
          <w:rtl w:val="true"/>
          <w:lang w:bidi="fa-IR"/>
        </w:rPr>
        <w:t>اتحادیۀ خانوادۀ آمریکایی، بنیانگذاری شده توسط وایلدمِن، علیه آن چه انحرافات ضدمسیحی رسانه ها تلقی می شوند، مانند فیلم آخرین وسوسه های مسیح، مبارزه و بایکوت علیه شرکت هایی را که در برنامه های منحرف تبلیغ می کنند، سازماندهی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تبشیرگرایان، وقتی خود را موضوع اخبار می یابند، از این که برنامه های خبری فعالیت های شان، از جمله برگزاری مراسم عبادی را پوشش نمی دهند،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آنان دربارۀ نقش خبر در تشریح امور غیرمرسوم، دچار سوءتفاهم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تبشیرگرایان، بماهو تبشیرگرایان، برای رسانه های سکولار، موضوعی درخور پوشش خبری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هفتاد سال گذشته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زمانی می توانند از نظر خبری موضوعی درخور توجه باشند که بدرفتاری کرده باشند، سیاسی عمل کرده باشند یا در برابر تغییرات فرهنگی ایستادگی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افتضاحاتی که برخی از تبشیرگرایان مانند جیم بیکر و جیمی سواگارت درگیر آن ها بودند، تبشیرگرایان در پیشخوان توجه رسانه ها قرار گرفتند</w:t>
      </w:r>
      <w:r>
        <w:rPr>
          <w:rFonts w:eastAsia="IRNazanin" w:cs="IRNazanin"/>
          <w:color w:val="111111"/>
          <w:sz w:val="28"/>
          <w:szCs w:val="28"/>
          <w:rtl w:val="true"/>
          <w:lang w:bidi="fa-IR"/>
        </w:rPr>
        <w:t>.</w:t>
      </w:r>
    </w:p>
    <w:p>
      <w:pPr>
        <w:pStyle w:val="Heading3"/>
        <w:numPr>
          <w:ilvl w:val="2"/>
          <w:numId w:val="1"/>
        </w:numPr>
        <w:rPr/>
      </w:pPr>
      <w:bookmarkStart w:id="341" w:name="__RefHeading___Toc1656228_2281741623"/>
      <w:bookmarkStart w:id="342" w:name="_Toc120"/>
      <w:bookmarkEnd w:id="341"/>
      <w:r>
        <w:rPr>
          <w:rtl w:val="true"/>
        </w:rPr>
        <w:t>فن آوری های نوپدید در رسانه ها</w:t>
      </w:r>
      <w:bookmarkEnd w:id="342"/>
    </w:p>
    <w:p>
      <w:pPr>
        <w:pStyle w:val="BookText"/>
        <w:rPr/>
      </w:pPr>
      <w:r>
        <w:rPr>
          <w:rFonts w:ascii="IRNazanin" w:hAnsi="IRNazanin" w:eastAsia="IRNazanin"/>
          <w:color w:val="111111"/>
          <w:sz w:val="28"/>
          <w:sz w:val="28"/>
          <w:szCs w:val="28"/>
          <w:rtl w:val="true"/>
          <w:lang w:bidi="fa-IR"/>
        </w:rPr>
        <w:t>فن آوری های نوپدید در رسانه 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تبشیرگرایان با تاسیس وب سایت هایی برای کلیساها یا موسسات فراکلیسایی، به حرکت خود به سوی استفاده از رسانه های جدید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این وب سایت ها برای کاربران این است که می توانند بدون تکلفِ حضور در کلیسا، اطلاعات مورد نیاز خود را دربارۀ آن به دست بیاورند</w:t>
      </w:r>
      <w:r>
        <w:rPr>
          <w:rFonts w:eastAsia="IRNazanin" w:cs="IRNazanin"/>
          <w:color w:val="111111"/>
          <w:sz w:val="28"/>
          <w:szCs w:val="28"/>
          <w:rtl w:val="true"/>
          <w:lang w:bidi="fa-IR"/>
        </w:rPr>
        <w:t xml:space="preserve">. </w:t>
      </w:r>
      <w:bookmarkStart w:id="343" w:name="pg3881_27843"/>
    </w:p>
    <w:p>
      <w:pPr>
        <w:pStyle w:val="BookText"/>
        <w:rPr/>
      </w:pPr>
      <w:bookmarkEnd w:id="343"/>
      <w:r>
        <w:rPr>
          <w:rFonts w:ascii="IRNazanin" w:hAnsi="IRNazanin" w:eastAsia="IRNazanin"/>
          <w:color w:val="111111"/>
          <w:sz w:val="28"/>
          <w:sz w:val="28"/>
          <w:szCs w:val="28"/>
          <w:rtl w:val="true"/>
          <w:lang w:bidi="fa-IR"/>
        </w:rPr>
        <w:t>کلیساها هم چنین استفادۀ نمازگزاران و کسانی که معمولا به کلیسا مراجعه می کنند از ای میل را ـ به عنوان یک ابزار ارتباطی ـ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ها برای دعوت کاربران به حضور در کلیسا، تبلیغ دربارۀ حضور کلیساها در زندگی اجتماعی مرتبطان با خود و پشتیبانی از فعالیت های اصلی کلیسا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وب سایت ها را معمولا داوطلبان غیرروحانی درست می کنند، برخی موسسات تبشیرگرا در راه اندازی وب سایت ها به تجمعات مذهبی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 از ارتباطات متکی بر اینترنت ـ مانند ای میل و وبلاگ ـ برای ارتباط با اعضای خود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تبشیرگرایان از شیوه های جدید ارتباطاتی بهره خواهند گرفت، امکانات ارتباط وایرِلِس در میان اعضا توزیع می شود</w:t>
      </w:r>
      <w:r>
        <w:rPr>
          <w:rFonts w:eastAsia="IRNazanin" w:cs="IRNazanin"/>
          <w:color w:val="111111"/>
          <w:sz w:val="28"/>
          <w:szCs w:val="28"/>
          <w:rtl w:val="true"/>
          <w:lang w:bidi="fa-IR"/>
        </w:rPr>
        <w:t>.</w:t>
      </w:r>
    </w:p>
    <w:p>
      <w:pPr>
        <w:pStyle w:val="Heading3"/>
        <w:numPr>
          <w:ilvl w:val="2"/>
          <w:numId w:val="1"/>
        </w:numPr>
        <w:rPr/>
      </w:pPr>
      <w:bookmarkStart w:id="344" w:name="__RefHeading___Toc1656230_2281741623"/>
      <w:bookmarkStart w:id="345" w:name="_Toc121"/>
      <w:bookmarkEnd w:id="344"/>
      <w:r>
        <w:rPr>
          <w:rtl w:val="true"/>
        </w:rPr>
        <w:t>آینده</w:t>
      </w:r>
      <w:bookmarkEnd w:id="345"/>
    </w:p>
    <w:p>
      <w:pPr>
        <w:pStyle w:val="BookText"/>
        <w:rPr/>
      </w:pPr>
      <w:r>
        <w:rPr>
          <w:rFonts w:ascii="IRNazanin" w:hAnsi="IRNazanin" w:eastAsia="IRNazanin"/>
          <w:color w:val="111111"/>
          <w:sz w:val="28"/>
          <w:sz w:val="28"/>
          <w:szCs w:val="28"/>
          <w:rtl w:val="true"/>
          <w:lang w:bidi="fa-IR"/>
        </w:rPr>
        <w:t>آینده</w:t>
      </w:r>
    </w:p>
    <w:p>
      <w:pPr>
        <w:pStyle w:val="BookText"/>
        <w:rPr/>
      </w:pPr>
      <w:r>
        <w:rPr>
          <w:rFonts w:ascii="IRNazanin" w:hAnsi="IRNazanin" w:eastAsia="IRNazanin"/>
          <w:color w:val="111111"/>
          <w:sz w:val="28"/>
          <w:sz w:val="28"/>
          <w:szCs w:val="28"/>
          <w:rtl w:val="true"/>
          <w:lang w:bidi="fa-IR"/>
        </w:rPr>
        <w:t>همان طور که عصر ارتباطات، اطلاعات را به یک کالا تبدیل کرده است، ارتباطات مذهبی نیز به یک کالا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بقیۀ جامعه کمتر کتاب مدار می شوند، تبشیرگرایان نیز از اتکای به کتاب دور خواهند شد و فن آوری های جدید به احتمال زیاد در تبشیرگرایی های آتی نقش مهم 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قابلیت های تجاری و طهارت پیام های تبشیرگرایانه به احتمال زیاد، کماکان، سوال برانگیز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تنش بین دیدگاه های بنیادگرا و لیبرال در قلمرو تبشیرگرایی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انشقاق در بین انتشارات لیبرال مآبانه و محافظه کارانه و انشعاب بین مخاطبان رسانه های تبشیرگرا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بندی ـ همان طور که تعارضات کلامی باقی خواهد ماند ـ به رشد خود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آماندا استارجیل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عبدالله گیویان </w:t>
      </w:r>
      <w:bookmarkStart w:id="346" w:name="pg3881_27844"/>
    </w:p>
    <w:p>
      <w:pPr>
        <w:pStyle w:val="Heading3"/>
        <w:numPr>
          <w:ilvl w:val="2"/>
          <w:numId w:val="1"/>
        </w:numPr>
        <w:rPr/>
      </w:pPr>
      <w:bookmarkStart w:id="347" w:name="__RefHeading___Toc1656232_2281741623"/>
      <w:bookmarkStart w:id="348" w:name="_Toc122"/>
      <w:bookmarkEnd w:id="346"/>
      <w:bookmarkEnd w:id="347"/>
      <w:r>
        <w:rPr>
          <w:rtl w:val="true"/>
        </w:rPr>
        <w:t>برای مطالعۀ بیشتر</w:t>
      </w:r>
      <w:bookmarkEnd w:id="34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Allan, J. D. (1989). The Evangelicals: An illustrated history. Grand Rapids, MI: Baker Book House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Bachman, J. (1960). The Church in the age of radio-television. New York: Association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Balmer, R. (2002). Encyclopedia of Evangelism. Louisville, KY:John Knox Press</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Board, S. (1990). Moving the world with magazines: A survey of Evangelical periodicals. In Q. J. Schultze, (Ed.), American Evangelicals and the mass media (pp. 119–142). Grand Rapids, MI: Academie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Buddenbaum, J. M., &amp; Mason, D. (2000). Introduction. In J.M. Buddenbaum &amp; D. Mason (Eds.), Readings on religion as news (pp. 14–20).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Caldwell, J. D. (1984). Mass media Christianity. Lanham, MD. University Press of America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Calver, C., &amp; Warner, R. (1996). Together we stand: Evangelical convictions, unity and vision .London: Hodder &amp; Stoughton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Dorgan, H. (1993). The airwaves of Zion: Radio and religion in Appalachia. Knoxville: University of Tennessee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Ellens, J. H. (1974). Models of religious broadcasting. Grand Rapids, MI: Eerdmans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Ellingsen, M. (1988). The Evangelical movement: Growth, impact, controversy, dialog. Minneapolis, MN: Augsburg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Elvy, P. (1987). Buying time: The foundations of the electronic church. Great Wakering, UK: McCrimmons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Ferré, J. P.(1990). Searching for the great commission: Evangelical book publishing since the 1970s. In Q. J. Schultze (Ed.), American Evangelicals and the mass media (pp.99–117). Grand Rapids, MI: Academie Books</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Fortner, R. S. (1990). Saving the world? American Evangelicals and transnational broadcasting. In Q. J. Schultze (Ed.), American Evangelicals and the mass media(pp. 307–331). Grand Rapids, MI: Academie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Grenz, S. J. (1993). Revisioning Evangelical theology: Afresh agenda for the 21st century. Downers Grove, IL: InterVarsity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 K. (1987). Televangelism and politics. In R. J. Neuhaus &amp; M. Cromartie (Eds.), Piety and politics: Evangelicals and fundamentalists confront the world (pp.379–394). Washington, DC: Ethics and Public Policy Center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Hart, D. G. (2002). That old-time religion in modern America: Evangelical Protestantism in the twentieth century. Chicago: Ivan R. Dee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Hendershot, H. (2004). Shaking the world for Jesus: Media and conservative Evangelical culture.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(1989). Mass media religion: The social sources of the electronic church. Newbury Park,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Maus, M. (1990). Believers as behaviors: News coverage of Evangelicals by the secular media. In Q. J. Schultze (Ed.), American Evangelicals and the mass media (pp. 253–273). Grand Rapids, MI: Academie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Peck, J. (1993). The gods of televangelism: The crisis of meaning and the appeal of religious television. Cresskill, NJ: Hampton Press</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Schement, J. R., &amp; Stephenson, H. C. (1996). Religion and the information society. In D. A. Stout &amp; J. M. Buddenbaum (Eds.), Religion and mass media: Audiences and adaptations (pp. 261–289). Thousand Oaks, CA: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Schultze, Q. J. (1990). Keeping the faith: American Evangelicals and the media. In Q. J. Schultze (Ed.), American Evangelicals and the mass media(pp. 23–45). Grand Rapids, MI: Academie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 (1991). Televangelism and American culture: The business of popular religion. Grand Rapids, MI: Baker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 (1996). Evangelicals’ uneasy alliance with the media. In D. A. Stout &amp; J. M. Buddenbaum, (Eds.), Religion and mass media: Audiences and adaptations (pp.61–73).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Stackhouse, J., Jr. (2002). Evangelical landscapes: Facing critical issues of the day. Grand Rapids, MI: Baker Academic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Tidball, D. J. (1994). Who are the Evangelicals?: Tracing the roots of today’s movements. London: Marshall Pickering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Ward, M., Sr. (1994). The story of Christian broadcasting: Air of salvation. Grand Rapids, MI: Baker</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Webber, R. E. (2002). The younger Evangelicals: Facing the challenges of the new world. Grand Rapids, MI: Baker Books</w:t>
      </w:r>
      <w:r>
        <w:rPr>
          <w:rFonts w:eastAsia="Times New Roman" w:cs="Times New Roman" w:ascii="Times New Roman" w:hAnsi="Times New Roman"/>
          <w:color w:val="111111"/>
          <w:sz w:val="28"/>
          <w:szCs w:val="28"/>
          <w:rtl w:val="true"/>
          <w:lang w:val="en-US" w:bidi="en-US"/>
        </w:rPr>
        <w:t xml:space="preserve">. </w:t>
      </w:r>
      <w:bookmarkStart w:id="349" w:name="pg3881_27848"/>
    </w:p>
    <w:p>
      <w:pPr>
        <w:pStyle w:val="Heading2"/>
        <w:numPr>
          <w:ilvl w:val="1"/>
          <w:numId w:val="1"/>
        </w:numPr>
        <w:rPr/>
      </w:pPr>
      <w:bookmarkStart w:id="350" w:name="__RefHeading___Toc1656234_2281741623"/>
      <w:bookmarkStart w:id="351" w:name="_Toc123"/>
      <w:bookmarkEnd w:id="349"/>
      <w:bookmarkEnd w:id="350"/>
      <w:r>
        <w:rPr>
          <w:rtl w:val="true"/>
        </w:rPr>
        <w:t>تبشیرگری تلویزیونی</w:t>
      </w:r>
      <w:bookmarkEnd w:id="351"/>
    </w:p>
    <w:p>
      <w:pPr>
        <w:pStyle w:val="Heading3"/>
        <w:numPr>
          <w:ilvl w:val="2"/>
          <w:numId w:val="1"/>
        </w:numPr>
        <w:rPr/>
      </w:pPr>
      <w:bookmarkStart w:id="352" w:name="__RefHeading___Toc1656236_2281741623"/>
      <w:bookmarkStart w:id="353" w:name="_Toc124"/>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تبشیرگری تلویزیونی</w:t>
      </w:r>
    </w:p>
    <w:p>
      <w:pPr>
        <w:pStyle w:val="BookText"/>
        <w:rPr/>
      </w:pPr>
      <w:r>
        <w:rPr>
          <w:rFonts w:ascii="IRNazanin" w:hAnsi="IRNazanin" w:eastAsia="IRNazanin"/>
          <w:color w:val="111111"/>
          <w:sz w:val="28"/>
          <w:sz w:val="28"/>
          <w:szCs w:val="28"/>
          <w:rtl w:val="true"/>
          <w:lang w:bidi="fa-IR"/>
        </w:rPr>
        <w:t>تقریبا دوهزار سال پیش، عیسی مسیح با آموزۀ زیر که ماموریت اکبر</w:t>
      </w:r>
      <w:r>
        <w:rPr>
          <w:rStyle w:val="FootnoteAnchor"/>
          <w:rtl w:val="true"/>
        </w:rPr>
        <w:footnoteReference w:id="115"/>
      </w:r>
      <w:r>
        <w:rPr>
          <w:rFonts w:ascii="IRNazanin" w:hAnsi="IRNazanin" w:eastAsia="IRNazanin"/>
          <w:color w:val="111111"/>
          <w:sz w:val="28"/>
          <w:sz w:val="28"/>
          <w:szCs w:val="28"/>
          <w:rtl w:val="true"/>
          <w:lang w:bidi="fa-IR"/>
        </w:rPr>
        <w:t>نامیده می شود، سنگ بنای کاری را گذاشت که بعدها تلاشی جهانی برای دعوت دینی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 و تمامی ملل را بیاموزان، آنان را به نام پدر، پسر و روح القدس تعمید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بیاموزان از آن چه به تو فرمان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همواره با تو هستم حتی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1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نتیجۀ ماموریت اکبر، اغلب تجلیات مسیحیت دعوت مدار بوده است و به این ترتیب است که اینک نزدیک به دو میلیارد 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معاصر دنیا را مسیحیان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آمریکا و کانادا بسیار بالاتر است و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بالغ در آمریکای شمالی خود را مسیحی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در آمریکای شمالی، مخاطب بالقوه برای فعالیت های تلویزیونی </w:t>
      </w:r>
      <w:bookmarkStart w:id="354" w:name="pg3881_27849"/>
    </w:p>
    <w:p>
      <w:pPr>
        <w:pStyle w:val="BookText"/>
        <w:rPr/>
      </w:pPr>
      <w:bookmarkEnd w:id="354"/>
      <w:r>
        <w:rPr>
          <w:rFonts w:ascii="IRNazanin" w:hAnsi="IRNazanin" w:eastAsia="IRNazanin"/>
          <w:color w:val="111111"/>
          <w:sz w:val="28"/>
          <w:sz w:val="28"/>
          <w:szCs w:val="28"/>
          <w:rtl w:val="true"/>
          <w:lang w:bidi="fa-IR"/>
        </w:rPr>
        <w:t xml:space="preserve">مسیحی، یا تبشیر گری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ونجلیسم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جمعیتی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برآوردی تازه، جمعیت آمریکایی هایی را که به طور مرتب برنامه های تبشیریون تلویزیونی را تماشا می کنند، حدود سیزده میلیون نفر اعلام کرده است ولی برآوردهای دیگر، این جمعیت را تا شصت میلیون نیز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آمریکایی ها در طول هفته در معرض شکلی از برنامه های مذهبی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پیمایش ملی از بینندگان تلویزیون در آمریکا نشان می دهد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آمریکایی های بالغ طی ماه پیش شاهد برنامه های مسیحی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شمار برنامه های تبشیریون تلویزیونی و دیگر صور برنامه های مذهبی بسیار زیاد است، لازم است تحقیقات دیگری انجام شود تا بتوان به طور دقیق تر گفت که کدام دسته از ایشان، کدام نوع از برنامه های مسیحی را تماشا می کنند</w:t>
      </w:r>
      <w:r>
        <w:rPr>
          <w:rFonts w:eastAsia="IRNazanin" w:cs="IRNazanin"/>
          <w:color w:val="111111"/>
          <w:sz w:val="28"/>
          <w:szCs w:val="28"/>
          <w:rtl w:val="true"/>
          <w:lang w:bidi="fa-IR"/>
        </w:rPr>
        <w:t>.</w:t>
      </w:r>
    </w:p>
    <w:p>
      <w:pPr>
        <w:pStyle w:val="Heading3"/>
        <w:numPr>
          <w:ilvl w:val="2"/>
          <w:numId w:val="1"/>
        </w:numPr>
        <w:rPr/>
      </w:pPr>
      <w:bookmarkStart w:id="355" w:name="__RefHeading___Toc1656238_2281741623"/>
      <w:bookmarkStart w:id="356" w:name="_Toc125"/>
      <w:bookmarkEnd w:id="355"/>
      <w:r>
        <w:rPr>
          <w:rtl w:val="true"/>
        </w:rPr>
        <w:t>خبرهای خوبِ بشارت مسیحی</w:t>
      </w:r>
      <w:bookmarkEnd w:id="356"/>
    </w:p>
    <w:p>
      <w:pPr>
        <w:pStyle w:val="BookText"/>
        <w:rPr/>
      </w:pPr>
      <w:r>
        <w:rPr>
          <w:rFonts w:ascii="IRNazanin" w:hAnsi="IRNazanin" w:eastAsia="IRNazanin"/>
          <w:color w:val="111111"/>
          <w:sz w:val="28"/>
          <w:sz w:val="28"/>
          <w:szCs w:val="28"/>
          <w:rtl w:val="true"/>
          <w:lang w:bidi="fa-IR"/>
        </w:rPr>
        <w:t>خبرهای خوبِ بشارت مسیحی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یونانی اِونجلُس</w:t>
      </w:r>
      <w:r>
        <w:rPr>
          <w:rStyle w:val="FootnoteAnchor"/>
          <w:rtl w:val="true"/>
        </w:rPr>
        <w:footnoteReference w:id="117"/>
      </w:r>
      <w:r>
        <w:rPr>
          <w:rFonts w:ascii="IRNazanin" w:hAnsi="IRNazanin" w:eastAsia="IRNazanin"/>
          <w:color w:val="111111"/>
          <w:sz w:val="28"/>
          <w:sz w:val="28"/>
          <w:szCs w:val="28"/>
          <w:rtl w:val="true"/>
          <w:lang w:bidi="fa-IR"/>
        </w:rPr>
        <w:t>به معنای آوردن خبرهای خوب یا بشارت است و به همین تعبیر است که روحانیون و مبلغان غیر روحانی مسیحی، سنت موعظه های خود را به مفهوم دادن خبرهای خوب یا بشارت از انجیل عیسی مسیح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به پیام رسانی مسیحی اشتغال دارند، مسیحیان تبشیرگرا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مسیحیان تبشیرگرا، فارغ از تعلق فرقه ای، محافظه کار و پروتستان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تبشیرگرایان در این عقیده که انجیل مصون از اشتباه است، تصور از الوهیت هم چون وجودی سه گانه 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اتخاذ موضعی سرسختانه در تفسیر لفظی انجیل و تاکید موکد بر اهمیت ایمان و رحمت الهی در قیاس با اعمال نیک در رسیدن به رستگاری،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مسیحیان تبشیری گرایش دارند که در </w:t>
      </w:r>
    </w:p>
    <w:p>
      <w:pPr>
        <w:pStyle w:val="BookText"/>
        <w:rPr/>
      </w:pPr>
      <w:r>
        <w:rPr>
          <w:rFonts w:ascii="IRNazanin" w:hAnsi="IRNazanin" w:eastAsia="IRNazanin"/>
          <w:color w:val="111111"/>
          <w:sz w:val="28"/>
          <w:sz w:val="28"/>
          <w:szCs w:val="28"/>
          <w:rtl w:val="true"/>
          <w:lang w:bidi="fa-IR"/>
        </w:rPr>
        <w:t>سبک زندگی خود، در تحمل انحراف از فرامین انجیلی و در فلسفه های سیاسی ای که حمایت می کنند، محافظه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تخمین زده می شود که از هر چهار نفر آمریکایی یک نفر وابسته به کلیسای ذاتاً تبشیری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نکته درست است که جمع کثیری از تبشیریون تلویزیونی به شکلی غیرمترقبه از این سنخ مسیحیان هستند، به شکل مجازی می توان هر متدینی را که پیامی برای یک تماشاگر تلویزیون دارد، فارغ از پیشینۀ مذهبی و قالب برنامه اش، مشغول تبشیرگری تلویزیونی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تعریف بسیار کلی و فارغ از مولفه های عقیدتی، تبشیرگری تلویزیونی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پخش امواج به عنوان طریقی جانشین برای موعظه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به شکل سنتی، برنامه سازی تلویزیونی دینی محدود به چند قالب رایج، عمدتا همراه با وعظ و ایراد خطابه توسط یک تبشیرگر تلویزیونیِ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خطابه، که معمولا مبتنی بر ماخذی انجیلی است، با قطعه ای موسیقی تعالی بخش و خدمات یا کالاهای پیشکشی ای که در برابر هدیه ای نقدی و شاید یکی دو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دسترسی هستند،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شامل قالب های گفت وگو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 گاهی با اخبار جهانی و ملی قطع می شوند و سپس با تفسیرهایی با جهت گیری های مسیحی، مصاحبه هایی با چهره های شناخته شده و کسانی که حرفی برای گقتن دارند، گزارش هایی دربارۀ کمک های خیریه و مانند این ها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 یک مراسم عبادی هم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قالب های جدیدتر برنامه سازی مانند کمدی هایی با مضمون مسیحی و شوـبازی ها در زمرۀ برنامه های دینی قرار گرفته 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تبشیرگران تلویزیونیِ موفق زن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مادر آنجلیکا، کاترین کولمان، ایمی سِمپِل مک فرسِن، تَمی فِیْ بیکر مِسْنر، جویس مِیِر، الیزابت کلاره پرافِت و رکسلا وَن ایمپی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منابر </w:t>
      </w:r>
    </w:p>
    <w:p>
      <w:pPr>
        <w:pStyle w:val="BookText"/>
        <w:rPr/>
      </w:pPr>
      <w:r>
        <w:rPr>
          <w:rFonts w:ascii="IRNazanin" w:hAnsi="IRNazanin" w:eastAsia="IRNazanin"/>
          <w:color w:val="111111"/>
          <w:sz w:val="28"/>
          <w:sz w:val="28"/>
          <w:szCs w:val="28"/>
          <w:rtl w:val="true"/>
          <w:lang w:bidi="fa-IR"/>
        </w:rPr>
        <w:t>الکترونیک آمریکایی کماکان سنگری مردانه باقی مانده اند؛ جان آنکربرگ، هربرت و گارنر تِد آرمسترانگ، موریس سرولو، کِنِت کوپلند، جیمز دابسِن، جری فالول، بیلی گراهام، بنی هین، رکس هامبارد،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کندی، اُرال رابرتز، پت رابرتسِن، جیمز رابینسن، رابرت شولر، چارلز استانلی، رابرت تیلتِن، جک ون ایمپی و تعداد انبوه دیگری هستند که به شکلی موفقیت آمیز از طریق تلویزیون به کار ترویج دین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تبشیرگران تلویزیونی برای برنامه های خود جایی در شبکه های جاافتاده ای مانند </w:t>
      </w:r>
      <w:r>
        <w:rPr>
          <w:rFonts w:eastAsia="Times New Roman" w:cs="Times New Roman" w:ascii="Times New Roman" w:hAnsi="Times New Roman"/>
          <w:color w:val="111111"/>
          <w:sz w:val="28"/>
          <w:szCs w:val="28"/>
          <w:lang w:val="en-US" w:bidi="en-US"/>
        </w:rPr>
        <w:t>INSP</w:t>
      </w:r>
      <w:r>
        <w:rPr>
          <w:rStyle w:val="FootnoteAnchor"/>
          <w:rtl w:val="true"/>
        </w:rPr>
        <w:footnoteReference w:id="119"/>
      </w:r>
      <w:r>
        <w:rPr>
          <w:rFonts w:ascii="IRNazanin" w:hAnsi="IRNazanin" w:eastAsia="IRNazanin"/>
          <w:color w:val="111111"/>
          <w:sz w:val="28"/>
          <w:sz w:val="28"/>
          <w:szCs w:val="28"/>
          <w:rtl w:val="true"/>
          <w:lang w:bidi="fa-IR"/>
        </w:rPr>
        <w:t xml:space="preserve">که پیش تر با نام </w:t>
      </w:r>
      <w:r>
        <w:rPr>
          <w:rFonts w:eastAsia="Times New Roman" w:cs="Times New Roman" w:ascii="Times New Roman" w:hAnsi="Times New Roman"/>
          <w:color w:val="111111"/>
          <w:sz w:val="28"/>
          <w:szCs w:val="28"/>
          <w:lang w:val="en-US" w:bidi="en-US"/>
        </w:rPr>
        <w:t>PTL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فعالیت می کرد؛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پیدا می کنند ولی بسیاری هم برنامۀ خود را از طریق توزیع سندیکایی در ایستگاه های منفرد به نمایش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که تبشیرگران تلویزیونی به آن ها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اریکسِن، تبشیرگری تلویزیونی را چرب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مخابراتی</w:t>
      </w:r>
      <w:r>
        <w:rPr>
          <w:rStyle w:val="FootnoteAnchor"/>
          <w:rtl w:val="true"/>
        </w:rPr>
        <w:footnoteReference w:id="120"/>
      </w:r>
      <w:r>
        <w:rPr>
          <w:rFonts w:ascii="IRNazanin" w:hAnsi="IRNazanin" w:eastAsia="IRNazanin"/>
          <w:color w:val="111111"/>
          <w:sz w:val="28"/>
          <w:sz w:val="28"/>
          <w:szCs w:val="28"/>
          <w:rtl w:val="true"/>
          <w:lang w:bidi="fa-IR"/>
        </w:rPr>
        <w:t>نامید،</w:t>
      </w:r>
      <w:r>
        <w:rPr>
          <w:rStyle w:val="FootnoteAnchor"/>
          <w:rtl w:val="true"/>
        </w:rPr>
        <w:footnoteReference w:id="121"/>
      </w:r>
      <w:r>
        <w:rPr>
          <w:rFonts w:ascii="IRNazanin" w:hAnsi="IRNazanin" w:eastAsia="IRNazanin"/>
          <w:color w:val="111111"/>
          <w:sz w:val="28"/>
          <w:sz w:val="28"/>
          <w:szCs w:val="28"/>
          <w:rtl w:val="true"/>
          <w:lang w:bidi="fa-IR"/>
        </w:rPr>
        <w:t>نظریه های گوناگونی در میان آمده اند تا نقش تبشیرگری تلویزیونی در جامعه را توضیح دهند؛ برای نمونه برخی معتقدند تبشیرگران تلویزیونی موفق بوده اند چون به بدترین هراس های مخاطبان متوسل می شوند و به خلق جهان بینی ای آکنده از اضطراب، ترس و بی اعتمادی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طور ضمنی بر این نکته مبتنی است که اگر مخاطب از نظر مالی یک مبلغ مذهبی را حمایت کند، آن تبشیرگر تلویزیونی به او اطلاعات و روحیۀ مورد نیاز را خواهد داد تا با دنیایی که اهریمنی، تهدیدگر، خطرناک و غیراخلاقی شناخته می شود،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اهدای مبلغی به تبشیرگر به عنوان مابه ازایی تلقی می شود که مخاطب در برابر اطلاعات، دعا، یا آن چه تبشیرگر به نیابت از او انجام می دهد، پرداخت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دیگر معتقدند که تبشیرگری تلویزیونی در خدمت هدف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می گویند که تبشیرگری تلویزیونی از طریق مشارکت دادن </w:t>
      </w:r>
      <w:bookmarkStart w:id="357" w:name="pg3881_27852"/>
    </w:p>
    <w:p>
      <w:pPr>
        <w:pStyle w:val="BookText"/>
        <w:rPr/>
      </w:pPr>
      <w:bookmarkEnd w:id="357"/>
      <w:r>
        <w:rPr>
          <w:rFonts w:ascii="IRNazanin" w:hAnsi="IRNazanin" w:eastAsia="IRNazanin"/>
          <w:color w:val="111111"/>
          <w:sz w:val="28"/>
          <w:sz w:val="28"/>
          <w:szCs w:val="28"/>
          <w:rtl w:val="true"/>
          <w:lang w:bidi="fa-IR"/>
        </w:rPr>
        <w:t>مخاطبان در آیین های رسانه ای شدۀ عبادی هفتگی، با جدا کردن آن ها از زندگی دنیا و با مشروعیت دادن به اعتقادات ایشان، آن ها را تعالی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بین ما در برابر آن ها و خدا در برابر شیطان، هر هفته در ذهن بینندگان تکرار می شود و به آن ها یادآوری می شود که در این ورطه تنها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به بینندگان اطمینان داده می شود که آن ها مردمان خاصی هستند، در واقع مردم خدایند و ظاهرا این پیام هر هفته همان دلگرمی ای که برای مقابله با دنیای سکولار به آن نیاز دارند، به آن ها می بخشد</w:t>
      </w:r>
      <w:r>
        <w:rPr>
          <w:rFonts w:eastAsia="IRNazanin" w:cs="IRNazanin"/>
          <w:color w:val="111111"/>
          <w:sz w:val="28"/>
          <w:szCs w:val="28"/>
          <w:rtl w:val="true"/>
          <w:lang w:bidi="fa-IR"/>
        </w:rPr>
        <w:t>.</w:t>
      </w:r>
    </w:p>
    <w:p>
      <w:pPr>
        <w:pStyle w:val="Heading3"/>
        <w:numPr>
          <w:ilvl w:val="2"/>
          <w:numId w:val="1"/>
        </w:numPr>
        <w:rPr/>
      </w:pPr>
      <w:bookmarkStart w:id="358" w:name="__RefHeading___Toc1656240_2281741623"/>
      <w:bookmarkStart w:id="359" w:name="_Toc126"/>
      <w:bookmarkEnd w:id="358"/>
      <w:r>
        <w:rPr>
          <w:rtl w:val="true"/>
        </w:rPr>
        <w:t>رادیو زمینه را آماده می کند</w:t>
      </w:r>
      <w:bookmarkEnd w:id="359"/>
    </w:p>
    <w:p>
      <w:pPr>
        <w:pStyle w:val="BookText"/>
        <w:rPr/>
      </w:pPr>
      <w:r>
        <w:rPr>
          <w:rFonts w:ascii="IRNazanin" w:hAnsi="IRNazanin" w:eastAsia="IRNazanin"/>
          <w:color w:val="111111"/>
          <w:sz w:val="28"/>
          <w:sz w:val="28"/>
          <w:szCs w:val="28"/>
          <w:rtl w:val="true"/>
          <w:lang w:bidi="fa-IR"/>
        </w:rPr>
        <w:t>رادیو زمینه را آماده می کند</w:t>
      </w:r>
    </w:p>
    <w:p>
      <w:pPr>
        <w:pStyle w:val="BookText"/>
        <w:rPr/>
      </w:pPr>
      <w:r>
        <w:rPr>
          <w:rFonts w:ascii="IRNazanin" w:hAnsi="IRNazanin" w:eastAsia="IRNazanin"/>
          <w:color w:val="111111"/>
          <w:sz w:val="28"/>
          <w:sz w:val="28"/>
          <w:szCs w:val="28"/>
          <w:rtl w:val="true"/>
          <w:lang w:bidi="fa-IR"/>
        </w:rPr>
        <w:t>با اختراع رادیو در ابتدای قرن بیستم، از جهت نظری، انجیل می توانست سریع تر، موثرتر، کارآمدتر و در سطحی گسترده تر از تمام دوران های گذشته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سریع این قابلیت در منبر الکترونیک، لشکری عمدتا از روحانیون مسیحی تبشیرگرا و برخی دیگر تشکیل شد تا کلمه را بر بال امواج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پخش رادیویی مراسم عبادی کلیسای کالواری اپیسکوپال در پیتزبورگ در اوایل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مسابقۀ الکترونیک برای تبشیر عوام الناس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این موعظه گران الکترونیکِ پیشگام، گروه های دیگری چون کاتولیک ها و دسته جاتی با دکترین ها، اهداف و سبک زندگی های گوناگون پیوستند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Latter-Day Saints, Seventh-day Adventists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گسترش دامنۀ نفوذ رادیو و تلاش شوق مندانۀ تبشیریون برای دسترسی به امکان پخش برنامه، گروهی از سازمان های مذهبی متنفذ و مسلط تلاش کردند تا دسترسی به امکان پخش را برای گروه هایی که محافظه کارتر و بنیادگراتر بودند و برای گروه های تبشیری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فدرال کلیساها که اکنون شورای ملی کلیساها خوانده می شود و سازمان هایی که عضو آن </w:t>
      </w:r>
    </w:p>
    <w:p>
      <w:pPr>
        <w:pStyle w:val="BookText"/>
        <w:rPr/>
      </w:pPr>
      <w:r>
        <w:rPr>
          <w:rFonts w:ascii="IRNazanin" w:hAnsi="IRNazanin" w:eastAsia="IRNazanin"/>
          <w:color w:val="111111"/>
          <w:sz w:val="28"/>
          <w:sz w:val="28"/>
          <w:szCs w:val="28"/>
          <w:rtl w:val="true"/>
          <w:lang w:bidi="fa-IR"/>
        </w:rPr>
        <w:t>بودند و موسسۀ آموزش برای رادیو در ساماندهی به محدودسازی دسترسی تبشیریون نقش تعیین کننده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موضع گیری تنها این بود که آن ها گروه های محافظه کار و متعصب را تایید نمی کردند و از مواضع تبشیریون، گروه ها و افرادی شبیه به تبشیریون راضی نبودند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محدودسازی دسترسی به امکان پخش به این ترتیب اعمال شد که فروش زمان پخش به سازمان ها و افراد مذهبی ممنوع شد مگر این که آنان توسط سازمان های رسمی و شناخته شده تر، تایید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در عوض، زمان های آزاد یا اختصاص داده شده ای را برای آن دسته از سازمان های مذهبی که اسامی شان در اختیارشان گذاشته می شد،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شبکه ها این امکان را داد که تظاهر کنند برای پخش برنامه هایی در جهت منافع عمومی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دربارۀ رادیو کارگر افتاد و در کوتاه مدت در ممانعت دسترسی سازمان های مذهبی محافظه کارتر به تلویزیون موثر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اتحادیۀ ملی تبشیریون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زمان با شکل گیری آن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لابی کردن، تلاش هایی را برای تغییر این سیاست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این اتحادیه به واسطۀ کوشش های خود و سازمان ملی برنامه سازان مذهبی، سازمانی که اتحادیۀ ملی تبشیریون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وجود آورد، توانست آن سیاست محدودسازی دسترسی به زمان پخش را ملغی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بدون همراهی کمیسیون فدرال ارتباطات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نتیجه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فدرال ارتباطات مقرراتی وضع کرد که بر اساس آن شبکه های تلویزیونی موظف شدند که به یکسان، هم در زمان های آزاد یا اختصاص داده شده و هم در زمان های فروخته شده، منفعت عمومی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عاملی موثرتر در توقف آن سیاست، توسعۀ نیاز به برنامه سازی در نتیجۀ تکثیر فزایندۀ شبکه ها و </w:t>
      </w:r>
      <w:bookmarkStart w:id="360" w:name="pg3881_27854"/>
    </w:p>
    <w:p>
      <w:pPr>
        <w:pStyle w:val="BookText"/>
        <w:rPr/>
      </w:pPr>
      <w:bookmarkEnd w:id="360"/>
      <w:r>
        <w:rPr>
          <w:rFonts w:ascii="IRNazanin" w:hAnsi="IRNazanin" w:eastAsia="IRNazanin"/>
          <w:color w:val="111111"/>
          <w:sz w:val="28"/>
          <w:sz w:val="28"/>
          <w:szCs w:val="28"/>
          <w:rtl w:val="true"/>
          <w:lang w:bidi="fa-IR"/>
        </w:rPr>
        <w:t>ایستگاه های تلویزیونی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عامل باید به گرایش سازمان های گوناگون به پرداخت وجه برای در اختیار گرفتن زمان پخش هم اشاره کرد</w:t>
      </w:r>
      <w:r>
        <w:rPr>
          <w:rFonts w:eastAsia="IRNazanin" w:cs="IRNazanin"/>
          <w:color w:val="111111"/>
          <w:sz w:val="28"/>
          <w:szCs w:val="28"/>
          <w:rtl w:val="true"/>
          <w:lang w:bidi="fa-IR"/>
        </w:rPr>
        <w:t>.</w:t>
      </w:r>
    </w:p>
    <w:p>
      <w:pPr>
        <w:pStyle w:val="Heading3"/>
        <w:numPr>
          <w:ilvl w:val="2"/>
          <w:numId w:val="1"/>
        </w:numPr>
        <w:rPr/>
      </w:pPr>
      <w:bookmarkStart w:id="361" w:name="__RefHeading___Toc1656242_2281741623"/>
      <w:bookmarkStart w:id="362" w:name="_Toc127"/>
      <w:bookmarkEnd w:id="361"/>
      <w:r>
        <w:rPr>
          <w:rtl w:val="true"/>
        </w:rPr>
        <w:t>کشمکش ها</w:t>
      </w:r>
      <w:bookmarkEnd w:id="362"/>
    </w:p>
    <w:p>
      <w:pPr>
        <w:pStyle w:val="BookText"/>
        <w:rPr/>
      </w:pPr>
      <w:r>
        <w:rPr>
          <w:rFonts w:ascii="IRNazanin" w:hAnsi="IRNazanin" w:eastAsia="IRNazanin"/>
          <w:color w:val="111111"/>
          <w:sz w:val="28"/>
          <w:sz w:val="28"/>
          <w:szCs w:val="28"/>
          <w:rtl w:val="true"/>
          <w:lang w:bidi="fa-IR"/>
        </w:rPr>
        <w:t>کشمکش 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کسانی وجود دارند که تبشیرگری برای شان فحوایی ناخوشایند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برداشت های منفی، دست کم تا اندازه ای، ناشی از نمایش ها و تصویرسازی های کسالت بار صنایع بصری از مذهب رسانه ای شده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بازنمودهایی این چنینی از تبشیرگران تلویزیونی مبتنی بر تصویرهای کاریکاتورگونه ای است که از آن 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تصاویر که به وفور ارائه شده اند، تبشیرگران تلویزیونی به عنوان آدم هایی دیده می شوند که بیشتر از آن که به دنبال سوق دادن مخاطبان به اخلاص دینی باشند در پی بزرگنمایی خود و موفق تصویرکردن خود هستند؛ برای نمونه سینکلر لوییس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عامه پسندی نوشت که بعد بر اساس آن فیلمی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زیاده روی های اِلمر گنتری که عضو گروهی از تبشیریون به نام مبارزان خیمه است،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این داستان بر حوادث منفردی متکی باشد که احتمالا بخشی از آن ها واقعیت داشته است، ولی در این اثر ندرتاً به خواننده یادآوری می شود که در نهایت آن چه می خواند، یک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داستان المر گنتری و مشتقات آن ـ همان چیزهایی که مردم آمریکا به آن ها ظنین هستند ـ دربارۀ تبشیرگری بسیار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تداوم این تصور از تبشیرگری که گاه کلیسای الکترونیک هم خوانده می شود، موثر بوده است ـ و شاید شرم بار بودن تصویر افرادی چون المر گانتری را بیش از پیش تحکیم کرده است ـ وقوع شماری از اتفاقات فضاحت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معاصیِ کسانی چون جیمی سواگارت و جیم و تَمی فی بیکر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رشد توجه </w:t>
      </w:r>
    </w:p>
    <w:p>
      <w:pPr>
        <w:pStyle w:val="BookText"/>
        <w:rPr/>
      </w:pPr>
      <w:r>
        <w:rPr>
          <w:rFonts w:ascii="IRNazanin" w:hAnsi="IRNazanin" w:eastAsia="IRNazanin"/>
          <w:color w:val="111111"/>
          <w:sz w:val="28"/>
          <w:sz w:val="28"/>
          <w:szCs w:val="28"/>
          <w:rtl w:val="true"/>
          <w:lang w:bidi="fa-IR"/>
        </w:rPr>
        <w:t>رسانه ای به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سواگارت ـ که چهره ای موفق و مشهور بود ـ در بیش از یک موقعیت، در مصاحبت با فواحش،آن هم با وجود نهی دینی از مبادرت به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ثبت تصویر او روی نوار ویدیو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عملی این چنین سالوس وارانه و ریاکارانه تنها می تواند به اشمئزاز عده ای نسبت به تبشیرگران تلویزیونی،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جیم بیکر، مصاحبت جنسی با منشی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جسیکا 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اتهام فعالیت های هم جنس گرایانه، اتهامات فساد مالی، همراه با سبک زندگی عجیب و غریبی که از محل نذورات مخاطبانِ</w:t>
      </w:r>
      <w:r>
        <w:rPr>
          <w:rFonts w:eastAsia="Times New Roman" w:cs="Times New Roman" w:ascii="Times New Roman" w:hAnsi="Times New Roman"/>
          <w:color w:val="111111"/>
          <w:sz w:val="28"/>
          <w:szCs w:val="28"/>
          <w:lang w:val="en-US" w:bidi="en-US"/>
        </w:rPr>
        <w:t>PTL CLUB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تامین می شد، بیکرها را به باد فنا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گزارش شده است که متعاقب این افتضاحات، آشفتگی سیرک مابانه ای که ناشی از سوءمدیریت دیگر مبلغان تبشیری بود، صنعت تبشیرگری را زیر بار تصویری منفی 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اُرال رابرتز در بست نشینی او بسیار آسیب دید، گرچه اقدام او را نمی توان مانند موارد بالا فضاحت 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 عبادتگاه دانشگاه در تولسای اُکلاهما بست نشست و اعلام کرد که اگر نذورات چند میلیون دلاری برای ساختمان بیمارستان وصول نشود، خدا او را از میان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متعاقب این عمل مدعی زیارت عیسی به هیئت مردی سیصد متری در یک مکاشفه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شگردها که بحران آفرینی</w:t>
      </w:r>
      <w:r>
        <w:rPr>
          <w:rStyle w:val="FootnoteAnchor"/>
          <w:rtl w:val="true"/>
        </w:rPr>
        <w:footnoteReference w:id="123"/>
      </w:r>
      <w:r>
        <w:rPr>
          <w:rFonts w:ascii="IRNazanin" w:hAnsi="IRNazanin" w:eastAsia="IRNazanin"/>
          <w:color w:val="111111"/>
          <w:sz w:val="28"/>
          <w:sz w:val="28"/>
          <w:szCs w:val="28"/>
          <w:rtl w:val="true"/>
          <w:lang w:bidi="fa-IR"/>
        </w:rPr>
        <w:t>خوانده شده است، به عنوان اقداماتی متعمدانه برای افزایش درآمد تبشیریون تلویزیونی مورد نقد بدبینانۀ منتقدان قرار گرفته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استفادۀ افراطی از شگرد بحران آفرینی، خطر وازدگی بینندگان را افزایش می دهد و می تواند به تقویت تصویر منفی موجود از تبشیرگران تلویزیونی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سوء استفاده از شگرد بحران آفرینی به همراه فضاحت های پیش گفته، عوامل موثری در کاهش هفتاد و پنج درصدی </w:t>
      </w:r>
      <w:bookmarkStart w:id="363" w:name="pg3881_27856"/>
    </w:p>
    <w:p>
      <w:pPr>
        <w:pStyle w:val="BookText"/>
        <w:rPr/>
      </w:pPr>
      <w:bookmarkEnd w:id="363"/>
      <w:r>
        <w:rPr>
          <w:rFonts w:ascii="IRNazanin" w:hAnsi="IRNazanin" w:eastAsia="IRNazanin"/>
          <w:color w:val="111111"/>
          <w:sz w:val="28"/>
          <w:sz w:val="28"/>
          <w:szCs w:val="28"/>
          <w:rtl w:val="true"/>
          <w:lang w:bidi="fa-IR"/>
        </w:rPr>
        <w:t xml:space="preserve">بینندگان و پشتیبانی های مالی از مبلغان تلویزونی از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تبشیرگران تلویزیونی به تناوب از پیش آمدهای ناگواری مانند موارد بالا جراحت برداشته اند، به نظر می رسد که اکثریت آنان به نحوی که خود تعبیر می کنند، در تلاش برای ترویج انجیل مسیحی صادق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یکی از معیارهای سنجش خلوص نیت تبشیرگران تلویزیونی، عضویت در سازمان ملی برنامه سازان مذهبی و پایبندی به اخلاقیات و ضوابط هماهنگ مالی آن سازمان یا سازمان های مشابه است که شرط عضویت در آن ها پاسخگویی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تنها عدۀ قلیلی از تبشیرگران تلویزیونی از چنین قواعد و شروط مالی ای پیروی می کنند، احتمالا اکثریت ایشان چنین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تبشیرگری تلویزیونی به این خاطر که خودسرانه عمل می کنند، مورد انتقاد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تبشیرگر تلویزیونی تصمیم بگیرد که فعالیت های تبلیغی خود را، به پیروی از محدودیت های سازمان ملی برنامه سازی یا سازمان های مشابه و معیارهای پاسخگویی مالی ایشان، مقید نکند، پس هیچ گونه پاسخگویی مالی ای در کار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قابل پیش بینی است که این چنین فردی می تواند از اعتماد بینندگان سوءاستفاده کند و از نذورات کلاه برداری نماید</w:t>
      </w:r>
      <w:r>
        <w:rPr>
          <w:rFonts w:eastAsia="IRNazanin" w:cs="IRNazanin"/>
          <w:color w:val="111111"/>
          <w:sz w:val="28"/>
          <w:szCs w:val="28"/>
          <w:rtl w:val="true"/>
          <w:lang w:bidi="fa-IR"/>
        </w:rPr>
        <w:t>.</w:t>
      </w:r>
    </w:p>
    <w:p>
      <w:pPr>
        <w:pStyle w:val="Heading3"/>
        <w:numPr>
          <w:ilvl w:val="2"/>
          <w:numId w:val="1"/>
        </w:numPr>
        <w:rPr/>
      </w:pPr>
      <w:bookmarkStart w:id="364" w:name="__RefHeading___Toc1656244_2281741623"/>
      <w:bookmarkStart w:id="365" w:name="_Toc128"/>
      <w:bookmarkEnd w:id="364"/>
      <w:r>
        <w:rPr>
          <w:rtl w:val="true"/>
        </w:rPr>
        <w:t>صداهای دیگر</w:t>
      </w:r>
      <w:bookmarkEnd w:id="365"/>
    </w:p>
    <w:p>
      <w:pPr>
        <w:pStyle w:val="BookText"/>
        <w:rPr/>
      </w:pPr>
      <w:r>
        <w:rPr>
          <w:rFonts w:ascii="IRNazanin" w:hAnsi="IRNazanin" w:eastAsia="IRNazanin"/>
          <w:color w:val="111111"/>
          <w:sz w:val="28"/>
          <w:sz w:val="28"/>
          <w:szCs w:val="28"/>
          <w:rtl w:val="true"/>
          <w:lang w:bidi="fa-IR"/>
        </w:rPr>
        <w:t>صداهای دیگر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بخش اعظم برنامه های مذهبی آمریکایی را مسیحیان تبشیری تولید کرده اند، تلاش های دیگر قابل چشم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برنامه های رادیویی هفتگی و در پی آن ها برنامه های تلویزیونی ارائه شده توسط اسقف فالتون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 به گرمی از سوی کاتولیک ها و غیرمسیحیان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برنامۀ رادیویی ساعت کاتولیک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شین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برنامۀ جذاب و موثر زندگی، شایان زیستن است شروع به بیان آموزه های کاتولیک در یک شوی </w:t>
      </w:r>
    </w:p>
    <w:p>
      <w:pPr>
        <w:pStyle w:val="BookText"/>
        <w:rPr/>
      </w:pPr>
      <w:r>
        <w:rPr>
          <w:rFonts w:ascii="IRNazanin" w:hAnsi="IRNazanin" w:eastAsia="IRNazanin"/>
          <w:color w:val="111111"/>
          <w:sz w:val="28"/>
          <w:sz w:val="28"/>
          <w:szCs w:val="28"/>
          <w:rtl w:val="true"/>
          <w:lang w:bidi="fa-IR"/>
        </w:rPr>
        <w:t>تلویزیونی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پخش موفق شش سالۀ آن برنامه، او از سال</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اجرای برنامۀ اسقف شین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برنامه از شخصیت گرم اسقف شین، سبک اجرای او که به نوعی سبکی تئاتری بود، مهارت های داستان گویی وی و سلوک همواره گرم او که بیننده را جذب می کرد،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شوهای شین بینندگان بسیاری را جذب خود کرد و بسیاری از دوستان را به کلیسا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شبکۀ تلویزیونی کلمۀ جاوید که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مادر آنجلیکا تاسیس شد، شبکۀ موفقی است که با برنامه های فاخر و بحث های قابل فهم، عبادات، داستان های دلنشین، پخش مجدد شوی زندگی، شایان زیستن استِ اسقف شین، نشست های آموزشی که اعتقادات کلیسای کاتولیک رومی را شرح می دهند، مخاطبان انبوهی را هم درون و هم بیرون آمریکا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این شبکه، رایگان به ایستگاه های تلویزیونی کابلی و ماهواره ای ارائه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مورمون ها می توانند ادعا کنند که قدیمی ترین تشکیلاتی هستند که در سطح ملی برنامه پخش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مداوم و هر یکشنبه صبح، برنامه های مذهبی ای در قالب موسیقی و گفتار، نمایش موسیقی بسیار تحسین شدۀ گروه همسرایی پرستش گاه موقت مورمون و پیام های کوتاه غیرفرقه ای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نیم ساعته ای مرکب از موسیقی و کلام که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چند سالی است که از تلویزیون هم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عیسی مسیحِ قدیسان روز بازپسین که کلیسایی مورمون با نام مستعار </w:t>
      </w:r>
      <w:r>
        <w:rPr>
          <w:rFonts w:eastAsia="Times New Roman" w:cs="Times New Roman" w:ascii="Times New Roman" w:hAnsi="Times New Roman"/>
          <w:color w:val="111111"/>
          <w:sz w:val="28"/>
          <w:szCs w:val="28"/>
          <w:lang w:val="en-US" w:bidi="en-US"/>
        </w:rPr>
        <w:t>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اخیرا برنامه های خود را از طریق شبکۀ تلویزیونی دانشگاه بریگام جوان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تقریبا هر چیزی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ورزشی دانشگاه بریگام جوان که کلیسای مورمون مالک آن است، مباحثات جاری دربارۀ متون مقدس در دپارتمان مطالعۀ دین دانشگاه، سخنرانی مدیران عمومی کلیسای </w:t>
      </w:r>
      <w:bookmarkStart w:id="366" w:name="pg3881_27858"/>
    </w:p>
    <w:p>
      <w:pPr>
        <w:pStyle w:val="BookText"/>
        <w:rPr/>
      </w:pPr>
      <w:bookmarkEnd w:id="366"/>
      <w:r>
        <w:rPr>
          <w:rFonts w:ascii="IRNazanin" w:hAnsi="IRNazanin" w:eastAsia="IRNazanin"/>
          <w:color w:val="111111"/>
          <w:sz w:val="28"/>
          <w:sz w:val="28"/>
          <w:szCs w:val="28"/>
          <w:rtl w:val="true"/>
          <w:lang w:bidi="fa-IR"/>
        </w:rPr>
        <w:t>مورمون برای اعضا در کنفرانس های عمومی نیم سالانه، برنامه های خودیاری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BYUTV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شکل روزافزونی روی شبکه های کابلی و نیز روی شبکۀ دیش و روی سامانۀ </w:t>
      </w:r>
      <w:r>
        <w:rPr>
          <w:rFonts w:eastAsia="Times New Roman" w:cs="Times New Roman" w:ascii="Times New Roman" w:hAnsi="Times New Roman"/>
          <w:color w:val="111111"/>
          <w:sz w:val="28"/>
          <w:szCs w:val="28"/>
          <w:lang w:val="en-US" w:bidi="en-US"/>
        </w:rPr>
        <w:t>DirecTV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دسترس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امروز اسلام، هندوییسم، بودیسم و دیگر ادیان غیرمسیحیِ عمده حضور چشمگیری در برنامه سازی دینی آمریکایی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برخی برنامه های محلی و اتحادیه های دینی با گروه های فنی همکاری دارند، این گروه ها و دیگر گروه های غیرمسیحی از مخاطبان گستردۀ ملی سود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آن جا که مهاجرت به آمریکا، به ویژه در میان مسلمانان ادامه دارد و چون اسلام نیز دینی مبتنی بر دعوت و فراخواندن دیگران به خود است، شکی نیست که این وضعیت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تنها نظام های پخش تلویزیونی ملی با سرانِ یهودی، آن هایی هستند که از یهودیانِ به مسیحیت گرویده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گروه زولا 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یهودیان از تبشیرگری تلویزیونی قابل فهم است؛ چرا که یهودیت اساساً به دنبال گرویدن دیگران به یهودیت نیستند</w:t>
      </w:r>
      <w:r>
        <w:rPr>
          <w:rFonts w:eastAsia="IRNazanin" w:cs="IRNazanin"/>
          <w:color w:val="111111"/>
          <w:sz w:val="28"/>
          <w:szCs w:val="28"/>
          <w:rtl w:val="true"/>
          <w:lang w:bidi="fa-IR"/>
        </w:rPr>
        <w:t>.</w:t>
      </w:r>
    </w:p>
    <w:p>
      <w:pPr>
        <w:pStyle w:val="Heading3"/>
        <w:numPr>
          <w:ilvl w:val="2"/>
          <w:numId w:val="1"/>
        </w:numPr>
        <w:rPr/>
      </w:pPr>
      <w:bookmarkStart w:id="367" w:name="__RefHeading___Toc1656246_2281741623"/>
      <w:bookmarkStart w:id="368" w:name="_Toc129"/>
      <w:bookmarkEnd w:id="367"/>
      <w:r>
        <w:rPr>
          <w:rtl w:val="true"/>
        </w:rPr>
        <w:t>مناقشه ها</w:t>
      </w:r>
      <w:bookmarkEnd w:id="368"/>
    </w:p>
    <w:p>
      <w:pPr>
        <w:pStyle w:val="BookText"/>
        <w:rPr/>
      </w:pPr>
      <w:r>
        <w:rPr>
          <w:rFonts w:ascii="IRNazanin" w:hAnsi="IRNazanin" w:eastAsia="IRNazanin"/>
          <w:color w:val="111111"/>
          <w:sz w:val="28"/>
          <w:sz w:val="28"/>
          <w:szCs w:val="28"/>
          <w:rtl w:val="true"/>
          <w:lang w:bidi="fa-IR"/>
        </w:rPr>
        <w:t>مناقشه 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عوامل دیگر، این ترس ابراز شده است که توفیق تبشیرگری تلویزیونی، جمعیت عظیمی از کلیسایی نشده ها</w:t>
      </w:r>
      <w:r>
        <w:rPr>
          <w:rStyle w:val="FootnoteAnchor"/>
          <w:rtl w:val="true"/>
        </w:rPr>
        <w:footnoteReference w:id="124"/>
      </w:r>
      <w:r>
        <w:rPr>
          <w:rFonts w:ascii="IRNazanin" w:hAnsi="IRNazanin" w:eastAsia="IRNazanin"/>
          <w:color w:val="111111"/>
          <w:sz w:val="28"/>
          <w:sz w:val="28"/>
          <w:szCs w:val="28"/>
          <w:rtl w:val="true"/>
          <w:lang w:bidi="fa-IR"/>
        </w:rPr>
        <w:t>را در میان معتقدان به مسیحیت در آمریکا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که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کلیساروی منظم نیستند، در حالی که بسیاری از این جماعتِ به اصطلاح کلیسایی نشده، ممکن است به شکل هفتگی شکار تبشیرگران تلویزیونی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به جای حمایت مالی و اجتماعی از کلیساهای محلی یا حمایت از آن ها در برپایی مراسم عبادی، بسیاری از آمریکایی هایی که گرایش </w:t>
      </w:r>
    </w:p>
    <w:p>
      <w:pPr>
        <w:pStyle w:val="BookText"/>
        <w:rPr/>
      </w:pPr>
      <w:r>
        <w:rPr>
          <w:rFonts w:ascii="IRNazanin" w:hAnsi="IRNazanin" w:eastAsia="IRNazanin"/>
          <w:color w:val="111111"/>
          <w:sz w:val="28"/>
          <w:sz w:val="28"/>
          <w:szCs w:val="28"/>
          <w:rtl w:val="true"/>
          <w:lang w:bidi="fa-IR"/>
        </w:rPr>
        <w:t>ذهنی به معنویت دارند، دین خود را از تبشیرگران تلویزیونی می گیرند و در عوض، به بهای نادیده گرفتن کلیساهای محلی، برای موعظه گران تلویزیونی پول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نمونه تشکیلات باشگاه هفتصدِ پت رابرتسِن و اتحادیۀ تبشیریِ بیلی گراهام بینندگان خود را تشویق می کنند که در امور کلیساهای محلی خود مشارکت کنند، بسیاری از تبشیرگران تلویزیونی از مشارکت با تشکیلات مذهبی محلی یا تشویق به همکاری با آن ها پرهیز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ملاحظاتی دربارۀ تلاش تبشیرگران تلویزیونی برای نفوذ در مبارزات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جری فالول و سازمان او با نام اکثریت اخلاقی و باشگاه هفتصدِ پت رابرتسِن در ماجراهای نامزدی جمهوری خواهان در انتخابات ریاست جمهوری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نمونۀ برجسته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افراد مدعی توفیق در آن مبارزات شدند، به درستی نمی شود تاثیر دیدگاه های سیاسی این افراد و پیروان شان را بر مشارکت مسیحیان محافظه کارتر در این فعالیت های سیاسی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دربارۀ مداخلۀ مستقیم دین در سیاست، ناظر بر نظریۀ جدایی کلیسا از قدرت و معاف بودن کلیساها و دیگر سازمان های دینی از مالیات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دیگر می تواند جدایی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سازمان ملی برنامه سازان مذهبی </w:t>
      </w:r>
      <w:r>
        <w:rPr>
          <w:rFonts w:eastAsia="Times New Roman" w:cs="Times New Roman" w:ascii="Times New Roman" w:hAnsi="Times New Roman"/>
          <w:color w:val="111111"/>
          <w:sz w:val="28"/>
          <w:szCs w:val="28"/>
          <w:lang w:val="en-US" w:bidi="en-US"/>
        </w:rPr>
        <w:t>NRB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اتحادیۀ ملی تبشیریون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گرچه </w:t>
      </w:r>
      <w:r>
        <w:rPr>
          <w:rFonts w:eastAsia="Times New Roman" w:cs="Times New Roman" w:ascii="Times New Roman" w:hAnsi="Times New Roman"/>
          <w:color w:val="111111"/>
          <w:sz w:val="28"/>
          <w:szCs w:val="28"/>
          <w:lang w:val="en-US" w:bidi="en-US"/>
        </w:rPr>
        <w:t>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بازوی رادیو و تلویزیونی خود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دلیل این جدایی نزدیک شدن </w:t>
      </w:r>
      <w:r>
        <w:rPr>
          <w:rFonts w:eastAsia="Times New Roman" w:cs="Times New Roman" w:ascii="Times New Roman" w:hAnsi="Times New Roman"/>
          <w:color w:val="111111"/>
          <w:sz w:val="28"/>
          <w:szCs w:val="28"/>
          <w:lang w:val="en-US" w:bidi="en-US"/>
        </w:rPr>
        <w:t>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شورای ملی کلیساها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گرایشی لیبرال تر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مقررات </w:t>
      </w:r>
      <w:r>
        <w:rPr>
          <w:rFonts w:eastAsia="Times New Roman" w:cs="Times New Roman" w:ascii="Times New Roman" w:hAnsi="Times New Roman"/>
          <w:color w:val="111111"/>
          <w:sz w:val="28"/>
          <w:szCs w:val="28"/>
          <w:lang w:val="en-US" w:bidi="en-US"/>
        </w:rPr>
        <w:t>NCC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اعضای وابسته نمی توانند عضو وابسته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سازمان ملی برنامه سازان مذهبی این اقدام اتحادیۀ ملی تبشیریون را نوعی سازش با دشمن تلقی کردند</w:t>
      </w:r>
      <w:r>
        <w:rPr>
          <w:rFonts w:eastAsia="IRNazanin" w:cs="IRNazanin"/>
          <w:color w:val="111111"/>
          <w:sz w:val="28"/>
          <w:szCs w:val="28"/>
          <w:rtl w:val="true"/>
          <w:lang w:bidi="fa-IR"/>
        </w:rPr>
        <w:t xml:space="preserve">. </w:t>
      </w:r>
      <w:bookmarkStart w:id="369" w:name="pg3881_27860"/>
    </w:p>
    <w:p>
      <w:pPr>
        <w:pStyle w:val="BookText"/>
        <w:rPr/>
      </w:pPr>
      <w:bookmarkEnd w:id="369"/>
      <w:r>
        <w:rPr>
          <w:rFonts w:ascii="IRNazanin" w:hAnsi="IRNazanin" w:eastAsia="IRNazanin"/>
          <w:color w:val="111111"/>
          <w:sz w:val="28"/>
          <w:sz w:val="28"/>
          <w:szCs w:val="28"/>
          <w:rtl w:val="true"/>
          <w:lang w:bidi="fa-IR"/>
        </w:rPr>
        <w:t>باید صبر کرد و دید که این انشعاب چه تاثیری بر تبشیرگری تلویزیونی آمریکایی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این انشعاب گفته می شد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مذهبی آمریکایی را اعضای سازمان ملی برنامه سازان مذهبی تولید می کنند</w:t>
      </w:r>
      <w:r>
        <w:rPr>
          <w:rFonts w:eastAsia="IRNazanin" w:cs="IRNazanin"/>
          <w:color w:val="111111"/>
          <w:sz w:val="28"/>
          <w:szCs w:val="28"/>
          <w:rtl w:val="true"/>
          <w:lang w:bidi="fa-IR"/>
        </w:rPr>
        <w:t>.</w:t>
      </w:r>
    </w:p>
    <w:p>
      <w:pPr>
        <w:pStyle w:val="Heading3"/>
        <w:numPr>
          <w:ilvl w:val="2"/>
          <w:numId w:val="1"/>
        </w:numPr>
        <w:rPr/>
      </w:pPr>
      <w:bookmarkStart w:id="370" w:name="__RefHeading___Toc1656248_2281741623"/>
      <w:bookmarkStart w:id="371" w:name="_Toc130"/>
      <w:bookmarkEnd w:id="370"/>
      <w:r>
        <w:rPr>
          <w:rtl w:val="true"/>
        </w:rPr>
        <w:t>جهت گیری های جدید</w:t>
      </w:r>
      <w:bookmarkEnd w:id="371"/>
    </w:p>
    <w:p>
      <w:pPr>
        <w:pStyle w:val="BookText"/>
        <w:rPr/>
      </w:pPr>
      <w:r>
        <w:rPr>
          <w:rFonts w:ascii="IRNazanin" w:hAnsi="IRNazanin" w:eastAsia="IRNazanin"/>
          <w:color w:val="111111"/>
          <w:sz w:val="28"/>
          <w:sz w:val="28"/>
          <w:szCs w:val="28"/>
          <w:rtl w:val="true"/>
          <w:lang w:bidi="fa-IR"/>
        </w:rPr>
        <w:t>جهت گیری های جدید</w:t>
      </w:r>
    </w:p>
    <w:p>
      <w:pPr>
        <w:pStyle w:val="BookText"/>
        <w:rPr/>
      </w:pPr>
      <w:r>
        <w:rPr>
          <w:rFonts w:ascii="IRNazanin" w:hAnsi="IRNazanin" w:eastAsia="IRNazanin"/>
          <w:color w:val="111111"/>
          <w:sz w:val="28"/>
          <w:sz w:val="28"/>
          <w:szCs w:val="28"/>
          <w:rtl w:val="true"/>
          <w:lang w:bidi="fa-IR"/>
        </w:rPr>
        <w:t>همان طور که در بخش بشارت گفته شد، تحول تازه ای در فعالیت های تبشیریون تلویزیونی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مواردی حالت بازی و شوهای طنزآمیز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اَشکال برنامه سازی نمی توانند به طور کامل جایگزین موعظه شوند و موعظه ها دست کم به عنوان بخشی از برنامه های مذهبی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ابداعات جالب در زمینۀ برنامه سازی مذهبی خاطرنشان می کنند که عده ای در این عرصه هستند که به راه های جدید برای ترویج و رساندن بشارت مسیح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زمانی که این متن نوشته می شود، دو گروه مختلف تصمیم گرفته اند شبکه ای مختص پخش ویدیوکلیپ مسیحی راه 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گروه ها مقابله با محصولاتی است که شبکه های سکولاری مانند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VH1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بگذرد تا معلوم شود که آیا می توان این تکاپوها را در زمرۀ برنامه های موفق تلویزیونی قلمداد کرد و آیا این ها می توانند به عنوان نمودی از تبشیرگرایی تلویزیونی، که به نظر می رسد نیت این گروه ها باشد، به حساب آیند</w:t>
      </w:r>
      <w:r>
        <w:rPr>
          <w:rFonts w:eastAsia="IRNazanin" w:cs="IRNazanin"/>
          <w:color w:val="111111"/>
          <w:sz w:val="28"/>
          <w:szCs w:val="28"/>
          <w:rtl w:val="true"/>
          <w:lang w:bidi="fa-IR"/>
        </w:rPr>
        <w:t>.</w:t>
      </w:r>
    </w:p>
    <w:p>
      <w:pPr>
        <w:pStyle w:val="Heading3"/>
        <w:numPr>
          <w:ilvl w:val="2"/>
          <w:numId w:val="1"/>
        </w:numPr>
        <w:rPr/>
      </w:pPr>
      <w:bookmarkStart w:id="372" w:name="__RefHeading___Toc1656250_2281741623"/>
      <w:bookmarkStart w:id="373" w:name="_Toc131"/>
      <w:bookmarkEnd w:id="372"/>
      <w:r>
        <w:rPr>
          <w:rtl w:val="true"/>
        </w:rPr>
        <w:t>آینده</w:t>
      </w:r>
      <w:bookmarkEnd w:id="373"/>
    </w:p>
    <w:p>
      <w:pPr>
        <w:pStyle w:val="BookText"/>
        <w:rPr/>
      </w:pPr>
      <w:r>
        <w:rPr>
          <w:rFonts w:ascii="IRNazanin" w:hAnsi="IRNazanin" w:eastAsia="IRNazanin"/>
          <w:color w:val="111111"/>
          <w:sz w:val="28"/>
          <w:sz w:val="28"/>
          <w:szCs w:val="28"/>
          <w:rtl w:val="true"/>
          <w:lang w:bidi="fa-IR"/>
        </w:rPr>
        <w:t>آینده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مدتی بیش از پنجاه سال، تبشیرگری تلویزیونی بخشی جدانشدنی از تلویزیون آمریکا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غنا و تاثیر تبشیرگری تلویزیونی تا اندازه ای </w:t>
      </w:r>
      <w:bookmarkStart w:id="374" w:name="pg3881_27861"/>
    </w:p>
    <w:p>
      <w:pPr>
        <w:pStyle w:val="BookText"/>
        <w:rPr/>
      </w:pPr>
      <w:bookmarkEnd w:id="374"/>
      <w:r>
        <w:rPr>
          <w:rFonts w:ascii="IRNazanin" w:hAnsi="IRNazanin" w:eastAsia="IRNazanin"/>
          <w:color w:val="111111"/>
          <w:sz w:val="28"/>
          <w:sz w:val="28"/>
          <w:szCs w:val="28"/>
          <w:rtl w:val="true"/>
          <w:lang w:bidi="fa-IR"/>
        </w:rPr>
        <w:t>به خاطر افتضاحات یادشده، تغییر بافت جمعیتی آمریکا و آن چه متدینین محافظه کار آن را اوج گیری سکولاریسم می نامند، در جذر و مد بوده است، هم چنان نیرویی است که باید آن را در جامعه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مذهبی که انگیزه و ابزار مالی کافی در اختیار داشته باشد، می تواند برای ابلاغ پیام خود در آمریکا به امکان پخش برنامه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جوامع دموکراتیک، آزادی بیان است و عقاید دینی همواره بخشی از منظرۀ اجتماعی بوده اند و در حال حاضر نیز بخشی از امواجِ حامل عقاید به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اعتقاد به وجود جایگاهی امن برای دین در سرسرای شهر الکترونیک آمریکا، همۀ دلایل مورد نیاز، موجود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بررسی شبکۀ ماهواره‌ای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احمد شاکرنژاد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بنگرید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اونجلیست‌ها،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بازنمایی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گورملی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تبرایی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پاپوش دوختن برای مسیحیان 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ماه‌نامۀ رواق هنر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ریچارد آرمسترانگ</w:t>
      </w:r>
    </w:p>
    <w:p>
      <w:pPr>
        <w:pStyle w:val="BookText"/>
        <w:rPr/>
      </w:pPr>
      <w:r>
        <w:rPr>
          <w:rFonts w:ascii="IRNazanin" w:hAnsi="IRNazanin" w:eastAsia="IRNazanin"/>
          <w:color w:val="111111"/>
          <w:sz w:val="28"/>
          <w:sz w:val="28"/>
          <w:szCs w:val="28"/>
          <w:rtl w:val="true"/>
          <w:lang w:bidi="fa-IR"/>
        </w:rPr>
        <w:t>ترجمۀ عبدالله گیویان</w:t>
      </w:r>
    </w:p>
    <w:p>
      <w:pPr>
        <w:pStyle w:val="Heading3"/>
        <w:numPr>
          <w:ilvl w:val="2"/>
          <w:numId w:val="1"/>
        </w:numPr>
        <w:rPr/>
      </w:pPr>
      <w:bookmarkStart w:id="375" w:name="__RefHeading___Toc1656252_2281741623"/>
      <w:bookmarkStart w:id="376" w:name="_Toc132"/>
      <w:bookmarkEnd w:id="375"/>
      <w:r>
        <w:rPr>
          <w:rtl w:val="true"/>
        </w:rPr>
        <w:t>برای مطالعۀ بیشتر</w:t>
      </w:r>
      <w:bookmarkEnd w:id="376"/>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Abelman, R., &amp; Hoover,S. M. (Eds.). (1990). Religious television: Controversies and conclusions. Norwood, NJ: Ablex Publishing Corporation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Barna Group, The. (2005). Retrieved June 8, 2005, from http://www.barna.org</w:t>
      </w:r>
    </w:p>
    <w:p>
      <w:pPr>
        <w:pStyle w:val="BookText"/>
        <w:rPr/>
      </w:pPr>
      <w:r>
        <w:rPr>
          <w:rFonts w:eastAsia="Times New Roman" w:cs="Times New Roman" w:ascii="Times New Roman" w:hAnsi="Times New Roman"/>
          <w:color w:val="111111"/>
          <w:sz w:val="28"/>
          <w:szCs w:val="28"/>
          <w:lang w:val="en-US" w:bidi="en-US"/>
        </w:rPr>
        <w:t>Bruce, S. (1990). Pray TV: Televangelism in America. London and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Cardwell, J.D. (1984). Mass media Christianity: Televangelism and the great commission. Boston: University Press of America</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Vries, H., &amp; Weber, S. (Eds.) (2001). Religion and media. Stanford, CA: Stanford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Ellens, J.H. (1974). Models of religious broadcasting. NewYork: William Eerdmans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Erickson, H. (1992). Religious radio and television in the United States, 1921–1991: The programs and personalities. Jefferson, NC: McFarland &amp; Company, Inc.,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Foege, A. (1996). The empire God built: Inside Pat Robertson’s media machine. New York: John Wiley &amp; 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Frankl, R. (1987). Televangelism: The marketing of popular religion. Carbondale and Edwardsville: Southern Illinois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J.K., &amp; Shupe, A. (1988). Televangelism: Power and politics on God’s frontier. New York: Henry Holt and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J.K., &amp; Swann, C.E. (1981). Prime time preachers: The rising power of televangelism.Reading, MA: AddisonWesley Publishing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S.M. (1988). Mass media religion: The social sources of the electronic church. Thousand Oaks, CA: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S.M., &amp; Clark, L.S. (Eds.). (2002). Practicing religion in the age of media: Explorations in media, religion, and culture.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S.M., &amp; Lundby,K. (1997). Rethinking media, religion and culture. Thousand Oaks, CA: Sage Publications</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Horsfield, P. G. (1984). Religious television: The American experience.New York: Longman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Howley, K. (2001). Prey TV televangelism and interpellation. Journal of Film &amp;Video,53(2/3), 23–38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Melton, J. G., Lucas, P.C., &amp; Stone, J.R. (1997). Prime-time religion: Anencyclopedia of religious broadcasting.Phoenix, AZ: Oryx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Newman, J. (1996). Religion vs. television: Competitors in cultural context. Westport, CT: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Noll, M.A. (2000). American Evangelical Christianity: An introduction.Malden, MA: Blackwell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Peck, J. (1993). The gods of televangelism.Cresskill, NJ: Hampton Press,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Peck, J. (1993). Selling goods and selling God: Advertising, televangelism and the commodity form. Journal of Communication Inquiry,17,5–25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Q.J. (1991). Televangelism and American culture: The business of popular religion. Grand Rapids, MI: Baker Book House</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Winzenburg, S. (2001). Televangelist report card. Christianity Today,45(13), 88–92</w:t>
      </w:r>
      <w:r>
        <w:rPr>
          <w:rFonts w:eastAsia="Times New Roman" w:cs="Times New Roman" w:ascii="Times New Roman" w:hAnsi="Times New Roman"/>
          <w:color w:val="111111"/>
          <w:sz w:val="28"/>
          <w:szCs w:val="28"/>
          <w:rtl w:val="true"/>
          <w:lang w:val="en-US" w:bidi="en-US"/>
        </w:rPr>
        <w:t xml:space="preserve">. </w:t>
      </w:r>
      <w:bookmarkStart w:id="377" w:name="pg3881_27864"/>
    </w:p>
    <w:p>
      <w:pPr>
        <w:pStyle w:val="Heading2"/>
        <w:numPr>
          <w:ilvl w:val="1"/>
          <w:numId w:val="1"/>
        </w:numPr>
        <w:rPr/>
      </w:pPr>
      <w:bookmarkStart w:id="378" w:name="__RefHeading___Toc1656254_2281741623"/>
      <w:bookmarkStart w:id="379" w:name="_Toc133"/>
      <w:bookmarkEnd w:id="377"/>
      <w:bookmarkEnd w:id="378"/>
      <w:r>
        <w:rPr>
          <w:rtl w:val="true"/>
        </w:rPr>
        <w:t>تحریم ها</w:t>
      </w:r>
      <w:bookmarkEnd w:id="379"/>
    </w:p>
    <w:p>
      <w:pPr>
        <w:pStyle w:val="Heading3"/>
        <w:numPr>
          <w:ilvl w:val="2"/>
          <w:numId w:val="1"/>
        </w:numPr>
        <w:rPr/>
      </w:pPr>
      <w:bookmarkStart w:id="380" w:name="__RefHeading___Toc1656256_2281741623"/>
      <w:bookmarkStart w:id="381" w:name="_Toc134"/>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تحریم 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تحریم</w:t>
      </w:r>
      <w:r>
        <w:rPr>
          <w:rStyle w:val="FootnoteAnchor"/>
          <w:rtl w:val="true"/>
        </w:rPr>
        <w:footnoteReference w:id="126"/>
      </w:r>
      <w:r>
        <w:rPr>
          <w:rFonts w:ascii="IRNazanin" w:hAnsi="IRNazanin" w:eastAsia="IRNazanin"/>
          <w:color w:val="111111"/>
          <w:sz w:val="28"/>
          <w:sz w:val="28"/>
          <w:szCs w:val="28"/>
          <w:rtl w:val="true"/>
          <w:lang w:bidi="fa-IR"/>
        </w:rPr>
        <w:t>رفتارهایی را در برمی گیرد که در آن یک طرف از انجام مبادلات اقتصادی با طرف دیگر خودداری می کند تا بدین وسیله طرف مذکور را تنبیه کرده و یا او را وادار به تغییر خط مشی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طول تاریخ موارد بسیاری از این گونه تحریم ها اتفاق افتاده است ولی ریشه و اصل این واژه به سرزمین ایرلند در سال</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زمانی که مستاجرینِ کاپیتان چارلز کانینگهام بایکوت به خاطر دستمزد پایین خود و بالا رفتن اجاره ها که در نتیجۀ قطع ارتباطات اجتماعی و اقتصادی با صاحب ملک حاصل شده بود، دست به اعتراض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به سرعت از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و این کلمه به طور گسترده ای پیش از مرگ کاپیتان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شد</w:t>
      </w:r>
      <w:r>
        <w:rPr>
          <w:rFonts w:eastAsia="IRNazanin" w:cs="IRNazanin"/>
          <w:color w:val="111111"/>
          <w:sz w:val="28"/>
          <w:szCs w:val="28"/>
          <w:rtl w:val="true"/>
          <w:lang w:bidi="fa-IR"/>
        </w:rPr>
        <w:t xml:space="preserve">. </w:t>
      </w:r>
      <w:bookmarkStart w:id="382" w:name="pg3881_27865"/>
    </w:p>
    <w:p>
      <w:pPr>
        <w:pStyle w:val="Heading3"/>
        <w:numPr>
          <w:ilvl w:val="2"/>
          <w:numId w:val="1"/>
        </w:numPr>
        <w:rPr/>
      </w:pPr>
      <w:bookmarkStart w:id="383" w:name="__RefHeading___Toc1656258_2281741623"/>
      <w:bookmarkStart w:id="384" w:name="_Toc135"/>
      <w:bookmarkEnd w:id="382"/>
      <w:bookmarkEnd w:id="383"/>
      <w:r>
        <w:rPr>
          <w:rtl w:val="true"/>
        </w:rPr>
        <w:t>روش های گوناگون</w:t>
      </w:r>
      <w:bookmarkEnd w:id="384"/>
    </w:p>
    <w:p>
      <w:pPr>
        <w:pStyle w:val="BookText"/>
        <w:rPr/>
      </w:pPr>
      <w:r>
        <w:rPr>
          <w:rFonts w:ascii="IRNazanin" w:hAnsi="IRNazanin" w:eastAsia="IRNazanin"/>
          <w:color w:val="111111"/>
          <w:sz w:val="28"/>
          <w:sz w:val="28"/>
          <w:szCs w:val="28"/>
          <w:rtl w:val="true"/>
          <w:lang w:bidi="fa-IR"/>
        </w:rPr>
        <w:t>روش های گوناگون</w:t>
      </w:r>
    </w:p>
    <w:p>
      <w:pPr>
        <w:pStyle w:val="BookText"/>
        <w:rPr/>
      </w:pPr>
      <w:r>
        <w:rPr>
          <w:rFonts w:ascii="IRNazanin" w:hAnsi="IRNazanin" w:eastAsia="IRNazanin"/>
          <w:color w:val="111111"/>
          <w:sz w:val="28"/>
          <w:sz w:val="28"/>
          <w:szCs w:val="28"/>
          <w:rtl w:val="true"/>
          <w:lang w:bidi="fa-IR"/>
        </w:rPr>
        <w:t>امروزه تحریم ها دامنه ای از روش ها را در برگرفته و به اشکال گوناگون مانند تحریم های ملی، تحریم های سیاسی، تحریم های کاری، تحریم های مصرفی و تحریم های اخلاقی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هنگامی که داد و ستد با کشوری را قطع می کنند، دست به تحریم آن کشور زده اند؛ مانند تصمیم اتحادیۀ کشورهای عربی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تحریم تمامی شرکت هایی که با کشور اسراییل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اعمال شده از سوی اتحادیۀ کشورهای عربی تنش های نظامی را در منطقه تشدید کرد ولی اغلب تحریم های انجام شده در قرون نوزدهم و بیستم غیرنظامی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مهاتما گاندی، شماری از مسلمانان، هندوها و سیک ها را با هدف تحریم مصرف کالاهای ساخت بریتانیا به منظور رسیدن به استقلال ملی گرد هم آورد</w:t>
      </w:r>
      <w:r>
        <w:rPr>
          <w:rFonts w:eastAsia="IRNazanin" w:cs="IRNazanin"/>
          <w:color w:val="111111"/>
          <w:sz w:val="28"/>
          <w:szCs w:val="28"/>
          <w:rtl w:val="true"/>
          <w:lang w:bidi="fa-IR"/>
        </w:rPr>
        <w:t>.</w:t>
      </w:r>
    </w:p>
    <w:p>
      <w:pPr>
        <w:pStyle w:val="Heading3"/>
        <w:numPr>
          <w:ilvl w:val="2"/>
          <w:numId w:val="1"/>
        </w:numPr>
        <w:rPr/>
      </w:pPr>
      <w:bookmarkStart w:id="385" w:name="__RefHeading___Toc1656260_2281741623"/>
      <w:bookmarkStart w:id="386" w:name="_Toc136"/>
      <w:bookmarkEnd w:id="385"/>
      <w:r>
        <w:rPr>
          <w:rtl w:val="true"/>
        </w:rPr>
        <w:t>تحریم های بازاری</w:t>
      </w:r>
      <w:bookmarkEnd w:id="386"/>
    </w:p>
    <w:p>
      <w:pPr>
        <w:pStyle w:val="BookText"/>
        <w:rPr/>
      </w:pPr>
      <w:r>
        <w:rPr>
          <w:rFonts w:ascii="IRNazanin" w:hAnsi="IRNazanin" w:eastAsia="IRNazanin"/>
          <w:color w:val="111111"/>
          <w:sz w:val="28"/>
          <w:sz w:val="28"/>
          <w:szCs w:val="28"/>
          <w:rtl w:val="true"/>
          <w:lang w:bidi="fa-IR"/>
        </w:rPr>
        <w:t>تحریم های بازاری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اهداف سیاسی، تحریم های بازاری</w:t>
      </w:r>
      <w:r>
        <w:rPr>
          <w:rStyle w:val="FootnoteAnchor"/>
          <w:rtl w:val="true"/>
        </w:rPr>
        <w:footnoteReference w:id="127"/>
      </w:r>
      <w:r>
        <w:rPr>
          <w:rFonts w:ascii="IRNazanin" w:hAnsi="IRNazanin" w:eastAsia="IRNazanin"/>
          <w:color w:val="111111"/>
          <w:sz w:val="28"/>
          <w:sz w:val="28"/>
          <w:szCs w:val="28"/>
          <w:rtl w:val="true"/>
          <w:lang w:bidi="fa-IR"/>
        </w:rPr>
        <w:t xml:space="preserve">مدرن تلاش دارند تا شرکت ها را مجبور سازند شرایط کاری را بهبود بخشند؛ مانند تحریم انگور که توسط سزار چاوز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منجر به بهبود شرایط کاری و افزایش دستمزد کارگران شاغل در مزارع آمریکایی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تحریم هایی برای دستیابی به برابری اجتماعی به کار گرفته شده اند؛ مانند زمانی که انجمن ملی سیاه پوستان خواستار تحریم کالاهای ساخته شده توسط بردگان در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تحریم های سیاسی، بازاری و اخلاقی، نشان دهندۀ گسترۀ سازمان ها، تکنیک ها و رویدادهای تاریخی ای هستند که آغازگر تحریم ها در طی قرون نوزدهم و بیستم تحریم بوده اند</w:t>
      </w:r>
      <w:r>
        <w:rPr>
          <w:rFonts w:eastAsia="IRNazanin" w:cs="IRNazanin"/>
          <w:color w:val="111111"/>
          <w:sz w:val="28"/>
          <w:szCs w:val="28"/>
          <w:rtl w:val="true"/>
          <w:lang w:bidi="fa-IR"/>
        </w:rPr>
        <w:t xml:space="preserve">. </w:t>
      </w:r>
      <w:bookmarkStart w:id="387" w:name="pg3881_27866"/>
    </w:p>
    <w:p>
      <w:pPr>
        <w:pStyle w:val="Heading3"/>
        <w:numPr>
          <w:ilvl w:val="2"/>
          <w:numId w:val="1"/>
        </w:numPr>
        <w:rPr/>
      </w:pPr>
      <w:bookmarkStart w:id="388" w:name="__RefHeading___Toc1656262_2281741623"/>
      <w:bookmarkStart w:id="389" w:name="_Toc137"/>
      <w:bookmarkEnd w:id="387"/>
      <w:bookmarkEnd w:id="388"/>
      <w:r>
        <w:rPr>
          <w:rtl w:val="true"/>
        </w:rPr>
        <w:t>تلاقی و تضاد</w:t>
      </w:r>
      <w:bookmarkEnd w:id="389"/>
    </w:p>
    <w:p>
      <w:pPr>
        <w:pStyle w:val="BookText"/>
        <w:rPr/>
      </w:pPr>
      <w:r>
        <w:rPr>
          <w:rFonts w:ascii="IRNazanin" w:hAnsi="IRNazanin" w:eastAsia="IRNazanin"/>
          <w:color w:val="111111"/>
          <w:sz w:val="28"/>
          <w:sz w:val="28"/>
          <w:szCs w:val="28"/>
          <w:rtl w:val="true"/>
          <w:lang w:bidi="fa-IR"/>
        </w:rPr>
        <w:t>تلاقی و تضاد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ها از جنبه های گوناگونی با دین و رسانه ها تلاقی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برای این که تحریم ها موفق به اِعمال تغییرات موثر شوند نیاز به تطابق گسترده با اجتماع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دینی ابزاری کاربردی در سازماندهی تحریم های گسترده به شمار می آیند و بیشتر برای سازماندهی و تسهیل تحریم بر کلیسای رسمی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جنبش های حزب محافظه کار پروتستان در ایالات متحده، به ویژه پس از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همواره در تحریم های خود، به بنگاه های رسانه ای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های دینی، بنگاه های رسانه ای را متهم به پخش برنامه ها و تصاویر خشونت 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برجسته ترین این تحریم ها، تحریم اتوبوسرانی مونتگومِری و تحریم شرکت والت دیزنی توسط باپتیست های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جماعتی از سیاهان آمریکایی در مونتگومری در ایالت آلاباما، تظاهراتی را علیه جداسازی نژادی در سامانۀ حمل ونقل عمومی شهری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تحریم که توسط مارتین لوتر کینگ و مجمع کشیشان سیاه پوست و رهبران مدافع حقوق شهروندیِ محلی سازماندهی شده بود، سیاه پوستان محلی اتوبوس های عمومی را برای مدت بیش از یک سال تحریم کردند تا بدین وسیله مسئولین شهری را وادار سازند به این جداسازی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به دقت سازماندهی شده بود و به خوبی در برابر بسیاری از وقفه هایی که پیش می آمد،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در مراسم روز یکشنبه به خوبی به اشاعه و ترویج این تحریم پرداخته و اعضای خود را مرتب از دست آوردها و پیشرفت های مشروع خود مطلع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 میانجی گری دادگاه عالی در نوامبر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نژادی در سامانۀ اتوبوسرانی، مغایر قانونی اساسی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پیروزی روح تازه ای را در کالبد سیاه پوستان آمریکایی دمید و بی درنگ کشیشان نواحی جنوب اقدام به تشکیل انجمن رهبری مسیحیت نواحی جنوب نمودند تا به منظور احقاق حقوق شهروندی در آینده تظاهرات مسالمت آمیزی را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تحریم، دین نقش عمده ای در بالا بردن روحیۀ افراد و نیز سازماندهی تجمعات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مارتین لوتر کینگ در واکنش به حادثۀ مونتگومری این 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عیسی مسیح بود که سیاهان را برانگیخت تا با سلاح بدیع عشق دست به اعتراض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الهام بخش بودن روش های مسالمت آمیز گاندی را تایید نمود ولی بر این عقیده بود که عیسی مسیح روح و انگیزه ای تازه به این حرکت دمیده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سامانۀ اتوبوسرانی مونتگومری نمونه ای است از چگونگی روبه رویی نهادهای دینی با چالش های عملی پیش روی تحریمی یک پارچه؛ همانند انتشار اطلاعات حیاتی و ارائۀ خدمات منظم توسط کلیساهای سیاه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باپتیست های نواحی جنوب در تحریم شرکت والت دیزنی از اهرم رسمی خود نهایت استفاده را نمودند ولی در عوض این که مسئلۀ حمل و نقل عمومی، موضوع اصلی حقوق شهروندی باشد این تحریم در تلاش بود تا اصحاب رسانه را تنبیه کند که ائتلافی برای انجام امور تجاری ترتیب داده بودند؛ ائتلافی که از سوی کلیسای باپتیست غیراخلاقی تشخیص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کنوانسیون کلیسای باپتیست جنوب که نمادی از بزرگ ترین فرقۀ پروتستان در ایالت متحده است، قطعنامه ای را به تصویب رساند و به موجب آن باپتیست ها را از خرید محصولات والت دیزنی یا هر شرکتی که </w:t>
      </w:r>
    </w:p>
    <w:p>
      <w:pPr>
        <w:pStyle w:val="BookText"/>
        <w:rPr/>
      </w:pPr>
      <w:r>
        <w:rPr>
          <w:rFonts w:ascii="IRNazanin" w:hAnsi="IRNazanin" w:eastAsia="IRNazanin"/>
          <w:color w:val="111111"/>
          <w:sz w:val="28"/>
          <w:sz w:val="28"/>
          <w:szCs w:val="28"/>
          <w:rtl w:val="true"/>
          <w:lang w:bidi="fa-IR"/>
        </w:rPr>
        <w:t>ترویج کنندۀ مکاتب غیر اخلاقی است،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به طور مشخص شرکت والت دیزنی را به دلیل آن چه باپتیست ها برنامۀ طرفدار هم جنس بازی می خواندند، مورد انتقاد قرار داد؛ مانند تصمیم این شرکت برای گسترش کمک های بهداشتی به کارکنان هم جنس بازِ خود و نیز پخش سریال کمدی اِلِن که نقش اول آن را یک هم جنس بازِ زن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باپتیست های نواحی جنوب هم چنین تولیدات رسانه ای پخش شده توسط شرکت های وابسته به دیزنی مانند </w:t>
      </w:r>
      <w:r>
        <w:rPr>
          <w:rFonts w:eastAsia="Times New Roman" w:cs="Times New Roman" w:ascii="Times New Roman" w:hAnsi="Times New Roman"/>
          <w:color w:val="111111"/>
          <w:sz w:val="28"/>
          <w:szCs w:val="28"/>
          <w:lang w:val="en-US" w:bidi="en-US"/>
        </w:rPr>
        <w:t>Hollywood Records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Miramax Films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شدت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گوناگون دیگر و سازمان های سیاسی محافظه کار نیز به باپتیست های جنوب پیوستند که از آن جمله می توان از کلیسای پرزبیتارین در آمریکا، کلیسای وسلیان و سازمان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قطعنامة مجمع باپتیست های جنوبی دربارة شرکت دیزنی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تعمید دهندگان جنوبی و فرزندان شان سال ها از برنامه های تلویزیونی، فیلم های بلند و پارک های یک منظورة شرکت دیزنی که بر محاسن و ارزش های اصولی آمریکا تأکید دارند، لذت برده اند و به آن ها اطمینان داشته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محاسن ارتقایافته به وسیلۀ دیزنی در پیشرفت نسلی از آمریکایی ها که در آرزوی رهبری اخلاقی و با فضیلت شرکت دیزنی به سر می برند، نقش مهمی داشته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در سال های اخیر شرکت دیزنی نشان داده است هم جنس گرایی مهم تر از تعهد تاریخی به ارزش های خانوادگی سنتی است و روندی را در پیش گرفته که با تعهد قبلی اش در تقابل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در سال های اخیر یأس و ناامیدیِ خانواده ها از تولیداتِ بزرگ ترین شرکت سرگرم کنندۀ جهان را شاهد بوده ایم و دیده ایم که رهبری اخلاقی شرکت توسط انواع تصمیم های گروهی از بین رفته اند؛</w:t>
      </w:r>
    </w:p>
    <w:p>
      <w:pPr>
        <w:pStyle w:val="BookText"/>
        <w:rPr/>
      </w:pPr>
      <w:r>
        <w:rPr>
          <w:rFonts w:ascii="IRNazanin" w:hAnsi="IRNazanin" w:eastAsia="IRNazanin"/>
          <w:color w:val="111111"/>
          <w:sz w:val="28"/>
          <w:sz w:val="28"/>
          <w:szCs w:val="28"/>
          <w:rtl w:val="true"/>
          <w:lang w:bidi="fa-IR"/>
        </w:rPr>
        <w:t>با این حال مسئله به این جا ختم نمی شود و مقولات زیر را نیز در 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خط مشی در میان کارمندان شرکت که روابط هم جنس خواهانه را به دلیل منافع مالی پذیرفته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میزبانی هم جنس گرایان در پارک های یک منظورة شبانه؛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یک کودک آزار متهم برای کارگردانی فیلم پودر و دیگر تولیدات شرکت وابستة میراماکس؛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کتاب چگونه هم جنس گرا بزرگ شویم؟، با مضمون هم جنس گرایی نوجوانان، به وسیلة شرکت وابستۀ هایپریون که دیزنی را به طرفداری از آیین نامۀ هم جنس گرایی ربط می دهد و هم چنین تولید محصولات زننده مانند فیلم کشیش توسط شرکت های وابسته که ارزش های مسیحی را تحقیر کرده و رهبران مسیحی را بی اخلاق نشان می دهند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واکنش به این عمل، شرکت والت دیزنی بر تعهد خود نسبت به تولید برنامه های خانوادگی و جداسازی تولیدات محصولات خانوادگی شرکت دیزنی از دیگر شرکت های تولیدی تاکید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شرکت والت دیزنی خود را در تولید فیلم </w:t>
      </w:r>
      <w:r>
        <w:rPr>
          <w:rFonts w:eastAsia="Times New Roman" w:cs="Times New Roman" w:ascii="Times New Roman" w:hAnsi="Times New Roman"/>
          <w:color w:val="111111"/>
          <w:sz w:val="28"/>
          <w:szCs w:val="28"/>
          <w:lang w:val="en-US" w:bidi="en-US"/>
        </w:rPr>
        <w:t>Dogma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کمپانی میراماکس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نمی دانست؛ فیلمی که ماه ها پیش از پخش سراسری آن، کلیسای کاتولیک و گروه های اونجلیست نسبت به ساخت آن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صورت گرفته توسط باپتیست های نواحی جنوب به دلیل موفقیت آن از یک طرف و ناکامی آن در به سرانجام رسیدن از طرفی دیگر برجسته و خاص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پخش گستردۀ رسانه ای این تحریم، در شرکت والت دیزنی نابسامانی و اختلال خاصی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تحریم، برخی باپتیست های جنوب اظهار داشتند که هدف نهایی آن ها ایجاد تغییر و دگرگونی در شرکت دیزنی نیست بلکه آن ها این عمل را با این هدف انجام داده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و به دنیا ثابت کنند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بالاتر و والاتر دارند تا به تفریح و سرگرمی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حالی که این تحریم از وادار ساختن شرکت دیسنی برای ایجاد اصلاحات در وضعیت شرکت ناکام ماند ولی موفق شد تا ائتلافی وسیع متشکل از منتقدین محافظه کار رسانه ها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شرکت والت دیزنی نشانه ای بود از دگرگونی سازمانی موسسات مذهبی پس از اواسط قرن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این تصمیمات و رفتارهای گروهی نشان از دوری شرکت دیزنی از تصاویر ارزش مدار خانوادگی دارند و توهین های بی دلیل به مسیحیان و کسانی را نشان می دهند که سال ها از دیزنی حمایت کرده و در سودآوری اش نقش داشته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تلاش های پیشین برای انتقال این دغدغه ها به شرکت دیزنی بی فایده بوده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تحریم، روشی قانون مند برای انتقال باورهای اخلاقی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تعمیددهندگان جنوبی در جلسۀ سالانۀ خود به تاریخ یازدهم الی سیزدهم ژوئن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تاسف شدید خود را دربارۀ عملکرد گروهی </w:t>
      </w:r>
      <w:bookmarkStart w:id="390" w:name="pg3881_27871"/>
    </w:p>
    <w:p>
      <w:pPr>
        <w:pStyle w:val="BookText"/>
        <w:rPr/>
      </w:pPr>
      <w:bookmarkEnd w:id="390"/>
      <w:r>
        <w:rPr>
          <w:rFonts w:ascii="IRNazanin" w:hAnsi="IRNazanin" w:eastAsia="IRNazanin"/>
          <w:color w:val="111111"/>
          <w:sz w:val="28"/>
          <w:sz w:val="28"/>
          <w:szCs w:val="28"/>
          <w:rtl w:val="true"/>
          <w:lang w:bidi="fa-IR"/>
        </w:rPr>
        <w:t>شرکت دیزنی اعلام می کنیم و با ارادۀ بیشتر پذیرای کارمندان هم فکر و هم مسیر شرکت دیزنی هستیم؛ ما مصممانه، از دیگر تعمیددهندگان جنوبی می خواهیم که در خرید و حمایت از محصولات دیزنی تجدید نظر کرده و پارک های یک منظوره و فروشگاه های دیزنی را در صورت ادامۀ روند ضدمسیحی و ضدخانواده بایکوت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عزمی راسخ، این مجمع از کمیتۀ اجرایی تقاضا دارد یک نسخه از این قطع نامه به مایکل آیزنر مدیرکل شرکت دیزنی داده شود و از خانواده های تعمیددهندگان جنوبی درخواست می شود که با قدرت خرید، نامه ها و نفوذ خود از این قطع نامه حمایت کنند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91" w:name="__RefHeading___Toc1656264_2281741623"/>
      <w:bookmarkStart w:id="392" w:name="_Toc138"/>
      <w:bookmarkEnd w:id="391"/>
      <w:r>
        <w:rPr>
          <w:rtl w:val="true"/>
        </w:rPr>
        <w:t>چرخش در استراتژی</w:t>
      </w:r>
      <w:bookmarkEnd w:id="392"/>
    </w:p>
    <w:p>
      <w:pPr>
        <w:pStyle w:val="BookText"/>
        <w:rPr/>
      </w:pPr>
      <w:r>
        <w:rPr>
          <w:rFonts w:ascii="IRNazanin" w:hAnsi="IRNazanin" w:eastAsia="IRNazanin"/>
          <w:color w:val="111111"/>
          <w:sz w:val="28"/>
          <w:sz w:val="28"/>
          <w:szCs w:val="28"/>
          <w:rtl w:val="true"/>
          <w:lang w:bidi="fa-IR"/>
        </w:rPr>
        <w:t>چرخش در استراتژی</w:t>
      </w:r>
    </w:p>
    <w:p>
      <w:pPr>
        <w:pStyle w:val="BookText"/>
        <w:rPr/>
      </w:pPr>
      <w:r>
        <w:rPr>
          <w:rFonts w:ascii="IRNazanin" w:hAnsi="IRNazanin" w:eastAsia="IRNazanin"/>
          <w:color w:val="111111"/>
          <w:sz w:val="28"/>
          <w:sz w:val="28"/>
          <w:szCs w:val="28"/>
          <w:rtl w:val="true"/>
          <w:lang w:bidi="fa-IR"/>
        </w:rPr>
        <w:t>نمونه های کمی از تحریم رسانه با دخالت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تحریم سامانۀ حمل و نقل مونتگومری و تحریم شرکت دیزنی نشان دهندۀ برخی روش هایی است که سامانۀ مذهبی عصر حاضر در ارتباط با حوزۀ عمومی و خصوصی رسانه و فرهنگ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دینی در قالب نقش سازمانی خود می توانند گفتمان هایی را برای تشکیل یک مجمع سیاسی و اجتماعی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یک از اعضای حاضر در یک اجتماع دینی از این پیام ها به روش های گوناگون بهره برداری می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میلیون ها نفر باپتیست جنوبی که به تحریم شرکت دیزنی تشویق شدند این فراخوان را به عنوان راهی برای ایجاد رفاه شخصی برای خود تلقی کردند و نتایج نهایی، می تواند ارتباط زیادی با ایجاد هویت داشته باشد تا این که با اجرای فشار عمومی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باپتیست های جنوب ممکن است تحریم </w:t>
      </w:r>
    </w:p>
    <w:p>
      <w:pPr>
        <w:pStyle w:val="BookText"/>
        <w:rPr/>
      </w:pPr>
      <w:r>
        <w:rPr>
          <w:rFonts w:ascii="IRNazanin" w:hAnsi="IRNazanin" w:eastAsia="IRNazanin"/>
          <w:color w:val="111111"/>
          <w:sz w:val="28"/>
          <w:sz w:val="28"/>
          <w:szCs w:val="28"/>
          <w:rtl w:val="true"/>
          <w:lang w:bidi="fa-IR"/>
        </w:rPr>
        <w:t>شرکت دیزنی را عمدتاً به عنوان انتخابی شخصی برای برکنار نگاه داشتن خود از تأثیرات فرهنگی خاص تفسیر کنند تا ایجاد تغییری در شرکت والت دیزنی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بیانگر چرخش تاریخی از مداخلۀ عمومی اساسی به موضع گیری خاص قابل توجه در استراتژی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شِینی لافت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علی اصغر حداد </w:t>
      </w:r>
      <w:bookmarkStart w:id="393" w:name="pg3881_27873"/>
    </w:p>
    <w:p>
      <w:pPr>
        <w:pStyle w:val="Heading3"/>
        <w:numPr>
          <w:ilvl w:val="2"/>
          <w:numId w:val="1"/>
        </w:numPr>
        <w:rPr/>
      </w:pPr>
      <w:bookmarkStart w:id="394" w:name="__RefHeading___Toc1656266_2281741623"/>
      <w:bookmarkStart w:id="395" w:name="_Toc139"/>
      <w:bookmarkEnd w:id="393"/>
      <w:bookmarkEnd w:id="394"/>
      <w:r>
        <w:rPr>
          <w:rtl w:val="true"/>
        </w:rPr>
        <w:t>برای مطالعۀ بیشتر</w:t>
      </w:r>
      <w:bookmarkEnd w:id="39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Hare, A. P., &amp; Blumberg, H. H. (Eds.). (1968). Nonviolent direct action: American cases: Social-psychological analyses. Washington, DC: Corpus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King, M. L., Jr. (1958). Stride toward freedom: The Montgomery story.New York: Harper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Laidler, M. W. (1913). Boycotts and the labor struggle: Economic and legal aspects.New York: John Lane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N. C. (1990). Morality and the market: Consumer pressure for corporate accountability.London: Routledge</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Warren, H. (2001). Southern Baptists as audience and public: A cultural analysis of the Disney boycott. In D. A. Stout &amp;J. M. Buddenbaum (Eds.), Religion and popular culture: Studies on the interaction of worldviews (pp. 169–185). Ames: Iowa State University Press</w:t>
      </w:r>
      <w:r>
        <w:rPr>
          <w:rFonts w:eastAsia="Times New Roman" w:cs="Times New Roman" w:ascii="Times New Roman" w:hAnsi="Times New Roman"/>
          <w:color w:val="111111"/>
          <w:sz w:val="28"/>
          <w:szCs w:val="28"/>
          <w:rtl w:val="true"/>
          <w:lang w:val="en-US" w:bidi="en-US"/>
        </w:rPr>
        <w:t xml:space="preserve">. </w:t>
      </w:r>
      <w:bookmarkStart w:id="396" w:name="pg3881_27874"/>
    </w:p>
    <w:p>
      <w:pPr>
        <w:pStyle w:val="Heading2"/>
        <w:numPr>
          <w:ilvl w:val="1"/>
          <w:numId w:val="1"/>
        </w:numPr>
        <w:rPr/>
      </w:pPr>
      <w:bookmarkStart w:id="397" w:name="__RefHeading___Toc1656268_2281741623"/>
      <w:bookmarkStart w:id="398" w:name="_Toc140"/>
      <w:bookmarkEnd w:id="396"/>
      <w:bookmarkEnd w:id="397"/>
      <w:r>
        <w:rPr>
          <w:rtl w:val="true"/>
        </w:rPr>
        <w:t>تساهل</w:t>
      </w:r>
      <w:bookmarkEnd w:id="398"/>
    </w:p>
    <w:p>
      <w:pPr>
        <w:pStyle w:val="Heading3"/>
        <w:numPr>
          <w:ilvl w:val="2"/>
          <w:numId w:val="1"/>
        </w:numPr>
        <w:rPr/>
      </w:pPr>
      <w:bookmarkStart w:id="399" w:name="__RefHeading___Toc1656270_2281741623"/>
      <w:bookmarkStart w:id="400" w:name="_Toc141"/>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تساهل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تساهل یا رواداری،</w:t>
      </w:r>
      <w:r>
        <w:rPr>
          <w:rStyle w:val="FootnoteAnchor"/>
          <w:rtl w:val="true"/>
        </w:rPr>
        <w:footnoteReference w:id="129"/>
      </w:r>
      <w:r>
        <w:rPr>
          <w:rFonts w:ascii="IRNazanin" w:hAnsi="IRNazanin" w:eastAsia="IRNazanin"/>
          <w:color w:val="111111"/>
          <w:sz w:val="28"/>
          <w:sz w:val="28"/>
          <w:szCs w:val="28"/>
          <w:rtl w:val="true"/>
          <w:lang w:bidi="fa-IR"/>
        </w:rPr>
        <w:t>یک اصطلاح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بسیاری بر این عقیده پای می فشارند که تساهل یک فضیلت</w:t>
      </w:r>
      <w:r>
        <w:rPr>
          <w:rStyle w:val="FootnoteAnchor"/>
          <w:rtl w:val="true"/>
        </w:rPr>
        <w:footnoteReference w:id="1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و گاهی آن را فضیلتی آگاهانه و ارادی و در جایی و گاهی دیگر بیشتر آن را واکنش غیرارادیِ سرشت انسان در بهترین وضعش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این اصطلاح به یک نوع رضایت دادن از سر اکراه و نادلخواهی اشاره داشته باشد که از سر مسئولیت اخلاقی به مدارا با کسانی که می بایست افکارشان را تغییر بدهند، تن در میدهد ولی مطمئناً تساهل یک نگرش ممتاز در هر سنت دینی محسوب میشود، گرچه اغلب ایدهآلی مینماید که بیشتر در نظر مورد احترام است تا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ممکن است قطب مخالف آن، یعنی عدم تساهل، </w:t>
      </w:r>
    </w:p>
    <w:p>
      <w:pPr>
        <w:pStyle w:val="BookText"/>
        <w:rPr/>
      </w:pPr>
      <w:r>
        <w:rPr>
          <w:rFonts w:ascii="IRNazanin" w:hAnsi="IRNazanin" w:eastAsia="IRNazanin"/>
          <w:color w:val="111111"/>
          <w:sz w:val="28"/>
          <w:sz w:val="28"/>
          <w:szCs w:val="28"/>
          <w:rtl w:val="true"/>
          <w:lang w:bidi="fa-IR"/>
        </w:rPr>
        <w:t>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معمولا وقتی میافتد که گروهی از آدم های معمولی در برابر گروهی دیگر با جهان بینی یا شعارهایی خلاف انتظار قرار می گیرند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ممکن است اوضاعی پیش بیاید که تساهل از سوی مسائل مربوط به هویت شخصی</w:t>
      </w:r>
      <w:r>
        <w:rPr>
          <w:rStyle w:val="FootnoteAnchor"/>
          <w:rtl w:val="true"/>
        </w:rPr>
        <w:footnoteReference w:id="131"/>
      </w:r>
      <w:r>
        <w:rPr>
          <w:rFonts w:ascii="IRNazanin" w:hAnsi="IRNazanin" w:eastAsia="IRNazanin"/>
          <w:color w:val="111111"/>
          <w:sz w:val="28"/>
          <w:sz w:val="28"/>
          <w:szCs w:val="28"/>
          <w:rtl w:val="true"/>
          <w:lang w:bidi="fa-IR"/>
        </w:rPr>
        <w:t>به خطر بیفتد؛ یعنی وقتی که آدم ها از این نگران بشوند که کیستی آن ها از ناحیۀ رفتار یا باورهای دیگران مورد تهدید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عدم تساهل بر فضیلتِ مسلِّم فرض شدۀ تساهل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هویت شخصی همواره با ارجاع به دیگری و در تمایز با او شکل میگیرد در چنین مواقعی به راحتی نمیتوان شاهد واکنشی از سر تساهل در مواجهۀ افراد با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میل موجود برای حفظ هویتِ شخصی، فرد را در برابر کسی که احساس جدایی از او میکند به اتخاذ نگرش های غیرمتساهلانه و انجام رفتارهایی از این دست بکشاند، مگر آن که فرد به نحو آگاهانهای خودش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عدم تساهل یک امر ضروری یا شایسته به شمار نیاید، ولی اغلب محصولِ ناگزیرِ تجربۀ بیواسطۀ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توجهمان را از قلمرو روان شناسیِ انسانی به دین انسانی معطوف می کنیم، تساهل را از دام پارادوکس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های خداباورانۀ توحیدی از ما خواسته می شود که همسایگان و حتی دشمنان مان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محبتی مطمئناً قرابت زیادی با تساهل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سنت ها اغلب بر این پیش فرض استوارند که آن ها بازگوکنندۀ حقایقی وحیانیاند که تردید یا تغییرناپذیرند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صحنه برای عرضۀ متنوع عدم تساهل نسبت به دیگران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تفاوتی تا دشمنی، از تحقیر تا بازجویی، از تنفر تا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اوضاعی یک اخلاقِ طردکننده، بازتابی از قطعیتی جزمگرایانه است؛ در واقع کارکردی از نزاع و معارضۀ </w:t>
      </w:r>
      <w:bookmarkStart w:id="401" w:name="pg3881_27876"/>
    </w:p>
    <w:p>
      <w:pPr>
        <w:pStyle w:val="BookText"/>
        <w:rPr/>
      </w:pPr>
      <w:bookmarkEnd w:id="401"/>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که تنها یک دین درست وجود دارد، وسوسهای است که بر ما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باور، هزینۀ گزافی را بر جوامع بشری تحمیل کرده است و هم چنان می کند</w:t>
      </w:r>
      <w:r>
        <w:rPr>
          <w:rFonts w:eastAsia="IRNazanin" w:cs="IRNazanin"/>
          <w:color w:val="111111"/>
          <w:sz w:val="28"/>
          <w:szCs w:val="28"/>
          <w:rtl w:val="true"/>
          <w:lang w:bidi="fa-IR"/>
        </w:rPr>
        <w:t>.</w:t>
      </w:r>
    </w:p>
    <w:p>
      <w:pPr>
        <w:pStyle w:val="Heading3"/>
        <w:numPr>
          <w:ilvl w:val="2"/>
          <w:numId w:val="1"/>
        </w:numPr>
        <w:rPr/>
      </w:pPr>
      <w:bookmarkStart w:id="402" w:name="__RefHeading___Toc1656272_2281741623"/>
      <w:bookmarkStart w:id="403" w:name="_Toc142"/>
      <w:bookmarkEnd w:id="402"/>
      <w:r>
        <w:rPr>
          <w:rtl w:val="true"/>
        </w:rPr>
        <w:t>تناقضها</w:t>
      </w:r>
      <w:bookmarkEnd w:id="403"/>
    </w:p>
    <w:p>
      <w:pPr>
        <w:pStyle w:val="BookText"/>
        <w:rPr/>
      </w:pPr>
      <w:r>
        <w:rPr>
          <w:rFonts w:ascii="IRNazanin" w:hAnsi="IRNazanin" w:eastAsia="IRNazanin"/>
          <w:color w:val="111111"/>
          <w:sz w:val="28"/>
          <w:sz w:val="28"/>
          <w:szCs w:val="28"/>
          <w:rtl w:val="true"/>
          <w:lang w:bidi="fa-IR"/>
        </w:rPr>
        <w:t>تناقضها</w:t>
      </w:r>
    </w:p>
    <w:p>
      <w:pPr>
        <w:pStyle w:val="BookText"/>
        <w:rPr/>
      </w:pPr>
      <w:r>
        <w:rPr>
          <w:rFonts w:ascii="IRNazanin" w:hAnsi="IRNazanin" w:eastAsia="IRNazanin"/>
          <w:color w:val="111111"/>
          <w:sz w:val="28"/>
          <w:sz w:val="28"/>
          <w:szCs w:val="28"/>
          <w:rtl w:val="true"/>
          <w:lang w:bidi="fa-IR"/>
        </w:rPr>
        <w:t>این تناقض چه وجه معقولی دارند؟ حتی یک نگاه سطحی به دنیای معاصر نه تنها محدودیت های تساهل بلکه در واقع کنار گذاشتن عملی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قضاوتی ممکن است یک پارادوکس عمیقتر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عدم تساهل در برابر اِعمال یک تساهلِ بی هدف، فضیلت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حقیقت در برابر همۀ کسانی که از پذیرش آن سر بازمیزنند، حفاظت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تساهل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روی دیگر این موضوع بنگرید، خود را در برابر یک معضل می یابیم؛ این طور می نماید که آن چه اﺷﺧاﺹ، پیش خود و در ذهنشان درست ﻣﻲپندارند از ﻳﻚ ﻧوﻉ ﺧوداﻋﺘباری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خودش میگوید آن چه به باور من صادق است، صادق است؛ زیرا باور دارم که آن صادق است و یک واقعیت بالاتر یا یک تجربۀ شخصیِ غیرقابل انکار، اعتبار آن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ها چنین اعتقادی دربارۀ خودشان پیدا کنند، چیز ممکنی است؛ زیرا با وجود انقلابات ارتباطی و انتقالی، بیشترِ ما هنوز در انزوای دینی زندگی میکنیم</w:t>
      </w:r>
      <w:r>
        <w:rPr>
          <w:rFonts w:eastAsia="IRNazanin" w:cs="IRNazanin"/>
          <w:color w:val="111111"/>
          <w:sz w:val="28"/>
          <w:szCs w:val="28"/>
          <w:rtl w:val="true"/>
          <w:lang w:bidi="fa-IR"/>
        </w:rPr>
        <w:t>.</w:t>
      </w:r>
      <w:r>
        <w:rPr>
          <w:rStyle w:val="FootnoteAnchor"/>
          <w:rtl w:val="true"/>
        </w:rPr>
        <w:footnoteReference w:id="1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ما دربارۀ باورها، اَعمال یا تجربیات دیگرانی که در جوامع دینی ای غیر از ما زندگی می کنند بسیار کم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چنین وضعیتی متعدد است ولی واقعیت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رضایت نمی دهیم که برای فهم دیگرانی که راه های دیگری را می پیمایند، احترام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مفهوم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دینی</w:t>
      </w:r>
      <w:r>
        <w:rPr>
          <w:rStyle w:val="FootnoteAnchor"/>
          <w:rtl w:val="true"/>
        </w:rPr>
        <w:footnoteReference w:id="133"/>
      </w:r>
      <w:r>
        <w:rPr>
          <w:rFonts w:ascii="IRNazanin" w:hAnsi="IRNazanin" w:eastAsia="IRNazanin"/>
          <w:color w:val="111111"/>
          <w:sz w:val="28"/>
          <w:sz w:val="28"/>
          <w:szCs w:val="28"/>
          <w:rtl w:val="true"/>
          <w:lang w:bidi="fa-IR"/>
        </w:rPr>
        <w:t>ممکن است برخی از ما را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ما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این گونه است که آن را جایگاه و مکانت ثابتی میبینیم که بر آن تکیه می کنیم نه مسیری که صرف نظر از یک دسته یقینیاتِ به ارث رسیده، از جهت و هدفش شناختی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استعارۀ راه را قابل قبول بدانیم، ترجیح می دهیم طوری عمل کنیم که انگار راهی را که ما میپیماییم تنها راهی است که یک مقصد مهم را دنبال می کند ولی هنوز، بیشتر متدینان احتمالا فضیلت بودن تساهل را می پذیرند ولی ممکن است وقتی کار به مقایسه میان باورهای خودمان و باورهای کسانی که نسبت به آن ها تساهل می ورزیم، بکشد دیگر تساهل، آن درخشش و تابندگیاش را در نظر ما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عقب نشینی کنیم و در یک موضع دفاعی قرار بگیریم به این صورت که از راه حمله به دیگران، بی اعتنایی یا حتی تحقیر آنان، از خودمان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 متناقضی جهلی که بر اثر انزوا دامن گیرمان میشود، ممکن است ما را به تساهل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میل به فهمیدن، ممکن است تفاوت های غیرمنتظرهای را بر ما مکشوف کند که باعث شود خوش باوری مان را از دست بدهیم و احساس کنیم که هویتِ ایمنی که داشتیم، مورد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ما با یک معضل جدی طرف هستیم؛ حتی اگر فهم و فهمیدن یک خیر اخلاقی باشند، چنان که هستند، ولی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فهم تفاوت های غیرمنتظره مان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از بین رفتن حُسن تفاهم در جامعۀ انسانی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تساهل گرچه یک فضیلت پذیرفته شده است، ممکن است مبتنی بر جهلی باشد که به سختی می توان آن را اخلاقی، به معنای متداول این کلمه، دانست</w:t>
      </w:r>
      <w:r>
        <w:rPr>
          <w:rFonts w:eastAsia="IRNazanin" w:cs="IRNazanin"/>
          <w:color w:val="111111"/>
          <w:sz w:val="28"/>
          <w:szCs w:val="28"/>
          <w:rtl w:val="true"/>
          <w:lang w:bidi="fa-IR"/>
        </w:rPr>
        <w:t xml:space="preserve">. </w:t>
      </w:r>
      <w:bookmarkStart w:id="404" w:name="pg3881_27878"/>
    </w:p>
    <w:p>
      <w:pPr>
        <w:pStyle w:val="Heading3"/>
        <w:numPr>
          <w:ilvl w:val="2"/>
          <w:numId w:val="1"/>
        </w:numPr>
        <w:rPr/>
      </w:pPr>
      <w:bookmarkStart w:id="405" w:name="__RefHeading___Toc1656274_2281741623"/>
      <w:bookmarkStart w:id="406" w:name="_Toc143"/>
      <w:bookmarkEnd w:id="404"/>
      <w:bookmarkEnd w:id="405"/>
      <w:r>
        <w:rPr>
          <w:rtl w:val="true"/>
        </w:rPr>
        <w:t xml:space="preserve">بند </w:t>
      </w:r>
      <w:r>
        <w:rPr/>
        <w:t>18</w:t>
      </w:r>
      <w:r>
        <w:rPr>
          <w:rtl w:val="true"/>
        </w:rPr>
        <w:t xml:space="preserve"> </w:t>
      </w:r>
      <w:r>
        <w:rPr>
          <w:rtl w:val="true"/>
        </w:rPr>
        <w:t>اعلامیۀ جهانی حقوق بشر</w:t>
      </w:r>
      <w:bookmarkEnd w:id="406"/>
    </w:p>
    <w:p>
      <w:pPr>
        <w:pStyle w:val="BookText"/>
        <w:rPr/>
      </w:pPr>
      <w:r>
        <w:rPr>
          <w:rFonts w:ascii="IRNazanin" w:hAnsi="IRNazanin" w:eastAsia="IRNazanin"/>
          <w:color w:val="111111"/>
          <w:sz w:val="28"/>
          <w:sz w:val="28"/>
          <w:szCs w:val="28"/>
          <w:rtl w:val="true"/>
          <w:lang w:bidi="fa-IR"/>
        </w:rPr>
        <w:t>همۀ انسان ها از حق آزادی اندیشه، وجدان و دین برخوردارند؛ این حق شامل حق آزادیِ تغییر دین و اعتقاد و حق آزادی ابراز دین و اعتقاد در قالب آموزش، عمل، عبادت و آیین به صورت فردی یا گروهی و در خفا یا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شک و تردیدها دربارۀ تساهل دینی، حتی پیچیدهتر از آن هستند که تاکنون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تصوری مبهم است حتی اگر رفتار متساهلانه فضیلت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مختلفی از تساهل وجود دارد که از تایید دیگران به یک دعوت صادقانه برای گفت وگو را در بر می گیرد، تا کوتاه آمدنِ همراه با تردید که ممکن است به طور ناقصی تحقیری را که می رود به نحو مخاطره آمیزی به دشمنی بدل میشود، لاپوشانی کند</w:t>
      </w:r>
      <w:r>
        <w:rPr>
          <w:rFonts w:eastAsia="IRNazanin" w:cs="IRNazanin"/>
          <w:color w:val="111111"/>
          <w:sz w:val="28"/>
          <w:szCs w:val="28"/>
          <w:rtl w:val="true"/>
          <w:lang w:bidi="fa-IR"/>
        </w:rPr>
        <w:t>.</w:t>
      </w:r>
    </w:p>
    <w:p>
      <w:pPr>
        <w:pStyle w:val="Heading3"/>
        <w:numPr>
          <w:ilvl w:val="2"/>
          <w:numId w:val="1"/>
        </w:numPr>
        <w:rPr/>
      </w:pPr>
      <w:bookmarkStart w:id="407" w:name="__RefHeading___Toc1656276_2281741623"/>
      <w:bookmarkStart w:id="408" w:name="_Toc144"/>
      <w:bookmarkEnd w:id="407"/>
      <w:r>
        <w:rPr>
          <w:rtl w:val="true"/>
        </w:rPr>
        <w:t>محدودیت های تساهل</w:t>
      </w:r>
      <w:bookmarkEnd w:id="408"/>
    </w:p>
    <w:p>
      <w:pPr>
        <w:pStyle w:val="BookText"/>
        <w:rPr/>
      </w:pPr>
      <w:r>
        <w:rPr>
          <w:rFonts w:ascii="IRNazanin" w:hAnsi="IRNazanin" w:eastAsia="IRNazanin"/>
          <w:color w:val="111111"/>
          <w:sz w:val="28"/>
          <w:sz w:val="28"/>
          <w:szCs w:val="28"/>
          <w:rtl w:val="true"/>
          <w:lang w:bidi="fa-IR"/>
        </w:rPr>
        <w:t>محدودیت های تساهل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جامعۀ انسانی در واقع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شیوههای مختلفی می تواند بشکند و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فرصت های فراوان برای عدمِ تساهل و دشمنی که دامن گیر گونههای انسانی است، خلاقیت و قابلیت قابل توجهی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اِعمال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درونانسانی تنوع جنس، رنگ، قوم، سن، اندازه و هوش در هر یک از ما نسبت به دیگری بدگمانی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ملیت و دین از تفاوت های عمدهای هستند که ما را در برابر یکدیگر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تساهل یکی از فضیلت های خودانگیختۀ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در این جا با یک پارادوکس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آن چه آفریده است، عشق میورزد یا بیشترِ دینباوران بر چنین باوری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عشق فضیلتی از ناحیۀ خداوند و بالطبع فضیلتی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می بایست الگوی دینداری مان </w:t>
      </w:r>
    </w:p>
    <w:p>
      <w:pPr>
        <w:pStyle w:val="BookText"/>
        <w:rPr/>
      </w:pPr>
      <w:r>
        <w:rPr>
          <w:rFonts w:ascii="IRNazanin" w:hAnsi="IRNazanin" w:eastAsia="IRNazanin"/>
          <w:color w:val="111111"/>
          <w:sz w:val="28"/>
          <w:sz w:val="28"/>
          <w:szCs w:val="28"/>
          <w:rtl w:val="true"/>
          <w:lang w:bidi="fa-IR"/>
        </w:rPr>
        <w:t>را بر چنین فضیلتی مبتنی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سرشار از عشق مطلقاند، باید آن را با عشق ورزیدن به دیگری در خود بیابند، با وجود تفاوت هایی که آن ها را از هم جدا و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که خداوند باید خودش را در وراء این انسانیتی که آفریده است،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باید بتواند بر تجزیه و تقسیم بی انتها و مجازیای که جامعۀ انسانی را منشعب کرده است،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میرسد ما نمی توانیم یا نمیخواهیم به فضیلتی عمل کنیم که اغلب آن را به حضرت الهی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 ما را تحمل می کند ولی ما انسان ها در میان خودمان نمیتوانیم یکدیگر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تساهل مستلزم آن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فعل لاتین به معنای برداشتن و حمل کردن اشیاء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معقولانه است که ما به دستور الهی یا عمل به اقتضای حقیقت، رضایت مندانه بار تنوع بشری را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کدام یک از ما چنین کاری را بدون اندکی دودلی انجام میدهد و کیست از ما که بدون نارضایتی نسبت به تفاوتهایی که باعث خلق بشریتی متنوع شده است، تساهل بورزد؟ تساهل، محدودیت های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پارادوکس،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کلینگر و فراگیر ما توسط منطق عجیبی که کلی و جزیی را در هم می آمیزد، هم چنان که فضیلت الهی و اخلاق صِرف بشری را، استثنا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به روایت های تنگنظرانه از حقیقتِ عشقِ کلی در زیر سایۀ تساهل به عدم تساهل میرسیم؛ مانعیت در عین جامعیت؛ اصرار بر انطباق، بازتاب عشقی که میبایست تفاوت ها را برطرف کند ولی اغلب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لزوماً به این نتیجه تن درمی دهیم که تساهل محدودیت های خودش را دارد؛ با وجود قبول این فرض همیشگی که تساهل فضیلت، پاک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باید </w:t>
      </w:r>
    </w:p>
    <w:p>
      <w:pPr>
        <w:pStyle w:val="BookText"/>
        <w:rPr/>
      </w:pPr>
      <w:r>
        <w:rPr>
          <w:rFonts w:ascii="IRNazanin" w:hAnsi="IRNazanin" w:eastAsia="IRNazanin"/>
          <w:color w:val="111111"/>
          <w:sz w:val="28"/>
          <w:sz w:val="28"/>
          <w:szCs w:val="28"/>
          <w:rtl w:val="true"/>
          <w:lang w:bidi="fa-IR"/>
        </w:rPr>
        <w:t>بر این باور باشیم که میتوانیم این محدودیت ها را کشف کنیم؟ حتی پرسش چالشیتر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باید آن ها را جست وجو کنیم؟ در این جا با یک معمای واقعی روبه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سنت های دینی خاصی را کاوش میکنیم یا یک واقعیت تاریخی و عامِ مقبول برساختهایم و نامش را دین گذاشتهایم؟ آیا باید محدودیت های تساهل را در رفتار مومنان که در جوامع رسمی خودش را نشان میدهد، بجوییم؟ یا می بایست تحت تاثیر تمایلی که امروزه به سمت معنویت وجود دارد، تلاش کنیم تا باورهای زیرین را به رو بیاوریم و پرده از رخ ریشههای مبهم تساهل در محرک های روان شناسانۀ افراد انسانی برگیریم؟</w:t>
      </w:r>
    </w:p>
    <w:p>
      <w:pPr>
        <w:pStyle w:val="BookText"/>
        <w:rPr/>
      </w:pPr>
      <w:r>
        <w:rPr>
          <w:rFonts w:ascii="IRNazanin" w:hAnsi="IRNazanin" w:eastAsia="IRNazanin"/>
          <w:color w:val="111111"/>
          <w:sz w:val="28"/>
          <w:sz w:val="28"/>
          <w:szCs w:val="28"/>
          <w:rtl w:val="true"/>
          <w:lang w:bidi="fa-IR"/>
        </w:rPr>
        <w:t>ممکن است تاریخ دین را برای یافتن سنت هایی که این پارادوکس را مجسم میکنند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سنت های فراوانی وجود دارند که باید کاویده شوند ولی یهودیت یک نمونۀ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ریشه های عدم تساهل را در گروهی ببینیم که عدم تساهل را در طی قرن های متمادی در خود پرورانده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یهودیت به این که تنها یک خدا وجود دارد، مستلزم عدم اطمینان یا حتی دشمنی نسبت به کسانی است که این عقیده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برگزیده شدهاند تا از قانون الهیای اطاعت کنند که گویا منحصراً بر آ ن ها مکشوف شده است، ممکن است در نهایت به عدم تساهل سوق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تاریخ اجتماعی روشن میشود؛ نخوت الهیاتی توسط کسانی که بدان عمل میکنند، مورد سوء استفاده قرار می گیرد؛ عدم تساهل خودش را جاودانه می کند و غیرمتساهلان را در زیر سلطۀ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خاخامها ضرورت منطقی تساهل دینی را بیان می 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ریشۀ کسی را که نسبت به دیگری نفرت دارد، از جهان بر می کند</w:t>
      </w:r>
      <w:r>
        <w:rPr>
          <w:rFonts w:eastAsia="IRNazanin" w:cs="IRNazanin"/>
          <w:color w:val="111111"/>
          <w:sz w:val="28"/>
          <w:szCs w:val="28"/>
          <w:rtl w:val="true"/>
          <w:lang w:bidi="fa-IR"/>
        </w:rPr>
        <w:t xml:space="preserve">. </w:t>
      </w:r>
      <w:bookmarkStart w:id="409" w:name="pg3881_27881"/>
    </w:p>
    <w:p>
      <w:pPr>
        <w:pStyle w:val="BookText"/>
        <w:rPr/>
      </w:pPr>
      <w:bookmarkEnd w:id="409"/>
      <w:r>
        <w:rPr>
          <w:rFonts w:ascii="IRNazanin" w:hAnsi="IRNazanin" w:eastAsia="IRNazanin"/>
          <w:color w:val="111111"/>
          <w:sz w:val="28"/>
          <w:sz w:val="28"/>
          <w:szCs w:val="28"/>
          <w:rtl w:val="true"/>
          <w:lang w:bidi="fa-IR"/>
        </w:rPr>
        <w:t>ولی حتی کسانی که خداپرستی توحیدی، آن ها را به تنفر از دیگرانی واداشته است که به حقیقتِ احتمالی آن راه نیافتهاند، میتوانند دربارۀ این نکته تامل کنند که آن ها نیز خود قربانیان عدم تساهل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یهودیان یادآور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غریب، ظلم منمایید؛ زیرا که از دل غریبان خبر دارید؛ چون که در زمین مصر غریب بودید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بنابراین، محدودیت های تساهل دینی در کجاست؟ آیا آن ها ملازم با بشریت ما هستند؟ اگر چنین باشد این محدودیت ها بسیار ضیق خواهند بود و ممکن است ما دیگر نتوانیم از انگیزههای خودویرانگری ای که حیات فردی و جمعی ما را در بر گرفته است ـ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چنبرۀ شبکهای که خود تنیده ایم، گرفتار آمده ایم؟ ولی اگر مومنان، خادمان حقیقت دیگری هستند، بنابراین محدودیت ها حتی فراتر از تصور ماست ولی اگر این درست باشد، آن گاه ما چگونه می دانیم که کیستیم و چیستیم؟ زیرا هویت ما به عنوان انسان بستگی پیدا می کند به زندگی ما در درون محدودیت های قابل تشخیصی که تا اندازه ای توسط باورهای دیگرانی که ما باورشان نداریم، ایجاد شده اند</w:t>
      </w:r>
      <w:r>
        <w:rPr>
          <w:rFonts w:eastAsia="IRNazanin" w:cs="IRNazanin"/>
          <w:color w:val="111111"/>
          <w:sz w:val="28"/>
          <w:szCs w:val="28"/>
          <w:rtl w:val="true"/>
          <w:lang w:bidi="fa-IR"/>
        </w:rPr>
        <w:t>.</w:t>
      </w:r>
    </w:p>
    <w:p>
      <w:pPr>
        <w:pStyle w:val="Heading3"/>
        <w:numPr>
          <w:ilvl w:val="2"/>
          <w:numId w:val="1"/>
        </w:numPr>
        <w:rPr/>
      </w:pPr>
      <w:bookmarkStart w:id="410" w:name="__RefHeading___Toc1656278_2281741623"/>
      <w:bookmarkStart w:id="411" w:name="_Toc145"/>
      <w:bookmarkEnd w:id="410"/>
      <w:r>
        <w:rPr>
          <w:rtl w:val="true"/>
        </w:rPr>
        <w:t>پارادوکس دینی</w:t>
      </w:r>
      <w:bookmarkEnd w:id="411"/>
    </w:p>
    <w:p>
      <w:pPr>
        <w:pStyle w:val="BookText"/>
        <w:rPr/>
      </w:pPr>
      <w:r>
        <w:rPr>
          <w:rFonts w:ascii="IRNazanin" w:hAnsi="IRNazanin" w:eastAsia="IRNazanin"/>
          <w:color w:val="111111"/>
          <w:sz w:val="28"/>
          <w:sz w:val="28"/>
          <w:szCs w:val="28"/>
          <w:rtl w:val="true"/>
          <w:lang w:bidi="fa-IR"/>
        </w:rPr>
        <w:t>پارادوکس دینی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مرزبندی های تعریف کنندۀ بسیاری از افراد، سنتهای دینیای است که آن ها را به خود اختصاص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میکند یا آن ها مدعی حمایت از آن سنت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سنت ها بر آن ها هویتی را تحمیل کند که موجب عدم تساهل شود، چه؟ مشکل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بیشترِ ما را با جهان و با یکدیگر پیوند میزند، همان چیزی است که موجب دشمنی ما با یکدیگر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این ادعای وسوسه کننده را حمل می کنیم که ما، گزینۀ ویژۀ جهان برای حفاظت از حقیقتی هستیم که فراتر از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هیپنوتیزم شدۀ این پارادوکس و مبهوت این دوپهلویی هستیم، چه میتوانیم بکنیم؟ چه می بایست بکنیم؟ این شمشیرِ دولبهای است که بر بالای سر گفتمان اخلاقی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محدودیت های تساهل دینی کجاست؟ آیا اشخاصِ مسئول و اخلاقی ضرورتاً باید ارادۀ معطوف به تساهلشان را در قید و بند احساس کنند؟ یا این که تساهل فقط توهمی است که آدم ها پشت آن، کینۀ خود علیه آوارگان و دیگر بیچارگان را مخفی کنند؟ اگر ما نخواهیم تعصب بورزیم، آن گاه این پرسش مطرح میشود که آیا محدودیت های تساهل تا ابد برای خداپرستی توحیدی وجود دارد و برای ملحدان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سنت های دینی البته به گونه ای پارادوکسی محدودیت هایی را برای تساهل ایجاد نمی کنند که در درون چهارچوب آن، ملتزمان به آن دین باید زندگی کنند؟ صرف نظر از این که ما در کجا سیر تاریخی این سنت های دینی را تعقیب کنیم، تقریباً مطمئنیم که هم اراده به در برگرفتن تساهل و هم طرد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کسی از ما میتوانند نسبت به این معضل حل ناشده تساهل بورزند؛ به عنوان پیروان یک حقیقت کلی که ما به طرد آن مفتخریم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 هایی که برای تساهل دینی برقرار می کنیم به طرز وحشتناکی نزدیک است با مرزهای خودهایمان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گفت وگو، با یک دستور نه چندان مطلق در قالب یک پرسش مواجه میشویم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خاص ما از حقیقت، حقیقت نباشد آن گاه ایمان دینی تبدیل به یک امر نسبی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حقیقت در آن باشد، چگونه باید با دیگرانی که به حقیقت دیگری باور دارند، کنار بیاییم؟ </w:t>
      </w:r>
    </w:p>
    <w:p>
      <w:pPr>
        <w:pStyle w:val="BookText"/>
        <w:rPr/>
      </w:pPr>
      <w:r>
        <w:rPr>
          <w:rFonts w:ascii="IRNazanin" w:hAnsi="IRNazanin" w:eastAsia="IRNazanin"/>
          <w:color w:val="111111"/>
          <w:sz w:val="28"/>
          <w:sz w:val="28"/>
          <w:szCs w:val="28"/>
          <w:rtl w:val="true"/>
          <w:lang w:bidi="fa-IR"/>
        </w:rPr>
        <w:t>خطرهای این معضل بسیار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در درون قلمرو گفتمان اخلاقی بگوید عدم تساهل نسبت به اعتقادات دینیِ دیگر،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میگویند که تساهل دینی ممکن است یکپارچگی باورهای آن دین خاص را به خطر بیندازد و از این رو واجد هیچ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پرسش از محدودیت تساهل دینی، روان شناختی یا الهیاتی است؟ آیا باید صلح در اجتماع را با طردِ آن صلحِ فراتر از فهم</w:t>
      </w:r>
      <w:r>
        <w:rPr>
          <w:rStyle w:val="FootnoteAnchor"/>
          <w:rtl w:val="true"/>
        </w:rPr>
        <w:footnoteReference w:id="135"/>
      </w:r>
      <w:r>
        <w:rPr>
          <w:rFonts w:ascii="IRNazanin" w:hAnsi="IRNazanin" w:eastAsia="IRNazanin"/>
          <w:color w:val="111111"/>
          <w:sz w:val="28"/>
          <w:sz w:val="28"/>
          <w:szCs w:val="28"/>
          <w:rtl w:val="true"/>
          <w:lang w:bidi="fa-IR"/>
        </w:rPr>
        <w:t>به دست آورد؟ آیا عدم تساهلی که به پیروان دیگر دین ها نسبت میدهیم در واقع بازتابی از عدم تساهل ماست که در خصلت های درونیِ مقاومت ناپذیر ما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این پرسش ها افزوده میشود و ما سرگردانیم که آیا این خداست که سرمان را بر درِ محدودیت های بشری مان میکوبد یا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نیت های اخلاقی اشخاص، شعار رهایی، آزادی و عدالت ممکن است معضل کسانی را که می خواهند به فضیلت تساهل عمل کنند،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دینیِ واتیکان</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واتیکان اعلام میدارد که انسان، حق آزادی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آزادیای از این دست به این معناست که همۀ انسان ها میبایست ایمن باشند از فشار از ناحیۀ افراد، گروه های اجتماعی و هر قدرت انسانی؛ در درون این چهارچوب هیچ کس مجبور به انجام عملی برخلاف اعتقادات خود نیست و هیچ کس از انجام اعمال مطابق با اعتقادات دینی خود در خفا و آشکار، به تنهایی یا با دیگران منع نمی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عبارت ایمن از فشار به صراحت این را میگوید که کلیسا، تساهل را یک فضیلت مثبت می داند در آن صورت این اعلامیه میبایست مبنای رفتارهای فردیای باشد که نسبت به دیگران روا میداریم و نیز هماهنگ با تعالیم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 علاوه بر این اعلام میدارد که حق آزادی دینی، مبتنی بر کرامت افراد انسانی است که مورد شناسایی وحی الهی و نیز عقل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فرد انسانی برای آزادی دینی باید در نظم نهادینۀ اجتماعی مورد شناسایی واقع و بدل به یک حق مدنی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عبارت کرامت افراد انسانی مطمئناً فضیلت بودن تساهل را که نتیجۀ عبارت قبلی بود، تحکیم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تایید این کرامت، مستلزم صحه گذاردن بر گزارۀ مورد شناسایی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شاید تساهل، معتبر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عقل فی نفسه ضمانت میکند که تساهلِ شایستۀ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ما باید این پرسش را نیز مطرح کنیم که آیا تایید یک حقیقت وحیانی ممکن است عبارت سخاوتمندانۀ شورا را به خطر بیندازد؟ یا این پرسش را که آیا سایۀ یک حقیقتِ مطلقِ وحیانی، محدودیت های تساهل دینی را مبهم و در عین حال معین نمیکند؟</w:t>
      </w:r>
    </w:p>
    <w:p>
      <w:pPr>
        <w:pStyle w:val="BookText"/>
        <w:rPr/>
      </w:pPr>
      <w:r>
        <w:rPr>
          <w:rFonts w:ascii="IRNazanin" w:hAnsi="IRNazanin" w:eastAsia="IRNazanin"/>
          <w:color w:val="111111"/>
          <w:sz w:val="28"/>
          <w:sz w:val="28"/>
          <w:szCs w:val="28"/>
          <w:rtl w:val="true"/>
          <w:lang w:bidi="fa-IR"/>
        </w:rPr>
        <w:t>نوشتۀ لوییس هامان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محمد کیوانفر </w:t>
      </w:r>
      <w:bookmarkStart w:id="412" w:name="pg3881_27885"/>
    </w:p>
    <w:p>
      <w:pPr>
        <w:pStyle w:val="Heading3"/>
        <w:numPr>
          <w:ilvl w:val="2"/>
          <w:numId w:val="1"/>
        </w:numPr>
        <w:rPr/>
      </w:pPr>
      <w:bookmarkStart w:id="413" w:name="__RefHeading___Toc1656280_2281741623"/>
      <w:bookmarkStart w:id="414" w:name="_Toc146"/>
      <w:bookmarkEnd w:id="412"/>
      <w:bookmarkEnd w:id="413"/>
      <w:r>
        <w:rPr>
          <w:rtl w:val="true"/>
        </w:rPr>
        <w:t>برای مطالعۀ بیشتر</w:t>
      </w:r>
      <w:bookmarkEnd w:id="414"/>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Boyle, K., &amp; Sheen, J. (Eds.). (1997). Freedom of religion and belief: Aworld report. New York: Routledge</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Hammann, L. J., &amp; Buck, H. M. (Eds.). (1988). Religious traditions and the limits of tolerance. New York: Columbia University Press</w:t>
      </w:r>
      <w:r>
        <w:rPr>
          <w:rFonts w:eastAsia="Times New Roman" w:cs="Times New Roman" w:ascii="Times New Roman" w:hAnsi="Times New Roman"/>
          <w:color w:val="111111"/>
          <w:sz w:val="28"/>
          <w:szCs w:val="28"/>
          <w:rtl w:val="true"/>
          <w:lang w:val="en-US" w:bidi="en-US"/>
        </w:rPr>
        <w:t xml:space="preserve">. </w:t>
      </w:r>
      <w:bookmarkStart w:id="415" w:name="pg3881_27886"/>
    </w:p>
    <w:p>
      <w:pPr>
        <w:pStyle w:val="Heading2"/>
        <w:numPr>
          <w:ilvl w:val="1"/>
          <w:numId w:val="1"/>
        </w:numPr>
        <w:rPr/>
      </w:pPr>
      <w:bookmarkStart w:id="416" w:name="__RefHeading___Toc1656282_2281741623"/>
      <w:bookmarkStart w:id="417" w:name="_Toc147"/>
      <w:bookmarkEnd w:id="415"/>
      <w:bookmarkEnd w:id="416"/>
      <w:r>
        <w:rPr>
          <w:rtl w:val="true"/>
        </w:rPr>
        <w:t>تلویزیون</w:t>
      </w:r>
      <w:bookmarkEnd w:id="417"/>
    </w:p>
    <w:p>
      <w:pPr>
        <w:pStyle w:val="Heading3"/>
        <w:numPr>
          <w:ilvl w:val="2"/>
          <w:numId w:val="1"/>
        </w:numPr>
        <w:rPr/>
      </w:pPr>
      <w:bookmarkStart w:id="418" w:name="__RefHeading___Toc1656284_2281741623"/>
      <w:bookmarkStart w:id="419" w:name="_Toc148"/>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تلویزیون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و نقش آن در نهادها، فرهنگ و زندگی روزمرۀ دینی نه تنها شامل عملکرد این رسانه خبری سنتی در پخش برنامه های مذهبی رسمی است، بلکه تکنولوژی های جدیدتری از جمله تلویزیون کابلی، ماهواره و شبکه های دیجیتالی و تکنولوژی ویدیو، دی وی دی های خانگی را هم در بر می گیرد که همۀ آن ها برای انتقال انبوهی از پیام های دینی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دامنۀ وسیع تکنولوژی و برنامه ریزی در عرصۀ دین و تلویزیون، گسترۀ وسیعی از سازمان ها هم قرار دارند که از کلیساهای مجهز به رسانه ها گرفته تا کلیساهای سنتی، افراد، شرکت ها و دولت ها، همه و همه در تولید و پخش برنامه ها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تله ونجلیسم شناخته شده ترین فصل مشترک دین و تلویزیون است ولی به هیچ وجه تنها شکل مسلط در برنامهسازی نیست</w:t>
      </w:r>
      <w:r>
        <w:rPr>
          <w:rFonts w:eastAsia="IRNazanin" w:cs="IRNazanin"/>
          <w:color w:val="111111"/>
          <w:sz w:val="28"/>
          <w:szCs w:val="28"/>
          <w:rtl w:val="true"/>
          <w:lang w:bidi="fa-IR"/>
        </w:rPr>
        <w:t xml:space="preserve">. </w:t>
      </w:r>
      <w:bookmarkStart w:id="420" w:name="pg3881_27887"/>
    </w:p>
    <w:p>
      <w:pPr>
        <w:pStyle w:val="Heading3"/>
        <w:numPr>
          <w:ilvl w:val="2"/>
          <w:numId w:val="1"/>
        </w:numPr>
        <w:rPr/>
      </w:pPr>
      <w:bookmarkStart w:id="421" w:name="__RefHeading___Toc1656286_2281741623"/>
      <w:bookmarkStart w:id="422" w:name="_Toc149"/>
      <w:bookmarkEnd w:id="420"/>
      <w:bookmarkEnd w:id="421"/>
      <w:r>
        <w:rPr>
          <w:rtl w:val="true"/>
        </w:rPr>
        <w:t>هشدار</w:t>
      </w:r>
      <w:bookmarkEnd w:id="422"/>
    </w:p>
    <w:p>
      <w:pPr>
        <w:pStyle w:val="BookText"/>
        <w:rPr/>
      </w:pP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گرچه تجربۀ رسانههای آمریکایی در همسویی پخش برنامهها و فرهنگ دینی به نحو چشمگیری مستند شده، بر بررسی های تحقیقاتی در این زمینه نیز تاثیر محسوسی داشته و در ضمن هستۀ اصلی این مقاله را تشکیل می دهد، ولی خوانندگان باید توجه داشته باشند که این تجربه در هر دو مورد بسیار فردی و شخصی است و نباید به عرصه های بین المللی تعمیم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بین المللی دربارۀ این مبحث، در واقع به موارد متعددی اشاره دارد که در آن ها تجربۀ رسانههای آمریکایی جایی ندارد ولی وقتی همۀ این ها را با هم تلفیق می کنیم، نکات تطبیقی جالب توجهی به دست می دهند</w:t>
      </w:r>
      <w:r>
        <w:rPr>
          <w:rFonts w:eastAsia="IRNazanin" w:cs="IRNazanin"/>
          <w:color w:val="111111"/>
          <w:sz w:val="28"/>
          <w:szCs w:val="28"/>
          <w:rtl w:val="true"/>
          <w:lang w:bidi="fa-IR"/>
        </w:rPr>
        <w:t>.</w:t>
      </w:r>
    </w:p>
    <w:p>
      <w:pPr>
        <w:pStyle w:val="Heading3"/>
        <w:numPr>
          <w:ilvl w:val="2"/>
          <w:numId w:val="1"/>
        </w:numPr>
        <w:rPr/>
      </w:pPr>
      <w:bookmarkStart w:id="423" w:name="__RefHeading___Toc1656288_2281741623"/>
      <w:bookmarkStart w:id="424" w:name="_Toc150"/>
      <w:bookmarkEnd w:id="423"/>
      <w:r>
        <w:rPr>
          <w:rtl w:val="true"/>
        </w:rPr>
        <w:t>کنترل دولت یا کنترل بازار</w:t>
      </w:r>
      <w:bookmarkEnd w:id="424"/>
    </w:p>
    <w:p>
      <w:pPr>
        <w:pStyle w:val="BookText"/>
        <w:rPr/>
      </w:pPr>
      <w:r>
        <w:rPr>
          <w:rFonts w:ascii="IRNazanin" w:hAnsi="IRNazanin" w:eastAsia="IRNazanin"/>
          <w:color w:val="111111"/>
          <w:sz w:val="28"/>
          <w:sz w:val="28"/>
          <w:szCs w:val="28"/>
          <w:rtl w:val="true"/>
          <w:lang w:bidi="fa-IR"/>
        </w:rPr>
        <w:t>کنترل دولت یا کنترل بازار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موضوع اساسی بر فصل مشترک دین و تلویزیون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و 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دو مورد به محیط ملی و فضای دینی ـ رسانهای هر کشوری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دولت، نقش نظارت و حمایت مستقیم دربارۀ رسانه ها را بر عهده دارد ـ و با وجود سرشت جهانی ارتباطات، خبررسانی و رسانه های الکترونیک هنوز به نحو چشمگیر و گسترده ای، به قوانین ملی کشورها محدود هستند ـ عموماً بحث دربارۀ فعالیت های دینی در تلویزیون به این شکل جلوه می کند که یا از تلویزیون برای تبلیغ دین رسمی بهره گرفته می شود یا آن که از این رسانه به عنوان مخالفت با سلایق دینی دولت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نمونة بسیار بارز از این دو کاربرد در کشورهای ایران و افغانستان ـ در زمان سلطۀ طالبان ـ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روزنامه هایی در ایران، حاوی شکایاتی است از سوی روحانیون لیبرال مسلک تر ایران از روحانیون محافظه کارتر در حکومت، که کنترل امواج رسانه ای و تلویزیون را به دست دارند؛ در افغانستان تحت سلطۀ طالبان نیز، روحانیون محافظه کار این </w:t>
      </w:r>
      <w:bookmarkStart w:id="425" w:name="pg3881_27888"/>
    </w:p>
    <w:p>
      <w:pPr>
        <w:pStyle w:val="BookText"/>
        <w:rPr/>
      </w:pPr>
      <w:bookmarkEnd w:id="425"/>
      <w:r>
        <w:rPr>
          <w:rFonts w:ascii="IRNazanin" w:hAnsi="IRNazanin" w:eastAsia="IRNazanin"/>
          <w:color w:val="111111"/>
          <w:sz w:val="28"/>
          <w:sz w:val="28"/>
          <w:szCs w:val="28"/>
          <w:rtl w:val="true"/>
          <w:lang w:bidi="fa-IR"/>
        </w:rPr>
        <w:t xml:space="preserve">کشور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کردند که تمامی دستگاه های تلویزیون، نوارهای ویدیویی و دیش های ماهواره ای باید از خانه ها جمع آوری شوند و اعلام کردند که چنین دستگاه ها و رسانه هایی عامل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تجربۀ دین و تلویزیون در آمریکا، بر اصول بازار آزاد تمرکز یافته و دستیابی به امواج، عمدتأ به یافتن مخاطب و سرمایهای وابسته است که باید خرج تولید و اجارۀ طول موج را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رونالد ریگان و جُرج بوش روسای جمهور آمریکا، هر دو در زمان ریاست جمهوری خود، برنامه سازان تلویزیون های اوانجلیست را برای تولید بیشتر تشویق کرده بودند ولی همین رهبران سیاسی کشور هم آن قدر توانایی ندارند که به طور مستقیم بر دسترسی این نهادهای دینی بر امواج یا محتوای برنامه های آنان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تجربیات ایران و افغانستان از یک سو و آمریکا از سوی دیگر نشان دهنده دو قطب کاملا مخالف محدود و آزاد از لحاظ نظارت دولت بر رسانه می باشند، بقیه کشورها جایگاهی بینابین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کشورهای جهان، به ویژه انگلیس، اروپای غربی و بسیاری از کشورهای آفریقایی، شاهد ترکیبی از کانال های برنامه سازی تحت حمایت دولت و مجموعۀ وسیعی از برنامه های تولیدی مستقل و خارج از اعمال نظر دولت هستند، حال چه از طریق تلویزیون های ماهواره ای یا وزارتخانه ها و سازمانهای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کنترل دولتی و برنامه سازی مستقل، فرصت بسیار مغتنمی برای مقایسۀ مکانیزم های مختلف تامین بودجه، سبک برنامه سازی و توزیع شبکه ها، با توجه به تفاوت انگیزه های دینی و خدماتی نهفته در بطن تفکر سازمان های تامین کنندۀ آن ها، پدید می آورد</w:t>
      </w:r>
      <w:r>
        <w:rPr>
          <w:rFonts w:eastAsia="IRNazanin" w:cs="IRNazanin"/>
          <w:color w:val="111111"/>
          <w:sz w:val="28"/>
          <w:szCs w:val="28"/>
          <w:rtl w:val="true"/>
          <w:lang w:bidi="fa-IR"/>
        </w:rPr>
        <w:t>.</w:t>
      </w:r>
    </w:p>
    <w:p>
      <w:pPr>
        <w:pStyle w:val="Heading3"/>
        <w:numPr>
          <w:ilvl w:val="2"/>
          <w:numId w:val="1"/>
        </w:numPr>
        <w:rPr/>
      </w:pPr>
      <w:bookmarkStart w:id="426" w:name="__RefHeading___Toc1656290_2281741623"/>
      <w:bookmarkStart w:id="427" w:name="_Toc151"/>
      <w:bookmarkEnd w:id="426"/>
      <w:r>
        <w:rPr>
          <w:rtl w:val="true"/>
        </w:rPr>
        <w:t>تلویزیون و دین در آمریکا</w:t>
      </w:r>
      <w:bookmarkEnd w:id="427"/>
    </w:p>
    <w:p>
      <w:pPr>
        <w:pStyle w:val="BookText"/>
        <w:rPr/>
      </w:pPr>
      <w:r>
        <w:rPr>
          <w:rFonts w:ascii="IRNazanin" w:hAnsi="IRNazanin" w:eastAsia="IRNazanin"/>
          <w:color w:val="111111"/>
          <w:sz w:val="28"/>
          <w:sz w:val="28"/>
          <w:szCs w:val="28"/>
          <w:rtl w:val="true"/>
          <w:lang w:bidi="fa-IR"/>
        </w:rPr>
        <w:t>تلویزیون و دین در آمریکا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توضیح داده شد، تجربۀ تلویزیون در آمریکا نه می تواند از نظر گسترش امکانات فنی در قیاس با بقیۀ جهان مورد استناد قرار گیرد و نه از نظر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فرهنگ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تحقیق دربارۀ مقولۀ تلویزیون و دین در آمریکا بسیار مهم است و می تواند زمینۀ تطبیقیِ مفیدی برای بررسی تجربۀ کشورهای دیگر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و کلیدی در شناخت فرهنگ دینی و تلویزیون آمریکا، درک ماهیت انقطاع مردم آمریکا با دین نهادینه شده و مقررات بسیار محدودی است که در زمینۀ کنترل رسانه ها در این کشور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کلیسای دولتی و آزادی دینی قابل احترامی که در آمریکا وجود دارد، بازار دینی خاصی خلق کرده که در آن رقابت فرقه های دینی برای جذب و جلب هوادار، یک اصل مسلم و لازم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هیچ فرقه ای نمی تواند روی حمایت دولت یا تعداد خاصی از اعضای بالفعل خودش، با توجه به میزان جمعیت کشورش حساب کند، در نتیجه هر گروه دینی باید فعالانه دنبال جذب جمعیت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بدو ورود تلویزیون به درون جامعۀ آمریکا، مقرراتی که بر آن اعمال شد، همان مقررات تکنولوژیکی بود که بر رادیو هم حاکم بود و در ضمن، محدودیت های محتوایی برنامه های رادیویی هم شامل حال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شبکه های تلویزیونیای که پا به عرصۀ وجود نهادند، فرکانس خاصی اختصاص یافت و به آنان گفته شد که برای استفادۀ عموم مردم، برنامه های متنوع آموزشی، دینی و هنری تهیه کنند ولی لازم نبود که شبکه ها برای تولید این برنامه ها، مجوز بگیرند یا برنامه های تولید شدۀ دولت را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سلطۀ قواعد بازار بر برنامههای تلویزیونی و دینی و محدودیت مداخلۀ دولت، این ترکیب، آمادۀ گسترش و پیشرفت خارق العاده ای بود و نشان داد که نه تنها در آمریکا بی همتا بوده، بلکه به طور مستقیم بر رسانه ها و نظام های دینی کشورهای دیگر نیز اثر بارزی بر جا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برنامهسازی دینی در تلویزیون آمریکا از دخالت دولت مصون بود ولی این امر بدان معنا نیست که از کنترل و اعتقاد فرقه های دینی و دیگر سازمان ها هم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نمونۀ برجستة این امر درست در آن جا دیده می شود که کنترل برنامهسازی دینی به دست شورای ملی کلیساها داده شد که تحت سلطۀ فرقه های اصلی و بسیار رایج فضای دینی آمریکا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به هیچ وجه راضی نبودند که برای فرقه های اونجلیستی، زمانی را اختصاص دهند و به همان اندازه هم به نوآوری و خلاقیت در برنامه سازی روی خوش نشان نمی دادند و هدفشان فقط پخش تلویزیونی مراسم دینی و عبادی کلیساها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اونجلیست ها ناگزیر شدند راه هایی برای خرید زمان پخش پیدا کنند و در نتیجه لازم دیدند برنامه هایی تهیه کنند که بتواند حمایت مردم را جلب کنند و از آنان کمک های مالی بگیرند؛ این امر به تولید برنامه های تلویزیونی اونجلیستی ـ تلهونجلیسم ـ مشهوری انجامید که معمولأ با شنیدن عبارت تلویزیون دینی، همانها به ذهن متبادر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قید و بندهای شبکه های بزرگ پخش برای تامین زمان پخش مجانی به کلیساها، از سوی مجراهای قانونی کاهش یافت و به تدریج به کلی منتفی شد، کلیساهای اصلی و عمومی ناگهان متوجه شدند که برای تامین مخارج برنامه های خود آمادگی ندارند و در نهایت طول امواج خود را به اونجلیست های از خود مهیا تر واگذار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رشد و گسترش نظام تلویزیون کابلی به عنوان راهی برای تامین کانال های تلویزیونی بیشتر، برنامه سازان دینی مشتاق بودند تا زمان در دسترس را پر کنند و همین امر به تولید انواع تازه ای از برنامه سازی های دینی، سوای پخش مراسم عبادی کلیساها، موعظه برای تشویق تغییر دین و شوهای دینی،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برنامه هایی نظیر 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طرح مسایل روز می پرداختند،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کانال هایی به برنامه سازی برای خانواده های مبتلا به مشی محافظه کاری رو آوردند که نتیجۀ آن راه اندازی کانال خانواده و کانال پاکس بود که در هر دوی آن ها، مجموعه های تلویزیونی سالم و خانوادگیای مانند خانوادۀ والتِن،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اهمیت دارد که در چشم انداز معاصر رسانه ها، هیچکدام از این دو کانال، دیگر مستقل نیستند و برنامه هایی هم که پخش می کنند، صرفأ رنگ و بوی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تلویزیون کابلی، دستگاه های خانگی ویدیویی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سال های اخیر دستگاه های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منابع تازه ای برای برنامه های تلویزیونی دینی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نمونۀ بارز از ویدیو های خانگی تولید شده برای مخاطبان مسیحی، یکی مجموعۀ ماجراهایی در سفر است که شرکت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سازمان دینی ـ رسانه ای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تولید و پخش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هم مجموعۀ قصۀ سبزیجات است که شرکت بیگ آیدیا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شرکت ویدیویی با دیدگاه مسیحی و زیرمجموعه ای از شرکت کلاسیک 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تولید و توزیع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عرصۀ تلویزیون دینی در آمریکا، برنامه های مسیحی سلطه ای غیرقابل تردید نشان می دهند ولی تولید ویدیوهای خانگی در کانون توجه برنامه سازان رسانه های یهودی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مجموعه های سلام سسامی و الف ب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پخش شده اند که اطلاعات پایه ای دربارۀ فرهنگ یهودی و اسراییلی در اختیار کودکان و نوجوانان قرار می دهند و برخلاف بیشتر برنامه های رسانه ای مسیحی، اصراری هم ندارند که کودکان ادیان دیگر را به قبول دین یهود فرابخوانند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مجموعه های تولیدی مسیحی و هم برنامه های یهودی به نحو </w:t>
      </w:r>
      <w:bookmarkStart w:id="428" w:name="pg3881_27892"/>
    </w:p>
    <w:p>
      <w:pPr>
        <w:pStyle w:val="BookText"/>
        <w:rPr/>
      </w:pPr>
      <w:bookmarkEnd w:id="428"/>
      <w:r>
        <w:rPr>
          <w:rFonts w:ascii="IRNazanin" w:hAnsi="IRNazanin" w:eastAsia="IRNazanin"/>
          <w:color w:val="111111"/>
          <w:sz w:val="28"/>
          <w:sz w:val="28"/>
          <w:szCs w:val="28"/>
          <w:rtl w:val="true"/>
          <w:lang w:bidi="fa-IR"/>
        </w:rPr>
        <w:t>عمیق و گسترده ای متاثر از برنامه های ویدیویی ژانر کودک هستند و استفاده های خلاقی از نقاشی متحرک، موسیقی و تکنیک تدوین سریع به عمل می آورند تا توجه کودکان را به برنامهها جلب و برای مدتی حفظ کنند</w:t>
      </w:r>
      <w:r>
        <w:rPr>
          <w:rFonts w:eastAsia="IRNazanin" w:cs="IRNazanin"/>
          <w:color w:val="111111"/>
          <w:sz w:val="28"/>
          <w:szCs w:val="28"/>
          <w:rtl w:val="true"/>
          <w:lang w:bidi="fa-IR"/>
        </w:rPr>
        <w:t>.</w:t>
      </w:r>
    </w:p>
    <w:p>
      <w:pPr>
        <w:pStyle w:val="Heading3"/>
        <w:numPr>
          <w:ilvl w:val="2"/>
          <w:numId w:val="1"/>
        </w:numPr>
        <w:rPr/>
      </w:pPr>
      <w:bookmarkStart w:id="429" w:name="__RefHeading___Toc1656292_2281741623"/>
      <w:bookmarkStart w:id="430" w:name="_Toc152"/>
      <w:bookmarkEnd w:id="429"/>
      <w:r>
        <w:rPr>
          <w:rtl w:val="true"/>
        </w:rPr>
        <w:t>تلویزیون دینی در چهارچوب نظام های ملی متعیّن</w:t>
      </w:r>
      <w:bookmarkEnd w:id="430"/>
    </w:p>
    <w:p>
      <w:pPr>
        <w:pStyle w:val="BookText"/>
        <w:rPr/>
      </w:pPr>
      <w:r>
        <w:rPr>
          <w:rFonts w:ascii="IRNazanin" w:hAnsi="IRNazanin" w:eastAsia="IRNazanin"/>
          <w:color w:val="111111"/>
          <w:sz w:val="28"/>
          <w:sz w:val="28"/>
          <w:szCs w:val="28"/>
          <w:rtl w:val="true"/>
          <w:lang w:bidi="fa-IR"/>
        </w:rPr>
        <w:t>تلویزیون دینی در چهارچوب نظام های ملی متعیّن</w:t>
      </w:r>
    </w:p>
    <w:p>
      <w:pPr>
        <w:pStyle w:val="BookText"/>
        <w:rPr/>
      </w:pPr>
      <w:r>
        <w:rPr>
          <w:rFonts w:ascii="IRNazanin" w:hAnsi="IRNazanin" w:eastAsia="IRNazanin"/>
          <w:color w:val="111111"/>
          <w:sz w:val="28"/>
          <w:sz w:val="28"/>
          <w:szCs w:val="28"/>
          <w:rtl w:val="true"/>
          <w:lang w:bidi="fa-IR"/>
        </w:rPr>
        <w:t>همانطور که در بحث کنترل دولتی در برابر کنترل بازار آزاد گفته شد، شکل عرضۀ دین در تلویزیون و رابطۀ میان دین نهادینه شده و تلویزیون، تا اندازۀ زیادی به میزان و نوع کنترلی که دولت بر پایگاه های دین و رسانه ها اعمال می کند،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حکومتی که در این عرصه در مسیر انتقالی گام برمی دارد، کشور روسیه است که در آن نفوذ دین از زمان فروپاشی اتحاد شوروی به نحو چشمگیری رو به رشد نهاده است؛ ظهور دوبارۀ مذهب در این کشور، برای اولین بار زمینه را برای پخش مستقیم برنامه های دینی کلیساها فراهم آورده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دوم از این انتقال را می توان در کشور انگلستان شاهد بود که نظام ملی برنامه ریزی تحت حمایت دولت در آن، مورد چالش کانال های ماهواره ای بین المللی قرار گرفته است و از سوی دیگر، تغییر ساختار جمعیتی این کشور، بر برداشت سنتی از دین در بریتانیای کبیر، اثر بارزی بر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در همین زمینه منتشر شده است، به این نکته اشاره می کند که برنامه ریزی تحت حمایت دولت باید برنامه های دینی تامین شده از سوی بخش های تجاری را هم مدنظر قرار دهد و در پی جلب مخاطبانی باشد که در برنامه های تولیدشده با صبغۀ دینی، به نیازهای آنان پاسخ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تحولات ناشی از بین المللی شدن تلویزیون را در ساحل عاج شاهد </w:t>
      </w:r>
      <w:bookmarkStart w:id="431" w:name="pg3881_27893"/>
    </w:p>
    <w:p>
      <w:pPr>
        <w:pStyle w:val="BookText"/>
        <w:rPr/>
      </w:pPr>
      <w:bookmarkEnd w:id="431"/>
      <w:r>
        <w:rPr>
          <w:rFonts w:ascii="IRNazanin" w:hAnsi="IRNazanin" w:eastAsia="IRNazanin"/>
          <w:color w:val="111111"/>
          <w:sz w:val="28"/>
          <w:sz w:val="28"/>
          <w:szCs w:val="28"/>
          <w:rtl w:val="true"/>
          <w:lang w:bidi="fa-IR"/>
        </w:rPr>
        <w:t>هستیم که در آن کشور، مقامات حکومتی اجازه داده اند امواج تلویزیونی در صبح یکشنبه توسط کلیساهای مسیحی، اعم از کاتولیک و پروتستان مورد استفاده قرار گیرد و غروب پنجشنبه به پخش برنامۀ الله اکبر برای بینندگان مسلمان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در این کشور جز تعداد معدودی، سازمان های تثبیت شدۀ اسلامی وجود ندارد که برای تولید یا پخش برنامه مورد تایید حکومت باشند، برنامه های دینی به شدت تحت سلطۀ روحانیونی قرار گرفته است که در عربستان سعودی تعلیم یافته اند و از تجارب گستردۀ تلویزیون عربستان بهره می برند ولی در عین حال، ذوق و سلیقۀ آنان با روحانیون محلی که به مراسم عبادیِ خودانگیخته تری تمایل دارند و آیینشان با محدودیت های رسانه ای در آن جا جور درنمی آید، در تضادی آشکار قرار دارد</w:t>
      </w:r>
      <w:r>
        <w:rPr>
          <w:rFonts w:eastAsia="IRNazanin" w:cs="IRNazanin"/>
          <w:color w:val="111111"/>
          <w:sz w:val="28"/>
          <w:szCs w:val="28"/>
          <w:rtl w:val="true"/>
          <w:lang w:bidi="fa-IR"/>
        </w:rPr>
        <w:t>.</w:t>
      </w:r>
    </w:p>
    <w:p>
      <w:pPr>
        <w:pStyle w:val="Heading3"/>
        <w:numPr>
          <w:ilvl w:val="2"/>
          <w:numId w:val="1"/>
        </w:numPr>
        <w:rPr/>
      </w:pPr>
      <w:bookmarkStart w:id="432" w:name="__RefHeading___Toc1656294_2281741623"/>
      <w:bookmarkStart w:id="433" w:name="_Toc153"/>
      <w:bookmarkEnd w:id="432"/>
      <w:r>
        <w:rPr>
          <w:rtl w:val="true"/>
        </w:rPr>
        <w:t>نقد تلویزیون دینی و دین در تلویزیون</w:t>
      </w:r>
      <w:bookmarkEnd w:id="433"/>
    </w:p>
    <w:p>
      <w:pPr>
        <w:pStyle w:val="BookText"/>
        <w:rPr/>
      </w:pPr>
      <w:r>
        <w:rPr>
          <w:rFonts w:ascii="IRNazanin" w:hAnsi="IRNazanin" w:eastAsia="IRNazanin"/>
          <w:color w:val="111111"/>
          <w:sz w:val="28"/>
          <w:sz w:val="28"/>
          <w:szCs w:val="28"/>
          <w:rtl w:val="true"/>
          <w:lang w:bidi="fa-IR"/>
        </w:rPr>
        <w:t>نقد تلویزیون دینی و دین در تلویزیون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به طور تلویحی دربارۀ پخش برنامه های دینی در ساحل عاج گفته شد، تجربۀ تلویزیون دینی در شرایط مختلف، ماهیت خود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عبادی باید با محدودیت های زمانی که در غالب برنامه های دینی رو در رو و استودیویی مطرح نیست، کنار بیاید و رهبر مراسم دینی نمی تواند بی واسطه با مخاطبان تلویزیونی که جلوی دستگاه نشسته اند، ارتباط مستقیم برقرار کند و به پرسش های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سرشت واقعی مراسم عبادی به عنوان نوعی راهنمایی مذهبی و در واقع به عنوان حضور معنوی، تحت تاثیر عوامل مزاحم تولید که از ملزومات تولید تلویزیونی 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گروه های دینی از بیشتر برنامه های تلویزیونی ناراضی اند و آن ها را آبکی یا شامل مضمونی غلط در معرفی دین به حساب </w:t>
      </w:r>
      <w:bookmarkStart w:id="434" w:name="pg3881_27894"/>
    </w:p>
    <w:p>
      <w:pPr>
        <w:pStyle w:val="BookText"/>
        <w:rPr/>
      </w:pPr>
      <w:bookmarkEnd w:id="434"/>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وبحث بر سر این برنامه ها، در نهایت به این جا ختم می شود که چه کسی و چگونه باید دین را تعریف و تعبیر کند؟ مجموعه های تلویزیونی آمریکایی نظیر ژانِ آرکادیا ـ که در آن دختری جوان با خداوندی سخن می گوید که به صورت آدم های مختلف بر او ظاهر می شوند ـ به خاطر حساسیتی که واجد آن بوده و تصویر بی دغدغه ای که از ایمان ارایه می کنند، مورد تحسین و ستایش قرار می گیرند ولی در همان حال مجموعه های دیگری چون بافیِ خون آشام کش و جادو شده، به خاطر تبلیغ باورهای دینی ضالّه، به باد انتقاد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اونجلیست از جمله انجمن آمریکایی خانواده و تمرکز بر خانواده، منتقدان صریح و بی پروای استفادۀ تلویزیون های تجاری از مضامین دینی بوده اند و با این انتقادها به سردمداران دفتر تولید و پخش فیلم اسقف های کاتولیک آمریکایی پیوسته اند و در نگرانی آن ها احساس ابراز مشارکت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گروه هایی چون کنوانسیون باپتیست های جنوبی کوشیده اند تا از تحریم به عنوان راهی برای تاثیرگذاردن بر برنامه های رسانه ها استفاده کنند، هرچند تحریم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والت دیزنی از سوی باپتیست های جنوبی، در موقعیت مالی این شرکت خللی وارد نکرد</w:t>
      </w:r>
      <w:r>
        <w:rPr>
          <w:rFonts w:eastAsia="IRNazanin" w:cs="IRNazanin"/>
          <w:color w:val="111111"/>
          <w:sz w:val="28"/>
          <w:szCs w:val="28"/>
          <w:rtl w:val="true"/>
          <w:lang w:bidi="fa-IR"/>
        </w:rPr>
        <w:t>.</w:t>
      </w:r>
    </w:p>
    <w:p>
      <w:pPr>
        <w:pStyle w:val="Heading3"/>
        <w:numPr>
          <w:ilvl w:val="2"/>
          <w:numId w:val="1"/>
        </w:numPr>
        <w:rPr/>
      </w:pPr>
      <w:bookmarkStart w:id="435" w:name="__RefHeading___Toc1656296_2281741623"/>
      <w:bookmarkStart w:id="436" w:name="_Toc154"/>
      <w:bookmarkEnd w:id="435"/>
      <w:r>
        <w:rPr>
          <w:rtl w:val="true"/>
        </w:rPr>
        <w:t>چالش ها</w:t>
      </w:r>
      <w:bookmarkEnd w:id="436"/>
    </w:p>
    <w:p>
      <w:pPr>
        <w:pStyle w:val="BookText"/>
        <w:rPr/>
      </w:pPr>
      <w:r>
        <w:rPr>
          <w:rFonts w:ascii="IRNazanin" w:hAnsi="IRNazanin" w:eastAsia="IRNazanin"/>
          <w:color w:val="111111"/>
          <w:sz w:val="28"/>
          <w:sz w:val="28"/>
          <w:szCs w:val="28"/>
          <w:rtl w:val="true"/>
          <w:lang w:bidi="fa-IR"/>
        </w:rPr>
        <w:t>چالش 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های رودرروی تلویزیون دینی و مواجهۀ دین با تلویزیون، بسیار چشمگیر و بارز هستند ولی باید به آن ها به عنوان اولین نشانه های تحول در این عرصه نگریست تا نشانههای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چالش مهم، رقابت روزافزون در عرصۀ فعالیت های دینی بین کلیسای کاتولیک، پروتستان و اسلام است؛ همچنین استفاده از تلویزیون برای دستیابی به افرادی است که بالقوه امکان تغییر در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همانطور که عربستان سعودی در فراهم آوردن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امکانات آموزش و برنامه سازی های مفید برای مسلمانان معتقد در آفریقا و افراد مستعد برای تشرف به اسلام، فعالیت های گسترده ای دارد، گروه های مسیحیای چون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نیز به نوبۀ خود در تامین برنامه های مسیحی در همین منطقه فعالیت چشمگیری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کلیسای کاتولیک هم سرمایه گذاری های خود را در تلویزیون های آمریکای لاتین افزایش داده است تا به این طریق جلوی موج سریع تغییر کیش مردم به سمت پروتستانیزم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رقابت در این عرصه، در نهایت به رقابت برای دستیابی به امواج تلویزیونی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برنامه سازان تجاری تلویزیونی، در مخالفت با برنامهسازان مورد حمایت دولت یا نهادهای دینی، بیشتر برنامه های مورد توجه مخاطبان را می سازند، این احتمال هم بیشتر می شود که محتوای دینی برنامه ها دگرگون شده و به سمت آن چیزی حرکت کند که پرسودترین است؛ یعنی تولید برنامه ها و پیام هایی که بیشترین جذابیت را برای جمعیت مخاطب داشته و نظر سفارش دهندگان آگهیها را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کانال های تلویزیونی که ناشی از رواج کانال های دیجیتالی، ماهواره ها و تکنولوژی پخش دیجیتالی است، فرصت های تازه ای را برای گروه های مختلف فراهم آورده است تا مخاطب مورد نظر خود را پیدا کنند ولی این فرصت ها، دست کم در آمریکا، هنوز فقط محدود به کسانی است که از عهدۀ تامین مخارج استفاده از این امکانات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همزمان با چرخش این کشور از طیف آنالوگ به طیف دیجیتال، تخمین زده می شود که ایستگاه های کوچک پخش برنامه های دینی با مشکلات بسیاری روبه رو شده و بعید است که همۀ آن ها بتوانند از عهدۀ تامین مخارج دستگاه های جدید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افزایش تعداد کانال های تلویزیونی نیز ممکن است تاثیری منفی برجا بگذارد، به این ترتیب که برخی </w:t>
      </w:r>
    </w:p>
    <w:p>
      <w:pPr>
        <w:pStyle w:val="BookText"/>
        <w:rPr/>
      </w:pPr>
      <w:r>
        <w:rPr>
          <w:rFonts w:ascii="IRNazanin" w:hAnsi="IRNazanin" w:eastAsia="IRNazanin"/>
          <w:color w:val="111111"/>
          <w:sz w:val="28"/>
          <w:sz w:val="28"/>
          <w:szCs w:val="28"/>
          <w:rtl w:val="true"/>
          <w:lang w:bidi="fa-IR"/>
        </w:rPr>
        <w:t>مخاطبان نتوانند از پیام هایی که آن ها را مضطرب کرده و با چالش مواجه میسازد، رهایی یابند و شاید ترجیح بدهند که خود را در سپهر رسانه ای خاصی قرار دهند که با آن چه مشاهده می کنند بیشتر موافق باشند ولی این امر فرصت طرح اندیشه و اطلاعات تازه را هم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هیلاری وارن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حسین عمید </w:t>
      </w:r>
      <w:bookmarkStart w:id="437" w:name="pg3881_27897"/>
    </w:p>
    <w:p>
      <w:pPr>
        <w:pStyle w:val="Heading3"/>
        <w:numPr>
          <w:ilvl w:val="2"/>
          <w:numId w:val="1"/>
        </w:numPr>
        <w:rPr/>
      </w:pPr>
      <w:bookmarkStart w:id="438" w:name="__RefHeading___Toc1656298_2281741623"/>
      <w:bookmarkStart w:id="439" w:name="_Toc155"/>
      <w:bookmarkEnd w:id="437"/>
      <w:bookmarkEnd w:id="438"/>
      <w:r>
        <w:rPr>
          <w:rtl w:val="true"/>
        </w:rPr>
        <w:t>برای مطالعۀ بیشتر</w:t>
      </w:r>
      <w:bookmarkEnd w:id="439"/>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Afghan religious police ban television, girls’ schools. (1998( Church &amp; State,51(8),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Birman L., &amp; Lehmann, P. (1999). Religion and the media for idealogical [sic] hegemony: The Universal Church of the Kingdom of God and TV Globo in Brazil. Bulletin of Latin American Research,18(2), 145–165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Dubov, I. G. (2003). Level of religious commitment and the influence of religious precepts on Russian citizens’ attitudes toward political leaders. Russian Social Science Review, 44(6) 82–108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 K. (1993). The rise and fall of American televangelism. Annals of the American Academy of Political and Social Science,527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Hadden, J. K. (1994). Policing the religious airwaves: A case of market place regulation. BYU Journal of Public Law . 8(2), 393–417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Launay, R. (1997). Spirit media: The electronic media and Islam among the Dyula of Northern Côte D’Ivoire. Africa,67(3), 441–453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B. (2003). Editorial. Journal of Religion in Africa,33(2), 125–128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Sciolino, E. (1998). Iran’s alternative voices now demand to be heard. New York Times,147(51223),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Serbin, K. (1995). Bishops to expand TV network. National Catholic Reporter,32(1), 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Viney, R. (1999). Religious broadcasting on UK television: Policy, public perception and programmes. Cultural Trends,9(36), 1–28</w:t>
      </w:r>
      <w:r>
        <w:rPr>
          <w:rFonts w:eastAsia="Times New Roman" w:cs="Times New Roman" w:ascii="Times New Roman" w:hAnsi="Times New Roman"/>
          <w:color w:val="111111"/>
          <w:sz w:val="28"/>
          <w:szCs w:val="28"/>
          <w:rtl w:val="true"/>
          <w:lang w:val="en-US" w:bidi="en-US"/>
        </w:rPr>
        <w:t xml:space="preserve">. </w:t>
      </w:r>
      <w:bookmarkStart w:id="440" w:name="pg3881_27899"/>
    </w:p>
    <w:p>
      <w:pPr>
        <w:pStyle w:val="Heading2"/>
        <w:numPr>
          <w:ilvl w:val="1"/>
          <w:numId w:val="1"/>
        </w:numPr>
        <w:rPr/>
      </w:pPr>
      <w:bookmarkStart w:id="441" w:name="__RefHeading___Toc1656300_2281741623"/>
      <w:bookmarkStart w:id="442" w:name="_Toc156"/>
      <w:bookmarkEnd w:id="440"/>
      <w:bookmarkEnd w:id="441"/>
      <w:r>
        <w:rPr>
          <w:rtl w:val="true"/>
        </w:rPr>
        <w:t>جامعۀ اطلاعاتی</w:t>
      </w:r>
      <w:bookmarkEnd w:id="442"/>
    </w:p>
    <w:p>
      <w:pPr>
        <w:pStyle w:val="Heading3"/>
        <w:numPr>
          <w:ilvl w:val="2"/>
          <w:numId w:val="1"/>
        </w:numPr>
        <w:rPr/>
      </w:pPr>
      <w:bookmarkStart w:id="443" w:name="__RefHeading___Toc1656302_2281741623"/>
      <w:bookmarkStart w:id="444" w:name="_Toc157"/>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جامعۀ اطلاعاتی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معاصرِ سرمایه داری که با نام جامعۀ اطلاعاتی</w:t>
      </w:r>
      <w:r>
        <w:rPr>
          <w:rStyle w:val="FootnoteAnchor"/>
          <w:rtl w:val="true"/>
        </w:rPr>
        <w:footnoteReference w:id="139"/>
      </w:r>
      <w:r>
        <w:rPr>
          <w:rFonts w:ascii="IRNazanin" w:hAnsi="IRNazanin" w:eastAsia="IRNazanin"/>
          <w:color w:val="111111"/>
          <w:sz w:val="28"/>
          <w:sz w:val="28"/>
          <w:szCs w:val="28"/>
          <w:rtl w:val="true"/>
          <w:lang w:bidi="fa-IR"/>
        </w:rPr>
        <w:t>شناخته می شود مردم با تکیه بر فن آوریِ ارتباطات حضور فعالی در امور اطلاعاتی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شاهد مفاهیم جدید و مشابهی مانند جامعۀ پساصنعتیِ دنیل بل و جامعۀ اطلاعاتی مانوئل کَستلز هستیم که جای خود را به واژه های مردمی تری مانند انقلاب اطلاعاتی و عصر اطلاعات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فن آوری اطلاعات با تولید صنعتی و گسترش اطلاعات در عرصه های گوناگون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شِمِنت و استیفنسِن از علایق و نگرانی های گروه های مذهبی دربارۀ جامعۀ اطلاعاتی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های جدید، به اطلاعات به مانند کالا نگاه می شود که نوعی اقتصاد اطلاعاتی قوی است که روابط بین افراد را افزایش داده و با فن آوری اطلاعاتِ فراگیر خود محیطی رسانه ای در منزل و محل کار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کنار مفهوم جامعۀ </w:t>
      </w:r>
      <w:bookmarkStart w:id="445" w:name="pg3881_27900"/>
    </w:p>
    <w:p>
      <w:pPr>
        <w:pStyle w:val="BookText"/>
        <w:rPr/>
      </w:pPr>
      <w:bookmarkEnd w:id="445"/>
      <w:r>
        <w:rPr>
          <w:rFonts w:ascii="IRNazanin" w:hAnsi="IRNazanin" w:eastAsia="IRNazanin"/>
          <w:color w:val="111111"/>
          <w:sz w:val="28"/>
          <w:sz w:val="28"/>
          <w:szCs w:val="28"/>
          <w:rtl w:val="true"/>
          <w:lang w:bidi="fa-IR"/>
        </w:rPr>
        <w:t>اطلاعاتی، دغدغه هایی مانند بی عدالتی اطلاعاتی، حریم خصوصی، دسترسی کمتر به گفتمان سیاسی، سطوح پایین تری از سواد و اعتقاد به ظاهر، بیش از باطن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مشخصۀ اصلی جامعۀ اطلاعاتی، ارتباطات منسجم است؛ بدین معنا که ارتباط با نهادهای مذهبی افزایش یافته است و افراد، اطلاعات فراوانی را از کتاب ها، مجلات، تبلیغات، تلویزیون، اینترنت و حتی بروشورهای پستیِ سریع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های مربوط به کلیسا در هر جای دنیا متون مذهبی مهمی را در خود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شخصی توسط گروه های تبلیغی ـ مذهبی در پایگاه های اطلاعاتی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استفاده از سامانۀ کارت های اعتباری، وجوهات اهدایی مردم مانند عشریه</w:t>
      </w:r>
      <w:r>
        <w:rPr>
          <w:rStyle w:val="FootnoteAnchor"/>
          <w:rtl w:val="true"/>
        </w:rPr>
        <w:footnoteReference w:id="140"/>
      </w:r>
      <w:r>
        <w:rPr>
          <w:rFonts w:ascii="IRNazanin" w:hAnsi="IRNazanin" w:eastAsia="IRNazanin"/>
          <w:color w:val="111111"/>
          <w:sz w:val="28"/>
          <w:sz w:val="28"/>
          <w:szCs w:val="28"/>
          <w:rtl w:val="true"/>
          <w:lang w:bidi="fa-IR"/>
        </w:rPr>
        <w:t>و دیگر مبالغ را دریافت و پرداخت می کنند</w:t>
      </w:r>
      <w:r>
        <w:rPr>
          <w:rFonts w:eastAsia="IRNazanin" w:cs="IRNazanin"/>
          <w:color w:val="111111"/>
          <w:sz w:val="28"/>
          <w:szCs w:val="28"/>
          <w:rtl w:val="true"/>
          <w:lang w:bidi="fa-IR"/>
        </w:rPr>
        <w:t>.</w:t>
      </w:r>
    </w:p>
    <w:p>
      <w:pPr>
        <w:pStyle w:val="Heading3"/>
        <w:numPr>
          <w:ilvl w:val="2"/>
          <w:numId w:val="1"/>
        </w:numPr>
        <w:rPr/>
      </w:pPr>
      <w:bookmarkStart w:id="446" w:name="__RefHeading___Toc1656304_2281741623"/>
      <w:bookmarkStart w:id="447" w:name="_Toc158"/>
      <w:bookmarkEnd w:id="446"/>
      <w:r>
        <w:rPr>
          <w:rtl w:val="true"/>
        </w:rPr>
        <w:t>تأثیرات تجاری</w:t>
      </w:r>
      <w:bookmarkEnd w:id="447"/>
    </w:p>
    <w:p>
      <w:pPr>
        <w:pStyle w:val="BookText"/>
        <w:rPr/>
      </w:pPr>
      <w:r>
        <w:rPr>
          <w:rFonts w:ascii="IRNazanin" w:hAnsi="IRNazanin" w:eastAsia="IRNazanin"/>
          <w:color w:val="111111"/>
          <w:sz w:val="28"/>
          <w:sz w:val="28"/>
          <w:szCs w:val="28"/>
          <w:rtl w:val="true"/>
          <w:lang w:bidi="fa-IR"/>
        </w:rPr>
        <w:t>تأثیرات تجاری</w:t>
      </w:r>
    </w:p>
    <w:p>
      <w:pPr>
        <w:pStyle w:val="BookText"/>
        <w:rPr/>
      </w:pPr>
      <w:r>
        <w:rPr>
          <w:rFonts w:ascii="IRNazanin" w:hAnsi="IRNazanin" w:eastAsia="IRNazanin"/>
          <w:color w:val="111111"/>
          <w:sz w:val="28"/>
          <w:sz w:val="28"/>
          <w:szCs w:val="28"/>
          <w:rtl w:val="true"/>
          <w:lang w:bidi="fa-IR"/>
        </w:rPr>
        <w:t>در جامعۀ اطلاعاتی تأثیر تجاری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فروشی و بازاریابی مذهبی از فعالیت های مرسوم فرقه 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سالانۀ کتاب های مذهبی، موسیقی، هدایا و جواهرات در حال حاضر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عاید این فرقه ها کرده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فروشگاه های زنجیره ای قسمت هایی را برای فروش محصولات مذهبی تخصیص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مسیحیِ معاصر یکی از انواع رو به رشد موسیقی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مارک تجاریِ مسیح چه خواهد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WWJD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IRNazanin" w:hAnsi="IRNazanin" w:eastAsia="IRNazanin"/>
          <w:color w:val="111111"/>
          <w:sz w:val="28"/>
          <w:sz w:val="28"/>
          <w:szCs w:val="28"/>
          <w:rtl w:val="true"/>
          <w:lang w:bidi="fa-IR"/>
        </w:rPr>
        <w:t>یکی از انواع معروف جواهرات و پوشاک است که هدف اصلی اش ارتقای ارزش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مذهب و تجارت نقدهای فراوانی را به خود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هالِی، وایت و کانینگهام مشتریان دربارۀ مناسب بودن تجارت به عنوان ابزاری برای امور مذهبی مردد هستند</w:t>
      </w:r>
      <w:r>
        <w:rPr>
          <w:rFonts w:eastAsia="IRNazanin" w:cs="IRNazanin"/>
          <w:color w:val="111111"/>
          <w:sz w:val="28"/>
          <w:szCs w:val="28"/>
          <w:rtl w:val="true"/>
          <w:lang w:bidi="fa-IR"/>
        </w:rPr>
        <w:t xml:space="preserve">. </w:t>
      </w:r>
      <w:bookmarkStart w:id="448" w:name="pg3881_27901"/>
    </w:p>
    <w:p>
      <w:pPr>
        <w:pStyle w:val="Heading3"/>
        <w:numPr>
          <w:ilvl w:val="2"/>
          <w:numId w:val="1"/>
        </w:numPr>
        <w:rPr/>
      </w:pPr>
      <w:bookmarkStart w:id="449" w:name="__RefHeading___Toc1656306_2281741623"/>
      <w:bookmarkStart w:id="450" w:name="_Toc159"/>
      <w:bookmarkEnd w:id="448"/>
      <w:bookmarkEnd w:id="449"/>
      <w:r>
        <w:rPr>
          <w:rtl w:val="true"/>
        </w:rPr>
        <w:t>بازتولید نمادهای مذهبی</w:t>
      </w:r>
      <w:bookmarkEnd w:id="450"/>
    </w:p>
    <w:p>
      <w:pPr>
        <w:pStyle w:val="BookText"/>
        <w:rPr/>
      </w:pPr>
      <w:r>
        <w:rPr>
          <w:rFonts w:ascii="IRNazanin" w:hAnsi="IRNazanin" w:eastAsia="IRNazanin"/>
          <w:color w:val="111111"/>
          <w:sz w:val="28"/>
          <w:sz w:val="28"/>
          <w:szCs w:val="28"/>
          <w:rtl w:val="true"/>
          <w:lang w:bidi="fa-IR"/>
        </w:rPr>
        <w:t>بازتولید نمادهای مذهبی</w:t>
      </w:r>
    </w:p>
    <w:p>
      <w:pPr>
        <w:pStyle w:val="BookText"/>
        <w:rPr/>
      </w:pPr>
      <w:r>
        <w:rPr>
          <w:rFonts w:ascii="IRNazanin" w:hAnsi="IRNazanin" w:eastAsia="IRNazanin"/>
          <w:color w:val="111111"/>
          <w:sz w:val="28"/>
          <w:sz w:val="28"/>
          <w:szCs w:val="28"/>
          <w:rtl w:val="true"/>
          <w:lang w:bidi="fa-IR"/>
        </w:rPr>
        <w:t>یکی دیگر از مشخصه های جامعۀ اطلاعاتی، بازتولید فراوان نمادهای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نمادها مانند صلیب مسیح آن قدر فراگیر شده اند که کمتر کسی آن را متعلق به نهاد خاصی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که با عنوان هموار سازی نماد شناخته می شود، شامل توزیع نمادها، فرای معنای فیزیکی یا محیطی آن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 مسئله را پس از پخش فیلم مصائب مسیح شاهد بودیم؛ وقتی کالاهایی مانند گردن بند ناخن شکل، سکه و کارت مسیح بازار جهان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پخش تصاویر مَدونا با صلیبی به گردن و کریشنا در برنامۀ تلویزیونی زِنا، شاهزادۀ جنگجو است</w:t>
      </w:r>
      <w:r>
        <w:rPr>
          <w:rFonts w:eastAsia="IRNazanin" w:cs="IRNazanin"/>
          <w:color w:val="111111"/>
          <w:sz w:val="28"/>
          <w:szCs w:val="28"/>
          <w:rtl w:val="true"/>
          <w:lang w:bidi="fa-IR"/>
        </w:rPr>
        <w:t>.</w:t>
      </w:r>
    </w:p>
    <w:p>
      <w:pPr>
        <w:pStyle w:val="Heading3"/>
        <w:numPr>
          <w:ilvl w:val="2"/>
          <w:numId w:val="1"/>
        </w:numPr>
        <w:rPr/>
      </w:pPr>
      <w:bookmarkStart w:id="451" w:name="__RefHeading___Toc1656308_2281741623"/>
      <w:bookmarkStart w:id="452" w:name="_Toc160"/>
      <w:bookmarkEnd w:id="451"/>
      <w:r>
        <w:rPr>
          <w:rtl w:val="true"/>
        </w:rPr>
        <w:t>تأثیرات اینترنت</w:t>
      </w:r>
      <w:bookmarkEnd w:id="452"/>
    </w:p>
    <w:p>
      <w:pPr>
        <w:pStyle w:val="BookText"/>
        <w:rPr/>
      </w:pPr>
      <w:r>
        <w:rPr>
          <w:rFonts w:ascii="IRNazanin" w:hAnsi="IRNazanin" w:eastAsia="IRNazanin"/>
          <w:color w:val="111111"/>
          <w:sz w:val="28"/>
          <w:sz w:val="28"/>
          <w:szCs w:val="28"/>
          <w:rtl w:val="true"/>
          <w:lang w:bidi="fa-IR"/>
        </w:rPr>
        <w:t>تأثیرات اینترنت</w:t>
      </w:r>
    </w:p>
    <w:p>
      <w:pPr>
        <w:pStyle w:val="BookText"/>
        <w:rPr/>
      </w:pPr>
      <w:r>
        <w:rPr>
          <w:rFonts w:ascii="IRNazanin" w:hAnsi="IRNazanin" w:eastAsia="IRNazanin"/>
          <w:color w:val="111111"/>
          <w:sz w:val="28"/>
          <w:sz w:val="28"/>
          <w:szCs w:val="28"/>
          <w:rtl w:val="true"/>
          <w:lang w:bidi="fa-IR"/>
        </w:rPr>
        <w:t>شاید بیشترین پرسش دربارۀ سازگار شدن اجتماعات مذهبی با جامعۀ اطلاعاتی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اینترنت می تواند دسترسی بیشتر به اطلاعات را ممکن سازد و کیفیت تعامل بین اعضای کلیسا را بیشتر کند یا باعث تضعیف روابط اولیه در اجتماعات سنتی خواهد شد؟ واقعیت، چیزی بینابین این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 دهد که تعاملات آن لاین الزاماً جای روابط رو در رو را نمی گیرند بلکه باعث گسترش آن ها به طرقی جدید و منحصر به فرد می شوند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ولمن و گولیا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میزان اطلاعات ردوبدل شده در سایت ها، تخصصی است و علاقۀ زیادی برای ارتباط با غریبه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ها جهانی اند و حاصل ترکیبی از روابط جهانی و محلی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مذهب فرهنگی یا فعالیت مذهبی است که بر رسانه های عمومی و مردمی مانند تلویزیون، سینما و موسیقی های مردمی تأکید دارد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برای نمونه سیلوان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طرفداران موسیقی راک به ویژه گروه مردگان </w:t>
      </w:r>
      <w:bookmarkStart w:id="453" w:name="pg3881_27902"/>
    </w:p>
    <w:p>
      <w:pPr>
        <w:pStyle w:val="BookText"/>
        <w:rPr/>
      </w:pPr>
      <w:bookmarkEnd w:id="453"/>
      <w:r>
        <w:rPr>
          <w:rFonts w:ascii="IRNazanin" w:hAnsi="IRNazanin" w:eastAsia="IRNazanin"/>
          <w:color w:val="111111"/>
          <w:sz w:val="28"/>
          <w:sz w:val="28"/>
          <w:szCs w:val="28"/>
          <w:rtl w:val="true"/>
          <w:lang w:bidi="fa-IR"/>
        </w:rPr>
        <w:t>سپاسگذار دارای حرکاتی مذهبی از لحاظ روان شناختی، اجتماعی ـ فرهنگی، آیینی و معنوی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مشخص نیست که مذهب فرهنگی تا چه اندازه می تواند مذهب بنیادین را کامل ساخته یا جای آن را بگیرد</w:t>
      </w:r>
      <w:r>
        <w:rPr>
          <w:rFonts w:eastAsia="IRNazanin" w:cs="IRNazanin"/>
          <w:color w:val="111111"/>
          <w:sz w:val="28"/>
          <w:szCs w:val="28"/>
          <w:rtl w:val="true"/>
          <w:lang w:bidi="fa-IR"/>
        </w:rPr>
        <w:t>.</w:t>
      </w:r>
    </w:p>
    <w:p>
      <w:pPr>
        <w:pStyle w:val="Heading3"/>
        <w:numPr>
          <w:ilvl w:val="2"/>
          <w:numId w:val="1"/>
        </w:numPr>
        <w:rPr/>
      </w:pPr>
      <w:bookmarkStart w:id="454" w:name="__RefHeading___Toc1656310_2281741623"/>
      <w:bookmarkStart w:id="455" w:name="_Toc161"/>
      <w:bookmarkEnd w:id="454"/>
      <w:r>
        <w:rPr>
          <w:rtl w:val="true"/>
        </w:rPr>
        <w:t>استفاده از رسانه</w:t>
      </w:r>
      <w:bookmarkEnd w:id="455"/>
    </w:p>
    <w:p>
      <w:pPr>
        <w:pStyle w:val="BookText"/>
        <w:rPr/>
      </w:pPr>
      <w:r>
        <w:rPr>
          <w:rFonts w:ascii="IRNazanin" w:hAnsi="IRNazanin" w:eastAsia="IRNazanin"/>
          <w:color w:val="111111"/>
          <w:sz w:val="28"/>
          <w:sz w:val="28"/>
          <w:szCs w:val="28"/>
          <w:rtl w:val="true"/>
          <w:lang w:bidi="fa-IR"/>
        </w:rPr>
        <w:t>استفاده از رسانه</w:t>
      </w:r>
    </w:p>
    <w:p>
      <w:pPr>
        <w:pStyle w:val="BookText"/>
        <w:rPr/>
      </w:pPr>
      <w:r>
        <w:rPr>
          <w:rFonts w:ascii="IRNazanin" w:hAnsi="IRNazanin" w:eastAsia="IRNazanin"/>
          <w:color w:val="111111"/>
          <w:sz w:val="28"/>
          <w:sz w:val="28"/>
          <w:szCs w:val="28"/>
          <w:rtl w:val="true"/>
          <w:lang w:bidi="fa-IR"/>
        </w:rPr>
        <w:t>بسیاری از کلیساها برای آشنایی بیشتر با وقایع گوناگون در جامعۀ اطلاعاتی، برنامه های آموزشی متنوعی را در رسانه های مذهبی پیشنهاد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خلاقیت ها چه از طریق وب سایت ها، کلاس یا جراید، آموزش های لازم دربارۀ استفاده بهینه از رسانه در راستای اهداف مذهبی را به اعضای کلیسا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دیویس و دیگران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تحلیل روایی و کلامی برای بررسی روش های خوانش تلویزیون از ارزش های مذهبی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برخی از برنامه ها و فیلم های خاص تلویزیونی را می توان در راستای آموزش های مذهبی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نظر استوت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علایق مخاطبان مذهبی مانع کسب دانش رسانه می شود و مسائلی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بیش از اندازه به منابع ثانویه برای ارزشیابی محصولات رسانه ای مانند تلویزیون و فیلم؛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سازی متون به جز جنبۀ زیبایی شناختی؛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گسترش قوانین سازمانیِ تعیین شده؛</w:t>
      </w:r>
    </w:p>
    <w:p>
      <w:pPr>
        <w:pStyle w:val="BookText"/>
        <w:rPr/>
      </w:pPr>
      <w:r>
        <w:rPr>
          <w:rFonts w:ascii="IRNazanin" w:hAnsi="IRNazanin" w:eastAsia="IRNazanin"/>
          <w:color w:val="111111"/>
          <w:sz w:val="28"/>
          <w:sz w:val="28"/>
          <w:szCs w:val="28"/>
          <w:rtl w:val="true"/>
          <w:lang w:bidi="fa-IR"/>
        </w:rPr>
        <w:t>در ژانرهای به خصوصی از رسانه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رسانۀ مذهبی هنوز به طور کامل بررسی نشده است و تحقیقات بیشتری برای فهم چگونگی توسعه و رشد آن در میان فرقه های گوناگون مذهبی می بایست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دَنیل استوت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456" w:name="pg3881_27903"/>
    </w:p>
    <w:p>
      <w:pPr>
        <w:pStyle w:val="Heading3"/>
        <w:numPr>
          <w:ilvl w:val="2"/>
          <w:numId w:val="1"/>
        </w:numPr>
        <w:rPr/>
      </w:pPr>
      <w:bookmarkStart w:id="457" w:name="__RefHeading___Toc1656312_2281741623"/>
      <w:bookmarkStart w:id="458" w:name="_Toc162"/>
      <w:bookmarkEnd w:id="456"/>
      <w:bookmarkEnd w:id="457"/>
      <w:r>
        <w:rPr>
          <w:rtl w:val="true"/>
        </w:rPr>
        <w:t>برای مطالعۀ بیشتر</w:t>
      </w:r>
      <w:bookmarkEnd w:id="45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Albanese, C. L. (1996). Religion and American popular culture: An introductory reader. Journal of the American Academy of Religion, 59(4), 733–742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H. (2004). Challenges created by online religious networks. Journal of Media and Religion, 3(2), 81–99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Davis, W. T., Blythe, T., Dreibelbis, G., Scalese, M., Winans-Winslea, E., &amp; Ashburn, D. L. (2001). Watching what we watch: Prime-time television through the lens of faith. Louisville, KY: Geneva Press</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Haley, E., White, C., &amp; Cunningham, A. (2001). Branding religion: Christian consumers’ understandings of Christian products. In D. A. Stout &amp; J. M. Buddenbaum (Eds.), Religion and popular culture: Studies on the interaction of world-views (pp. 269–288). Ames: Iowa State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Hess, M. (2001). Media literacy as a support for the development of a responsible imagination in religious community. In D. A. Stout &amp; J. M. Buddenbaum (Eds.), Religion and popular culture: Studies on the interaction of worldviews (pp. 289–311).Ames: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M. (2001). Religion, media and the cultural center of gravity. In D. A. Stout &amp; J. M. Buddenbaum (Eds.), Religion and popular culture: Studies on the interaction of worldviews (pp. 49–60).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Perry, S. D., &amp; Wolfe, A. S. (2001). Branding religion: Christian consumers’ understandings of Christian products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D. A. Stout &amp; J. M. Buddenbaum (Eds.), Religion and popular culture: Studies on the interaction of worldviews (pp. 251–268).Ames: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Schement, J., &amp; Stephenson, H. (1996). Religion and the information society. In D. A. Stout &amp; J. M. Buddenbaum (Eds.), Religion and mass media: Audiences and adaptations (pp.261–289).Thousand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Stout, D. A. (2002). Religious media literacy: Toward a research agenda. Journal of media and religion, 1(1),49–60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Sylvan, R. (2002). Traces of the spirit: The religious dimensions of popular music. New York: New York University Press</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Wellman, B., &amp; Gulia, M. (1999). Virtual communities as communities: Net surfers don’t ride alone. In M. Smith &amp; P. Kollock (Eds.), Communities in cyberspace. London: Routledge</w:t>
      </w:r>
      <w:r>
        <w:rPr>
          <w:rFonts w:eastAsia="Times New Roman" w:cs="Times New Roman" w:ascii="Times New Roman" w:hAnsi="Times New Roman"/>
          <w:color w:val="111111"/>
          <w:sz w:val="28"/>
          <w:szCs w:val="28"/>
          <w:rtl w:val="true"/>
          <w:lang w:val="en-US" w:bidi="en-US"/>
        </w:rPr>
        <w:t xml:space="preserve">. </w:t>
      </w:r>
      <w:bookmarkStart w:id="459" w:name="pg3881_27905"/>
    </w:p>
    <w:p>
      <w:pPr>
        <w:pStyle w:val="Heading2"/>
        <w:numPr>
          <w:ilvl w:val="1"/>
          <w:numId w:val="1"/>
        </w:numPr>
        <w:rPr/>
      </w:pPr>
      <w:bookmarkStart w:id="460" w:name="__RefHeading___Toc1656314_2281741623"/>
      <w:bookmarkStart w:id="461" w:name="_Toc163"/>
      <w:bookmarkEnd w:id="459"/>
      <w:bookmarkEnd w:id="460"/>
      <w:r>
        <w:rPr>
          <w:rtl w:val="true"/>
        </w:rPr>
        <w:t>جامعۀ تفسیر گر</w:t>
      </w:r>
      <w:bookmarkEnd w:id="461"/>
    </w:p>
    <w:p>
      <w:pPr>
        <w:pStyle w:val="Heading3"/>
        <w:numPr>
          <w:ilvl w:val="2"/>
          <w:numId w:val="1"/>
        </w:numPr>
        <w:rPr/>
      </w:pPr>
      <w:bookmarkStart w:id="462" w:name="__RefHeading___Toc1656316_2281741623"/>
      <w:bookmarkStart w:id="463" w:name="_Toc16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جامعۀ تفسیر گر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جامعۀ تفسیرگر</w:t>
      </w:r>
      <w:r>
        <w:rPr>
          <w:rStyle w:val="FootnoteAnchor"/>
          <w:rtl w:val="true"/>
        </w:rPr>
        <w:footnoteReference w:id="147"/>
      </w:r>
      <w:r>
        <w:rPr>
          <w:rFonts w:ascii="IRNazanin" w:hAnsi="IRNazanin" w:eastAsia="IRNazanin"/>
          <w:color w:val="111111"/>
          <w:sz w:val="28"/>
          <w:sz w:val="28"/>
          <w:szCs w:val="28"/>
          <w:rtl w:val="true"/>
          <w:lang w:bidi="fa-IR"/>
        </w:rPr>
        <w:t>یکی از مهم ترین مقولات مطالعات مخاطب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بیشتر با این پرسش روبه روست که مردم چگونه محتوای رسانه را تفسیر یا رمزیابی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بیشتر نظریات، اذعان می دارند که مخاطبان همیشه برداشت متفاوتی از پیام های رسانه ای خواهند داشت، جامعۀ تفسیرگر منشاء این تفاوت ها را سطح اجتماعی می داند و نه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گروه های اجتماعی، رمزهای تفسیری و راهکارهایی را می پرورانند که مردم در رویارویی با رسانه در زندگی شان از آن ها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ممکن است از پیش، حضور داشته باشد؛ مانند گروه های قومی یا جوانانی از فرهنگ های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رسانه ها </w:t>
      </w:r>
      <w:bookmarkStart w:id="464" w:name="pg3881_27906"/>
    </w:p>
    <w:p>
      <w:pPr>
        <w:pStyle w:val="BookText"/>
        <w:rPr/>
      </w:pPr>
      <w:bookmarkEnd w:id="464"/>
      <w:r>
        <w:rPr>
          <w:rFonts w:ascii="IRNazanin" w:hAnsi="IRNazanin" w:eastAsia="IRNazanin"/>
          <w:color w:val="111111"/>
          <w:sz w:val="28"/>
          <w:sz w:val="28"/>
          <w:szCs w:val="28"/>
          <w:rtl w:val="true"/>
          <w:lang w:bidi="fa-IR"/>
        </w:rPr>
        <w:t>یکی از بسیار منابع موجود در شکل دهی هویت جمعی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جوامع تفسیر گر حول یک متن، ژانر یا فن آوری خاص رسانه ای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چنین جوامع تفسیری رسانه محوری، مقولات اجتماعی ـ مردم شناختی متفاوتی مانند جنسیت، سن، طبقه، نژاد و قومیت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موارد مطالعه تجربی یک جامعۀ تفسیرگر نشان دهندۀ قوانین و استانداردهای اعضا برای درگیر شدن با متون رسانه ای و چگونگی ارتباط رسانه ها با جنبه های گوناگون جامعه مانند ایدئولوژی، اخلاقیات یا ارزش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مقاله هم اشاره شده است، این مفهوم، استعاره ای قوی برای شخصیت بخشیدن به مخاطبان مذهبی است</w:t>
      </w:r>
      <w:r>
        <w:rPr>
          <w:rFonts w:eastAsia="IRNazanin" w:cs="IRNazanin"/>
          <w:color w:val="111111"/>
          <w:sz w:val="28"/>
          <w:szCs w:val="28"/>
          <w:rtl w:val="true"/>
          <w:lang w:bidi="fa-IR"/>
        </w:rPr>
        <w:t>.</w:t>
      </w:r>
    </w:p>
    <w:p>
      <w:pPr>
        <w:pStyle w:val="Heading3"/>
        <w:numPr>
          <w:ilvl w:val="2"/>
          <w:numId w:val="1"/>
        </w:numPr>
        <w:rPr/>
      </w:pPr>
      <w:bookmarkStart w:id="465" w:name="__RefHeading___Toc1656318_2281741623"/>
      <w:bookmarkStart w:id="466" w:name="_Toc165"/>
      <w:bookmarkEnd w:id="465"/>
      <w:r>
        <w:rPr>
          <w:rtl w:val="true"/>
        </w:rPr>
        <w:t>خاستگاه این مفهوم</w:t>
      </w:r>
      <w:bookmarkEnd w:id="466"/>
    </w:p>
    <w:p>
      <w:pPr>
        <w:pStyle w:val="BookText"/>
        <w:rPr/>
      </w:pPr>
      <w:r>
        <w:rPr>
          <w:rFonts w:ascii="IRNazanin" w:hAnsi="IRNazanin" w:eastAsia="IRNazanin"/>
          <w:color w:val="111111"/>
          <w:sz w:val="28"/>
          <w:sz w:val="28"/>
          <w:szCs w:val="28"/>
          <w:rtl w:val="true"/>
          <w:lang w:bidi="fa-IR"/>
        </w:rPr>
        <w:t>خاستگاه این مفهوم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جامعۀ تفسیرگر در علوم انسانی به خصوص چیستی و چگونگیِ سواد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فیلسوف قرن نوزده چارلز پی یرس معتقد بود که دانش، همیشه در جوامع عمومیِ پرسش گر تقسیر می شود، این استنلی فیش بود که واژۀ جامعۀ تفسیرگر را ابداع کرد و بیان کرد که معانی هر متنی مشتق شده از حکومت جامعۀ 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که از حامیان جنبش دهۀ هشتادِ واکنش خواننده</w:t>
      </w:r>
      <w:r>
        <w:rPr>
          <w:rStyle w:val="FootnoteAnchor"/>
          <w:rtl w:val="true"/>
        </w:rPr>
        <w:footnoteReference w:id="148"/>
      </w:r>
      <w:r>
        <w:rPr>
          <w:rFonts w:ascii="IRNazanin" w:hAnsi="IRNazanin" w:eastAsia="IRNazanin"/>
          <w:color w:val="111111"/>
          <w:sz w:val="28"/>
          <w:sz w:val="28"/>
          <w:szCs w:val="28"/>
          <w:rtl w:val="true"/>
          <w:lang w:bidi="fa-IR"/>
        </w:rPr>
        <w:t>در مطالعات ادبی بود، ایدۀ سلسله مراتب عینی ارزش ها در اصول ادبی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در کتابش با نام متنی در این کلاس وجود دارد؟ بیان نمود که متون، به خودی خود نه خوب هستند و نه بد و نه به طور مستقیم معنایی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خواننده است که معنای یک متن را فعال می سازد و با کاربرد صحیح روش های تفسیر، به آن ارزش می بخشد؛ در واقع خواننده با بهره گیری از دانش خود دربارۀ ژانر، سبک، سنت های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خوانندگان، عواملی 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 می نویسد که </w:t>
      </w:r>
      <w:bookmarkStart w:id="467" w:name="pg3881_27907"/>
    </w:p>
    <w:p>
      <w:pPr>
        <w:pStyle w:val="BookText"/>
        <w:rPr/>
      </w:pPr>
      <w:bookmarkEnd w:id="467"/>
      <w:r>
        <w:rPr>
          <w:rFonts w:ascii="IRNazanin" w:hAnsi="IRNazanin" w:eastAsia="IRNazanin"/>
          <w:color w:val="111111"/>
          <w:sz w:val="28"/>
          <w:sz w:val="28"/>
          <w:szCs w:val="28"/>
          <w:rtl w:val="true"/>
          <w:lang w:bidi="fa-IR"/>
        </w:rPr>
        <w:t>روش های خواندن، جزو امکانات هر جامعه ای هستند و تا جایی که بتوانند حتی برای یک بار فعالیت های آگاهانۀ خواننده را فعال ساخته یا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هیچ کس نمی تواند خواننده باشد مگر این که در جامعۀ خوانندگان، جایگاهی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جامعۀ تفسیرگرِ استنلی فیش، با وجود تاثیرات فراوانش بر طرز تفکر محققان ادبی، به چند دلیل هنوز پختگی لازم برای مطالعۀ رسانه های جمعی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فیش تنها به خوانندگانی می پرداخت که دارای قدرت بالای انتقاد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رسانه های مردمی در تار و پود زندگی روزمره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 های مخاطبان ممکن است غیر رسمی، فی البداهه یا عمل 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جامعۀ نقادی که فیش از آن صحبت می کند بسیار ایده آل است ولی برای فهم دنیای کاربران واقعی رسانه ها، احتیاج است مکان زندگی، شیوۀ زندگی و اعتقادات، مسائل مورد علاقه و اجتناب آن ها را بررسی کرد و البته تحقیق کرد که آن ها از چه رسانه ای استفاده می کنند، چگونه محتوای آن ها را ارزیابی می کنند، چگونه از رسانه بهره می برند و چگونه بهره گیری و تفسیرهای آن ها به کمک بقیۀ تجارب زندگی شان می آیند</w:t>
      </w:r>
      <w:r>
        <w:rPr>
          <w:rFonts w:eastAsia="IRNazanin" w:cs="IRNazanin"/>
          <w:color w:val="111111"/>
          <w:sz w:val="28"/>
          <w:szCs w:val="28"/>
          <w:rtl w:val="true"/>
          <w:lang w:bidi="fa-IR"/>
        </w:rPr>
        <w:t>.</w:t>
      </w:r>
    </w:p>
    <w:p>
      <w:pPr>
        <w:pStyle w:val="Heading3"/>
        <w:numPr>
          <w:ilvl w:val="2"/>
          <w:numId w:val="1"/>
        </w:numPr>
        <w:rPr/>
      </w:pPr>
      <w:bookmarkStart w:id="468" w:name="__RefHeading___Toc1656320_2281741623"/>
      <w:bookmarkStart w:id="469" w:name="_Toc166"/>
      <w:bookmarkEnd w:id="468"/>
      <w:r>
        <w:rPr>
          <w:rtl w:val="true"/>
        </w:rPr>
        <w:t>جامعۀ تفسیرگر و مطالعات رسانه</w:t>
      </w:r>
      <w:bookmarkEnd w:id="469"/>
    </w:p>
    <w:p>
      <w:pPr>
        <w:pStyle w:val="BookText"/>
        <w:rPr/>
      </w:pPr>
      <w:r>
        <w:rPr>
          <w:rFonts w:ascii="IRNazanin" w:hAnsi="IRNazanin" w:eastAsia="IRNazanin"/>
          <w:color w:val="111111"/>
          <w:sz w:val="28"/>
          <w:sz w:val="28"/>
          <w:szCs w:val="28"/>
          <w:rtl w:val="true"/>
          <w:lang w:bidi="fa-IR"/>
        </w:rPr>
        <w:t>جامعۀ تفسیرگر و مطالعات رسانه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که محققان رسانه ای را جذب مفهوم جامعۀ تفسیرگر کرد و تاثیر فراوانی بر گسترش کاربرد آن داشت مطالعۀ رمانس نوشته جانیس رادوِی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رادوی با تمرکز بر ژانر محبوب رمان های عشقی به تحلیل خوانندگان در بافتار اجتماعی آن ها پرداخته و به چیزی که کلاوس بران جنسِن، پلی بین رویکرد های علمی، اجتماعی و فرهنگی به مخاطبان رسانه می خواند، پی برد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رادوی تحقیق خود را در میان گروهی از زنان شهر اسمیثتِن انجام داد که سرپرستی یک کتاب فروشی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روش های گوناگونی مانند دادن </w:t>
      </w:r>
    </w:p>
    <w:p>
      <w:pPr>
        <w:pStyle w:val="BookText"/>
        <w:rPr/>
      </w:pPr>
      <w:r>
        <w:rPr>
          <w:rFonts w:ascii="IRNazanin" w:hAnsi="IRNazanin" w:eastAsia="IRNazanin"/>
          <w:color w:val="111111"/>
          <w:sz w:val="28"/>
          <w:sz w:val="28"/>
          <w:szCs w:val="28"/>
          <w:rtl w:val="true"/>
          <w:lang w:bidi="fa-IR"/>
        </w:rPr>
        <w:t>پرسش نامه، مصاحبه و بحث های گروهی استفاده کرد تا به سطح فهم آن ها از این ژانر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بخش های تحقیق وی دربارۀ مطالعۀ رمانس می توان به انگیزۀ زنان برای خواندن داستان های عشقی، چگونگی طبقه بندی نمونه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چگونگی ارائۀ توصیف آن ها دربارۀ پیرنگ های نوعی و غیر نوعی، داستان ها، شخصیت های رمان ها، روش در میان گذاشتن مطالعه با دیگر اعضای خانواده و چگونگی برداشت آن ها از روابط جنسیتی موجود در رمان ها و کاربرد آن ها در زندگی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رادوی در این کتاب تحلیل خود از تفسیر زنان اسمیثتِن را با استفاده از چهارچوب های گوناگون شکل می دهد که نمونه هایی از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فمینیستی فرهنگ های مردسالار، نظریۀ روایی و واکنش خواننده و تحلیل بنیادین چاپ آثار عشقی و بازار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رمانس، تحقیق کامل دربارۀ میزان پیچیدگی ارزیابی ها و سبک های کاربرد و تاثیر آن ها بر شخصیت بخشیدن به حتی عامه پسندترین ژانرهاست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اثر رادوی، مفهوم جامعۀ تفسیرگر مورد توجه محققان ارتباطات فراوانی قرار گرفت و بحث های فراوانی دربارۀ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مانند مخاطب فعال</w:t>
      </w:r>
      <w:r>
        <w:rPr>
          <w:rStyle w:val="FootnoteAnchor"/>
          <w:rtl w:val="true"/>
        </w:rPr>
        <w:footnoteReference w:id="150"/>
      </w:r>
      <w:r>
        <w:rPr>
          <w:rFonts w:ascii="IRNazanin" w:hAnsi="IRNazanin" w:eastAsia="IRNazanin"/>
          <w:color w:val="111111"/>
          <w:sz w:val="28"/>
          <w:sz w:val="28"/>
          <w:szCs w:val="28"/>
          <w:rtl w:val="true"/>
          <w:lang w:bidi="fa-IR"/>
        </w:rPr>
        <w:t>بر حوزۀ مطالعات جمعی در اوایل و اواسط دهۀ</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 کاربردها، دسته بندی ها و رویکردهای شناختی سایه افکند و مفهوم جامعۀ تفسیرگر، همسو با دیدگاه مخاطب فعال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کاربردها، دسته بندی ها و تحقیقات شناختی، نوعا توجهی به عاملیت فرهنگی گروه های مخاطب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جوامع تفسیرگر نقاط مشترک فراوانی با دیگر حوزه های نوظهور مطالعاتی مانند مطالعات فرهنگی، نشانه شناسی اجتماعی و تحلیل دریافت</w:t>
      </w:r>
      <w:r>
        <w:rPr>
          <w:rStyle w:val="FootnoteAnchor"/>
          <w:rtl w:val="true"/>
        </w:rPr>
        <w:footnoteReference w:id="151"/>
      </w:r>
      <w:r>
        <w:rPr>
          <w:rFonts w:ascii="IRNazanin" w:hAnsi="IRNazanin" w:eastAsia="IRNazanin"/>
          <w:color w:val="111111"/>
          <w:sz w:val="28"/>
          <w:sz w:val="28"/>
          <w:szCs w:val="28"/>
          <w:rtl w:val="true"/>
          <w:lang w:bidi="fa-IR"/>
        </w:rPr>
        <w:t>داشت که توجه شان معطوف تولید معنا در گفتمان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تفسیرگر تبدیل </w:t>
      </w:r>
    </w:p>
    <w:p>
      <w:pPr>
        <w:pStyle w:val="BookText"/>
        <w:rPr/>
      </w:pPr>
      <w:r>
        <w:rPr>
          <w:rFonts w:ascii="IRNazanin" w:hAnsi="IRNazanin" w:eastAsia="IRNazanin"/>
          <w:color w:val="111111"/>
          <w:sz w:val="28"/>
          <w:sz w:val="28"/>
          <w:szCs w:val="28"/>
          <w:rtl w:val="true"/>
          <w:lang w:bidi="fa-IR"/>
        </w:rPr>
        <w:t>به مفهومی محبوب در میان محققانی شد که از قوم نگاری و دیگر روش های کیفی برای مطالعۀ مخاطبان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مخاطبانِ مطالعه شده تحت این عنوان،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اثر رادوی، معمول ترین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مطالعه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ژانر</w:t>
      </w:r>
      <w:r>
        <w:rPr>
          <w:rStyle w:val="FootnoteAnchor"/>
          <w:rtl w:val="true"/>
        </w:rPr>
        <w:footnoteReference w:id="1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ژانرهای محبوب مانند داستان های عشقی باعث می شوند موضوعات مشکل ساز یا بحث برانگیز در حوزه های قابل فهم روایت و نوع شخصیت مطالعه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جوامع تفسیرگر دربارۀ اخبارهای تلویزیونی و برنامه های ورزشی، سریال های تلویزیونی و میزگردها و کتاب های خود آموز و علمی ـ تخیلی نشان داد که طرفداران از روش های متفاوتی برای درک و لذت بردن از این ژانرها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مطالعات، خوانش های متفاوتِ بعضاً مخالفی در میان خوانندگان یک ژانر مشترک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نشان دهندۀ دو پدیدۀ مربوط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ژانر می تواند از چندین جامعه حمایت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تفسیرگر به اندازۀ کافی انعطاف پذیر و مشوق و پذیرای خلاقیت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مطالعۀ طرفداران ژانرهایی مانند سریال ها</w:t>
      </w:r>
      <w:r>
        <w:rPr>
          <w:rStyle w:val="FootnoteAnchor"/>
          <w:rtl w:val="true"/>
        </w:rPr>
        <w:footnoteReference w:id="153"/>
      </w:r>
      <w:r>
        <w:rPr>
          <w:rFonts w:ascii="IRNazanin" w:hAnsi="IRNazanin" w:eastAsia="IRNazanin"/>
          <w:color w:val="111111"/>
          <w:sz w:val="28"/>
          <w:sz w:val="28"/>
          <w:szCs w:val="28"/>
          <w:rtl w:val="true"/>
          <w:lang w:bidi="fa-IR"/>
        </w:rPr>
        <w:t>و داستان های علمی ـ تخیلی</w:t>
      </w:r>
      <w:r>
        <w:rPr>
          <w:rStyle w:val="FootnoteAnchor"/>
          <w:rtl w:val="true"/>
        </w:rPr>
        <w:footnoteReference w:id="154"/>
      </w:r>
      <w:r>
        <w:rPr>
          <w:rFonts w:ascii="IRNazanin" w:hAnsi="IRNazanin" w:eastAsia="IRNazanin"/>
          <w:color w:val="111111"/>
          <w:sz w:val="28"/>
          <w:sz w:val="28"/>
          <w:szCs w:val="28"/>
          <w:rtl w:val="true"/>
          <w:lang w:bidi="fa-IR"/>
        </w:rPr>
        <w:t>نشان می دهد که چگونه مخاطبان متونی را که در ابتدا در کنار هم جمع کرده اند، ویرایش کرده و مجددا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مخاطب ژانر، دیگر انواع مخاطبان نیز مطالعه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تنها راه ارتباطی شان با یکدیگر متن رسانه ای و تاثیر آن بر زندگی شان است، تحت شرایط خاصی با عنوان جامعۀ تفسیرگر مطالعه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تحقیقات آدن، راهویی و بِک</w:t>
      </w:r>
      <w:r>
        <w:rPr>
          <w:rStyle w:val="FootnoteAnchor"/>
          <w:rtl w:val="true"/>
        </w:rPr>
        <w:footnoteReference w:id="155"/>
      </w:r>
      <w:r>
        <w:rPr>
          <w:rFonts w:ascii="IRNazanin" w:hAnsi="IRNazanin" w:eastAsia="IRNazanin"/>
          <w:color w:val="111111"/>
          <w:sz w:val="28"/>
          <w:sz w:val="28"/>
          <w:szCs w:val="28"/>
          <w:rtl w:val="true"/>
          <w:lang w:bidi="fa-IR"/>
        </w:rPr>
        <w:t>دربارۀ بازدید کنندگان محل فیلم سرزمین رویاها موید این نکته است 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نتیجۀ تفسیرهای شان به دنبال مکانی امن و استعاری هستند</w:t>
      </w:r>
      <w:r>
        <w:rPr>
          <w:rFonts w:eastAsia="IRNazanin" w:cs="IRNazanin"/>
          <w:color w:val="111111"/>
          <w:sz w:val="28"/>
          <w:szCs w:val="28"/>
          <w:rtl w:val="true"/>
          <w:lang w:bidi="fa-IR"/>
        </w:rPr>
        <w:t xml:space="preserve">. </w:t>
      </w:r>
      <w:bookmarkStart w:id="470" w:name="pg3881_27910"/>
    </w:p>
    <w:p>
      <w:pPr>
        <w:pStyle w:val="BookText"/>
        <w:rPr/>
      </w:pPr>
      <w:bookmarkEnd w:id="470"/>
      <w:r>
        <w:rPr>
          <w:rFonts w:ascii="IRNazanin" w:hAnsi="IRNazanin" w:eastAsia="IRNazanin"/>
          <w:color w:val="111111"/>
          <w:sz w:val="28"/>
          <w:sz w:val="28"/>
          <w:szCs w:val="28"/>
          <w:rtl w:val="true"/>
          <w:lang w:bidi="fa-IR"/>
        </w:rPr>
        <w:t>یک جامعۀ تفسیرگر، اطراف فن آوری رشد می کند و این نکته ای بود که در تحقیقات سیبرت ـ دیویس دربارۀ طرفداران ثبت وینیل</w:t>
      </w:r>
      <w:r>
        <w:rPr>
          <w:rStyle w:val="FootnoteAnchor"/>
          <w:rtl w:val="true"/>
        </w:rPr>
        <w:footnoteReference w:id="156"/>
      </w:r>
      <w:r>
        <w:rPr>
          <w:rFonts w:ascii="IRNazanin" w:hAnsi="IRNazanin" w:eastAsia="IRNazanin"/>
          <w:color w:val="111111"/>
          <w:sz w:val="28"/>
          <w:sz w:val="28"/>
          <w:szCs w:val="28"/>
          <w:rtl w:val="true"/>
          <w:lang w:bidi="fa-IR"/>
        </w:rPr>
        <w:t>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قسمت اعظم مطالعات فضای فرمانشی بر جوامعی تمرکز دارد که به طور کامل بر پایۀ تفکرات فن آوری شده شکل گرفته 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به هر حال، استراتژی های تفسیری که اعضای جامعۀ مجازی استفاده می کنند و موضوعاتی که نظر آن ها را جلب می کند، خیلی با همتاهای رو در روی شان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قسمت، شایان توجه است که مفهوم جامعۀ تفسیرگر بیشتر در مطالعات مرتبطین جمعی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زلیزر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گفتمان روزنامه نگاران که دربارۀ گزارش وقایع بحرانی مانند مک کارتیسم و واتر گیت است، نمونه ای بارز در این زمینه است</w:t>
      </w:r>
      <w:r>
        <w:rPr>
          <w:rFonts w:eastAsia="IRNazanin" w:cs="IRNazanin"/>
          <w:color w:val="111111"/>
          <w:sz w:val="28"/>
          <w:szCs w:val="28"/>
          <w:rtl w:val="true"/>
          <w:lang w:bidi="fa-IR"/>
        </w:rPr>
        <w:t>.</w:t>
      </w:r>
    </w:p>
    <w:p>
      <w:pPr>
        <w:pStyle w:val="Heading3"/>
        <w:numPr>
          <w:ilvl w:val="2"/>
          <w:numId w:val="1"/>
        </w:numPr>
        <w:rPr/>
      </w:pPr>
      <w:bookmarkStart w:id="471" w:name="__RefHeading___Toc1656322_2281741623"/>
      <w:bookmarkStart w:id="472" w:name="_Toc167"/>
      <w:bookmarkEnd w:id="471"/>
      <w:r>
        <w:rPr>
          <w:rtl w:val="true"/>
        </w:rPr>
        <w:t>مخاطب مذهبی و جامعۀ تفسیرگر</w:t>
      </w:r>
      <w:bookmarkEnd w:id="472"/>
    </w:p>
    <w:p>
      <w:pPr>
        <w:pStyle w:val="BookText"/>
        <w:rPr/>
      </w:pPr>
      <w:r>
        <w:rPr>
          <w:rFonts w:ascii="IRNazanin" w:hAnsi="IRNazanin" w:eastAsia="IRNazanin"/>
          <w:color w:val="111111"/>
          <w:sz w:val="28"/>
          <w:sz w:val="28"/>
          <w:szCs w:val="28"/>
          <w:rtl w:val="true"/>
          <w:lang w:bidi="fa-IR"/>
        </w:rPr>
        <w:t>مخاطب مذهبی و جامعۀ تفسیرگر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مفهوم جامعۀ تفسیرگر نظر محققان رسانه در بافتارهای مذهبی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جوامع مذهبی، بیشترِ فعالیت ارتباطی خود را صرف پرورش روشی خاص برای درک هویت شخصی، تجربۀ معنوی و به طور کلی </w:t>
      </w:r>
    </w:p>
    <w:p>
      <w:pPr>
        <w:pStyle w:val="BookText"/>
        <w:rPr/>
      </w:pPr>
      <w:r>
        <w:rPr>
          <w:rFonts w:ascii="IRNazanin" w:hAnsi="IRNazanin" w:eastAsia="IRNazanin"/>
          <w:color w:val="111111"/>
          <w:sz w:val="28"/>
          <w:sz w:val="28"/>
          <w:szCs w:val="28"/>
          <w:rtl w:val="true"/>
          <w:lang w:bidi="fa-IR"/>
        </w:rPr>
        <w:t>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کلیساها نیز نسبت به قدرت رسانه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رسانه های سکولار در تلاش برای جذب قلب ها و اذهان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انتظار می رود که جامعۀ مذهبی عاملی مهم در بهره گیری رسانه های خصوصی از اعضا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تحقیقات نشان داده اند که مردم برای تفسیر محتوای رسانه های مذهبی مانند برنامه های انجیلی تلویزیون به روش های گوناگون علاقه نشان داده اند؛ برای نمونه منابعی برای رشد شخصی، ادامۀ مسیر کلیساهای بنیادین و توضیح تاریخ 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مطالعات زیادی دربارۀ جوامع با ژانر مذهبی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توسعۀ بازار، فرهنگ مذهبی این مسئله نیز تغییر پیدا می کند؛ زیرا همان طور که تامس لیندلوف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مذهبیِ مردمی از مجموعۀ تلویزیونی داستان های سبزیجات تا صحنه های موسیقی پاپ مسیحی به اندازۀ کافی طرفدار و مخاطب علاقه مند 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مذهب، یک جامعۀ قابل انتقال،</w:t>
      </w:r>
      <w:r>
        <w:rPr>
          <w:rStyle w:val="FootnoteAnchor"/>
          <w:rtl w:val="true"/>
        </w:rPr>
        <w:footnoteReference w:id="158"/>
      </w:r>
      <w:r>
        <w:rPr>
          <w:rFonts w:ascii="IRNazanin" w:hAnsi="IRNazanin" w:eastAsia="IRNazanin"/>
          <w:color w:val="111111"/>
          <w:sz w:val="28"/>
          <w:sz w:val="28"/>
          <w:szCs w:val="28"/>
          <w:rtl w:val="true"/>
          <w:lang w:bidi="fa-IR"/>
        </w:rPr>
        <w:t>یعنی هویتی همگانی است که در انواع شرایط اجتماعی ـ زمانی شکل می گیرد، اعضای جوامع اعتقادی باید تصمیم بگیرند که چگونه می توانند در جهت محیط رسانه ای سکولار و گسترده قدم بردارند؛ برای نمونه باید ارتباط موضوعی بین روش های مطالعۀ متون مقدس و دیگر پدیده های نمادین در میان مردم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دنیل استوت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دربارۀ برداشت های مورمون ها از صحنه های سریال لاس وگاس در رسانه ها و روش های نمونه برداری تفسیری آن ها برای زندگی در آن جا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اخیر هم چنین نشان می دهد که مردمِ معتقد، تنشی را بین آموزه های کلیسا و ژانرهای رسانۀ سکولار احساس می کنند و </w:t>
      </w:r>
      <w:bookmarkStart w:id="473" w:name="pg3881_27912"/>
    </w:p>
    <w:p>
      <w:pPr>
        <w:pStyle w:val="BookText"/>
        <w:rPr/>
      </w:pPr>
      <w:bookmarkEnd w:id="473"/>
      <w:r>
        <w:rPr>
          <w:rFonts w:ascii="IRNazanin" w:hAnsi="IRNazanin" w:eastAsia="IRNazanin"/>
          <w:color w:val="111111"/>
          <w:sz w:val="28"/>
          <w:sz w:val="28"/>
          <w:szCs w:val="28"/>
          <w:rtl w:val="true"/>
          <w:lang w:bidi="fa-IR"/>
        </w:rPr>
        <w:t>این که چگونه طرفداران مذهبی رسانه های بحث برانگیز به نقد خود با اشاره به جوامع خود و دیگران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مطالعاتی این چنین، نشانه های جهان بینی های گوناگون را می توان از طریق گفتمان افراد تشخیص داد</w:t>
      </w:r>
      <w:r>
        <w:rPr>
          <w:rFonts w:eastAsia="IRNazanin" w:cs="IRNazanin"/>
          <w:color w:val="111111"/>
          <w:sz w:val="28"/>
          <w:szCs w:val="28"/>
          <w:rtl w:val="true"/>
          <w:lang w:bidi="fa-IR"/>
        </w:rPr>
        <w:t>.</w:t>
      </w:r>
    </w:p>
    <w:p>
      <w:pPr>
        <w:pStyle w:val="Heading3"/>
        <w:numPr>
          <w:ilvl w:val="2"/>
          <w:numId w:val="1"/>
        </w:numPr>
        <w:rPr/>
      </w:pPr>
      <w:bookmarkStart w:id="474" w:name="__RefHeading___Toc1656324_2281741623"/>
      <w:bookmarkStart w:id="475" w:name="_Toc168"/>
      <w:bookmarkEnd w:id="474"/>
      <w:r>
        <w:rPr>
          <w:rtl w:val="true"/>
        </w:rPr>
        <w:t>مسیر پژوهش ها</w:t>
      </w:r>
      <w:bookmarkEnd w:id="475"/>
    </w:p>
    <w:p>
      <w:pPr>
        <w:pStyle w:val="BookText"/>
        <w:rPr/>
      </w:pPr>
      <w:r>
        <w:rPr>
          <w:rFonts w:ascii="IRNazanin" w:hAnsi="IRNazanin" w:eastAsia="IRNazanin"/>
          <w:color w:val="111111"/>
          <w:sz w:val="28"/>
          <w:sz w:val="28"/>
          <w:szCs w:val="28"/>
          <w:rtl w:val="true"/>
          <w:lang w:bidi="fa-IR"/>
        </w:rPr>
        <w:t>مسیر پژوهش 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بحث دربارۀ مسیر مطالعات آینده در زمینۀ جامعۀ تفسیرگر خواهیم پرداخت؛ برای نمونه هنوز مشخص نیست که گروه های طرفدار و فرهنگ های اقلیت تا چه اندازه در یک جامعۀ تفسیرگر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احتیاج است که بدانیم برای تعریف یک جامعۀ تفسیرگر به عنوان یک مقولۀ گفتمانی</w:t>
      </w:r>
      <w:r>
        <w:rPr>
          <w:rStyle w:val="FootnoteAnchor"/>
          <w:rtl w:val="true"/>
        </w:rPr>
        <w:footnoteReference w:id="159"/>
      </w:r>
      <w:r>
        <w:rPr>
          <w:rFonts w:ascii="IRNazanin" w:hAnsi="IRNazanin" w:eastAsia="IRNazanin"/>
          <w:color w:val="111111"/>
          <w:sz w:val="28"/>
          <w:sz w:val="28"/>
          <w:szCs w:val="28"/>
          <w:rtl w:val="true"/>
          <w:lang w:bidi="fa-IR"/>
        </w:rPr>
        <w:t>در مقایسه با گروهِ از پیش حاضری که از رسانه به روش های مختلفی استفاده کرده است، چه تمایزی پدید می آید؛ هم چنین این مفهوم به طور کامل مورد کاربرد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 بردن به نقش جوامع تفسیرگر در نظریاتی مانند اشاعۀ خلاقیت یا فرآیند های اجتماعی ـ اداراکی مانند تعاملات فرا اجتماعی، چندان سخت نیست این در حالی است که هر دوی این مسائل در فهم جنبه های گوناگون مخاطبان مذهبی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پژوهش های مصرف کننده</w:t>
      </w:r>
      <w:r>
        <w:rPr>
          <w:rStyle w:val="FootnoteAnchor"/>
          <w:rtl w:val="true"/>
        </w:rPr>
        <w:footnoteReference w:id="160"/>
      </w:r>
      <w:r>
        <w:rPr>
          <w:rFonts w:ascii="IRNazanin" w:hAnsi="IRNazanin" w:eastAsia="IRNazanin"/>
          <w:color w:val="111111"/>
          <w:sz w:val="28"/>
          <w:sz w:val="28"/>
          <w:szCs w:val="28"/>
          <w:rtl w:val="true"/>
          <w:lang w:bidi="fa-IR"/>
        </w:rPr>
        <w:t>به نظریۀ جامعۀ علامت تجاری</w:t>
      </w:r>
      <w:r>
        <w:rPr>
          <w:rStyle w:val="FootnoteAnchor"/>
          <w:rtl w:val="true"/>
        </w:rPr>
        <w:footnoteReference w:id="161"/>
      </w:r>
      <w:r>
        <w:rPr>
          <w:rFonts w:ascii="IRNazanin" w:hAnsi="IRNazanin" w:eastAsia="IRNazanin"/>
          <w:color w:val="111111"/>
          <w:sz w:val="28"/>
          <w:sz w:val="28"/>
          <w:szCs w:val="28"/>
          <w:rtl w:val="true"/>
          <w:lang w:bidi="fa-IR"/>
        </w:rPr>
        <w:t>کمک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علامت تجاری، گروهی ویژه و نامحدود از لحاظ جغرافیایی است که بر پایۀ مجموعه ای از روابط اجتماعی در میان طرفداران مارکی خاص شکل گرفته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مصرف کنندگان حرکاتی نمادین و آیین های خاص را به پاسداشت استفاده از کالاهایی مانند کامپیوترهای مکینتاش، اتومبیل های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تلفن های همراه نوکیا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توان این قیاس را بیش از این ادامه داد ولی یک تعهد </w:t>
      </w:r>
    </w:p>
    <w:p>
      <w:pPr>
        <w:pStyle w:val="BookText"/>
        <w:rPr/>
      </w:pPr>
      <w:r>
        <w:rPr>
          <w:rFonts w:ascii="IRNazanin" w:hAnsi="IRNazanin" w:eastAsia="IRNazanin"/>
          <w:color w:val="111111"/>
          <w:sz w:val="28"/>
          <w:sz w:val="28"/>
          <w:szCs w:val="28"/>
          <w:rtl w:val="true"/>
          <w:lang w:bidi="fa-IR"/>
        </w:rPr>
        <w:t>مذهبی، شبیه وفاداری به یک مارک تجاری نیست؛ به ویژه در پرتو آمار رو به افزایش مردمی که برای یک خانۀ مقدس خرید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ارتباطات در تصمیات تجاری بازی می کند و تغییراتی که در انتخاب رسانه ها و تفسیرها در صورت ایجاد تعهد پدید می آیند، موضوعات مورد بحث آینده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که، محیط رسانه ای به سمت موبایل و فن آوری های دیجیتال گرایش پیدا کرده است و برداشت مردم از جامعۀ تفسیرگر همراه با آن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به نظر می رسد مخاطبان چند دسته شده اند، این پراکندگی تنها از دیدگاه شرکت های رسانه ای صحیح است که سعی می کنند به سهم های بازار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مردمانی که در این دنیای جدید زندگی می کنند، فن آوری های مورد استفادۀ آن ها شکل دهندۀ مجموعه ای به هم مربوط و بی وقفه از تریبون هایی است که آن ها را قادر می سازد به منابع گوناگون اطلاعاتی به علاوۀ نسخه های متفاوت محتواییِ مشابه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فن آوری های جدید، توانایی تولید متون رسانه ای را به خود مردم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فن آوری های جدید مانند ضبط موسیقی روی لوح فشرده تا ثبت وب سایت و فرستادن فیلم های شخصی روی اینترنت مردم دیگر نمی خواهند در حد یک مخاطب سنتی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و دیگر فعالیت های خلاقانه، در حال گسترش در جوامع تفسیر گرِ حاضر، از جمله محیط های مذهبی هستند و باید توجه محققان ارتباطات را در آینده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تامس لیندلوف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476" w:name="pg3881_27914"/>
    </w:p>
    <w:p>
      <w:pPr>
        <w:pStyle w:val="Heading3"/>
        <w:numPr>
          <w:ilvl w:val="2"/>
          <w:numId w:val="1"/>
        </w:numPr>
        <w:rPr/>
      </w:pPr>
      <w:bookmarkStart w:id="477" w:name="__RefHeading___Toc1656326_2281741623"/>
      <w:bookmarkStart w:id="478" w:name="_Toc169"/>
      <w:bookmarkEnd w:id="476"/>
      <w:bookmarkEnd w:id="477"/>
      <w:r>
        <w:rPr>
          <w:rtl w:val="true"/>
        </w:rPr>
        <w:t>برای مطالعۀ بیشتر</w:t>
      </w:r>
      <w:bookmarkEnd w:id="47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Aden, R. C., Rahoi, R. L., &amp; Beck, C. S. (1995). “Dreams are born on places like this”: The process of interpretive community formation at the Field of Dreams site. Communication Quarterly,43(4), 368–380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B. (1991). Imagined communities: Reflections on the origin and spread of nationalism. London: Verso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Fish, S. (1980). Is there a text in this class? The authority of interpretive communities.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Harrington, C. L., &amp; Bielby, D. D. (1995). Soap fans: Pursuing pleasure and making meaning in everyday life. Philadelphia: Temple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Jenkins, H. (1992). Textual poachers: Television fans and participatory culture.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Jensen, K. B. (1987). Qualitative audience research: Toward an integrative approach to reception. Critical Studies in Mass Communication, 4,21–36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Jensen, K. B. (1995). The social semiotics of mass communication. Thousand Oaks, CA: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Lindlof, T. R. (2002). Interpretive community: An approach to media and religion. Journal of Media and Religion, 1(1), 61–74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Livingstone, S. (2004). The challenge of changing audiences: Or, what is the audience researcher to do in the age of the Internet. European Journal of Communication, 19(1),75–86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Muniz, Jr., A. M., &amp; O’Guinn, T. C. (2001). Brand community. Journal of Consumer Research, 27,412–432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Radway, J. (1984). Reading the romance: Women, patriarchy, and popular literature. Chapel Hill: University of North Carolina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Schroder, K. C. (1994). Audience semiotics, interpretive communities and the “ethnographic turn” in media research. Media, Culture&amp;Society,16,337–347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Seibert-Davis, J. (2003) .“Vinylphilia”: Consumption and use of the “obsolete” vinyl record among the vinylphiles. Unpublished doctoral dissertation, University of Kentucky,Lexington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M. A., &amp; Kollock, P. (Eds.) (1999). Communities in cyberspace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Stout, D. A. (2004). Secularization and the religious audience: A study of Mormons and Las Vegas media. Mass Communication &amp; Society, 7(1), 61–75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Zelizer, B. (1993). Journalists as interpretive communities. Critical Studies in Mass Communication,10,219–237</w:t>
      </w:r>
      <w:r>
        <w:rPr>
          <w:rFonts w:eastAsia="Times New Roman" w:cs="Times New Roman" w:ascii="Times New Roman" w:hAnsi="Times New Roman"/>
          <w:color w:val="111111"/>
          <w:sz w:val="28"/>
          <w:szCs w:val="28"/>
          <w:rtl w:val="true"/>
          <w:lang w:val="en-US" w:bidi="en-US"/>
        </w:rPr>
        <w:t xml:space="preserve">. </w:t>
      </w:r>
      <w:bookmarkStart w:id="479" w:name="pg3881_27916"/>
    </w:p>
    <w:p>
      <w:pPr>
        <w:pStyle w:val="Heading2"/>
        <w:numPr>
          <w:ilvl w:val="1"/>
          <w:numId w:val="1"/>
        </w:numPr>
        <w:rPr/>
      </w:pPr>
      <w:bookmarkStart w:id="480" w:name="__RefHeading___Toc1656328_2281741623"/>
      <w:bookmarkStart w:id="481" w:name="_Toc170"/>
      <w:bookmarkEnd w:id="479"/>
      <w:bookmarkEnd w:id="480"/>
      <w:r>
        <w:rPr>
          <w:rtl w:val="true"/>
        </w:rPr>
        <w:t>جهاد</w:t>
      </w:r>
      <w:bookmarkEnd w:id="481"/>
    </w:p>
    <w:p>
      <w:pPr>
        <w:pStyle w:val="Heading3"/>
        <w:numPr>
          <w:ilvl w:val="2"/>
          <w:numId w:val="1"/>
        </w:numPr>
        <w:rPr/>
      </w:pPr>
      <w:bookmarkStart w:id="482" w:name="__RefHeading___Toc1656330_2281741623"/>
      <w:bookmarkStart w:id="483" w:name="_Toc171"/>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معنای لغوی واژۀ عربی جهاد، مبارزه کردن یا کوشیدن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فعل جَهَدَ به معنی تلاش کردن،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زمان های مختلف به شکل های گوناگونی تفسیر شده و هیچ اتفاق نظری بین دانشمندان بر معنای دقیق و درست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مفهوم، جهاد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 شخصی است برای نیل به ایمانی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 همگانی برای تاسیس جامعه 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این واژه با انگارۀ جنگی مقدس شناخته می شود، جنگی که همۀ مسلمانان مکلفند علیه نامسلمانان و مرتدان در آن شرکت کنند</w:t>
      </w:r>
      <w:r>
        <w:rPr>
          <w:rFonts w:eastAsia="IRNazanin" w:cs="IRNazanin"/>
          <w:color w:val="111111"/>
          <w:sz w:val="28"/>
          <w:szCs w:val="28"/>
          <w:rtl w:val="true"/>
          <w:lang w:bidi="fa-IR"/>
        </w:rPr>
        <w:t>.</w:t>
      </w:r>
    </w:p>
    <w:p>
      <w:pPr>
        <w:pStyle w:val="Heading3"/>
        <w:numPr>
          <w:ilvl w:val="2"/>
          <w:numId w:val="1"/>
        </w:numPr>
        <w:rPr/>
      </w:pPr>
      <w:bookmarkStart w:id="484" w:name="__RefHeading___Toc1656332_2281741623"/>
      <w:bookmarkStart w:id="485" w:name="_Toc172"/>
      <w:bookmarkEnd w:id="484"/>
      <w:r>
        <w:rPr>
          <w:rtl w:val="true"/>
        </w:rPr>
        <w:t>تطور تاریخی</w:t>
      </w:r>
      <w:bookmarkEnd w:id="48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تطور تاریخی </w:t>
      </w:r>
      <w:bookmarkStart w:id="486" w:name="pg3881_27917"/>
    </w:p>
    <w:p>
      <w:pPr>
        <w:pStyle w:val="BookText"/>
        <w:rPr/>
      </w:pPr>
      <w:bookmarkEnd w:id="486"/>
      <w:r>
        <w:rPr>
          <w:rFonts w:ascii="IRNazanin" w:hAnsi="IRNazanin" w:eastAsia="IRNazanin"/>
          <w:color w:val="111111"/>
          <w:sz w:val="28"/>
          <w:sz w:val="28"/>
          <w:szCs w:val="28"/>
          <w:rtl w:val="true"/>
          <w:lang w:bidi="fa-IR"/>
        </w:rPr>
        <w:t>در مرحلۀ اولیۀ رسالت محمد صلی الله علیه و آله، جهاد به معنای گسترش اسلام به شیوه هایی صلح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هجرت محمد صلی الله علیه و آله به مدینه و تأسیس حکومت اسلامی بود که قرآن جنگیدن برای دفاع از خود را مجاز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شکلی از جهاد معنا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وجه تمایزی بین جهاد به منزلۀ جَهدی صلح آمیز، و جهاد به عنوان شکلی از جنگ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جنگ، هنوز به عنوان شکل ثانویۀ جهاد تلقی می شد</w:t>
      </w:r>
      <w:r>
        <w:rPr>
          <w:rFonts w:eastAsia="IRNazanin" w:cs="IRNazanin"/>
          <w:color w:val="111111"/>
          <w:sz w:val="28"/>
          <w:szCs w:val="28"/>
          <w:rtl w:val="true"/>
          <w:lang w:bidi="fa-IR"/>
        </w:rPr>
        <w:t>.</w:t>
      </w:r>
    </w:p>
    <w:p>
      <w:pPr>
        <w:pStyle w:val="Heading3"/>
        <w:numPr>
          <w:ilvl w:val="2"/>
          <w:numId w:val="1"/>
        </w:numPr>
        <w:rPr/>
      </w:pPr>
      <w:bookmarkStart w:id="487" w:name="__RefHeading___Toc1656334_2281741623"/>
      <w:bookmarkStart w:id="488" w:name="_Toc173"/>
      <w:bookmarkEnd w:id="487"/>
      <w:r>
        <w:rPr>
          <w:rtl w:val="true"/>
        </w:rPr>
        <w:t>روشنگری قرآنی</w:t>
      </w:r>
      <w:bookmarkEnd w:id="488"/>
    </w:p>
    <w:p>
      <w:pPr>
        <w:pStyle w:val="BookText"/>
        <w:rPr/>
      </w:pPr>
      <w:r>
        <w:rPr>
          <w:rFonts w:ascii="IRNazanin" w:hAnsi="IRNazanin" w:eastAsia="IRNazanin"/>
          <w:color w:val="111111"/>
          <w:sz w:val="28"/>
          <w:sz w:val="28"/>
          <w:szCs w:val="28"/>
          <w:rtl w:val="true"/>
          <w:lang w:bidi="fa-IR"/>
        </w:rPr>
        <w:t>روشنگری قرآنی</w:t>
      </w:r>
    </w:p>
    <w:p>
      <w:pPr>
        <w:pStyle w:val="BookText"/>
        <w:rPr/>
      </w:pPr>
      <w:r>
        <w:rPr>
          <w:rFonts w:ascii="IRNazanin" w:hAnsi="IRNazanin" w:eastAsia="IRNazanin"/>
          <w:color w:val="111111"/>
          <w:sz w:val="28"/>
          <w:sz w:val="28"/>
          <w:szCs w:val="28"/>
          <w:rtl w:val="true"/>
          <w:lang w:bidi="fa-IR"/>
        </w:rPr>
        <w:t>از محمد صلی الله علیه و آله منقول است که در بازگشت از یک جنگ،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جهاد اصغر به جهاد اکبر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او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نیروهای اهریمنی درون یک شخص و در جامعۀ او، در تمام جزییات زندگی روزمره، جهدی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آیبیش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یک فرهیختۀ مسلمان و دانشمند علوم سیاسی، وجه تمایز بین جهاد اکبر و جهاد اصغر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جهاد اکبر را پیکار درونی افراد برای غلبه بر امیال حیوانی شان و جهاد اصغر را جنگیدن به نفع جامعه در دفاع از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کارن آرمسترانگ، واژه های عربی مختلفی وجود دارند که بر جنگ مسلحانه دلالت می کنند، واژه هایی چون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قرآن می توانست هنگامی که جنگ، راه اصلی درگیرشدن مسلمانان در این جهد باشد از آن ها استفاده کند ولی در عوض، جهاد را که واژه ای غنی تر، مبهم تر و با دامنه ای وسیع از معانی ضمنی است،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تکلیف مسلمانان است که برای مبارزه در همۀ </w:t>
      </w:r>
      <w:bookmarkStart w:id="489" w:name="pg3881_27918"/>
    </w:p>
    <w:p>
      <w:pPr>
        <w:pStyle w:val="BookText"/>
        <w:rPr/>
      </w:pPr>
      <w:bookmarkEnd w:id="489"/>
      <w:r>
        <w:rPr>
          <w:rFonts w:ascii="IRNazanin" w:hAnsi="IRNazanin" w:eastAsia="IRNazanin"/>
          <w:color w:val="111111"/>
          <w:sz w:val="28"/>
          <w:sz w:val="28"/>
          <w:szCs w:val="28"/>
          <w:rtl w:val="true"/>
          <w:lang w:bidi="fa-IR"/>
        </w:rPr>
        <w:t>جبهه 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در دنیای مادی، خود را متعهد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صلح آمیز جهاد، بعداً در آموزه های الهیات صوفیانه شکوفا شد</w:t>
      </w:r>
      <w:r>
        <w:rPr>
          <w:rFonts w:eastAsia="IRNazanin" w:cs="IRNazanin"/>
          <w:color w:val="111111"/>
          <w:sz w:val="28"/>
          <w:szCs w:val="28"/>
          <w:rtl w:val="true"/>
          <w:lang w:bidi="fa-IR"/>
        </w:rPr>
        <w:t>.</w:t>
      </w:r>
    </w:p>
    <w:p>
      <w:pPr>
        <w:pStyle w:val="Heading3"/>
        <w:numPr>
          <w:ilvl w:val="2"/>
          <w:numId w:val="1"/>
        </w:numPr>
        <w:rPr/>
      </w:pPr>
      <w:bookmarkStart w:id="490" w:name="__RefHeading___Toc1656336_2281741623"/>
      <w:bookmarkStart w:id="491" w:name="_Toc174"/>
      <w:bookmarkEnd w:id="490"/>
      <w:r>
        <w:rPr>
          <w:rtl w:val="true"/>
        </w:rPr>
        <w:t>دوران قرون وسطی</w:t>
      </w:r>
      <w:bookmarkEnd w:id="491"/>
    </w:p>
    <w:p>
      <w:pPr>
        <w:pStyle w:val="BookText"/>
        <w:rPr/>
      </w:pPr>
      <w:r>
        <w:rPr>
          <w:rFonts w:ascii="IRNazanin" w:hAnsi="IRNazanin" w:eastAsia="IRNazanin"/>
          <w:color w:val="111111"/>
          <w:sz w:val="28"/>
          <w:sz w:val="28"/>
          <w:szCs w:val="28"/>
          <w:rtl w:val="true"/>
          <w:lang w:bidi="fa-IR"/>
        </w:rPr>
        <w:t>دوران قرون وسطی</w:t>
      </w:r>
    </w:p>
    <w:p>
      <w:pPr>
        <w:pStyle w:val="BookText"/>
        <w:rPr/>
      </w:pPr>
      <w:r>
        <w:rPr>
          <w:rFonts w:ascii="IRNazanin" w:hAnsi="IRNazanin" w:eastAsia="IRNazanin"/>
          <w:color w:val="111111"/>
          <w:sz w:val="28"/>
          <w:sz w:val="28"/>
          <w:szCs w:val="28"/>
          <w:rtl w:val="true"/>
          <w:lang w:bidi="fa-IR"/>
        </w:rPr>
        <w:t>گسترش اسلام از طریق فتح و توسعۀ قلمروهای تحت حکومت اعراب، توضیح بیشتر انگارۀ جهاد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در فاصلۀ قرون هشتم و یازدهم، جهاد را جنگی که از سوی خداوند برای تثبیت احکام مسلمانان بر نامسلمانان مقرر شده و در نتیجه، راه را برای گسترش اسلام هموار می کند،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استدلال می شد که جهان به دو منطقۀ دار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قوانین اسلام در آن جا جاری است ـ و دار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جنگ یا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جا که غیاب قوانین اسلامی موجب فساد و هرج و مرج شده است ـ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حکومت اسلامی، جذب کردن دار الحرب در دار الاسلام ـ در صورت امکان، از طریق صلح آمیز و در صورت لزوم با جنگ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فقها، خداوند مقرر کرده که هر فرد مسلمان، به استثنای معلولان و نابینایان، باید جنگیدن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وقف تحصیل قرآن می کردند، از شرکت در جنگ معاف بودند ولی از یادگیری جنگیدن،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جنگیدن مسلمانان در راه و برای خداوند را منحصر به سه حوزه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 مسلمانان در برابر تهاجمات، آزاد ساختن مردم از یک قدرت ستمگر و فراخواندن مردم به اسلام و رساندن پیام آن به همۀ مردم با استفاده از رأفت و 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به مسلمانان یادآوری می شود که مسیر عدالت را بپویند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آن که دیگران را از برای ستم پیشگی اش به یاری بخواند و از ما نیست آن که از برای بیداد قبیله اش بجنگد و از ما نیست آن که در یاری قبیله اش از برای ظلم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bookmarkStart w:id="492" w:name="pg3881_27919"/>
    </w:p>
    <w:p>
      <w:pPr>
        <w:pStyle w:val="BookText"/>
        <w:rPr/>
      </w:pPr>
      <w:bookmarkEnd w:id="492"/>
      <w:r>
        <w:rPr>
          <w:rFonts w:ascii="IRNazanin" w:hAnsi="IRNazanin" w:eastAsia="IRNazanin"/>
          <w:color w:val="111111"/>
          <w:sz w:val="28"/>
          <w:sz w:val="28"/>
          <w:szCs w:val="28"/>
          <w:rtl w:val="true"/>
          <w:lang w:bidi="fa-IR"/>
        </w:rPr>
        <w:t>احکام پیچیدۀ جهاد نیز تحول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این رای که آیا دو پادشاه می توانند هم زیستی داشته باشند یا نه،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شد که می توان صلح را، چنان چه مورد علاقۀ حکومت اسلامی باشد،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امام می توانست جهاد را اعلام و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که اسلام را نمی پذیرفتند ولی نمی جنگیدند با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ابتدا، فقط برای مسیحیان و یهودیان اعمال می شد ولی به مرور زمان، برای تمام جماعت ها بسط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درگیری و مصونیت برای شورشیان مسلمان سختگیرانه تر بود ولی نیت این بود که آنان بدون خصومتی غیرضروری، هر چه زودتر به گروه مومنان مسلمان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جهاد به منزلۀ جنگ، هنگامی اعلام شد که سپاهیان مسلمان و مسیحیان اروپایی برای تسلط بر آسیای غربی ـ که هر دو طرف مدعی حق مالکیت بر این منطقه بودند ـ رودررو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بود که جهاد به عنوان یک جنگ مقدس شناخته شد</w:t>
      </w:r>
      <w:r>
        <w:rPr>
          <w:rFonts w:eastAsia="IRNazanin" w:cs="IRNazanin"/>
          <w:color w:val="111111"/>
          <w:sz w:val="28"/>
          <w:szCs w:val="28"/>
          <w:rtl w:val="true"/>
          <w:lang w:bidi="fa-IR"/>
        </w:rPr>
        <w:t>.</w:t>
      </w:r>
    </w:p>
    <w:p>
      <w:pPr>
        <w:pStyle w:val="Heading3"/>
        <w:numPr>
          <w:ilvl w:val="2"/>
          <w:numId w:val="1"/>
        </w:numPr>
        <w:rPr/>
      </w:pPr>
      <w:bookmarkStart w:id="493" w:name="__RefHeading___Toc1656338_2281741623"/>
      <w:bookmarkStart w:id="494" w:name="_Toc175"/>
      <w:bookmarkEnd w:id="493"/>
      <w:r>
        <w:rPr>
          <w:rtl w:val="true"/>
        </w:rPr>
        <w:t>تفسیرهای مدرن</w:t>
      </w:r>
      <w:bookmarkEnd w:id="494"/>
    </w:p>
    <w:p>
      <w:pPr>
        <w:pStyle w:val="BookText"/>
        <w:rPr/>
      </w:pPr>
      <w:r>
        <w:rPr>
          <w:rFonts w:ascii="IRNazanin" w:hAnsi="IRNazanin" w:eastAsia="IRNazanin"/>
          <w:color w:val="111111"/>
          <w:sz w:val="28"/>
          <w:sz w:val="28"/>
          <w:szCs w:val="28"/>
          <w:rtl w:val="true"/>
          <w:lang w:bidi="fa-IR"/>
        </w:rPr>
        <w:t>تفسیرهای مدرن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جهاد در عصر جدید به طرقی متفاوت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دیدگاه که می توان آن را توجیه گر نامید، بر مفهوم روحانی جهاد تأکید دارد و مشروعیت هر جنگ مقدسی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دیدگاه که یک نظریۀ مدرنیستی است با یک تفاوت عمده تکرار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منزلۀ جنگ، با مفهوم غربی یک جنگ مشروع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جنگ، مجاز است اگر هدفش دفاع از زندگی و جامعۀ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که می توان آن را احیاگرانه نامید، هیچ یک از این دو دیدگاه را نمی پذیرد و بر این انگاره متکی است که جنگ برای استقرار جامعه ای مبتنی بر اصول اخلاقی اسلام توجیه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سوم است مقبولیت گسترده ای میان جوامع </w:t>
      </w:r>
      <w:bookmarkStart w:id="495" w:name="pg3881_27920"/>
    </w:p>
    <w:p>
      <w:pPr>
        <w:pStyle w:val="BookText"/>
        <w:rPr/>
      </w:pPr>
      <w:bookmarkEnd w:id="495"/>
      <w:r>
        <w:rPr>
          <w:rFonts w:ascii="IRNazanin" w:hAnsi="IRNazanin" w:eastAsia="IRNazanin"/>
          <w:color w:val="111111"/>
          <w:sz w:val="28"/>
          <w:sz w:val="28"/>
          <w:szCs w:val="28"/>
          <w:rtl w:val="true"/>
          <w:lang w:bidi="fa-IR"/>
        </w:rPr>
        <w:t>اسلامی یافته است و همان است که به منزلۀ منبع الهامی برای سازمان های ستیزه جوی اسلامی به کار گرفته می شود</w:t>
      </w:r>
      <w:r>
        <w:rPr>
          <w:rFonts w:eastAsia="IRNazanin" w:cs="IRNazanin"/>
          <w:color w:val="111111"/>
          <w:sz w:val="28"/>
          <w:szCs w:val="28"/>
          <w:rtl w:val="true"/>
          <w:lang w:bidi="fa-IR"/>
        </w:rPr>
        <w:t>.</w:t>
      </w:r>
    </w:p>
    <w:p>
      <w:pPr>
        <w:pStyle w:val="Heading3"/>
        <w:numPr>
          <w:ilvl w:val="2"/>
          <w:numId w:val="1"/>
        </w:numPr>
        <w:rPr/>
      </w:pPr>
      <w:bookmarkStart w:id="496" w:name="__RefHeading___Toc1656340_2281741623"/>
      <w:bookmarkStart w:id="497" w:name="_Toc176"/>
      <w:bookmarkEnd w:id="496"/>
      <w:r>
        <w:rPr>
          <w:rtl w:val="true"/>
        </w:rPr>
        <w:t>اسلام سیاسی</w:t>
      </w:r>
      <w:bookmarkEnd w:id="497"/>
    </w:p>
    <w:p>
      <w:pPr>
        <w:pStyle w:val="BookText"/>
        <w:rPr/>
      </w:pPr>
      <w:r>
        <w:rPr>
          <w:rFonts w:ascii="IRNazanin" w:hAnsi="IRNazanin" w:eastAsia="IRNazanin"/>
          <w:color w:val="111111"/>
          <w:sz w:val="28"/>
          <w:sz w:val="28"/>
          <w:szCs w:val="28"/>
          <w:rtl w:val="true"/>
          <w:lang w:bidi="fa-IR"/>
        </w:rPr>
        <w:t>اسلام سیاسی</w:t>
      </w:r>
    </w:p>
    <w:p>
      <w:pPr>
        <w:pStyle w:val="BookText"/>
        <w:rPr/>
      </w:pPr>
      <w:r>
        <w:rPr>
          <w:rFonts w:ascii="IRNazanin" w:hAnsi="IRNazanin" w:eastAsia="IRNazanin"/>
          <w:color w:val="111111"/>
          <w:sz w:val="28"/>
          <w:sz w:val="28"/>
          <w:szCs w:val="28"/>
          <w:rtl w:val="true"/>
          <w:lang w:bidi="fa-IR"/>
        </w:rPr>
        <w:t>امروزه ضروری است که مفهوم جهاد در متن اسلام سیاسی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سیاسی به شدت بر اساس واژگان اسلامی سنتی دریافت می شود ولی در این فرآیند، مقاصد مذهبی سنتی را به ابزارهای سیاسی معاصر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گروه های اسلامی ای که در پی استقرار یک دولت اسلامی و راه اندازی جهاد بودند، تکثیری غیرمنتظره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پرداز مهم جنبش اسلامی، مودودی در پاکستان، سید قطب در مصر و آیت الله خمینی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آوردگاه سرنوشت ساز برای اسلام گرایان، تحقیقاً، افغانستان بود؛ جایی که جهادی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هزینۀ ایالات متحده و سلاطین خاورمیانه به انجام رسید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اقتصادی حکومت هایی که از نفت ثروتمند شده اند، نصیبی برای اکثریت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گِرد شهرهای بزرگی حلقه زده است که ثابت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اسلامی ستیزه جو، ضدنخبه گرا و ضد غربی، زمینی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همگانی از رژیم های فاسد، شکست اقتصادی و دیکتاتوری، نیروی بیشتری به اسلام ستیزه جو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گروه تندروی اسلامی طالبان در افغانستان، حضور نیروهای آمریکا در عربستان سعودی در پی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فلسطینیان به دنبال اشغال باریکۀ غزه و کرانۀ باختری توسط اسراییل، گروه هایی چون حماس، القاعده و جهاد اسلامی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کوچک ولی خوب آموزش دیده، در تهاجم علیه منافع آمریکا در سراسر جهان و بمب گذاری های انتحاری نمایشی علیه اسراییلی ها، دولت های سکولار عرب و همۀ آن هایی که یاری رسان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498" w:name="pg3881_27921"/>
    </w:p>
    <w:p>
      <w:pPr>
        <w:pStyle w:val="BookText"/>
        <w:rPr/>
      </w:pPr>
      <w:bookmarkEnd w:id="498"/>
      <w:r>
        <w:rPr>
          <w:rFonts w:ascii="IRNazanin" w:hAnsi="IRNazanin" w:eastAsia="IRNazanin"/>
          <w:color w:val="111111"/>
          <w:sz w:val="28"/>
          <w:sz w:val="28"/>
          <w:szCs w:val="28"/>
          <w:rtl w:val="true"/>
          <w:lang w:bidi="fa-IR"/>
        </w:rPr>
        <w:t>ضداسلام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های القاعده در ایالات متحدۀ آمریکا منجر به فروپاشی دولت طالبان و نابودی رژیم صدام حسین در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رژیم عراق که به پشتیبانی ایالات متحده حکومت می کند، به حمله علیه نظامیان آمریکایی و متحدان و حامیان شان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ستیزه جو مسئول حملاتی در اندونزی، روسیه، اسپانیا و هند بوده اند</w:t>
      </w:r>
      <w:r>
        <w:rPr>
          <w:rFonts w:eastAsia="IRNazanin" w:cs="IRNazanin"/>
          <w:color w:val="111111"/>
          <w:sz w:val="28"/>
          <w:szCs w:val="28"/>
          <w:rtl w:val="true"/>
          <w:lang w:bidi="fa-IR"/>
        </w:rPr>
        <w:t>.</w:t>
      </w:r>
    </w:p>
    <w:p>
      <w:pPr>
        <w:pStyle w:val="Heading3"/>
        <w:numPr>
          <w:ilvl w:val="2"/>
          <w:numId w:val="1"/>
        </w:numPr>
        <w:rPr/>
      </w:pPr>
      <w:bookmarkStart w:id="499" w:name="__RefHeading___Toc1656342_2281741623"/>
      <w:bookmarkStart w:id="500" w:name="_Toc177"/>
      <w:bookmarkEnd w:id="499"/>
      <w:r>
        <w:rPr>
          <w:rtl w:val="true"/>
        </w:rPr>
        <w:t>نظام ارتباطی جهادی</w:t>
      </w:r>
      <w:bookmarkEnd w:id="500"/>
    </w:p>
    <w:p>
      <w:pPr>
        <w:pStyle w:val="BookText"/>
        <w:rPr/>
      </w:pPr>
      <w:r>
        <w:rPr>
          <w:rFonts w:ascii="IRNazanin" w:hAnsi="IRNazanin" w:eastAsia="IRNazanin"/>
          <w:color w:val="111111"/>
          <w:sz w:val="28"/>
          <w:sz w:val="28"/>
          <w:szCs w:val="28"/>
          <w:rtl w:val="true"/>
          <w:lang w:bidi="fa-IR"/>
        </w:rPr>
        <w:t>نظام ارتباطی جهادی</w:t>
      </w:r>
    </w:p>
    <w:p>
      <w:pPr>
        <w:pStyle w:val="BookText"/>
        <w:rPr/>
      </w:pPr>
      <w:r>
        <w:rPr>
          <w:rFonts w:ascii="IRNazanin" w:hAnsi="IRNazanin" w:eastAsia="IRNazanin"/>
          <w:color w:val="111111"/>
          <w:sz w:val="28"/>
          <w:sz w:val="28"/>
          <w:szCs w:val="28"/>
          <w:rtl w:val="true"/>
          <w:lang w:bidi="fa-IR"/>
        </w:rPr>
        <w:t>گرچه گروه های جهادی، غرب را به باد انتقاد می گیرند ولی ابزارهای مدرن ارتباطی را برای تبلیغات و برای طراحی فعالیت های شان به کار می برند و پیوندهای ارتباطی با یکدیگر را اداره می کنند</w:t>
      </w:r>
      <w:r>
        <w:rPr>
          <w:rFonts w:eastAsia="IRNazanin" w:cs="IRNazanin"/>
          <w:color w:val="111111"/>
          <w:sz w:val="28"/>
          <w:szCs w:val="28"/>
          <w:rtl w:val="true"/>
          <w:lang w:bidi="fa-IR"/>
        </w:rPr>
        <w:t>.</w:t>
      </w:r>
    </w:p>
    <w:p>
      <w:pPr>
        <w:pStyle w:val="Heading3"/>
        <w:numPr>
          <w:ilvl w:val="2"/>
          <w:numId w:val="1"/>
        </w:numPr>
        <w:rPr/>
      </w:pPr>
      <w:bookmarkStart w:id="501" w:name="__RefHeading___Toc1656344_2281741623"/>
      <w:bookmarkStart w:id="502" w:name="_Toc178"/>
      <w:bookmarkEnd w:id="501"/>
      <w:r>
        <w:rPr>
          <w:rtl w:val="true"/>
        </w:rPr>
        <w:t>عملیات های نظامی و انتقال اطلاعات</w:t>
      </w:r>
      <w:bookmarkEnd w:id="502"/>
    </w:p>
    <w:p>
      <w:pPr>
        <w:pStyle w:val="BookText"/>
        <w:rPr/>
      </w:pPr>
      <w:r>
        <w:rPr>
          <w:rFonts w:ascii="IRNazanin" w:hAnsi="IRNazanin" w:eastAsia="IRNazanin"/>
          <w:color w:val="111111"/>
          <w:sz w:val="28"/>
          <w:sz w:val="28"/>
          <w:szCs w:val="28"/>
          <w:rtl w:val="true"/>
          <w:lang w:bidi="fa-IR"/>
        </w:rPr>
        <w:t>عملیات های نظامی و انتقال اطلاعات</w:t>
      </w:r>
    </w:p>
    <w:p>
      <w:pPr>
        <w:pStyle w:val="BookText"/>
        <w:rPr/>
      </w:pPr>
      <w:r>
        <w:rPr>
          <w:rFonts w:ascii="IRNazanin" w:hAnsi="IRNazanin" w:eastAsia="IRNazanin"/>
          <w:color w:val="111111"/>
          <w:sz w:val="28"/>
          <w:sz w:val="28"/>
          <w:szCs w:val="28"/>
          <w:rtl w:val="true"/>
          <w:lang w:bidi="fa-IR"/>
        </w:rPr>
        <w:t>اینترنت، ابزار مورد علاقۀ گروه های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جهاد در اندونزی، استفادۀ دامنه داری از اینترنت برای هماهنگی عملیات های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نامۀ آموزشی القاعده، دستورالعمل های مشروحی را دربارۀ روش های گوناگون و تاکتیک های ارتباطاتِ درون گروهی در اختیار اعضایش قرار می دهد و به آنان گوشزد می کند که حدود امنیتی گسترده ای را رعایت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درون گروه ها شامل استفاده از تلفن های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تلفن های ماهواره ای می شود، هر چند که این تلفن ها می توانند امنیت گروه ها را نیز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اسامه بن لادن، رهبر القاعده، را ماهواره های آمریکایی با هدف یابی سیگنال های تلفن ماهواره ای وی ردیابی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وجود دارد که گروه هایی مانند القاعده نه تنها از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سیستم بانکداری جهانی و اینترنت برای انتقال سرمایه ها از یک مکان به مکان دیگر </w:t>
      </w:r>
      <w:bookmarkStart w:id="503" w:name="pg3881_27922"/>
    </w:p>
    <w:p>
      <w:pPr>
        <w:pStyle w:val="BookText"/>
        <w:rPr/>
      </w:pPr>
      <w:bookmarkEnd w:id="503"/>
      <w:r>
        <w:rPr>
          <w:rFonts w:ascii="IRNazanin" w:hAnsi="IRNazanin" w:eastAsia="IRNazanin"/>
          <w:color w:val="111111"/>
          <w:sz w:val="28"/>
          <w:sz w:val="28"/>
          <w:szCs w:val="28"/>
          <w:rtl w:val="true"/>
          <w:lang w:bidi="fa-IR"/>
        </w:rPr>
        <w:t>استفاده می کنند، بلکه به بازار بورس و سهام بعضی از کشورها برای افزایش سرمایه های مورد نیاز فعالیت های شان وارد شده اند</w:t>
      </w:r>
      <w:r>
        <w:rPr>
          <w:rFonts w:eastAsia="IRNazanin" w:cs="IRNazanin"/>
          <w:color w:val="111111"/>
          <w:sz w:val="28"/>
          <w:szCs w:val="28"/>
          <w:rtl w:val="true"/>
          <w:lang w:bidi="fa-IR"/>
        </w:rPr>
        <w:t>.</w:t>
      </w:r>
    </w:p>
    <w:p>
      <w:pPr>
        <w:pStyle w:val="Heading3"/>
        <w:numPr>
          <w:ilvl w:val="2"/>
          <w:numId w:val="1"/>
        </w:numPr>
        <w:rPr/>
      </w:pPr>
      <w:bookmarkStart w:id="504" w:name="__RefHeading___Toc1656346_2281741623"/>
      <w:bookmarkStart w:id="505" w:name="_Toc179"/>
      <w:bookmarkEnd w:id="504"/>
      <w:r>
        <w:rPr>
          <w:rtl w:val="true"/>
        </w:rPr>
        <w:t xml:space="preserve">پروپاگاندا </w:t>
      </w:r>
      <w:r>
        <w:rPr>
          <w:rtl w:val="true"/>
        </w:rPr>
        <w:t>(</w:t>
      </w:r>
      <w:r>
        <w:rPr>
          <w:rtl w:val="true"/>
        </w:rPr>
        <w:t>تبلیغات</w:t>
      </w:r>
      <w:r>
        <w:rPr>
          <w:rtl w:val="true"/>
        </w:rPr>
        <w:t>)</w:t>
      </w:r>
      <w:bookmarkEnd w:id="505"/>
    </w:p>
    <w:p>
      <w:pPr>
        <w:pStyle w:val="BookText"/>
        <w:rPr/>
      </w:pPr>
      <w:r>
        <w:rPr>
          <w:rFonts w:ascii="IRNazanin" w:hAnsi="IRNazanin" w:eastAsia="IRNazanin"/>
          <w:color w:val="111111"/>
          <w:sz w:val="28"/>
          <w:sz w:val="28"/>
          <w:szCs w:val="28"/>
          <w:rtl w:val="true"/>
          <w:lang w:bidi="fa-IR"/>
        </w:rPr>
        <w:t xml:space="preserve">پروپاگاندا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که اطلاعات عملاً و به آسانی برای همه در دسترس است، انقلابی در استفاده ای که گروه های جهادی از تبلیغات می کنند به وجود آورده است؛ برای نمونه سازمان فلسطینی حماس چندین وب سایت دارد که مرکز اطلاعات فلسطین، گروه نظامی قسام و </w:t>
      </w:r>
      <w:r>
        <w:rPr>
          <w:rFonts w:eastAsia="Times New Roman" w:cs="Times New Roman" w:ascii="Times New Roman" w:hAnsi="Times New Roman"/>
          <w:color w:val="111111"/>
          <w:sz w:val="28"/>
          <w:szCs w:val="28"/>
          <w:lang w:val="en-US" w:bidi="en-US"/>
        </w:rPr>
        <w:t>Return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مستقر در لندن آن ها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وب سایت ها، از خطابه هایی که به زبان آمریکایی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کنند که امکان ضبط و توزیع در کاست های صوتی، دیسک های فشرده و نوارهای ویدیویی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پیام های تهدیدی اسامه بن لادن به غرب، از این طریق در دسترس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قابلیت تعویض، فروش یا نمایش در ایستگاه های تلویزیون ماهواره ای یا از طریق ابزارهای متعارفی چون روزنامه، جزوه و فکس را دارند</w:t>
      </w:r>
      <w:r>
        <w:rPr>
          <w:rFonts w:eastAsia="IRNazanin" w:cs="IRNazanin"/>
          <w:color w:val="111111"/>
          <w:sz w:val="28"/>
          <w:szCs w:val="28"/>
          <w:rtl w:val="true"/>
          <w:lang w:bidi="fa-IR"/>
        </w:rPr>
        <w:t>.</w:t>
      </w:r>
    </w:p>
    <w:p>
      <w:pPr>
        <w:pStyle w:val="Heading3"/>
        <w:numPr>
          <w:ilvl w:val="2"/>
          <w:numId w:val="1"/>
        </w:numPr>
        <w:rPr/>
      </w:pPr>
      <w:bookmarkStart w:id="506" w:name="__RefHeading___Toc1656348_2281741623"/>
      <w:bookmarkStart w:id="507" w:name="_Toc180"/>
      <w:bookmarkEnd w:id="506"/>
      <w:r>
        <w:rPr>
          <w:rtl w:val="true"/>
        </w:rPr>
        <w:t>الجزیره</w:t>
      </w:r>
      <w:r>
        <w:rPr>
          <w:rtl w:val="true"/>
        </w:rPr>
        <w:t xml:space="preserve">: </w:t>
      </w:r>
      <w:r>
        <w:rPr>
          <w:rtl w:val="true"/>
        </w:rPr>
        <w:t>یک بررسی موردی</w:t>
      </w:r>
      <w:bookmarkEnd w:id="507"/>
    </w:p>
    <w:p>
      <w:pPr>
        <w:pStyle w:val="BookText"/>
        <w:rPr/>
      </w:pP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موردی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شبکۀ تلویزیونی مستقل و سیاسی الجزیره ادعا می کند که در خاورمیانه منحصربه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شبکۀ قطری که در ابتدا با سرمایۀ امیر قطر راه اندازی شد، قصد دارد از طریق جذب آگهی به استقلال مالی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اعراب معتقدند ایستگاه های تلویزیونی دولتی جانبدارانه عمل می کنند، الجزیره که توسط کارکنان سابق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به کار کرده، شبکه ای است که بیشترین بیننده را در خاورمیانه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در دورۀ پس از یازدهم سپتامبر، هنگامی که القاعده برای پخش پیام های بن لادن از این شبکه استفاده کرد،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نوارهای ویدیویی گروگان گیری و اعدام هایی را که توسط </w:t>
      </w:r>
      <w:bookmarkStart w:id="508" w:name="pg3881_27923"/>
    </w:p>
    <w:p>
      <w:pPr>
        <w:pStyle w:val="BookText"/>
        <w:rPr/>
      </w:pPr>
      <w:bookmarkEnd w:id="508"/>
      <w:r>
        <w:rPr>
          <w:rFonts w:ascii="IRNazanin" w:hAnsi="IRNazanin" w:eastAsia="IRNazanin"/>
          <w:color w:val="111111"/>
          <w:sz w:val="28"/>
          <w:sz w:val="28"/>
          <w:szCs w:val="28"/>
          <w:rtl w:val="true"/>
          <w:lang w:bidi="fa-IR"/>
        </w:rPr>
        <w:t>گروه های ستیزه جو انجام می شد، پخش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تنها شبکه ای بود که بمب گذاری های افغانستان را از درون این کشور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این شبکه که به زبان های عربی و انگلیسی است، بارها مجبور به تغییر هاست سرور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تمایل الجزیره به پخش اکثر آن چه از گروه های ستیزه جو دریافت می کند، در ترکیب با عدم تمایلش به سانسور پوشش خبری جنگ عراق، اعتبار فراوانی برای این شبکه کسب کرده و آن را منتخب گروه های ستیزه جو برای مقاصد تبلیغاتی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این شبکه موجب شده است که دولت ایالات متحده و بعضی از رسانه های آمریکایی، آن را به حمایت از تروریسم متهم کنند</w:t>
      </w:r>
      <w:r>
        <w:rPr>
          <w:rFonts w:eastAsia="IRNazanin" w:cs="IRNazanin"/>
          <w:color w:val="111111"/>
          <w:sz w:val="28"/>
          <w:szCs w:val="28"/>
          <w:rtl w:val="true"/>
          <w:lang w:bidi="fa-IR"/>
        </w:rPr>
        <w:t>.</w:t>
      </w:r>
    </w:p>
    <w:p>
      <w:pPr>
        <w:pStyle w:val="Heading3"/>
        <w:numPr>
          <w:ilvl w:val="2"/>
          <w:numId w:val="1"/>
        </w:numPr>
        <w:rPr/>
      </w:pPr>
      <w:bookmarkStart w:id="509" w:name="__RefHeading___Toc1656350_2281741623"/>
      <w:bookmarkStart w:id="510" w:name="_Toc181"/>
      <w:bookmarkEnd w:id="509"/>
      <w:r>
        <w:rPr>
          <w:rtl w:val="true"/>
        </w:rPr>
        <w:t>چشم انداز</w:t>
      </w:r>
      <w:bookmarkEnd w:id="510"/>
    </w:p>
    <w:p>
      <w:pPr>
        <w:pStyle w:val="BookText"/>
        <w:rPr/>
      </w:pPr>
      <w:r>
        <w:rPr>
          <w:rFonts w:ascii="IRNazanin" w:hAnsi="IRNazanin" w:eastAsia="IRNazanin"/>
          <w:color w:val="111111"/>
          <w:sz w:val="28"/>
          <w:sz w:val="28"/>
          <w:szCs w:val="28"/>
          <w:rtl w:val="true"/>
          <w:lang w:bidi="fa-IR"/>
        </w:rPr>
        <w:t>چشم انداز</w:t>
      </w:r>
    </w:p>
    <w:p>
      <w:pPr>
        <w:pStyle w:val="BookText"/>
        <w:rPr/>
      </w:pPr>
      <w:r>
        <w:rPr>
          <w:rFonts w:ascii="IRNazanin" w:hAnsi="IRNazanin" w:eastAsia="IRNazanin"/>
          <w:color w:val="111111"/>
          <w:sz w:val="28"/>
          <w:sz w:val="28"/>
          <w:szCs w:val="28"/>
          <w:rtl w:val="true"/>
          <w:lang w:bidi="fa-IR"/>
        </w:rPr>
        <w:t>مفهوم جهاد، همواره به متن تاریخی، اجتماعی و سیاسی ای که این واژه در آن استفاده شده، وابسته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و اوایل قرن بیست ویکم، تندروهای اسلامی و گروه های پشتیبانشان، یک معنای پنهانی تازه ای را که به شدت مورد توجه است، به این واژه داده اند؛ آن ها جهاد را صرفاً به منزلۀ مبارزه ای خشونت آمیز علیه غیرمسلمانان و حامیانشان می بینند؛ آن ها باور دارند که درک غیرافراطی و اصیل از این عبارت، تنها در یک جامعۀ ناب اسلامی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رینا کِیشیاپ</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سیداحمد نادمی </w:t>
      </w:r>
      <w:bookmarkStart w:id="511" w:name="pg3881_27924"/>
    </w:p>
    <w:p>
      <w:pPr>
        <w:pStyle w:val="Heading3"/>
        <w:numPr>
          <w:ilvl w:val="2"/>
          <w:numId w:val="1"/>
        </w:numPr>
        <w:rPr/>
      </w:pPr>
      <w:bookmarkStart w:id="512" w:name="__RefHeading___Toc1656352_2281741623"/>
      <w:bookmarkStart w:id="513" w:name="_Toc182"/>
      <w:bookmarkEnd w:id="511"/>
      <w:bookmarkEnd w:id="512"/>
      <w:r>
        <w:rPr>
          <w:rtl w:val="true"/>
        </w:rPr>
        <w:t>برای مطالعۀ بیشتر</w:t>
      </w:r>
      <w:bookmarkEnd w:id="513"/>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Akbar, M. J. (2002). The shade of swords. New Delhi, India: Roli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Cooley, J. K. (1999). Unholy wars: Afghanistan, America, and international terrorism. London: Pluto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Esposito, J. L. (1988). The straight path.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Gunaratne, R. (2002). Inside al Qaeda. New Delhi, India: Roli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Hamidullah, M. (1961). Muslim conduct of state. Lahore, Pakistan: Shaykh Muhammad Ashraf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Hasmi, S. H. (1998). Encyclopaedia of politics and religion. Washington DC: Congressional Quarterly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Heikal, M. (1992). Illusions of triumph. An Arab view of the Gulf War. London: Fontana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Hitti, P.K. (1970). History of the Arabs. New York: St. Martins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Inayatullah,S., &amp; Boxwell, G. (2003). Islam, Postmodernism and other future: A Ziauddin Sardar reader. London: Pluto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Jurgensmeyer, M. (2000). Terror in the mind of God: The global rise of religious violence. Berkley: University of California Press</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Kelsay, J. &amp; Johnson, J. T. (Eds.). (1990). Just war and jihad: Historical and thorical perspectives on war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peace in Western and Islamic tradition. New York: Greenwood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Kapel, G. (2002). Jihad: The trail of political Islam, London: I. B. Tauris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Khadduri, M. (1955). War and Peace in Law of Islam. Baltimore: John Hopkins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Morteza, A. M. (1985). Jihad: The holy war of Islam and its legitimacy in the Quran. Tehran, Iran: The Islamic Propagation Organization</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Noorani, A. G. (2002). Islam and jihad. New Delhi, India: Leftwood Books</w:t>
      </w:r>
      <w:r>
        <w:rPr>
          <w:rFonts w:eastAsia="Times New Roman" w:cs="Times New Roman" w:ascii="Times New Roman" w:hAnsi="Times New Roman"/>
          <w:color w:val="111111"/>
          <w:sz w:val="28"/>
          <w:szCs w:val="28"/>
          <w:rtl w:val="true"/>
          <w:lang w:val="en-US" w:bidi="en-US"/>
        </w:rPr>
        <w:t xml:space="preserve"> </w:t>
      </w:r>
      <w:bookmarkStart w:id="514" w:name="pg3881_27926"/>
    </w:p>
    <w:p>
      <w:pPr>
        <w:pStyle w:val="Heading2"/>
        <w:numPr>
          <w:ilvl w:val="1"/>
          <w:numId w:val="1"/>
        </w:numPr>
        <w:rPr/>
      </w:pPr>
      <w:bookmarkStart w:id="515" w:name="__RefHeading___Toc1656354_2281741623"/>
      <w:bookmarkStart w:id="516" w:name="_Toc183"/>
      <w:bookmarkEnd w:id="514"/>
      <w:bookmarkEnd w:id="515"/>
      <w:r>
        <w:rPr>
          <w:rtl w:val="true"/>
        </w:rPr>
        <w:t>درام</w:t>
      </w:r>
      <w:bookmarkEnd w:id="516"/>
    </w:p>
    <w:p>
      <w:pPr>
        <w:pStyle w:val="Heading3"/>
        <w:numPr>
          <w:ilvl w:val="2"/>
          <w:numId w:val="1"/>
        </w:numPr>
        <w:rPr/>
      </w:pPr>
      <w:bookmarkStart w:id="517" w:name="__RefHeading___Toc1656356_2281741623"/>
      <w:bookmarkStart w:id="518" w:name="_Toc184"/>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درام</w:t>
      </w:r>
    </w:p>
    <w:p>
      <w:pPr>
        <w:pStyle w:val="BookText"/>
        <w:rPr/>
      </w:pPr>
      <w:r>
        <w:rPr>
          <w:rFonts w:ascii="IRNazanin" w:hAnsi="IRNazanin" w:eastAsia="IRNazanin"/>
          <w:color w:val="111111"/>
          <w:sz w:val="28"/>
          <w:sz w:val="28"/>
          <w:szCs w:val="28"/>
          <w:rtl w:val="true"/>
          <w:lang w:bidi="fa-IR"/>
        </w:rPr>
        <w:t>تئاتر از دیگر هنرهای روایتی متمایز است، به این دلیل که داستان ـ اگر داستانی در کار باشد ـ با استفاده از بازیگرانی ارائه می شود که نقش شخصیت ها را ایفا می کنند ولی در دیگر هنرها داستان نقل یا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ارائة مبتنی بر تقلید،</w:t>
      </w:r>
      <w:r>
        <w:rPr>
          <w:rStyle w:val="FootnoteAnchor"/>
          <w:rtl w:val="true"/>
        </w:rPr>
        <w:footnoteReference w:id="163"/>
      </w:r>
      <w:r>
        <w:rPr>
          <w:rFonts w:ascii="IRNazanin" w:hAnsi="IRNazanin" w:eastAsia="IRNazanin"/>
          <w:color w:val="111111"/>
          <w:sz w:val="28"/>
          <w:sz w:val="28"/>
          <w:szCs w:val="28"/>
          <w:rtl w:val="true"/>
          <w:lang w:bidi="fa-IR"/>
        </w:rPr>
        <w:t>مایة تمایز تئاتر از درام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 اغلب به متنی نوشتاری اشاره دارد که بنیان اجرای زنده قرار می گیرد، اجرایی که آن را متن تئاتری یا متن نمایشی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نمایش نامة مکتوب یا منتشرشده را می توان درام نامید ولی برای این که آن را تئاتر لحاظ کنیم، حتماً باید به اجرا درآید</w:t>
      </w:r>
      <w:r>
        <w:rPr>
          <w:rFonts w:eastAsia="IRNazanin" w:cs="IRNazanin"/>
          <w:color w:val="111111"/>
          <w:sz w:val="28"/>
          <w:szCs w:val="28"/>
          <w:rtl w:val="true"/>
          <w:lang w:bidi="fa-IR"/>
        </w:rPr>
        <w:t>.</w:t>
      </w:r>
    </w:p>
    <w:p>
      <w:pPr>
        <w:pStyle w:val="Heading3"/>
        <w:numPr>
          <w:ilvl w:val="2"/>
          <w:numId w:val="1"/>
        </w:numPr>
        <w:rPr/>
      </w:pPr>
      <w:bookmarkStart w:id="519" w:name="__RefHeading___Toc1656358_2281741623"/>
      <w:bookmarkStart w:id="520" w:name="_Toc185"/>
      <w:bookmarkEnd w:id="519"/>
      <w:r>
        <w:rPr>
          <w:rtl w:val="true"/>
        </w:rPr>
        <w:t>ریشه های دینی تئاتر</w:t>
      </w:r>
      <w:bookmarkEnd w:id="520"/>
    </w:p>
    <w:p>
      <w:pPr>
        <w:pStyle w:val="BookText"/>
        <w:rPr/>
      </w:pPr>
      <w:r>
        <w:rPr>
          <w:rFonts w:ascii="IRNazanin" w:hAnsi="IRNazanin" w:eastAsia="IRNazanin"/>
          <w:color w:val="111111"/>
          <w:sz w:val="28"/>
          <w:sz w:val="28"/>
          <w:szCs w:val="28"/>
          <w:rtl w:val="true"/>
          <w:lang w:bidi="fa-IR"/>
        </w:rPr>
        <w:t>ریشه های دینی تئاتر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ترین نظریه دربارۀ ریشه های تئاتر این است که اجرای دراماتیک، نسبت مستقیمی با آیین های دینی یا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نظریه 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نخستین بحث نظری جدی دربارۀ تئاتر،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بوطیقای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که تئاتر به مرور زمان از سرودها و رقص های پر احساسی گرفته شده است که در ستایش دیونیسوس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الهة عشرت و می 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 شده است؛ به ویژه در مسابقاتی که جزو جشنوارة دیونیسوس در آتن بوده و از حدود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تسپیس را مبدع شکل تراژدی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برندة نخستین مسابقة این جشنواره بود، از گروه هم سرایان چند قدمی بیرون آمد و گفت وگویی را با گروه و رهبر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و نیز بعدها در روم، نمایش ها اغلب به جشنواره های دینی و مذهبی محدود می شد ولی محتوای این نمایش ها به تدریج دنیوی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بسیاری از فرهنگ های خارج از یونان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اجراهای تئاتری رایج بود و در خودِ فرهنگ یونان نیز نمایش های تقلیدی بیرون از حیطة جشنواره های دینی دولتی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که همة فعالیت ها و اجراهای تئاتری از آیین های مذهبی ریشه می گرفتند حق مطلب را ادا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بیشتر پژوهشگران عقیده دارند که میان آیین های مذهبی و تئاتر پیوندهایی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عناصر شبه تئاتری در برخی از آیین های پیش از آتن، مانند تعزیة به اصطلاح عبیدوس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 در آیین های فرهنگ های باستانی دیگر، مانند فرهنگ های سومری، بابلی، هتیتی و کنعانی نشان می دهند که در بسیاری از مراسم مذهبی کهن، عناصر تقلیدی یا تئاتری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فاصلة زیاد تاریخی میان امروز و آن دوران دقیقاً نمی توان معین کرد که اجرای این متون آیینی به چه شکل بوده ولی دست کم می توان گفت که احتمالاً چیزی شبیه به اجرای مبتنی بر تقلید، بخشی از آیین های مذهبی بسیاری از فرهنگ های دنیای آن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تئاتر آسیا نوعی پیوند میان مراسم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و اجرای تئاتری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متن سانسکریت ناتیاساسترا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درام پردازی،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 مذهبی و مقدس هندو است و هم راهنمای بسیار عملی تئاتر؛ زیرا شامل دستورهای دقیقی دربارۀ نوع رقص، بازیگری، لباس و چهره آرایی است که باید در درام های سانسکریت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این کتاب بی نظیر را به مرشد هندو بهاراتا نسبت داده اند و در روایت است که این کتاب را خودِ برهما به وی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رایلی نشان داده است که زیبایی شناسی ماهیت گرا</w:t>
      </w:r>
      <w:r>
        <w:rPr>
          <w:rStyle w:val="FootnoteAnchor"/>
          <w:rtl w:val="true"/>
        </w:rPr>
        <w:footnoteReference w:id="164"/>
      </w:r>
      <w:r>
        <w:rPr>
          <w:rFonts w:ascii="IRNazanin" w:hAnsi="IRNazanin" w:eastAsia="IRNazanin"/>
          <w:color w:val="111111"/>
          <w:sz w:val="28"/>
          <w:sz w:val="28"/>
          <w:szCs w:val="28"/>
          <w:rtl w:val="true"/>
          <w:lang w:bidi="fa-IR"/>
        </w:rPr>
        <w:t xml:space="preserve">و تصویری اپرای پکن و دیگر شکل های اپرایی چین، برگرفته از مراسم </w:t>
      </w:r>
      <w:bookmarkStart w:id="521" w:name="pg3881_27929"/>
    </w:p>
    <w:p>
      <w:pPr>
        <w:pStyle w:val="BookText"/>
        <w:rPr/>
      </w:pPr>
      <w:bookmarkEnd w:id="521"/>
      <w:r>
        <w:rPr>
          <w:rFonts w:ascii="IRNazanin" w:hAnsi="IRNazanin" w:eastAsia="IRNazanin"/>
          <w:color w:val="111111"/>
          <w:sz w:val="28"/>
          <w:sz w:val="28"/>
          <w:szCs w:val="28"/>
          <w:rtl w:val="true"/>
          <w:lang w:bidi="fa-IR"/>
        </w:rPr>
        <w:t>جن گیری و آیین های پرستش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دراماتیک ژاپنی، هم چون نو و کابوکی نیز از نظر تاریخی و زیبایی شناختی با بودیسم پیوند دارند</w:t>
      </w:r>
      <w:r>
        <w:rPr>
          <w:rFonts w:eastAsia="IRNazanin" w:cs="IRNazanin"/>
          <w:color w:val="111111"/>
          <w:sz w:val="28"/>
          <w:szCs w:val="28"/>
          <w:rtl w:val="true"/>
          <w:lang w:bidi="fa-IR"/>
        </w:rPr>
        <w:t>.</w:t>
      </w:r>
    </w:p>
    <w:p>
      <w:pPr>
        <w:pStyle w:val="Heading3"/>
        <w:numPr>
          <w:ilvl w:val="2"/>
          <w:numId w:val="1"/>
        </w:numPr>
        <w:rPr/>
      </w:pPr>
      <w:bookmarkStart w:id="522" w:name="__RefHeading___Toc1656360_2281741623"/>
      <w:bookmarkStart w:id="523" w:name="_Toc186"/>
      <w:bookmarkEnd w:id="522"/>
      <w:r>
        <w:rPr>
          <w:rtl w:val="true"/>
        </w:rPr>
        <w:t>تمایز تئاتر و آیین های مذهبی</w:t>
      </w:r>
      <w:bookmarkEnd w:id="523"/>
    </w:p>
    <w:p>
      <w:pPr>
        <w:pStyle w:val="BookText"/>
        <w:rPr/>
      </w:pPr>
      <w:r>
        <w:rPr>
          <w:rFonts w:ascii="IRNazanin" w:hAnsi="IRNazanin" w:eastAsia="IRNazanin"/>
          <w:color w:val="111111"/>
          <w:sz w:val="28"/>
          <w:sz w:val="28"/>
          <w:szCs w:val="28"/>
          <w:rtl w:val="true"/>
          <w:lang w:bidi="fa-IR"/>
        </w:rPr>
        <w:t>با توجه به این موارد، شاید بتوان گفت که تئاتر از آیین های مذهبی ریشه گرفته است و با آن ها عناصر مشترکی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نظریه پردازان تئاتر عقیده دارند که رویداد تئاتری با آیین مذهبی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تئاتر و آیین مذهبی هر دو شامل اجرای نمایشی، از جمله محاکات یا تقلید، هستند ولی پژوهشگران تئاتر بر پایة چیزی که آن را می توان نوع تأثیر</w:t>
      </w:r>
      <w:r>
        <w:rPr>
          <w:rStyle w:val="FootnoteAnchor"/>
          <w:rtl w:val="true"/>
        </w:rPr>
        <w:footnoteReference w:id="165"/>
      </w:r>
      <w:r>
        <w:rPr>
          <w:rFonts w:ascii="IRNazanin" w:hAnsi="IRNazanin" w:eastAsia="IRNazanin"/>
          <w:color w:val="111111"/>
          <w:sz w:val="28"/>
          <w:sz w:val="28"/>
          <w:szCs w:val="28"/>
          <w:rtl w:val="true"/>
          <w:lang w:bidi="fa-IR"/>
        </w:rPr>
        <w:t>نامید، میان این دو تمایز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هرچند تئاتر و آیین مذهبی هر دو شامل بازنمایی</w:t>
      </w:r>
      <w:r>
        <w:rPr>
          <w:rStyle w:val="FootnoteAnchor"/>
          <w:rtl w:val="true"/>
        </w:rPr>
        <w:footnoteReference w:id="166"/>
      </w:r>
      <w:r>
        <w:rPr>
          <w:rFonts w:ascii="IRNazanin" w:hAnsi="IRNazanin" w:eastAsia="IRNazanin"/>
          <w:color w:val="111111"/>
          <w:sz w:val="28"/>
          <w:sz w:val="28"/>
          <w:szCs w:val="28"/>
          <w:rtl w:val="true"/>
          <w:lang w:bidi="fa-IR"/>
        </w:rPr>
        <w:t xml:space="preserve">هستند ولی هم بازیگر ـ برگزارکنندة آیین مذهبی و هم مخاطبان ـ شرکت کنندگان او را در اتصال با نیرویی الهی و معنوی می دانند و اجرا را دارای فایدة مادی و معنوی برای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برگزارکننده و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اجرای تئاتری بازنمایی را ارائه می دهد که هم بازیگر و هم تماشاگران توافق دارند که بر زمینه ای دنیوی تر استوارتر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تمایز میان تئاتر و آیین مذهبی می توان به مراسم عشای ربانی در کلیسای کاتولیک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کشیش برگزارکنندة مراسم جای مسیح را می گیرد، همان گونه که عناصر این مراسم، مانندِ بریده های نان، به گوشت و خون مسیح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 برای مسیحی مؤمن، تأثیرگذار است و ارتباطی اصیل با پروردگار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بازیگری که در نمایشی دربارة عشای ربانی بازی می کند، شاید دقیقاً همان واژگانِ مرسوم در </w:t>
      </w:r>
    </w:p>
    <w:p>
      <w:pPr>
        <w:pStyle w:val="BookText"/>
        <w:rPr/>
      </w:pPr>
      <w:r>
        <w:rPr>
          <w:rFonts w:ascii="IRNazanin" w:hAnsi="IRNazanin" w:eastAsia="IRNazanin"/>
          <w:color w:val="111111"/>
          <w:sz w:val="28"/>
          <w:sz w:val="28"/>
          <w:szCs w:val="28"/>
          <w:rtl w:val="true"/>
          <w:lang w:bidi="fa-IR"/>
        </w:rPr>
        <w:t>این مراسم را به کار بگیرد ولی تماشاگران نمایش می دانند که فقط دارند بازنمایی از آن رویداد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تئاتر تعلیق ناباوری</w:t>
      </w:r>
      <w:r>
        <w:rPr>
          <w:rStyle w:val="FootnoteAnchor"/>
          <w:rtl w:val="true"/>
        </w:rPr>
        <w:footnoteReference w:id="167"/>
      </w:r>
      <w:r>
        <w:rPr>
          <w:rFonts w:ascii="IRNazanin" w:hAnsi="IRNazanin" w:eastAsia="IRNazanin"/>
          <w:color w:val="111111"/>
          <w:sz w:val="28"/>
          <w:sz w:val="28"/>
          <w:szCs w:val="28"/>
          <w:rtl w:val="true"/>
          <w:lang w:bidi="fa-IR"/>
        </w:rPr>
        <w:t>را می پذیرند یا به دیگر سخن، فرض را بر این می گذارند که آن چه دارند تماشا می کنند، همان تأثیر مراسم اصلی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دیگر، مقایسة بازنمایی مراسم عروسی بر صحنة تئاتر و مراسم عروسی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هر دو مورد، احتمالاً زبان و لباس های یکسانی به کار می روند ولی تماشاگران نمایش می دانند که آن چه دارند تماشا می کنند، رویدادی تخیلی است که ماهرانه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بازیگرانی که روی صحنه پیوند زناشویی می بندند در واقع خودشان را به یکدیگر پایبند نمی سازند و چه بسا که پیش از آن هر کدام با شخص دیگری ازدواج کرده و متأهل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مدت اجرای آن نمایش که شاید هفته ها و ماه ها طول بکشد، همین پیوند را بارها در برابر تماشاگران مختلف اجرا می کنند ولی در ازدواجِ واقعی، دو طرف می پذیرند که وضع شان واقعاً تغییر کرده و زن و شوهر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آیین مذهبی نیز عناصری از تقلید را در خود دارد ولی میان آیین مذهبی و رویداد تئاتری تمایز آشکاری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مذهبی، شرکت کنندگان، دست کم در مواردی، برگزارکننده را در مقام مسیح یا اوسیریس</w:t>
      </w:r>
      <w:r>
        <w:rPr>
          <w:rStyle w:val="FootnoteAnchor"/>
          <w:rtl w:val="true"/>
        </w:rPr>
        <w:footnoteReference w:id="168"/>
      </w:r>
      <w:r>
        <w:rPr>
          <w:rFonts w:ascii="IRNazanin" w:hAnsi="IRNazanin" w:eastAsia="IRNazanin"/>
          <w:color w:val="111111"/>
          <w:sz w:val="28"/>
          <w:sz w:val="28"/>
          <w:szCs w:val="28"/>
          <w:rtl w:val="true"/>
          <w:lang w:bidi="fa-IR"/>
        </w:rPr>
        <w:t>یا دیگر الهه ها یا شخصیت های الهی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مذهبی نیز شاید تا اندازه ای بر تقلید استوار باشد ولی در تئاتر هم بازیگر و هم تماشاگر می پذیرند که در خلقِ توهمی تجسم یافته مشارکت بجویند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تئاتر و دین، علاوه بر این عناصر تقلیدی مشترک، اغلب پیوند دیگری نیز داشته اند که از آن می توان به پیوندی پرتنش و ناآرام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مسیحی، عناصر تئاتری به تقویت آیین نیایش قرون وسطایی یاری می رسانید و </w:t>
      </w:r>
    </w:p>
    <w:p>
      <w:pPr>
        <w:pStyle w:val="BookText"/>
        <w:rPr/>
      </w:pPr>
      <w:r>
        <w:rPr>
          <w:rFonts w:ascii="IRNazanin" w:hAnsi="IRNazanin" w:eastAsia="IRNazanin"/>
          <w:color w:val="111111"/>
          <w:sz w:val="28"/>
          <w:sz w:val="28"/>
          <w:szCs w:val="28"/>
          <w:rtl w:val="true"/>
          <w:lang w:bidi="fa-IR"/>
        </w:rPr>
        <w:t>سرانجام نیز به پیدایش درام های نیایشی</w:t>
      </w:r>
      <w:r>
        <w:rPr>
          <w:rStyle w:val="FootnoteAnchor"/>
          <w:rtl w:val="true"/>
        </w:rPr>
        <w:footnoteReference w:id="169"/>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عید پیکر مسیح</w:t>
      </w:r>
      <w:r>
        <w:rPr>
          <w:rStyle w:val="FootnoteAnchor"/>
          <w:rtl w:val="true"/>
        </w:rPr>
        <w:footnoteReference w:id="170"/>
      </w:r>
      <w:r>
        <w:rPr>
          <w:rFonts w:ascii="IRNazanin" w:hAnsi="IRNazanin" w:eastAsia="IRNazanin"/>
          <w:color w:val="111111"/>
          <w:sz w:val="28"/>
          <w:sz w:val="28"/>
          <w:szCs w:val="28"/>
          <w:rtl w:val="true"/>
          <w:lang w:bidi="fa-IR"/>
        </w:rPr>
        <w:t>اغلب نمایش های انجیلی دربارۀ زندگی و مرگ مسیح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ها تولیداتی عظیم و محلی بودند که به زبان بومی هر منطقه ولی بر پایة کتب مقدس مسیحی نگارش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اروپای مسیحی، نمایش های معجزه ها</w:t>
      </w:r>
      <w:r>
        <w:rPr>
          <w:rStyle w:val="FootnoteAnchor"/>
          <w:rtl w:val="true"/>
        </w:rPr>
        <w:footnoteReference w:id="171"/>
      </w:r>
      <w:r>
        <w:rPr>
          <w:rFonts w:ascii="IRNazanin" w:hAnsi="IRNazanin" w:eastAsia="IRNazanin"/>
          <w:color w:val="111111"/>
          <w:sz w:val="28"/>
          <w:sz w:val="28"/>
          <w:szCs w:val="28"/>
          <w:rtl w:val="true"/>
          <w:lang w:bidi="fa-IR"/>
        </w:rPr>
        <w:t>به تکریم اعمال قدیسان می پرداختند و نمایش های اخلاقی</w:t>
      </w:r>
      <w:r>
        <w:rPr>
          <w:rStyle w:val="FootnoteAnchor"/>
          <w:rtl w:val="true"/>
        </w:rPr>
        <w:footnoteReference w:id="172"/>
      </w:r>
      <w:r>
        <w:rPr>
          <w:rFonts w:ascii="IRNazanin" w:hAnsi="IRNazanin" w:eastAsia="IRNazanin"/>
          <w:color w:val="111111"/>
          <w:sz w:val="28"/>
          <w:sz w:val="28"/>
          <w:szCs w:val="28"/>
          <w:rtl w:val="true"/>
          <w:lang w:bidi="fa-IR"/>
        </w:rPr>
        <w:t>نیز به شکلی استعاری برخی از مسایل مذهبی را ترویج می کردند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پیوندهای تاریخی فراوان میان مراسم مذهبی و اجرای تئاتری، تئاتر همواره مورد حملة نهادها و متفکران و زعمای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یوناس باریش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 که در سنت مسیحی مخالفت با اجراهای تئاتری به تحریم بازیگران از مراسم کلیسا، تقبیح نمایش های تئاتری بر منبر و بدبینی کلی به بازیگران و نمایش ها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سانسور تئاتر و اجراها اغلب از سوی مقامات شهری اعمال می شده ولی معمولاً این فشارها را به درخواست رهبران دینی صورت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رابطة تئاتر و دین با ابهام ها و تنش های خاصی همراه بوده است؛ یعنی گاهی تلاش های غریب و نامؤثری برای سامان دهی و سانسور اجراهای تئاتری صورت می گرفته و گاهی تئاتر را ابزار تکمیلی ارزشمندی برای نیایش دینی برمی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 بینیم که در سدة نهم، پاپ بارها بازیگران را تقبیح می کند و در سدة دهم اسقف اعظم اتل ولد از انجمن قانون گذاری وینچستر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ای از نمایش های کوتاه مذهبی تدوین می کند که شامل دستور العمل های اجرای آن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گرایی کوته نگر</w:t>
      </w:r>
      <w:r>
        <w:rPr>
          <w:rStyle w:val="FootnoteAnchor"/>
          <w:rtl w:val="true"/>
        </w:rPr>
        <w:footnoteReference w:id="173"/>
      </w:r>
      <w:r>
        <w:rPr>
          <w:rFonts w:ascii="IRNazanin" w:hAnsi="IRNazanin" w:eastAsia="IRNazanin"/>
          <w:color w:val="111111"/>
          <w:sz w:val="28"/>
          <w:sz w:val="28"/>
          <w:szCs w:val="28"/>
          <w:rtl w:val="true"/>
          <w:lang w:bidi="fa-IR"/>
        </w:rPr>
        <w:t xml:space="preserve">عصر طلایی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یا تدفین بازیگران توسط کلیسا </w:t>
      </w:r>
      <w:bookmarkStart w:id="524" w:name="pg3881_27932"/>
    </w:p>
    <w:p>
      <w:pPr>
        <w:pStyle w:val="BookText"/>
        <w:rPr/>
      </w:pPr>
      <w:bookmarkEnd w:id="524"/>
      <w:r>
        <w:rPr>
          <w:rFonts w:ascii="IRNazanin" w:hAnsi="IRNazanin" w:eastAsia="IRNazanin"/>
          <w:color w:val="111111"/>
          <w:sz w:val="28"/>
          <w:sz w:val="28"/>
          <w:szCs w:val="28"/>
          <w:rtl w:val="true"/>
          <w:lang w:bidi="fa-IR"/>
        </w:rPr>
        <w:t>را رسماً منع کرد، مقامات شهری را به سانسور نمایش ها واداشت و گاه به گاه موفق شد تا جلوی حضور بازیگران زن را بر صحنه های تئاتر اسپانیا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کشیشان اسپانیا بازیگران را استخدام می کردند تا در نمایش ها و کارناوال هایی مذهبی به نام ارابه های مقدس</w:t>
      </w:r>
      <w:r>
        <w:rPr>
          <w:rStyle w:val="FootnoteAnchor"/>
          <w:rtl w:val="true"/>
        </w:rPr>
        <w:footnoteReference w:id="174"/>
      </w:r>
      <w:r>
        <w:rPr>
          <w:rFonts w:ascii="IRNazanin" w:hAnsi="IRNazanin" w:eastAsia="IRNazanin"/>
          <w:color w:val="111111"/>
          <w:sz w:val="28"/>
          <w:sz w:val="28"/>
          <w:szCs w:val="28"/>
          <w:rtl w:val="true"/>
          <w:lang w:bidi="fa-IR"/>
        </w:rPr>
        <w:t>بازی کنند و بیشتر تئاترهای اسپانیا برای بنگاه های خیریه ای هم چون صندوق مصیبت و خون عیسی مسیح پول جمع 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ژاپنی کابوکی را نخستین بار اوکانی رقاص مؤنثی از معبد بزرگ ایزومو اجرا کرد ولی شوگان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دوره رقص های او را تحریک کننده تشخیص داد و در سال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بازیگران زن کابوکی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کابوکی در دست بازیگران بی خطر مرد قرار گرفت و به آن شاه ستون فرهنگی که امروزه می شناسیم، تبدیل شد</w:t>
      </w:r>
      <w:r>
        <w:rPr>
          <w:rFonts w:eastAsia="IRNazanin" w:cs="IRNazanin"/>
          <w:color w:val="111111"/>
          <w:sz w:val="28"/>
          <w:szCs w:val="28"/>
          <w:rtl w:val="true"/>
          <w:lang w:bidi="fa-IR"/>
        </w:rPr>
        <w:t>.</w:t>
      </w:r>
    </w:p>
    <w:p>
      <w:pPr>
        <w:pStyle w:val="Heading3"/>
        <w:numPr>
          <w:ilvl w:val="2"/>
          <w:numId w:val="1"/>
        </w:numPr>
        <w:rPr/>
      </w:pPr>
      <w:bookmarkStart w:id="525" w:name="__RefHeading___Toc1656362_2281741623"/>
      <w:bookmarkStart w:id="526" w:name="_Toc187"/>
      <w:bookmarkEnd w:id="525"/>
      <w:r>
        <w:rPr>
          <w:rtl w:val="true"/>
        </w:rPr>
        <w:t>بازگشت معنویت به تئاتر</w:t>
      </w:r>
      <w:bookmarkEnd w:id="526"/>
    </w:p>
    <w:p>
      <w:pPr>
        <w:pStyle w:val="BookText"/>
        <w:rPr/>
      </w:pPr>
      <w:r>
        <w:rPr>
          <w:rFonts w:ascii="IRNazanin" w:hAnsi="IRNazanin" w:eastAsia="IRNazanin"/>
          <w:color w:val="111111"/>
          <w:sz w:val="28"/>
          <w:sz w:val="28"/>
          <w:szCs w:val="28"/>
          <w:rtl w:val="true"/>
          <w:lang w:bidi="fa-IR"/>
        </w:rPr>
        <w:t>بازگشت معنویت به تئاتر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گیری مکتب رمانتیک در جهان غرب، جست وجوی استعلای فراحسی</w:t>
      </w:r>
      <w:r>
        <w:rPr>
          <w:rStyle w:val="FootnoteAnchor"/>
          <w:rtl w:val="true"/>
        </w:rPr>
        <w:footnoteReference w:id="175"/>
      </w:r>
      <w:r>
        <w:rPr>
          <w:rFonts w:ascii="IRNazanin" w:hAnsi="IRNazanin" w:eastAsia="IRNazanin"/>
          <w:color w:val="111111"/>
          <w:sz w:val="28"/>
          <w:sz w:val="28"/>
          <w:szCs w:val="28"/>
          <w:rtl w:val="true"/>
          <w:lang w:bidi="fa-IR"/>
        </w:rPr>
        <w:t>در طبیعت و بالمآل در هنر به این منجر شد که معنویت در بطن تجارب تئاتری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رمانتیک از طریق نگرش های تازه به تولید تئاتر، به تئاتر نیز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های تازه از رهگذر بررسی و تجربه ورزی در آثار شکسپیر صورت گرفت، آن هم به دو طریق، یکی از طریق بازیگرانی که استعداد ویژه ای در حساسیت معنوی داشتند ـ مانند تامس کین در انگلستان، لودویگ دوری ینت در آلمان، فرانسوا ـ ژوزف تالما در فرانسه و دیگری از طریق آثار نمایشنامه نویسان رمانتیک، به ویژه فردریش شیلر و 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رمانتیک هر چند پیوند مستقیمی با دین رسمی نداشت ولی نمایانگر تلاش در جهت احیای چیزی بود که آن را تجربة اساساً دینی در بطن </w:t>
      </w:r>
    </w:p>
    <w:p>
      <w:pPr>
        <w:pStyle w:val="BookText"/>
        <w:rPr/>
      </w:pPr>
      <w:r>
        <w:rPr>
          <w:rFonts w:ascii="IRNazanin" w:hAnsi="IRNazanin" w:eastAsia="IRNazanin"/>
          <w:color w:val="111111"/>
          <w:sz w:val="28"/>
          <w:sz w:val="28"/>
          <w:szCs w:val="28"/>
          <w:rtl w:val="true"/>
          <w:lang w:bidi="fa-IR"/>
        </w:rPr>
        <w:t>رویداد تئاتری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جنبش های هنری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جهانی اول شکوفا شدند در واقع تلاش های آگاهانه ای برای احیای ارزش های معنوی و دینی بودند؛ ارزش هایی که هنرمندان احساس می کردند انقلاب صنعتی، آن ها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کارگردانی به نام آوره لین ماری لوینه پو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کار</w:t>
      </w:r>
      <w:r>
        <w:rPr>
          <w:rStyle w:val="FootnoteAnchor"/>
          <w:rtl w:val="true"/>
        </w:rPr>
        <w:footnoteReference w:id="176"/>
      </w:r>
      <w:r>
        <w:rPr>
          <w:rFonts w:ascii="IRNazanin" w:hAnsi="IRNazanin" w:eastAsia="IRNazanin"/>
          <w:color w:val="111111"/>
          <w:sz w:val="28"/>
          <w:sz w:val="28"/>
          <w:szCs w:val="28"/>
          <w:rtl w:val="true"/>
          <w:lang w:bidi="fa-IR"/>
        </w:rPr>
        <w:t>را بنیان گذاشت تا عرفان نمادگرایانه را در مرکز تولیدات تئاتری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غیرتوهمی</w:t>
      </w:r>
      <w:r>
        <w:rPr>
          <w:rStyle w:val="FootnoteAnchor"/>
          <w:rtl w:val="true"/>
        </w:rPr>
        <w:footnoteReference w:id="177"/>
      </w:r>
      <w:r>
        <w:rPr>
          <w:rFonts w:ascii="IRNazanin" w:hAnsi="IRNazanin" w:eastAsia="IRNazanin"/>
          <w:color w:val="111111"/>
          <w:sz w:val="28"/>
          <w:sz w:val="28"/>
          <w:szCs w:val="28"/>
          <w:rtl w:val="true"/>
          <w:lang w:bidi="fa-IR"/>
        </w:rPr>
        <w:t>آدولف آپیا، طراح و کارگردان نامدار تئاتر، از دو چیز مایه می گرفت، یکی علاقة خودش به ادیان آسیایی و دیگری دلبستگی اش به حرکات موزون همراه با موسیقی که به تجربة حرکتی ـ زیبایی شناختی ـ دینی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گرایی</w:t>
      </w:r>
      <w:r>
        <w:rPr>
          <w:rStyle w:val="FootnoteAnchor"/>
          <w:rtl w:val="true"/>
        </w:rPr>
        <w:footnoteReference w:id="178"/>
      </w:r>
      <w:r>
        <w:rPr>
          <w:rFonts w:ascii="IRNazanin" w:hAnsi="IRNazanin" w:eastAsia="IRNazanin"/>
          <w:color w:val="111111"/>
          <w:sz w:val="28"/>
          <w:sz w:val="28"/>
          <w:szCs w:val="28"/>
          <w:rtl w:val="true"/>
          <w:lang w:bidi="fa-IR"/>
        </w:rPr>
        <w:t>آلمانی که در پی هماهنگی میان واقعیت بیرونی و طبیعتِ معنوی بشر بود، خیلی زود به تولیدات تئاتری راه یافت؛ به ویژه از طریق آثار نمایش نامه نویسانی هم چون گئورگ کایسر، یوجین اونیل و المر رایس و کارگردانانی هم چون ماکس راینهارت، لئوپولد یسنر و یورگن فه لینگ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جهانی دوم، یکی از شاخه های تئاتر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روندی ادامه داد که هنوز هم ادامه دارد و آن تلاش برای بازگرداندن تئاتر به چیزهایی است که ریشه های آیینی آن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کارگردانان، نظریه پردازان و نمایشنامه نویسانی که در این تلاش سهیم بودند، چنان طولانی است که در این مقاله نمی گنجد ولی شاید ذکر چند نام وافی به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شکنر در همکاری نزدیک با ویکتور ترنرِ مردم شناس تلاش کرده است تا ماهیت آیینی رویداد تئاتری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تئاتری تئاتر زنده</w:t>
      </w:r>
      <w:r>
        <w:rPr>
          <w:rStyle w:val="FootnoteAnchor"/>
          <w:rtl w:val="true"/>
        </w:rPr>
        <w:footnoteReference w:id="179"/>
      </w:r>
      <w:r>
        <w:rPr>
          <w:rFonts w:ascii="IRNazanin" w:hAnsi="IRNazanin" w:eastAsia="IRNazanin"/>
          <w:color w:val="111111"/>
          <w:sz w:val="28"/>
          <w:sz w:val="28"/>
          <w:szCs w:val="28"/>
          <w:rtl w:val="true"/>
          <w:lang w:bidi="fa-IR"/>
        </w:rPr>
        <w:t>و تئاتر آزاد</w:t>
      </w:r>
      <w:r>
        <w:rPr>
          <w:rStyle w:val="FootnoteAnchor"/>
          <w:rtl w:val="true"/>
        </w:rPr>
        <w:footnoteReference w:id="180"/>
      </w:r>
      <w:r>
        <w:rPr>
          <w:rFonts w:ascii="IRNazanin" w:hAnsi="IRNazanin" w:eastAsia="IRNazanin"/>
          <w:color w:val="111111"/>
          <w:sz w:val="28"/>
          <w:sz w:val="28"/>
          <w:szCs w:val="28"/>
          <w:rtl w:val="true"/>
          <w:lang w:bidi="fa-IR"/>
        </w:rPr>
        <w:t>تلاش ورزیده اند تا عناصر آیینی را مستقیماً در تولیدات خود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یرژی گروتوفسکی کارگردان لهستانی در زمینة تئاتر بی چیز،</w:t>
      </w:r>
      <w:r>
        <w:rPr>
          <w:rStyle w:val="FootnoteAnchor"/>
          <w:rtl w:val="true"/>
        </w:rPr>
        <w:footnoteReference w:id="181"/>
      </w:r>
      <w:r>
        <w:rPr>
          <w:rFonts w:ascii="IRNazanin" w:hAnsi="IRNazanin" w:eastAsia="IRNazanin"/>
          <w:color w:val="111111"/>
          <w:sz w:val="28"/>
          <w:sz w:val="28"/>
          <w:szCs w:val="28"/>
          <w:rtl w:val="true"/>
          <w:lang w:bidi="fa-IR"/>
        </w:rPr>
        <w:t xml:space="preserve">راهبردهای اجرا را بر بازیگر مقدس نهاده است؛ </w:t>
      </w:r>
      <w:bookmarkStart w:id="527" w:name="pg3881_27934"/>
    </w:p>
    <w:p>
      <w:pPr>
        <w:pStyle w:val="BookText"/>
        <w:rPr/>
      </w:pPr>
      <w:bookmarkEnd w:id="527"/>
      <w:r>
        <w:rPr>
          <w:rFonts w:ascii="IRNazanin" w:hAnsi="IRNazanin" w:eastAsia="IRNazanin"/>
          <w:color w:val="111111"/>
          <w:sz w:val="28"/>
          <w:sz w:val="28"/>
          <w:szCs w:val="28"/>
          <w:rtl w:val="true"/>
          <w:lang w:bidi="fa-IR"/>
        </w:rPr>
        <w:t>بازیگری که تجسم گناهان تماشاگر و احتمالاً کفارة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گوناگونی هم چون پیتر هال، پیتر بروک و رابرت ویلسِن و نمایشنامه نویسان متفاوتی مانند کریل چرچیل، وول سووینکا و سوزان لوری پارکز از طریق علاقه شان به آیین ها به غنای تجارب تئاتری امروز افزوده اند</w:t>
      </w:r>
      <w:r>
        <w:rPr>
          <w:rFonts w:eastAsia="IRNazanin" w:cs="IRNazanin"/>
          <w:color w:val="111111"/>
          <w:sz w:val="28"/>
          <w:szCs w:val="28"/>
          <w:rtl w:val="true"/>
          <w:lang w:bidi="fa-IR"/>
        </w:rPr>
        <w:t>.</w:t>
      </w:r>
    </w:p>
    <w:p>
      <w:pPr>
        <w:pStyle w:val="Heading3"/>
        <w:numPr>
          <w:ilvl w:val="2"/>
          <w:numId w:val="1"/>
        </w:numPr>
        <w:rPr/>
      </w:pPr>
      <w:bookmarkStart w:id="528" w:name="__RefHeading___Toc1656364_2281741623"/>
      <w:bookmarkStart w:id="529" w:name="_Toc188"/>
      <w:bookmarkEnd w:id="528"/>
      <w:r>
        <w:rPr>
          <w:rtl w:val="true"/>
        </w:rPr>
        <w:t>روابط کنونی میان تئاتر و دین</w:t>
      </w:r>
      <w:bookmarkEnd w:id="529"/>
    </w:p>
    <w:p>
      <w:pPr>
        <w:pStyle w:val="BookText"/>
        <w:rPr/>
      </w:pPr>
      <w:r>
        <w:rPr>
          <w:rFonts w:ascii="IRNazanin" w:hAnsi="IRNazanin" w:eastAsia="IRNazanin"/>
          <w:color w:val="111111"/>
          <w:sz w:val="28"/>
          <w:sz w:val="28"/>
          <w:szCs w:val="28"/>
          <w:rtl w:val="true"/>
          <w:lang w:bidi="fa-IR"/>
        </w:rPr>
        <w:t>روابط کنونی میان تئاتر و دین</w:t>
      </w:r>
    </w:p>
    <w:p>
      <w:pPr>
        <w:pStyle w:val="BookText"/>
        <w:rPr/>
      </w:pPr>
      <w:r>
        <w:rPr>
          <w:rFonts w:ascii="IRNazanin" w:hAnsi="IRNazanin" w:eastAsia="IRNazanin"/>
          <w:color w:val="111111"/>
          <w:sz w:val="28"/>
          <w:sz w:val="28"/>
          <w:szCs w:val="28"/>
          <w:rtl w:val="true"/>
          <w:lang w:bidi="fa-IR"/>
        </w:rPr>
        <w:t>تئاتر امروز بیشتر سرگرمی 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تنها اشاره ای مختصر به باورهای معنوی دارد و اغلب، کشمکش دراماتیک را بر پایة نوعی سردرگمی اخلاقی بنا می کند بی آن که پیوند مستحکمی با دین رایج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فرقه های مذهبی در مراسم خود از وجوه تئاتری استفاده می کنند و بسیاری از کلیساها نمایش های کوتاه یا درام های کوتاهی را برای جوانان تولید می کنند که اغلب به منزلة مکملی بر عمل نیایش به کار می روند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تئاتر تجاری رایج، به ویژه در ایالات متحدة آمریکا و دین رسمی و رایج، اغلب حیطة علاقه و مسئولیت جداگانه ای دارند و معمولاً آبشان به یک جو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موارد نادری از تلاش گروه های مذهبی برای سانسور تولیدات تئاتری و سوای تلاش گاه به گاه شرکت های تجاری تئاتر برای بهره برداری از تعطیلات مذهبی، امروزه دنیای تئاتر و دنیای دین تقریباً از هم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ویژه در ایالات متحده آمریکا، آن پیوند تاریخی میان آیین های مذهبی و بازنمایی تئاتری، میان معنویت و تقلید، به حاشیه رانده شده است و تنها در آثار پیشرو و در دنیای تجربه ورزی ها و نظریه های تئاتری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برخی از کشورهای اروپایی که یارانة عظیمی به تئاتر </w:t>
      </w:r>
      <w:bookmarkStart w:id="530" w:name="pg3881_27935"/>
    </w:p>
    <w:p>
      <w:pPr>
        <w:pStyle w:val="BookText"/>
        <w:rPr/>
      </w:pPr>
      <w:bookmarkEnd w:id="530"/>
      <w:r>
        <w:rPr>
          <w:rFonts w:ascii="IRNazanin" w:hAnsi="IRNazanin" w:eastAsia="IRNazanin"/>
          <w:color w:val="111111"/>
          <w:sz w:val="28"/>
          <w:sz w:val="28"/>
          <w:szCs w:val="28"/>
          <w:rtl w:val="true"/>
          <w:lang w:bidi="fa-IR"/>
        </w:rPr>
        <w:t>اختصاص دارد و در آثار برتر هنرمندان تئاتر آسیا و آمریکای جنوبی و آفریقا باز همان پیوند میان آیین مذهبی و بازنمایی تقلیدی را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اریک سمئول سِن</w:t>
      </w:r>
    </w:p>
    <w:p>
      <w:pPr>
        <w:pStyle w:val="BookText"/>
        <w:rPr/>
      </w:pPr>
      <w:r>
        <w:rPr>
          <w:rFonts w:ascii="Amiri" w:hAnsi="Amiri" w:eastAsia="Amiri" w:cs="Amiri"/>
          <w:color w:val="111111"/>
          <w:sz w:val="28"/>
          <w:sz w:val="28"/>
          <w:szCs w:val="28"/>
          <w:rtl w:val="true"/>
          <w:lang w:bidi="ar-SA"/>
        </w:rPr>
        <w:t>ترجمة محمد شهبا</w:t>
      </w:r>
    </w:p>
    <w:p>
      <w:pPr>
        <w:pStyle w:val="Heading3"/>
        <w:numPr>
          <w:ilvl w:val="2"/>
          <w:numId w:val="1"/>
        </w:numPr>
        <w:rPr/>
      </w:pPr>
      <w:bookmarkStart w:id="531" w:name="__RefHeading___Toc1656366_2281741623"/>
      <w:bookmarkStart w:id="532" w:name="_Toc189"/>
      <w:bookmarkEnd w:id="531"/>
      <w:r>
        <w:rPr>
          <w:rtl w:val="true"/>
        </w:rPr>
        <w:t>برای مطالعة بیشتر</w:t>
      </w:r>
      <w:bookmarkEnd w:id="532"/>
    </w:p>
    <w:p>
      <w:pPr>
        <w:pStyle w:val="BookText"/>
        <w:rPr/>
      </w:pPr>
      <w:r>
        <w:rPr>
          <w:rFonts w:ascii="IRNazanin" w:hAnsi="IRNazanin" w:eastAsia="IRNazanin"/>
          <w:color w:val="111111"/>
          <w:sz w:val="28"/>
          <w:sz w:val="28"/>
          <w:szCs w:val="28"/>
          <w:rtl w:val="true"/>
          <w:lang w:bidi="fa-IR"/>
        </w:rPr>
        <w:t>برای مطالعة بیشتر</w:t>
      </w:r>
    </w:p>
    <w:p>
      <w:pPr>
        <w:pStyle w:val="BookText"/>
        <w:rPr/>
      </w:pPr>
      <w:r>
        <w:rPr>
          <w:rFonts w:eastAsia="Times New Roman" w:cs="Times New Roman" w:ascii="Times New Roman" w:hAnsi="Times New Roman"/>
          <w:color w:val="111111"/>
          <w:sz w:val="28"/>
          <w:szCs w:val="28"/>
          <w:lang w:val="en-US" w:bidi="en-US"/>
        </w:rPr>
        <w:t>Barish, J. A. (1981). The antitheatrical prejudice. Berkeley: University of California Press</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Riley, J. (1997). Chinese theatre and the actor in performance (Cambridge Studies in Modern Theatre). Cambridge, UK: Cambridge University Press</w:t>
      </w:r>
      <w:r>
        <w:rPr>
          <w:rFonts w:eastAsia="Times New Roman" w:cs="Times New Roman" w:ascii="Times New Roman" w:hAnsi="Times New Roman"/>
          <w:color w:val="111111"/>
          <w:sz w:val="28"/>
          <w:szCs w:val="28"/>
          <w:rtl w:val="true"/>
          <w:lang w:val="en-US" w:bidi="en-US"/>
        </w:rPr>
        <w:t xml:space="preserve">. </w:t>
      </w:r>
      <w:bookmarkStart w:id="533" w:name="pg3881_27936"/>
    </w:p>
    <w:p>
      <w:pPr>
        <w:pStyle w:val="Heading2"/>
        <w:numPr>
          <w:ilvl w:val="1"/>
          <w:numId w:val="1"/>
        </w:numPr>
        <w:rPr/>
      </w:pPr>
      <w:bookmarkStart w:id="534" w:name="__RefHeading___Toc1656368_2281741623"/>
      <w:bookmarkStart w:id="535" w:name="_Toc190"/>
      <w:bookmarkEnd w:id="533"/>
      <w:bookmarkEnd w:id="534"/>
      <w:r>
        <w:rPr>
          <w:rtl w:val="true"/>
        </w:rPr>
        <w:t>رادیو</w:t>
      </w:r>
      <w:bookmarkEnd w:id="535"/>
    </w:p>
    <w:p>
      <w:pPr>
        <w:pStyle w:val="Heading3"/>
        <w:numPr>
          <w:ilvl w:val="2"/>
          <w:numId w:val="1"/>
        </w:numPr>
        <w:rPr/>
      </w:pPr>
      <w:bookmarkStart w:id="536" w:name="__RefHeading___Toc1656370_2281741623"/>
      <w:bookmarkStart w:id="537" w:name="_Toc191"/>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رادیو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یکی از پایدارترین و محبوب ترین رسانه های الکترونیک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هر گوشۀ ممکن در این کرۀ مسکونی به آن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در آشپزخانه ها، اتاق های خواب، اتاق های نشیمن، ادارات، ورزشگاه ها، ماشین ها و عبادتگاه ها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نقشی کانونی در زندگی روزانۀ بعضی از مردم ایفا می کند؛ روز را تعیین می کند، در صبح بیدارمان می کند، هنگام کار همراه مان است و در شب برای خواب آرامش 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می تواند برای آنان که توانایی خواندن ندارند یک کتاب گویا، برای آنان که تنها هستند یک دوست و برای نابینایان یک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مکان هایی چون فروشگاه ها، قهوه خانه ها و سلمانی ها که خلاصی از آلودگی صوتی رادیو دشوار است، آزاردهنده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شنوندگان به سهولت صدای رادیو را از خودآگاه به ناخودآگاه شان انتقال می دهند؛ گوش کردن پی در پی رادیو به فعالیتی ثانویه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رانندگی، مطالعه، دویدن، رقصیدن، شوخی کردن، دوشیدن گاو، وِب گردی و حتی </w:t>
      </w:r>
      <w:bookmarkStart w:id="538" w:name="pg3881_27937"/>
    </w:p>
    <w:p>
      <w:pPr>
        <w:pStyle w:val="BookText"/>
        <w:rPr/>
      </w:pPr>
      <w:bookmarkEnd w:id="538"/>
      <w:r>
        <w:rPr>
          <w:rFonts w:ascii="IRNazanin" w:hAnsi="IRNazanin" w:eastAsia="IRNazanin"/>
          <w:color w:val="111111"/>
          <w:sz w:val="28"/>
          <w:sz w:val="28"/>
          <w:szCs w:val="28"/>
          <w:rtl w:val="true"/>
          <w:lang w:bidi="fa-IR"/>
        </w:rPr>
        <w:t>عبادت با روشن بودن رادیو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که ذاتاً رسانه ای صمیمی است، پشت صحنه ای شفاهی از زندگی بسیاری از آدم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که عنصری بنیادین در محیط ارتباطی امروز است، فقط وقتی نادیده گرفته شده و فراموش می شود که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به طور میانگین یک شنوندۀ رادیو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بیش از هزار و صد ساعت به رادیو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که تلویزیون شیوع کمتری دارد، شاخصۀ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بیش از </w:t>
      </w:r>
      <w:r>
        <w:rPr>
          <w:rFonts w:eastAsia="IRNazanin" w:cs="IRNazanin"/>
          <w:color w:val="111111"/>
          <w:sz w:val="28"/>
          <w:szCs w:val="28"/>
          <w:lang w:bidi="fa-IR"/>
        </w:rPr>
        <w:t>43700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فعال رادیویی تخمیناً دویست و نود میلیون برنامه تولید کردند</w:t>
      </w:r>
      <w:r>
        <w:rPr>
          <w:rFonts w:eastAsia="IRNazanin" w:cs="IRNazanin"/>
          <w:color w:val="111111"/>
          <w:sz w:val="28"/>
          <w:szCs w:val="28"/>
          <w:rtl w:val="true"/>
          <w:lang w:bidi="fa-IR"/>
        </w:rPr>
        <w:t>.</w:t>
      </w:r>
    </w:p>
    <w:p>
      <w:pPr>
        <w:pStyle w:val="Heading3"/>
        <w:numPr>
          <w:ilvl w:val="2"/>
          <w:numId w:val="1"/>
        </w:numPr>
        <w:rPr/>
      </w:pPr>
      <w:bookmarkStart w:id="539" w:name="__RefHeading___Toc1656372_2281741623"/>
      <w:bookmarkStart w:id="540" w:name="_Toc192"/>
      <w:bookmarkEnd w:id="539"/>
      <w:r>
        <w:rPr>
          <w:rtl w:val="true"/>
        </w:rPr>
        <w:t>رادیوی دینی جهانی</w:t>
      </w:r>
      <w:bookmarkEnd w:id="540"/>
    </w:p>
    <w:p>
      <w:pPr>
        <w:pStyle w:val="BookText"/>
        <w:rPr/>
      </w:pPr>
      <w:r>
        <w:rPr>
          <w:rFonts w:ascii="IRNazanin" w:hAnsi="IRNazanin" w:eastAsia="IRNazanin"/>
          <w:color w:val="111111"/>
          <w:sz w:val="28"/>
          <w:sz w:val="28"/>
          <w:szCs w:val="28"/>
          <w:rtl w:val="true"/>
          <w:lang w:bidi="fa-IR"/>
        </w:rPr>
        <w:t>رادیوی دینی جهانی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از نیم قرن است که رادیو در همۀ این کرۀ خاکی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دینی در سراسر جهان، به ویژه مسیحیت پروتستان، به زودی قابلیت رادیو را به مثابه ابزاری برای تبلیغ باورهای شان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پس از ظهور اینترنت امکان دستیابی به فرستنده هایی که جنبه های متفاوتی از ادیان بزرگ را بیان می 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پخش های رادیویی بی وقفۀ گفتمان های معنوی هندوییسم تا رادیوی اینترنتی بوداییان تبتی و تا ایستگاه های فرستندۀ یهودی، مسیحی و مسلمان، رادیوی فرقه ای</w:t>
      </w:r>
      <w:r>
        <w:rPr>
          <w:rStyle w:val="FootnoteAnchor"/>
          <w:rtl w:val="true"/>
        </w:rPr>
        <w:footnoteReference w:id="182"/>
      </w:r>
      <w:r>
        <w:rPr>
          <w:rFonts w:ascii="IRNazanin" w:hAnsi="IRNazanin" w:eastAsia="IRNazanin"/>
          <w:color w:val="111111"/>
          <w:sz w:val="28"/>
          <w:sz w:val="28"/>
          <w:szCs w:val="28"/>
          <w:rtl w:val="true"/>
          <w:lang w:bidi="fa-IR"/>
        </w:rPr>
        <w:t>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نوع رادیو، طبعاً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سازی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عبادتگاهی بیرون از ملبورن، در کشور استرالیا، یک برنامۀ هفتگی دوساعتۀ رادیویی هندویی به دو زبان انگلیسی و تامیلی تولید و پخش می کند تا به گسترش درک بهتری از هندوییسم در میان ناباوران و اطلاع رسانی و آموزش مومنان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های فرستندۀ دیگری، مانند ایستگاه هایی که در </w:t>
      </w:r>
      <w:bookmarkStart w:id="541" w:name="pg3881_27938"/>
    </w:p>
    <w:p>
      <w:pPr>
        <w:pStyle w:val="BookText"/>
        <w:rPr/>
      </w:pPr>
      <w:bookmarkEnd w:id="541"/>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جنبش الهیات آزادی بخش آمریکای لاتین نشات گرفتند، آموزش را با مقاصد انقلاب اجتماعی ترکیب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ایستگاه های فرقه ای، تعداد بسیاری از پخش کنندگان ایالتی، تجاری، انجمنی و خدماتی فرصت هایی را برای نقد، گزارش و پخش رادیویی دینی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رادیوی دینی در این مفهوم، اغلب پایگاهی برای اعتراض می شود؛ برای نمونه،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انتقادی غیرمستقیم در خطابه ای رادیویی نسبت به طرح های دولت برای ساختن یک کازینو، کمیته ای در تایلند تشکیل شد تا به خطابه های راهبان بودایی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مناقشاتی که امروزه به سبب تعامل بین دین و رادیو به آن ها دامن زده می شود، بیش از یک صد سال پیش، در زمان اختراع رادیو تصور ناشدنی بود</w:t>
      </w:r>
      <w:r>
        <w:rPr>
          <w:rFonts w:eastAsia="IRNazanin" w:cs="IRNazanin"/>
          <w:color w:val="111111"/>
          <w:sz w:val="28"/>
          <w:szCs w:val="28"/>
          <w:rtl w:val="true"/>
          <w:lang w:bidi="fa-IR"/>
        </w:rPr>
        <w:t>.</w:t>
      </w:r>
    </w:p>
    <w:p>
      <w:pPr>
        <w:pStyle w:val="Heading3"/>
        <w:numPr>
          <w:ilvl w:val="2"/>
          <w:numId w:val="1"/>
        </w:numPr>
        <w:rPr/>
      </w:pPr>
      <w:bookmarkStart w:id="542" w:name="__RefHeading___Toc1656374_2281741623"/>
      <w:bookmarkStart w:id="543" w:name="_Toc193"/>
      <w:bookmarkEnd w:id="542"/>
      <w:r>
        <w:rPr>
          <w:rtl w:val="true"/>
        </w:rPr>
        <w:t>تولد رادیو</w:t>
      </w:r>
      <w:bookmarkEnd w:id="543"/>
    </w:p>
    <w:p>
      <w:pPr>
        <w:pStyle w:val="BookText"/>
        <w:rPr/>
      </w:pPr>
      <w:r>
        <w:rPr>
          <w:rFonts w:ascii="IRNazanin" w:hAnsi="IRNazanin" w:eastAsia="IRNazanin"/>
          <w:color w:val="111111"/>
          <w:sz w:val="28"/>
          <w:sz w:val="28"/>
          <w:szCs w:val="28"/>
          <w:rtl w:val="true"/>
          <w:lang w:bidi="fa-IR"/>
        </w:rPr>
        <w:t>تولد رادیو</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نمی توان گفت که رادیو را فقط یک نفر اختراع کرده است و دقیق تر آن است که از مخترعان رادیو سخن به میان آید، به ویژه این که توسعۀ رادیو، پدیده ای بین 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هاینریش هرتز آلمانی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رادیویی را آشکار و اندازه گیری نمود تا دقتِ نظریه های مبتنی بر ریاضیاتِ جیمز کلارک مکسول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اکتشافات، مبنا را برای کار مخترع صرب ـ آمریکایی، نیکولا تسلا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متناوب را آشکار ساخت و الکساندر پوپوف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 های رادیویی را با موفقیت بین ساختمان هایی در دانشگاه سنت پترز بورگ منتقل کرد،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تسلا و هم پوپوف، پدر رادیو معرفی شده اند ولی این مخترع ایتالیایی، جوگلیمو مارکونی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bookmarkStart w:id="544" w:name="pg3881_27939"/>
    </w:p>
    <w:p>
      <w:pPr>
        <w:pStyle w:val="BookText"/>
        <w:rPr/>
      </w:pPr>
      <w:bookmarkEnd w:id="544"/>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که عموماً پدر رادیو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پدری اش در نزدیکی بولونیا، مارکونی سیگنال های بی سیم را با موفقیت به فاصله ای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امواج را از عرض کانال انگلیس عبور داد و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اوسیلاتور تسلا، او نخستین کسی بود که یک سیگنال رادیویی را تقریباً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عرض اقیانوس آتلانتیک از پلدو در کرنوال به جزایر سنت جان در نیوفوندلند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که او دریافت کرد سه نقطه،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رمز مورس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جامعۀ پرتردید علمی، مارکونی نشان داد که ظاهراً ممکن است به طور نامریی، بدون سیم، فراسوی افق و گرد کرۀ خاکی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اکثر پیشرفت های فن آوری های دیگر ارتباطی، این پیشرفت های غیرمنتظرۀ علمی بر اکتشافات و اختراعات پیشین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نبوغ مارکونی، توانایی اش در وفق دادن، تکمیل و آن گاه بازاریابی برای دیدگاه های دانشمندان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مارکونی به عنوان یک ناشر را می توان در سخنرانی جایزۀ نوبل در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دید، جایی که او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تلگراف و بی سیم حتی در فواصلی بیش از فاصله های طولانی، با وجود کمبودها و کاستی های امروزش آمده است که بماند و نه تنها خواهد ماند، بلکه به پیشرفت ادامه خواهد داد</w:t>
      </w:r>
      <w:r>
        <w:rPr>
          <w:rFonts w:eastAsia="IRNazanin" w:cs="IRNazanin"/>
          <w:color w:val="111111"/>
          <w:sz w:val="28"/>
          <w:szCs w:val="28"/>
          <w:rtl w:val="true"/>
          <w:lang w:bidi="fa-IR"/>
        </w:rPr>
        <w:t>.</w:t>
      </w:r>
    </w:p>
    <w:p>
      <w:pPr>
        <w:pStyle w:val="Heading3"/>
        <w:numPr>
          <w:ilvl w:val="2"/>
          <w:numId w:val="1"/>
        </w:numPr>
        <w:rPr/>
      </w:pPr>
      <w:bookmarkStart w:id="545" w:name="__RefHeading___Toc1656376_2281741623"/>
      <w:bookmarkStart w:id="546" w:name="_Toc194"/>
      <w:bookmarkEnd w:id="545"/>
      <w:r>
        <w:rPr>
          <w:rtl w:val="true"/>
        </w:rPr>
        <w:t>روزهای نخست رادیو</w:t>
      </w:r>
      <w:bookmarkEnd w:id="546"/>
    </w:p>
    <w:p>
      <w:pPr>
        <w:pStyle w:val="BookText"/>
        <w:rPr/>
      </w:pPr>
      <w:r>
        <w:rPr>
          <w:rFonts w:ascii="IRNazanin" w:hAnsi="IRNazanin" w:eastAsia="IRNazanin"/>
          <w:color w:val="111111"/>
          <w:sz w:val="28"/>
          <w:sz w:val="28"/>
          <w:szCs w:val="28"/>
          <w:rtl w:val="true"/>
          <w:lang w:bidi="fa-IR"/>
        </w:rPr>
        <w:t>روزهای نخست رادیو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پخش دوربرد رادیویی محتوایی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پاک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در برنت راک، ماساچوست، مخترع کانادایی رجینالد فِسِندِن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کارت های تبریک کریسمس برخورد و روی آن ها قطعه ای از انجیل را خواند </w:t>
      </w:r>
    </w:p>
    <w:p>
      <w:pPr>
        <w:pStyle w:val="BookText"/>
        <w:rPr/>
      </w:pPr>
      <w:r>
        <w:rPr>
          <w:rFonts w:ascii="IRNazanin" w:hAnsi="IRNazanin" w:eastAsia="IRNazanin"/>
          <w:color w:val="111111"/>
          <w:sz w:val="28"/>
          <w:sz w:val="28"/>
          <w:szCs w:val="28"/>
          <w:rtl w:val="true"/>
          <w:lang w:bidi="fa-IR"/>
        </w:rPr>
        <w:t>و سپس با ویولونش قطعۀ ای شب مقدس را برای شگفت زده کردن اپراتورهای بی سیم در عرشۀ کشتی هایی که چند صد مایل دورتر از بوستون بودند،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غیرمنتظرۀ او بر اکتشافات سابق، از جمله یک تولیدکنندۀ جریان متناوب قوی که ارنست الکساندرسن سوئدی آن را ساخته بود،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صدا و موسیقی به جای خط های تلگراف، نه فقط قابلیت بی سیم را برای سرگرم کردن نشان داد، بلکه نشان داد چگونه می توان آن را برای پخش گستردۀ محتوای دینی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ظرفیتی تا زمانی که کیفیت دریافت توسعه پیدا کند،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برد مکانی امواج رادیویی، کارایی رادیو در نجات زنده ماندگان در دریا افرایش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مورد، ماجرای تایتانیک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هفتصد نفوس زنده که در قایق های نجات رهایی یافتند، سپاسگزار دریافت کنندگان صداهای محنت زده در کشتی کارپاتیا،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نقطۀ غرق،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تراژدی ماجرا در این بود که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دورتر، اپراتور رادیوی کشتی کالیفرنیا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آن، هر کشتی ای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حمل می کرد، مجبور شد که دو اپراتور و یک نگهبان ثابت رادیو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مارکونی لوحی از طلا هدیه دادند که در آن او را شبیه آپولو مجسم کرده بودند در حالی که اخگر به سوی بادها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بریتانیا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یافتگان را فقط یک نفر نجات داده است، آقای مارکونی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اختراع شگفت انگیزش</w:t>
      </w:r>
      <w:r>
        <w:rPr>
          <w:rFonts w:eastAsia="IRNazanin" w:cs="IRNazanin"/>
          <w:color w:val="111111"/>
          <w:sz w:val="28"/>
          <w:szCs w:val="28"/>
          <w:rtl w:val="true"/>
          <w:lang w:bidi="fa-IR"/>
        </w:rPr>
        <w:t xml:space="preserve">. </w:t>
      </w:r>
      <w:bookmarkStart w:id="547" w:name="pg3881_27941"/>
    </w:p>
    <w:p>
      <w:pPr>
        <w:pStyle w:val="BookText"/>
        <w:rPr/>
      </w:pPr>
      <w:bookmarkEnd w:id="547"/>
      <w:r>
        <w:rPr>
          <w:rFonts w:ascii="IRNazanin" w:hAnsi="IRNazanin" w:eastAsia="IRNazanin"/>
          <w:color w:val="111111"/>
          <w:sz w:val="28"/>
          <w:sz w:val="28"/>
          <w:szCs w:val="28"/>
          <w:rtl w:val="true"/>
          <w:lang w:bidi="fa-IR"/>
        </w:rPr>
        <w:t>همه نسبت به رادیو چندان خشنود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ظهور و ورود فیلم، تلویزیون و اینترنت بعضی از رهبران و گروه های دینی به این رسانۀ جدید بدگمان بودند</w:t>
      </w:r>
      <w:r>
        <w:rPr>
          <w:rFonts w:eastAsia="IRNazanin" w:cs="IRNazanin"/>
          <w:color w:val="111111"/>
          <w:sz w:val="28"/>
          <w:szCs w:val="28"/>
          <w:rtl w:val="true"/>
          <w:lang w:bidi="fa-IR"/>
        </w:rPr>
        <w:t>.</w:t>
      </w:r>
    </w:p>
    <w:p>
      <w:pPr>
        <w:pStyle w:val="Heading3"/>
        <w:numPr>
          <w:ilvl w:val="2"/>
          <w:numId w:val="1"/>
        </w:numPr>
        <w:rPr/>
      </w:pPr>
      <w:bookmarkStart w:id="548" w:name="__RefHeading___Toc1656378_2281741623"/>
      <w:bookmarkStart w:id="549" w:name="_Toc195"/>
      <w:bookmarkEnd w:id="548"/>
      <w:r>
        <w:rPr>
          <w:rtl w:val="true"/>
        </w:rPr>
        <w:t>نخستین خدمات پخش رادیویی دینی</w:t>
      </w:r>
      <w:bookmarkEnd w:id="549"/>
    </w:p>
    <w:p>
      <w:pPr>
        <w:pStyle w:val="BookText"/>
        <w:rPr/>
      </w:pPr>
      <w:r>
        <w:rPr>
          <w:rFonts w:ascii="IRNazanin" w:hAnsi="IRNazanin" w:eastAsia="IRNazanin"/>
          <w:color w:val="111111"/>
          <w:sz w:val="28"/>
          <w:sz w:val="28"/>
          <w:szCs w:val="28"/>
          <w:rtl w:val="true"/>
          <w:lang w:bidi="fa-IR"/>
        </w:rPr>
        <w:t>نخستین خدمات پخش رادیویی دینی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سرویس پخش رادیویی دینی روز دوم ژانویه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کلیسای اسقفی کالواری در پیتزبورگ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پخش به وسیلۀ یک ایستگاه کوچک رادیویی، </w:t>
      </w:r>
      <w:r>
        <w:rPr>
          <w:rFonts w:eastAsia="Times New Roman" w:cs="Times New Roman" w:ascii="Times New Roman" w:hAnsi="Times New Roman"/>
          <w:color w:val="111111"/>
          <w:sz w:val="28"/>
          <w:szCs w:val="28"/>
          <w:lang w:val="en-US" w:bidi="en-US"/>
        </w:rPr>
        <w:t>KDKA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پیتزبورگ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برای دو ماه فعال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کشیش ارشد انگلیس ها نسبت به رادیو شک داشت، دون پایه ترین کشیش، وظیفۀ سخنرانی مذهبی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کاتولیک، دیگری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همسرایان را می پوشیدند تا حضار در کلیسا سردرگم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آن، </w:t>
      </w:r>
      <w:r>
        <w:rPr>
          <w:rFonts w:eastAsia="Times New Roman" w:cs="Times New Roman" w:ascii="Times New Roman" w:hAnsi="Times New Roman"/>
          <w:color w:val="111111"/>
          <w:sz w:val="28"/>
          <w:szCs w:val="28"/>
          <w:lang w:val="en-US" w:bidi="en-US"/>
        </w:rPr>
        <w:t>KDKA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منظم عصر یکشنبه را از کلیسای کالواری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ادوین ون اتین با غلبه بر بی میلی اولیه اش، با پخش های رادیویی ای که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کلیسایش ادامه داشت، تبدیل به یک گویندۀ منظم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بریتانیا، فرستندۀ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نخستین سرویسش را از یک کلیسای معروف مرکز لندن، سنت مارتین این دِ فیلدز در نهم ژانویۀ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سرویس توسط کشیش بخش، دیک شپرد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عنوان یک دین یار</w:t>
      </w:r>
      <w:r>
        <w:rPr>
          <w:rStyle w:val="FootnoteAnchor"/>
          <w:rtl w:val="true"/>
        </w:rPr>
        <w:footnoteReference w:id="183"/>
      </w:r>
      <w:r>
        <w:rPr>
          <w:rFonts w:ascii="IRNazanin" w:hAnsi="IRNazanin" w:eastAsia="IRNazanin"/>
          <w:color w:val="111111"/>
          <w:sz w:val="28"/>
          <w:sz w:val="28"/>
          <w:szCs w:val="28"/>
          <w:rtl w:val="true"/>
          <w:lang w:bidi="fa-IR"/>
        </w:rPr>
        <w:t>طی جنگ جهانی اول در سنگرهای فرانسه خدمت کرده بود، هدایت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طیف گسترده ای از مردم برای این پخش رادیویی حمایت سراسری شد، گرچه صداهای مخالفی نیز وجود داشتند که خواستار اخراج این ماشین از کلیساها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w:t>
      </w:r>
      <w:bookmarkStart w:id="550" w:name="pg3881_27942"/>
    </w:p>
    <w:p>
      <w:pPr>
        <w:pStyle w:val="BookText"/>
        <w:rPr/>
      </w:pPr>
      <w:bookmarkEnd w:id="550"/>
      <w:r>
        <w:rPr>
          <w:rFonts w:ascii="IRNazanin" w:hAnsi="IRNazanin" w:eastAsia="IRNazanin"/>
          <w:color w:val="111111"/>
          <w:sz w:val="28"/>
          <w:sz w:val="28"/>
          <w:szCs w:val="28"/>
          <w:rtl w:val="true"/>
          <w:lang w:bidi="fa-IR"/>
        </w:rPr>
        <w:t>روزهای رادیو، مسیحیت بر فرستنده های عبادی غلبه داشت ولی در قرن بیست و یکم شنیدن اغلب سنت های عبادی ـ مذهبی در امواج هوا امکان پذیر است</w:t>
      </w:r>
      <w:r>
        <w:rPr>
          <w:rFonts w:eastAsia="IRNazanin" w:cs="IRNazanin"/>
          <w:color w:val="111111"/>
          <w:sz w:val="28"/>
          <w:szCs w:val="28"/>
          <w:rtl w:val="true"/>
          <w:lang w:bidi="fa-IR"/>
        </w:rPr>
        <w:t>.</w:t>
      </w:r>
    </w:p>
    <w:p>
      <w:pPr>
        <w:pStyle w:val="Heading3"/>
        <w:numPr>
          <w:ilvl w:val="2"/>
          <w:numId w:val="1"/>
        </w:numPr>
        <w:rPr/>
      </w:pPr>
      <w:bookmarkStart w:id="551" w:name="__RefHeading___Toc1656380_2281741623"/>
      <w:bookmarkStart w:id="552" w:name="_Toc196"/>
      <w:bookmarkEnd w:id="551"/>
      <w:r>
        <w:rPr>
          <w:rtl w:val="true"/>
        </w:rPr>
        <w:t>سخنرانان مذهبی آمریکایی رادیو</w:t>
      </w:r>
      <w:bookmarkEnd w:id="5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طلایی رادیویی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روزهای خوش سخنرانان مذهبی نیز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رسانه‌ایِ به شدت تجاری‌شدۀ ایالات متحده، بسیاری از سخنرانان مذهبی پول می‌پرداختند تا اجازۀ استفادۀ رسانه‌ای از آن‌چه که بعضی آن را یک رسانۀ جدید جادویی می‌دیدند،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رَدَر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 موفق و منظم مذهبی رادیو، طی دهۀ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شیکاگو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اغلب پس از خریدن حق استفاده از تمام زمان پخش رادیویی در یکشنبه‌ها، این فاصلۀ زمانی را با سرویس‌های پخش زنده و برنامه‌های استودیویی تخیلی‌ای چون </w:t>
      </w:r>
      <w:r>
        <w:rPr>
          <w:rFonts w:eastAsia="Times New Roman" w:cs="Times New Roman" w:ascii="Times New Roman" w:hAnsi="Times New Roman"/>
          <w:color w:val="111111"/>
          <w:sz w:val="28"/>
          <w:szCs w:val="28"/>
          <w:lang w:val="en-US" w:bidi="en-US"/>
        </w:rPr>
        <w:t>The Shepherd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خردسالان، </w:t>
      </w:r>
      <w:r>
        <w:rPr>
          <w:rFonts w:eastAsia="Times New Roman" w:cs="Times New Roman" w:ascii="Times New Roman" w:hAnsi="Times New Roman"/>
          <w:color w:val="111111"/>
          <w:sz w:val="28"/>
          <w:szCs w:val="28"/>
          <w:lang w:val="en-US" w:bidi="en-US"/>
        </w:rPr>
        <w:t>The Sunshine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بیماران بستری، </w:t>
      </w:r>
      <w:r>
        <w:rPr>
          <w:rFonts w:eastAsia="Times New Roman" w:cs="Times New Roman" w:ascii="Times New Roman" w:hAnsi="Times New Roman"/>
          <w:color w:val="111111"/>
          <w:sz w:val="28"/>
          <w:szCs w:val="28"/>
          <w:lang w:val="en-US" w:bidi="en-US"/>
        </w:rPr>
        <w:t>Radio Rangers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Aerial Girl's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دختران و پسران نوجوان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مذهبی رادیوییِ محبوب دیگر، ایمی سمپل مک‌فرسِن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لس‌آنجلس، اولین زنی بود که سخنرانی مذهبی رادیویی کرد و از قضا اولین کسی بود که کمیسیون ارتباطات فدرال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فوریۀ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یک گواهی‌نامۀ پخش رادیویی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ابتکاراتی بهتر از رَدَر، قادر بود جدول برنامه‌های گوناگون‌تر و زنده‌تری را برای شنونده‌اش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مک‌فرسِن یکی از اولین پخش‌کنندگان رادیویی بود که کوشید از رادیو برای التیام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دست‌هایش را بر دستگاه فرستنده می‌گذاشت و سپس از شنوندگانی که بیمار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می‌خواست در هنگامی که او دعا می‌کرد رادیو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آتشین او در تقابلی واضح با شیوۀ مهارشده‌ترِ احتمالاً موفق‌ترین سخنران مذهبی رادیو، چارلز فولر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او بیش از سی سال در ایستگاه‌های سراسر آمریکا پخش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جهانی دوم، برنامۀ </w:t>
      </w:r>
      <w:r>
        <w:rPr>
          <w:rFonts w:eastAsia="Times New Roman" w:cs="Times New Roman" w:ascii="Times New Roman" w:hAnsi="Times New Roman"/>
          <w:color w:val="111111"/>
          <w:sz w:val="28"/>
          <w:szCs w:val="28"/>
          <w:lang w:val="en-US" w:bidi="en-US"/>
        </w:rPr>
        <w:t>Old Fashioned Revival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هر یکشنبه تقریباً بیست میلیون شنونده در سراسر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دوم قرن بیستم، سخنرانان مذهبی‌ای چون بیلی گراهام از رادیو به منزلة بخشی از خدمات رسانه‌ای مذهبی‌شان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بیست میلادی تاکنون، هزاران سخنران مذهبی رادیویی ناشناس حق استفاده از زمان رادیویی را در ایستگاه‌های رادیوهای محلی‌شان خریده‌اند تا با همسایگان‌شان در رادیوستان </w:t>
      </w:r>
      <w:r>
        <w:rPr>
          <w:rStyle w:val="FootnoteAnchor"/>
          <w:rtl w:val="true"/>
        </w:rPr>
        <w:footnoteReference w:id="184"/>
      </w:r>
      <w:r>
        <w:rPr>
          <w:rFonts w:ascii="IRNazanin" w:hAnsi="IRNazanin" w:eastAsia="IRNazanin"/>
          <w:color w:val="111111"/>
          <w:sz w:val="28"/>
          <w:sz w:val="28"/>
          <w:szCs w:val="28"/>
          <w:rtl w:val="true"/>
          <w:lang w:bidi="fa-IR"/>
        </w:rPr>
        <w:t>ارتباط برقرار کنند، تا آن‌جا که طولی نکشید دولت آمریکا مجبور به تعدیل و تحدید تعداد ایستگاه‌های رادیویی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w:t>
      </w:r>
      <w:r>
        <w:rPr>
          <w:rFonts w:eastAsia="Times New Roman" w:cs="Times New Roman" w:ascii="Times New Roman" w:hAnsi="Times New Roman"/>
          <w:color w:val="111111"/>
          <w:sz w:val="28"/>
          <w:szCs w:val="28"/>
          <w:lang w:val="en-US" w:bidi="en-US"/>
        </w:rPr>
        <w:t>Latter- Day Saints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سالت لیک سیتی در ایالت یوتا ـ نخستین موسسۀ آموزشی که گواهی‌نامۀ پخش رادیویی را در آمریکا دریافت کرد ـ تا </w:t>
      </w:r>
      <w:r>
        <w:rPr>
          <w:rFonts w:eastAsia="Times New Roman" w:cs="Times New Roman" w:ascii="Times New Roman" w:hAnsi="Times New Roman"/>
          <w:color w:val="111111"/>
          <w:sz w:val="28"/>
          <w:szCs w:val="28"/>
          <w:lang w:val="en-US" w:bidi="en-US"/>
        </w:rPr>
        <w:t>Jewish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که در اصل به </w:t>
      </w:r>
      <w:r>
        <w:rPr>
          <w:rFonts w:eastAsia="Times New Roman" w:cs="Times New Roman" w:ascii="Times New Roman" w:hAnsi="Times New Roman"/>
          <w:color w:val="111111"/>
          <w:sz w:val="28"/>
          <w:szCs w:val="28"/>
          <w:lang w:val="en-US" w:bidi="en-US"/>
        </w:rPr>
        <w:t>Yiddish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Joe Tall Hour Radio show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است و در بوستِن در بازۀ زمانی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می‌شد، گروه‌های مختلف ایمانی در ایالات متحده از رادیو برای تشریح و توضیح هویت فرهنگی و دینی‌شان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Times New Roman" w:cs="Times New Roman" w:ascii="Times New Roman" w:hAnsi="Times New Roman"/>
          <w:color w:val="111111"/>
          <w:sz w:val="28"/>
          <w:szCs w:val="28"/>
          <w:lang w:val="en-US" w:bidi="en-US"/>
        </w:rPr>
        <w:t>Lutheran Hour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بیش از هفتاد سال از زمانی که والتر مه‌یر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آن را آغاز کرده است، می‌گذرد، هم‌چنان پخش رادیویی دارد، اغلب کلیساهای عمده و گروه‌های مذهبی دیگر، در استفاده از رادیو، به توفیق سخنرانان مذهبی بنیادگرا و گروه‌های اونجلیست که </w:t>
      </w:r>
      <w:bookmarkStart w:id="553" w:name="pg3881_27944"/>
    </w:p>
    <w:p>
      <w:pPr>
        <w:pStyle w:val="BookText"/>
        <w:rPr/>
      </w:pPr>
      <w:bookmarkEnd w:id="553"/>
      <w:r>
        <w:rPr>
          <w:rFonts w:ascii="IRNazanin" w:hAnsi="IRNazanin" w:eastAsia="IRNazanin"/>
          <w:color w:val="111111"/>
          <w:sz w:val="28"/>
          <w:sz w:val="28"/>
          <w:szCs w:val="28"/>
          <w:rtl w:val="true"/>
          <w:lang w:bidi="fa-IR"/>
        </w:rPr>
        <w:t>رادیو را هدیه‌ای یگانه از خداوند برای ارتباطات ایمانی می‌دانستند، دست نیافتند</w:t>
      </w:r>
      <w:r>
        <w:rPr>
          <w:rFonts w:eastAsia="IRNazanin" w:cs="IRNazanin"/>
          <w:color w:val="111111"/>
          <w:sz w:val="28"/>
          <w:szCs w:val="28"/>
          <w:rtl w:val="true"/>
          <w:lang w:bidi="fa-IR"/>
        </w:rPr>
        <w:t>.</w:t>
      </w:r>
    </w:p>
    <w:p>
      <w:pPr>
        <w:pStyle w:val="Heading3"/>
        <w:numPr>
          <w:ilvl w:val="2"/>
          <w:numId w:val="1"/>
        </w:numPr>
        <w:rPr/>
      </w:pPr>
      <w:bookmarkStart w:id="554" w:name="__RefHeading___Toc1656382_2281741623"/>
      <w:bookmarkStart w:id="555" w:name="_Toc197"/>
      <w:bookmarkEnd w:id="554"/>
      <w:r>
        <w:rPr>
          <w:rtl w:val="true"/>
        </w:rPr>
        <w:t>رادیوی مذهبی در زمان جنگ</w:t>
      </w:r>
      <w:bookmarkEnd w:id="555"/>
    </w:p>
    <w:p>
      <w:pPr>
        <w:pStyle w:val="BookText"/>
        <w:rPr/>
      </w:pPr>
      <w:r>
        <w:rPr>
          <w:rFonts w:ascii="IRNazanin" w:hAnsi="IRNazanin" w:eastAsia="IRNazanin"/>
          <w:color w:val="111111"/>
          <w:sz w:val="28"/>
          <w:sz w:val="28"/>
          <w:szCs w:val="28"/>
          <w:rtl w:val="true"/>
          <w:lang w:bidi="fa-IR"/>
        </w:rPr>
        <w:t>رادیوی مذهبی در زمان جنگ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پخش های رادیویی برای همیشه، نمونه ای برای قدرت رادیو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پرداخت رادیویی داستان جنگ دنیاها اثر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مردم زمین در جریان جنگی از مریخی ها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شرکت مرکوری تیاتر نزدیک به یک میلیون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ششم کل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واکنش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پخش رادیویی ای می تواند ادعا کند که شنوندگان وحشت زده را به عبادتگاه ها می کشاند ولی در میان بسیاری از واکنش های اولیۀ رادیویی، مردم در کلیساها جمع شده و در بیرمنگامِ ایالات آلاباما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نمایش رادیویی مردی که برای سلطان بودن زاده شد ـ نمایش مدرن دروتی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سایرز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زندگی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 مهارشده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های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اکتبر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استفاده ای که از این انگلیسی محاوره ای می کرد، به منزلة نقطه عطفی در رادیوی مذهبی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ادوارد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هایی فراموش ناشدنی از بمباران هوایی لندن را برای شنونده ها در آمریکا پخش می کرد و پل تیلیش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پلشتی های حکومت نازی را از طریق صدای آمریکا برای هموطنانش در آلمان بیان می کرد، شعبۀ پخش رادیویی مذهبی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وگوهای بسیاری را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چون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لوییس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دین یار اسکاتلندی معروف به ریدیو </w:t>
      </w:r>
      <w:bookmarkStart w:id="556" w:name="pg3881_27945"/>
    </w:p>
    <w:p>
      <w:pPr>
        <w:pStyle w:val="BookText"/>
        <w:rPr/>
      </w:pPr>
      <w:bookmarkEnd w:id="556"/>
      <w:r>
        <w:rPr>
          <w:rFonts w:ascii="IRNazanin" w:hAnsi="IRNazanin" w:eastAsia="IRNazanin"/>
          <w:color w:val="111111"/>
          <w:sz w:val="28"/>
          <w:sz w:val="28"/>
          <w:szCs w:val="28"/>
          <w:rtl w:val="true"/>
          <w:lang w:bidi="fa-IR"/>
        </w:rPr>
        <w:t>پِدِر،</w:t>
      </w:r>
      <w:r>
        <w:rPr>
          <w:rStyle w:val="FootnoteAnchor"/>
          <w:rtl w:val="true"/>
        </w:rPr>
        <w:footnoteReference w:id="185"/>
      </w:r>
      <w:r>
        <w:rPr>
          <w:rFonts w:ascii="IRNazanin" w:hAnsi="IRNazanin" w:eastAsia="IRNazanin"/>
          <w:color w:val="111111"/>
          <w:sz w:val="28"/>
          <w:sz w:val="28"/>
          <w:szCs w:val="28"/>
          <w:rtl w:val="true"/>
          <w:lang w:bidi="fa-IR"/>
        </w:rPr>
        <w:t xml:space="preserve">رونالد سِلبی رایت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کوشیدند که کلمات ایمانی را به شنوندگانی که از جنگ صدمه دیده بودند،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بسیاری از وضعیت های ناساز، که برای رادیوی مذهبی یک زمان توسعه یابی است، در دورۀ پس از جنگ یک گوناگونی فزاینده از صداها و باورها در رادیو دیده می شد</w:t>
      </w:r>
      <w:r>
        <w:rPr>
          <w:rFonts w:eastAsia="IRNazanin" w:cs="IRNazanin"/>
          <w:color w:val="111111"/>
          <w:sz w:val="28"/>
          <w:szCs w:val="28"/>
          <w:rtl w:val="true"/>
          <w:lang w:bidi="fa-IR"/>
        </w:rPr>
        <w:t>.</w:t>
      </w:r>
    </w:p>
    <w:p>
      <w:pPr>
        <w:pStyle w:val="Heading3"/>
        <w:numPr>
          <w:ilvl w:val="2"/>
          <w:numId w:val="1"/>
        </w:numPr>
        <w:rPr/>
      </w:pPr>
      <w:bookmarkStart w:id="557" w:name="__RefHeading___Toc1656384_2281741623"/>
      <w:bookmarkStart w:id="558" w:name="_Toc198"/>
      <w:bookmarkEnd w:id="557"/>
      <w:r>
        <w:rPr>
          <w:rtl w:val="true"/>
        </w:rPr>
        <w:t>مرگ رادیو؟</w:t>
      </w:r>
      <w:bookmarkEnd w:id="558"/>
    </w:p>
    <w:p>
      <w:pPr>
        <w:pStyle w:val="BookText"/>
        <w:rPr/>
      </w:pPr>
      <w:r>
        <w:rPr>
          <w:rFonts w:ascii="IRNazanin" w:hAnsi="IRNazanin" w:eastAsia="IRNazanin"/>
          <w:color w:val="111111"/>
          <w:sz w:val="28"/>
          <w:sz w:val="28"/>
          <w:szCs w:val="28"/>
          <w:rtl w:val="true"/>
          <w:lang w:bidi="fa-IR"/>
        </w:rPr>
        <w:t>مرگ رادیو؟</w:t>
      </w:r>
    </w:p>
    <w:p>
      <w:pPr>
        <w:pStyle w:val="BookText"/>
        <w:rPr/>
      </w:pPr>
      <w:r>
        <w:rPr>
          <w:rFonts w:ascii="IRNazanin" w:hAnsi="IRNazanin" w:eastAsia="IRNazanin"/>
          <w:color w:val="111111"/>
          <w:sz w:val="28"/>
          <w:sz w:val="28"/>
          <w:szCs w:val="28"/>
          <w:rtl w:val="true"/>
          <w:lang w:bidi="fa-IR"/>
        </w:rPr>
        <w:t>با اختراع تلویزیون در دورۀ پس از جنگ، بسیاری از مفسران، مرگ پخش گستردۀ رادیویی را پیش 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گذاری ملکه الیزابت در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تشییع جنازۀ رییس جمهور کندی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میلیون ها نفر را به سوی تلویزیون گرداند تا وقایع تاریخی را آشکارا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واقعه را رادیو نیز که هنوز شنوندگان جهانی قابل توجهی را جذب می کرد،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روزهای طلایی رادیو دیگر هرگز باز نمی گردند، پخش گستردۀ رادیویی مطمئناً هرگز با اختراع تلویزیون خاموش نخواهد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گوش کردن به رادیو، اغلب یک فعالیت مشترک بود؛ خانواده ها با گردآمدن دور یک دستگاه بی سیم، با همدیگر رادیو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توسعۀ ترانزیستورها در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رادیو تبدیل به پدیده ای انفرادی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ارزان تر، کوچک تر و بنابراین قابل حمل شدند در نتیجه دیدن شنوندگانی که به رادیو در حال حرکت یا استراحت گوش می کردند، بسیار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ترانۀ ویدیو کشت ستارۀ رادیو را</w:t>
      </w:r>
      <w:r>
        <w:rPr>
          <w:rStyle w:val="FootnoteAnchor"/>
          <w:rtl w:val="true"/>
        </w:rPr>
        <w:footnoteReference w:id="186"/>
      </w:r>
      <w:r>
        <w:rPr>
          <w:rFonts w:ascii="IRNazanin" w:hAnsi="IRNazanin" w:eastAsia="IRNazanin"/>
          <w:color w:val="111111"/>
          <w:sz w:val="28"/>
          <w:sz w:val="28"/>
          <w:szCs w:val="28"/>
          <w:rtl w:val="true"/>
          <w:lang w:bidi="fa-IR"/>
        </w:rPr>
        <w:t xml:space="preserve">شاید اولین ترانه ای بود که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شبکۀ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شد ولی رادیو نمرد، بلکه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پخش گستردۀ رادیویی غیررسمی تر شد، از شکل های بیانیه وار و </w:t>
      </w:r>
      <w:bookmarkStart w:id="559" w:name="pg3881_27946"/>
    </w:p>
    <w:p>
      <w:pPr>
        <w:pStyle w:val="BookText"/>
        <w:rPr/>
      </w:pPr>
      <w:bookmarkEnd w:id="559"/>
      <w:r>
        <w:rPr>
          <w:rFonts w:ascii="IRNazanin" w:hAnsi="IRNazanin" w:eastAsia="IRNazanin"/>
          <w:color w:val="111111"/>
          <w:sz w:val="28"/>
          <w:sz w:val="28"/>
          <w:szCs w:val="28"/>
          <w:rtl w:val="true"/>
          <w:lang w:bidi="fa-IR"/>
        </w:rPr>
        <w:t>اعلامیه ای به شکل هایی گفت وگویی تر گروید و با برنامه های گفت وشنود با شنوندگان و یا تلفنی، بر محبوبیتش در سراسر جهان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پخش دیجیتالی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شنیدن رادیو وضوح بیشتری پیدا کرد و استفاده از آن آسان تر از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رادیوی خودکار، استفادۀ گسترده تری را در کشورهایی که باتری ها به طرز بازدارنده ای گران بودند، تضمین نمود و پیدایش صدها ایستگاه جدید رادیوهای آن لاین در دهۀ اخیر این امکان را به وجود آورد که اندیشه های مذهبی گوناگونِ بیشتر و بیشتری به صورت زنده شنیده شوند</w:t>
      </w:r>
      <w:r>
        <w:rPr>
          <w:rFonts w:eastAsia="IRNazanin" w:cs="IRNazanin"/>
          <w:color w:val="111111"/>
          <w:sz w:val="28"/>
          <w:szCs w:val="28"/>
          <w:rtl w:val="true"/>
          <w:lang w:bidi="fa-IR"/>
        </w:rPr>
        <w:t>.</w:t>
      </w:r>
    </w:p>
    <w:p>
      <w:pPr>
        <w:pStyle w:val="Heading3"/>
        <w:numPr>
          <w:ilvl w:val="2"/>
          <w:numId w:val="1"/>
        </w:numPr>
        <w:rPr/>
      </w:pPr>
      <w:bookmarkStart w:id="560" w:name="__RefHeading___Toc1656386_2281741623"/>
      <w:bookmarkStart w:id="561" w:name="_Toc199"/>
      <w:bookmarkEnd w:id="560"/>
      <w:r>
        <w:rPr>
          <w:rtl w:val="true"/>
        </w:rPr>
        <w:t>سوء استفاده از رادیو</w:t>
      </w:r>
      <w:bookmarkEnd w:id="561"/>
    </w:p>
    <w:p>
      <w:pPr>
        <w:pStyle w:val="BookText"/>
        <w:rPr/>
      </w:pPr>
      <w:r>
        <w:rPr>
          <w:rFonts w:ascii="IRNazanin" w:hAnsi="IRNazanin" w:eastAsia="IRNazanin"/>
          <w:color w:val="111111"/>
          <w:sz w:val="28"/>
          <w:sz w:val="28"/>
          <w:szCs w:val="28"/>
          <w:rtl w:val="true"/>
          <w:lang w:bidi="fa-IR"/>
        </w:rPr>
        <w:t>سوء استفاده از رادیو</w:t>
      </w:r>
    </w:p>
    <w:p>
      <w:pPr>
        <w:pStyle w:val="BookText"/>
        <w:rPr/>
      </w:pPr>
      <w:r>
        <w:rPr>
          <w:rFonts w:ascii="IRNazanin" w:hAnsi="IRNazanin" w:eastAsia="IRNazanin"/>
          <w:color w:val="111111"/>
          <w:sz w:val="28"/>
          <w:sz w:val="28"/>
          <w:szCs w:val="28"/>
          <w:rtl w:val="true"/>
          <w:lang w:bidi="fa-IR"/>
        </w:rPr>
        <w:t>در کشورهایی که تلویزیون بسیار گران بوده است، رادیو شکل مسلط ارتباطات جمعی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روآندایک ایستگاه رادیویی، </w:t>
      </w:r>
      <w:r>
        <w:rPr>
          <w:rFonts w:eastAsia="Times New Roman" w:cs="Times New Roman" w:ascii="Times New Roman" w:hAnsi="Times New Roman"/>
          <w:color w:val="111111"/>
          <w:sz w:val="28"/>
          <w:szCs w:val="28"/>
          <w:lang w:val="en-US" w:bidi="en-US"/>
        </w:rPr>
        <w:t>RTLM</w:t>
      </w:r>
      <w:r>
        <w:rPr>
          <w:rFonts w:ascii="IRNazanin" w:hAnsi="IRNazanin" w:eastAsia="IRNazanin"/>
          <w:color w:val="111111"/>
          <w:sz w:val="28"/>
          <w:sz w:val="28"/>
          <w:szCs w:val="28"/>
          <w:rtl w:val="true"/>
          <w:lang w:bidi="fa-IR"/>
        </w:rPr>
        <w:t>، در سال های</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تقویت جدایی های نژادی، مشوش کردن اذهان شنوندگان و کلاً شراکت در مسموم کردن محیط ارتباطی برای نسل کشی بیش از هشتصد هزار نفر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کاتولیک ترین کشورهای آفریقایی پخش کنندگان این ایستگاه رادیویی از زبان مذهبی به منزلة یکی از ابزارهای تبلیغاتی برای تشدید وحشت شنوندگان هوتو و کینه نسبت به همسایگان توتسی شان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کشتار جنون آمیزی که بیش از صد روز ادامه داشت این ایستگاه رادیویی، فعل کشتار را تشویق و کشتارگران را به سوی کلیساهای مخصوص و مسجدی که بسیاری از روآندایی ها به آن جا پناه برده بودند، هدایت می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رادیوی نفرت، تاریخی طولانی دارد و نمونه هایی چون، پخش کنندۀ رادیویی محبوب و یهودستیز پدر چارلز کاگلین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62" w:name="pg3881_27947"/>
    </w:p>
    <w:p>
      <w:pPr>
        <w:pStyle w:val="BookText"/>
        <w:rPr/>
      </w:pPr>
      <w:bookmarkEnd w:id="562"/>
      <w:r>
        <w:rPr>
          <w:rFonts w:ascii="IRNazanin" w:hAnsi="IRNazanin" w:eastAsia="IRNazanin"/>
          <w:color w:val="111111"/>
          <w:sz w:val="28"/>
          <w:sz w:val="28"/>
          <w:szCs w:val="28"/>
          <w:rtl w:val="true"/>
          <w:lang w:bidi="fa-IR"/>
        </w:rPr>
        <w:t xml:space="preserve">میلادی، پخش کننده های رادیویی ضدمسلمان و ضدیهود خاورمیانه، پخش کنندگان رادیویی معتقد به برتری نژاد سفید در ایالات متحده و پخش رادیویی بی وقفۀ طرفداران آپارتاید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پِرِتوریا، که در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رایج بود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دولت ها و گروه های ایمان بنیاد بر ایستگاه های رادیویی صلح طلب به عنوان تلاشی برای مقابله با سوء استفاده از رادیو هزینه کرده اند</w:t>
      </w:r>
      <w:r>
        <w:rPr>
          <w:rFonts w:eastAsia="IRNazanin" w:cs="IRNazanin"/>
          <w:color w:val="111111"/>
          <w:sz w:val="28"/>
          <w:szCs w:val="28"/>
          <w:rtl w:val="true"/>
          <w:lang w:bidi="fa-IR"/>
        </w:rPr>
        <w:t>.</w:t>
      </w:r>
    </w:p>
    <w:p>
      <w:pPr>
        <w:pStyle w:val="Heading3"/>
        <w:numPr>
          <w:ilvl w:val="2"/>
          <w:numId w:val="1"/>
        </w:numPr>
        <w:rPr/>
      </w:pPr>
      <w:bookmarkStart w:id="563" w:name="__RefHeading___Toc1656388_2281741623"/>
      <w:bookmarkStart w:id="564" w:name="_Toc200"/>
      <w:bookmarkEnd w:id="563"/>
      <w:r>
        <w:rPr>
          <w:rtl w:val="true"/>
        </w:rPr>
        <w:t>فراسوی رادیوی مذهبی ریتی</w:t>
      </w:r>
      <w:bookmarkEnd w:id="564"/>
    </w:p>
    <w:p>
      <w:pPr>
        <w:pStyle w:val="BookText"/>
        <w:rPr/>
      </w:pPr>
      <w:r>
        <w:rPr>
          <w:rFonts w:ascii="IRNazanin" w:hAnsi="IRNazanin" w:eastAsia="IRNazanin"/>
          <w:color w:val="111111"/>
          <w:sz w:val="28"/>
          <w:sz w:val="28"/>
          <w:szCs w:val="28"/>
          <w:rtl w:val="true"/>
          <w:lang w:bidi="fa-IR"/>
        </w:rPr>
        <w:t>فراسوی رادیوی مذهبی ریتی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ریت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کارگردان ارشد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 که پسر یک کشیش اسکاتلندی متعلق به کلیسای مشایخی پروتستان بود، قویاً باور داشت که رادیو در اسلوبی ضد فرقه ای، باید با همۀ کلیساها برای مشارکت در ساختن بریتانیایی هرچه مسیحی تر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رادیو می تواند شبیه یک دین یار برای مردم، مروج شکلی نیرومند از مسیحیت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او در رادیو و پخش رادیویی مذهبی اثر عمده ای بر شیوه های بسیاری از پخش کنندگان رادیویی دیگر در سراسر جهان که ذاتاً با دین سر و کار داشتند،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دیدگاه ریت تحمل ناپذیر اعلام شد، ادامه داشت و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رویکرد مذهبی اش را چنین بازتعریف کرد که رفتارهای مذهبی و باورهای مختلف مردم انگلستان و دنیای آزاد را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مطلق و تنوع ایستگاه های رادیویی که جنبه های فکری مذاهب مختلف را پوشش و ترویج می دهند، تضمین می کند که هم اکنون برون داده های سراسری رادیو به فراوانی، خرده فرهنگ های باورهای مختلف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چنددینی و چندفرهنگی، یکی از چالش هایی که در </w:t>
      </w:r>
      <w:bookmarkStart w:id="565" w:name="pg3881_27948"/>
    </w:p>
    <w:p>
      <w:pPr>
        <w:pStyle w:val="BookText"/>
        <w:rPr/>
      </w:pPr>
      <w:bookmarkEnd w:id="565"/>
      <w:r>
        <w:rPr>
          <w:rFonts w:ascii="IRNazanin" w:hAnsi="IRNazanin" w:eastAsia="IRNazanin"/>
          <w:color w:val="111111"/>
          <w:sz w:val="28"/>
          <w:sz w:val="28"/>
          <w:szCs w:val="28"/>
          <w:rtl w:val="true"/>
          <w:lang w:bidi="fa-IR"/>
        </w:rPr>
        <w:t>برابر پخش کنندگان رادیویی است، چگونگی در هم شکستن گرایش ها و گفتارهای خشونت آمیز به وسیلۀ الگوهای گفتمانی صلح طلبانه تر بین گروه های ایمانی متفاوت است،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می تواند با صلح، در ملت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جولیون میچل</w:t>
      </w:r>
    </w:p>
    <w:p>
      <w:pPr>
        <w:pStyle w:val="BookText"/>
        <w:rPr/>
      </w:pPr>
      <w:r>
        <w:rPr>
          <w:rFonts w:ascii="IRNazanin" w:hAnsi="IRNazanin" w:eastAsia="IRNazanin"/>
          <w:color w:val="111111"/>
          <w:sz w:val="28"/>
          <w:sz w:val="28"/>
          <w:szCs w:val="28"/>
          <w:rtl w:val="true"/>
          <w:lang w:bidi="fa-IR"/>
        </w:rPr>
        <w:t>ترجمۀ سید احمد نادمی</w:t>
      </w:r>
    </w:p>
    <w:p>
      <w:pPr>
        <w:pStyle w:val="Heading3"/>
        <w:numPr>
          <w:ilvl w:val="2"/>
          <w:numId w:val="1"/>
        </w:numPr>
        <w:rPr/>
      </w:pPr>
      <w:bookmarkStart w:id="566" w:name="__RefHeading___Toc1656390_2281741623"/>
      <w:bookmarkStart w:id="567" w:name="_Toc201"/>
      <w:bookmarkEnd w:id="566"/>
      <w:r>
        <w:rPr>
          <w:rtl w:val="true"/>
        </w:rPr>
        <w:t>برای مطالعۀ بیشتر</w:t>
      </w:r>
      <w:bookmarkEnd w:id="567"/>
    </w:p>
    <w:p>
      <w:pPr>
        <w:pStyle w:val="BookText"/>
        <w:rPr/>
      </w:pPr>
      <w:r>
        <w:rPr>
          <w:rFonts w:eastAsia="Times New Roman" w:cs="Times New Roman" w:ascii="Times New Roman" w:hAnsi="Times New Roman"/>
          <w:color w:val="111111"/>
          <w:sz w:val="28"/>
          <w:szCs w:val="28"/>
          <w:lang w:val="en-US" w:bidi="en-US"/>
        </w:rPr>
        <w:t>Briggs, A. (1995). The history of broadcasting in the United Kingdom: The birth of broadcasting, 1896-1927 (Vo. I). Oxford, UK: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Briggs, A. (1995). The history of broadcasting in the United Kingdom: The golden age of wireless, 1927-1939 (Vol. II). Oxford, UK: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Dorgan, H. (1993). The airwaves of Zion: Radio and religion in Appalachia. Knoxville: University of Tennessee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Hangen, T. J. (2002). Redeeming the dial: Radio, religion and popular culture in America. Chapel Hill: University of North Carolina Press</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Lowery, S. A., &amp; DeFleur, M. L. (1995). Milestones in mass communication research: Media effects (3rd ed., pp. 45-67). White Plains, NY: Longman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Marconi, G. (1967). Nobel lecture. In Nobel Lecture. Physics 1901-1921. Amsterdam: Elsevier Publishing Company,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Matelski, M. J. (1995). Vatican radio: Propagation by the airwaves. Westport, CT: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McIntyre, I. (1993). The expense of gory: A life of John Reith. London: HarperCollins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Mitchell, J. P. (1999). Visually speaking: Radio and the renaissance of preaching. Edinburgh, UK: T &amp; T Clark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Mitchell, J. P. (2006). Media and Christian ethics. Cambridge,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Mitchell, J. P., &amp; Marriage, S. (Eds). (2003). Mediating religion: Conversations in media, religion and culture. Edinburgh, UK: T &amp; T Clark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Sayers, D. L. (1943). The man born to be king: A play-cycle on the life of our Lord and Saviour. London: Victor Gollancz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Scannell, P. (1996). Radio, television &amp; modern life: A phenomenological approach. Oxford, UK: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 J. (Ed.). (1990). American evangelicals and the mass media-perspective on the relationship between American evangelicals and the mass media. Grand Rapids, MI: Zondervan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Stone, R. H. &amp; Weather, M. L. (Eds.). (1998). Against the Third Reich: Paul Tillich's wartime radio broadcasts in Germany. Louisville, KY: WJKP</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Sweet, L. I. (Ed.). (1993). Communication and Change in American religious history. Grand Rapids, MI: Eerdmans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Vigil, J. I. L. (1994). Rebel radio: The story of El Salvador's radio venceremos. Willimantic, CT: Curbostone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Warren, D. (1996). Father Coughlin: The father of hate radio. New York: Free Press</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Wolfe, K. (1984). The churches and the British Broadcasting Corporation 1922-1956. London: SCM</w:t>
      </w:r>
      <w:r>
        <w:rPr>
          <w:rFonts w:eastAsia="Times New Roman" w:cs="Times New Roman" w:ascii="Times New Roman" w:hAnsi="Times New Roman"/>
          <w:color w:val="111111"/>
          <w:sz w:val="28"/>
          <w:szCs w:val="28"/>
          <w:rtl w:val="true"/>
          <w:lang w:val="en-US" w:bidi="en-US"/>
        </w:rPr>
        <w:t xml:space="preserve">. </w:t>
      </w:r>
      <w:bookmarkStart w:id="568" w:name="pg3881_27951"/>
    </w:p>
    <w:p>
      <w:pPr>
        <w:pStyle w:val="Heading2"/>
        <w:numPr>
          <w:ilvl w:val="1"/>
          <w:numId w:val="1"/>
        </w:numPr>
        <w:rPr/>
      </w:pPr>
      <w:bookmarkStart w:id="569" w:name="__RefHeading___Toc1656392_2281741623"/>
      <w:bookmarkStart w:id="570" w:name="_Toc202"/>
      <w:bookmarkEnd w:id="568"/>
      <w:bookmarkEnd w:id="569"/>
      <w:r>
        <w:rPr>
          <w:rtl w:val="true"/>
        </w:rPr>
        <w:t>رسانه</w:t>
      </w:r>
      <w:bookmarkEnd w:id="570"/>
    </w:p>
    <w:p>
      <w:pPr>
        <w:pStyle w:val="Heading3"/>
        <w:numPr>
          <w:ilvl w:val="2"/>
          <w:numId w:val="1"/>
        </w:numPr>
        <w:rPr/>
      </w:pPr>
      <w:bookmarkStart w:id="571" w:name="__RefHeading___Toc1656394_2281741623"/>
      <w:bookmarkStart w:id="572" w:name="_Toc203"/>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رسانه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و فرهنگ های مذهبی همواره تا اندازه ای به وسیلۀ رسانه هایی تعریف شده اند که خود را در چهارچوب آن ها به خاطر سپرده اند، بیان کرده اند، به دیگران منتقل ساخته اند و وجهی آیینی به خود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گیریم که ابتدایی ترین اَشکال این رسانه ها از حواسِ اولیۀ انسان، یعنی بینایی، لامسه، شنوایی و بویایی استفاده می کردند و آن ها را در قالبِ ترکیبی از آیین، قصه، هنر، موسیقی و حرکت به کار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نوع نگاه کنونی ما به رسانه ها در فرهنگ های مذهبی، تحت تأثیر تحولاتِ تاریخی حوزه های اقتصادی، سیاسی، و تکنولوژیک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تاریخ غرب، رسانه هایی که تصور می شد پیوندی طبیعی با مذهب دارند، حالا به سختی در </w:t>
      </w:r>
      <w:bookmarkStart w:id="573" w:name="pg3881_27952"/>
    </w:p>
    <w:p>
      <w:pPr>
        <w:pStyle w:val="BookText"/>
        <w:rPr/>
      </w:pPr>
      <w:bookmarkEnd w:id="573"/>
      <w:r>
        <w:rPr>
          <w:rFonts w:ascii="IRNazanin" w:hAnsi="IRNazanin" w:eastAsia="IRNazanin"/>
          <w:color w:val="111111"/>
          <w:sz w:val="28"/>
          <w:sz w:val="28"/>
          <w:szCs w:val="28"/>
          <w:rtl w:val="true"/>
          <w:lang w:bidi="fa-IR"/>
        </w:rPr>
        <w:t>کنار رسانه های ارتباطی مدرن تر جای گرفته اند و این امر پیامد های گسترده ای به همراه داشته است</w:t>
      </w:r>
      <w:r>
        <w:rPr>
          <w:rFonts w:eastAsia="IRNazanin" w:cs="IRNazanin"/>
          <w:color w:val="111111"/>
          <w:sz w:val="28"/>
          <w:szCs w:val="28"/>
          <w:rtl w:val="true"/>
          <w:lang w:bidi="fa-IR"/>
        </w:rPr>
        <w:t>.</w:t>
      </w:r>
    </w:p>
    <w:p>
      <w:pPr>
        <w:pStyle w:val="Heading3"/>
        <w:numPr>
          <w:ilvl w:val="2"/>
          <w:numId w:val="1"/>
        </w:numPr>
        <w:rPr/>
      </w:pPr>
      <w:bookmarkStart w:id="574" w:name="__RefHeading___Toc1656396_2281741623"/>
      <w:bookmarkStart w:id="575" w:name="_Toc204"/>
      <w:bookmarkEnd w:id="574"/>
      <w:r>
        <w:rPr>
          <w:rtl w:val="true"/>
        </w:rPr>
        <w:t>پیوند رسانه با مذهب و امپراتوری</w:t>
      </w:r>
      <w:bookmarkEnd w:id="575"/>
    </w:p>
    <w:p>
      <w:pPr>
        <w:pStyle w:val="BookText"/>
        <w:rPr/>
      </w:pPr>
      <w:r>
        <w:rPr>
          <w:rFonts w:ascii="IRNazanin" w:hAnsi="IRNazanin" w:eastAsia="IRNazanin"/>
          <w:color w:val="111111"/>
          <w:sz w:val="28"/>
          <w:sz w:val="28"/>
          <w:szCs w:val="28"/>
          <w:rtl w:val="true"/>
          <w:lang w:bidi="fa-IR"/>
        </w:rPr>
        <w:t>پیوند رسانه با مذهب و امپراتوری</w:t>
      </w:r>
    </w:p>
    <w:p>
      <w:pPr>
        <w:pStyle w:val="BookText"/>
        <w:rPr/>
      </w:pPr>
      <w:r>
        <w:rPr>
          <w:rFonts w:ascii="IRNazanin" w:hAnsi="IRNazanin" w:eastAsia="IRNazanin"/>
          <w:color w:val="111111"/>
          <w:sz w:val="28"/>
          <w:sz w:val="28"/>
          <w:szCs w:val="28"/>
          <w:rtl w:val="true"/>
          <w:lang w:bidi="fa-IR"/>
        </w:rPr>
        <w:t>هارولد اینیس، اقتصاد دان کانادایی، عموماً به اعتبار ابداع نظریۀ ارتباطاتی در پیوند با دورنمای مذهب و امپراتوری،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اینیس، تاریخ امپراتوری های گوناگون را تا اندازه ای می توان از رهگذر رسانه های غالب و شاخص هر دوران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رسانه هایی که بر زمان غلبه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حجاری های روی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خدمت علایق مذهبی قرار داشته اند و رسانه هایی که بر مکان غلبه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طومارهای سبک و قابل حمل و نقل از جنس پاپیروس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زمینۀ بسط و گسترش امپراطوری را فراهم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بزرگ تر اینیس برای ایجاد یک نظریۀ کلانِ رسانه، سیاست و مذهب کماکان نیروی خود را حفظ کرده است و متفکران مهمی از سدۀ بیستم هم چون مارشال مک لوهان و ژاک ایول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دلایلی کافی برای پذیرش این امر وجود دارد که تمامی رسانه ها بر زمان و مکان غلبه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منظر مدرن به گذشته نگاه کنیم، حتی در دورۀ ابتدای تاریخ مسیحیت نیز با نمونه هایی از این امر روبه رو خواهیم شد؛ برای نمونه، اهمیت نامه های سَن پل هم ناشی از فراتر از زمان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برآمده از پشت سر گذاشتن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ها متکی به ساختار جاده ای و نظام پستی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رساله های مزبور تنها نمونۀ تعاملات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مذهب و تاریخ رسانه در غرب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رخداد تعیین کننده در این زمینه، ابداعِ شکلِ قابل حملِ دستگاه چاپ در اروپای قرن پانزدهم بود؛ </w:t>
      </w:r>
      <w:bookmarkStart w:id="576" w:name="pg3881_27953"/>
    </w:p>
    <w:p>
      <w:pPr>
        <w:pStyle w:val="BookText"/>
        <w:rPr/>
      </w:pPr>
      <w:bookmarkEnd w:id="576"/>
      <w:r>
        <w:rPr>
          <w:rFonts w:ascii="IRNazanin" w:hAnsi="IRNazanin" w:eastAsia="IRNazanin"/>
          <w:color w:val="111111"/>
          <w:sz w:val="28"/>
          <w:sz w:val="28"/>
          <w:szCs w:val="28"/>
          <w:rtl w:val="true"/>
          <w:lang w:bidi="fa-IR"/>
        </w:rPr>
        <w:t>هرچند که این فن آوری، نخستین بار قرن ها پیش از آن در آسیا ابداع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گوتنبرگ پیامد های ضمنی گسترده ای برای مسیحیت در برداشت و از برخی جهات بنیانی آن را به نوعی مذهبِ کتاب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تولید و توزیعِ کتاب مقدس، جریان اصلاح دینی منجر به گسترش سوادِ لازم برای استفاده از این متون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الیزابت آیزنشتاینِ مورخ اشاره کرده است که مسئلۀ مهم تر و بااهمیت تر در رابطه با تعاملات آتی رسانه و مذهب، تأثیری بود که احتمالاً خود گوتنبرگ نیز آن را پیش بینی نمی کرد؛ شکل گیری کارکردِ اجتماعی و بازاری ای که امروزه آن را با عنوان ناشر می شناسیم</w:t>
      </w:r>
      <w:r>
        <w:rPr>
          <w:rFonts w:eastAsia="IRNazanin" w:cs="IRNazanin"/>
          <w:color w:val="111111"/>
          <w:sz w:val="28"/>
          <w:szCs w:val="28"/>
          <w:rtl w:val="true"/>
          <w:lang w:bidi="fa-IR"/>
        </w:rPr>
        <w:t>.</w:t>
      </w:r>
    </w:p>
    <w:p>
      <w:pPr>
        <w:pStyle w:val="Heading3"/>
        <w:numPr>
          <w:ilvl w:val="2"/>
          <w:numId w:val="1"/>
        </w:numPr>
        <w:rPr/>
      </w:pPr>
      <w:bookmarkStart w:id="577" w:name="__RefHeading___Toc1656398_2281741623"/>
      <w:bookmarkStart w:id="578" w:name="_Toc205"/>
      <w:bookmarkEnd w:id="577"/>
      <w:r>
        <w:rPr>
          <w:rtl w:val="true"/>
        </w:rPr>
        <w:t>گسترش نشر</w:t>
      </w:r>
      <w:bookmarkEnd w:id="578"/>
    </w:p>
    <w:p>
      <w:pPr>
        <w:pStyle w:val="BookText"/>
        <w:rPr/>
      </w:pPr>
      <w:r>
        <w:rPr>
          <w:rFonts w:ascii="IRNazanin" w:hAnsi="IRNazanin" w:eastAsia="IRNazanin"/>
          <w:color w:val="111111"/>
          <w:sz w:val="28"/>
          <w:sz w:val="28"/>
          <w:szCs w:val="28"/>
          <w:rtl w:val="true"/>
          <w:lang w:bidi="fa-IR"/>
        </w:rPr>
        <w:t>گسترش نشر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انتشار، یک کارکرد اجتماعی تازه بود، کارکردی که به صورت بالقوه از دولت و مراجعِ روحانی مستقل بود و به همین علّت در ایجاد تحولات بعدی، از جمله چیزی که در حال حاضر آن را حوزۀ گفتمانِ عمومی می شناسیم، تأثیر شایان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ناشران و منتشراتِ آن ها به اختلاف نظر مستقیم با کلیسا و دولت انجامید و این پتانسیلِ اختلاف نظر به تدریج ماهیتِ سنت ها و نظریۀ مطبوعاتی آنگلو ـ آمریکایی را شکل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انگاره پا گرفت که مطبوعات بنا به ماهیت خود باید با این مراجع قدرتِ دیگر در حالت تنش و تخالف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مذهبی نیز مانند مراجع حکومتی واسطه های انتشاراتی خاص خود را به وجود آوردند و از رسانۀ نوپدیدِ چاپ برای اهدافی گوناگون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رسمی و غیررسمی مذهبی، علاوه بر کتاب مقدس، به تولیدِ رساله، آگهی مصوّر، کتابچه، روزنامه، مواد لازم برای گرداندنِ مدارس کلیسایی و کتاب پرداختند</w:t>
      </w:r>
      <w:r>
        <w:rPr>
          <w:rFonts w:eastAsia="IRNazanin" w:cs="IRNazanin"/>
          <w:color w:val="111111"/>
          <w:sz w:val="28"/>
          <w:szCs w:val="28"/>
          <w:rtl w:val="true"/>
          <w:lang w:bidi="fa-IR"/>
        </w:rPr>
        <w:t xml:space="preserve">. </w:t>
      </w:r>
      <w:bookmarkStart w:id="579" w:name="pg3881_27954"/>
    </w:p>
    <w:p>
      <w:pPr>
        <w:pStyle w:val="BookText"/>
        <w:rPr/>
      </w:pPr>
      <w:bookmarkEnd w:id="579"/>
      <w:r>
        <w:rPr>
          <w:rFonts w:ascii="IRNazanin" w:hAnsi="IRNazanin" w:eastAsia="IRNazanin"/>
          <w:color w:val="111111"/>
          <w:sz w:val="28"/>
          <w:sz w:val="28"/>
          <w:szCs w:val="28"/>
          <w:rtl w:val="true"/>
          <w:lang w:bidi="fa-IR"/>
        </w:rPr>
        <w:t>دربارۀ ایالات متحده باید گفت که نشر مطالب مذهبی از اولین جلوه های کار انتشارات در میان مستعمرات و این ملت نوپدید بود و بدین ترتیب بنیان لازم برای صنایعِ چاپ و نشر سکولارِ آینده فراهم شد</w:t>
      </w:r>
      <w:r>
        <w:rPr>
          <w:rFonts w:eastAsia="IRNazanin" w:cs="IRNazanin"/>
          <w:color w:val="111111"/>
          <w:sz w:val="28"/>
          <w:szCs w:val="28"/>
          <w:rtl w:val="true"/>
          <w:lang w:bidi="fa-IR"/>
        </w:rPr>
        <w:t>.</w:t>
      </w:r>
    </w:p>
    <w:p>
      <w:pPr>
        <w:pStyle w:val="Heading3"/>
        <w:numPr>
          <w:ilvl w:val="2"/>
          <w:numId w:val="1"/>
        </w:numPr>
        <w:rPr/>
      </w:pPr>
      <w:bookmarkStart w:id="580" w:name="__RefHeading___Toc1656400_2281741623"/>
      <w:bookmarkStart w:id="581" w:name="_Toc206"/>
      <w:bookmarkEnd w:id="580"/>
      <w:r>
        <w:rPr>
          <w:rtl w:val="true"/>
        </w:rPr>
        <w:t>شکل گیری رسانه های تازه</w:t>
      </w:r>
      <w:bookmarkEnd w:id="581"/>
    </w:p>
    <w:p>
      <w:pPr>
        <w:pStyle w:val="BookText"/>
        <w:rPr/>
      </w:pPr>
      <w:r>
        <w:rPr>
          <w:rFonts w:ascii="IRNazanin" w:hAnsi="IRNazanin" w:eastAsia="IRNazanin"/>
          <w:color w:val="111111"/>
          <w:sz w:val="28"/>
          <w:sz w:val="28"/>
          <w:szCs w:val="28"/>
          <w:rtl w:val="true"/>
          <w:lang w:bidi="fa-IR"/>
        </w:rPr>
        <w:t>شکل گیری رسانه های تازه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آن چه امروزه از اصطلاحِ رسانه ها به ذهن متبادر می شود، در طول سدۀ نوزدهم در اروپا و آمریکای شمالی شکل گرفت و محصولِ شکل گیری اولین رسانۀ حقیقتاً همگانی، یعنی روزنامه با مخاطبان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این اتفاق را فرآیند صنعتی شدن و مکانیکی شدنِ چاپ فراهم ساخت؛ یکی از امواج ابداع و توسعه که در شکل گیری انقلاب صنعتی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حوزۀ چاپ، تغییراتی اساسی در سرعت و حجمِ تولیدِ مصنوعاتِ ارتباطی ایجاد کرد و بدین ترتیب تمایزِ اینیس میان امکاناتِ زمانی و مکانی رسانه ها بیش از پیش پشت سر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سرعت و حجمِ تولیدِ رسانه های همگانی مدرن، هم زمان و هم مکان، شکل سیالی به خود گرفتند و قابلیت انتشارِ پیام های فردی به طیف گسترده، ناهمگون و کم و بیش ناشناخته ای از مخاطبان، به اصلی ترین خصیصۀ کار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سدۀ نوزدهم به این سو، سرعت تغییرات در خود رسانه ها نیز به یکی از خصیصه های حوزۀ ارتباطات بدل شد و انقلاب حوزۀ چاپ با شکل گیری نخستین رسانۀ ارتباطی دوربرد یعنی تلگراف همزمان شد و در پی آن ضرباهنگ همیشه فزایندۀ ابداعات هیچ گاه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رادیو، گرامافون، تلویزیون، ماهواره، اینترنت، شبکۀ جهانی، هر یک از این ابداعات چشم اندازها و چالش های تازه ای را برای جهان های ارتباطی سکولار و مذهبی با خود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w:t>
      </w:r>
      <w:bookmarkStart w:id="582" w:name="pg3881_27955"/>
    </w:p>
    <w:p>
      <w:pPr>
        <w:pStyle w:val="BookText"/>
        <w:rPr/>
      </w:pPr>
      <w:bookmarkEnd w:id="582"/>
      <w:r>
        <w:rPr>
          <w:rFonts w:ascii="IRNazanin" w:hAnsi="IRNazanin" w:eastAsia="IRNazanin"/>
          <w:color w:val="111111"/>
          <w:sz w:val="28"/>
          <w:sz w:val="28"/>
          <w:szCs w:val="28"/>
          <w:rtl w:val="true"/>
          <w:lang w:bidi="fa-IR"/>
        </w:rPr>
        <w:t>فن آوری های به کار گرفته شده و قابلیت های آن ها در پشت سر گذاشتن حوزۀ دسترسی، زمان و مکان، عصر رسانه ها در نحوۀ تأمین سرمایۀ رسانه ها نیز دگرگونی ای بنیادین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شکل گیری نشریات همگانی، رسانه ها غالباً به شکلی مستقیم توسط نهادهای سیاسی و فرقه ای خاص تأمین می شدند یا برای درآمد خود متکی به خریدِ خوانندگان و مخاطبان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همگانی برای نخستین بار امکان تأمین مالی رسانه ها از طریق طرف ثالث، یا سرمایه گذاری ناشی از تبلیغات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استقلال بیشتر رسانه ها، به ویژه رسانه های نوشتاری، انجامید ولی در همان حال زمینۀ یکی از ویژگی هایی را فراهم ساخت که ماهیت رسانه های انتهای قرن بیستم را تا اندازۀ زیادی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شدن</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583" w:name="__RefHeading___Toc1656402_2281741623"/>
      <w:bookmarkStart w:id="584" w:name="_Toc207"/>
      <w:bookmarkEnd w:id="583"/>
      <w:r>
        <w:rPr>
          <w:rtl w:val="true"/>
        </w:rPr>
        <w:t>شکل گیری برنامه های رادیو و تلویزیونی مذهبی</w:t>
      </w:r>
      <w:bookmarkEnd w:id="584"/>
    </w:p>
    <w:p>
      <w:pPr>
        <w:pStyle w:val="BookText"/>
        <w:rPr/>
      </w:pPr>
      <w:r>
        <w:rPr>
          <w:rFonts w:ascii="IRNazanin" w:hAnsi="IRNazanin" w:eastAsia="IRNazanin"/>
          <w:color w:val="111111"/>
          <w:sz w:val="28"/>
          <w:sz w:val="28"/>
          <w:szCs w:val="28"/>
          <w:rtl w:val="true"/>
          <w:lang w:bidi="fa-IR"/>
        </w:rPr>
        <w:t>شکل گیری برنامه های رادیو و تلویزیونی مذهبی</w:t>
      </w:r>
    </w:p>
    <w:p>
      <w:pPr>
        <w:pStyle w:val="BookText"/>
        <w:rPr/>
      </w:pPr>
      <w:r>
        <w:rPr>
          <w:rFonts w:ascii="IRNazanin" w:hAnsi="IRNazanin" w:eastAsia="IRNazanin"/>
          <w:color w:val="111111"/>
          <w:sz w:val="28"/>
          <w:sz w:val="28"/>
          <w:szCs w:val="28"/>
          <w:rtl w:val="true"/>
          <w:lang w:bidi="fa-IR"/>
        </w:rPr>
        <w:t>در هنگام ظهور عصرِ رادیو و تلویزیون، مذهب نقش مهمی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ایستگاه های رادیویی در ایالات متحده برنامه هایی مذهبی پخش می کردند و تولیدکنندگانِ متکی به خدمات عمومی که در اروپا و جاهای دیگر به تدریج این رسانه ها را در اختیار خویش گرفتند، عموماً مذهب را نیز یکی از حوزه های خدماتی شان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چه به تدریج به عنوان الگوی خدمات عمومیِ پخش برنامه های مذهبی شناخته شد، بخش اعظم زمان پخش را در نیمۀ اول قرن بیستم به خود اختصاص می داد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بر نوعی از برنامه سازی تأکید داشت که در راستای ارزش های مذهبیِ مشترکِ اصلی هر فرهنگ خاص عمل می کرد و از مناقشه های فرقه ای اجتناب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رهیافتِ به مذهب که متکی به حقایق عام بود، در </w:t>
      </w:r>
      <w:bookmarkStart w:id="585" w:name="pg3881_27956"/>
    </w:p>
    <w:p>
      <w:pPr>
        <w:pStyle w:val="BookText"/>
        <w:rPr/>
      </w:pPr>
      <w:bookmarkEnd w:id="585"/>
      <w:r>
        <w:rPr>
          <w:rFonts w:ascii="IRNazanin" w:hAnsi="IRNazanin" w:eastAsia="IRNazanin"/>
          <w:color w:val="111111"/>
          <w:sz w:val="28"/>
          <w:sz w:val="28"/>
          <w:szCs w:val="28"/>
          <w:rtl w:val="true"/>
          <w:lang w:bidi="fa-IR"/>
        </w:rPr>
        <w:t>واقع از یکی از خصیصه های ذاتی رسانه های همگانی ریشه می گرفت؛ مخاطبانِ گسترده، ناهمگون و ناشناس، نوعی از مذهب را ایجاب می کردند که ماهیتی عام و مبتنی بر اجماع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مذاهب متمایز و ویژه نیز از همان روزهای نخست جایگاه خویش را در رسانه های رادیو ـ تلویزیونی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موعظه گرِ رادیویی، که به یکی از کلیشه های اجتماعی عام تبدیل شد، پای ثابتِ رادیوهای آخرِ شب و کم مخاطبِ 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در ایالات متحده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نهادهای روحانیتِ انجیلی از این باور ریشه می گرفتند که رسانۀ جدید ابزاری استثنایی برای تبلیغ کتاب مقدس بود و با شکل گیری ایستگاه های بین المللی موج کوتاه، برخی از این نهادهای روحانی به تدریج بُردی جهانی پیدا کردند</w:t>
      </w:r>
      <w:r>
        <w:rPr>
          <w:rFonts w:eastAsia="IRNazanin" w:cs="IRNazanin"/>
          <w:color w:val="111111"/>
          <w:sz w:val="28"/>
          <w:szCs w:val="28"/>
          <w:rtl w:val="true"/>
          <w:lang w:bidi="fa-IR"/>
        </w:rPr>
        <w:t>.</w:t>
      </w:r>
    </w:p>
    <w:p>
      <w:pPr>
        <w:pStyle w:val="Heading3"/>
        <w:numPr>
          <w:ilvl w:val="2"/>
          <w:numId w:val="1"/>
        </w:numPr>
        <w:rPr/>
      </w:pPr>
      <w:bookmarkStart w:id="586" w:name="__RefHeading___Toc1656404_2281741623"/>
      <w:bookmarkStart w:id="587" w:name="_Toc208"/>
      <w:bookmarkEnd w:id="586"/>
      <w:r>
        <w:rPr>
          <w:rtl w:val="true"/>
        </w:rPr>
        <w:t>مضامین مذهبی در فیلم ها</w:t>
      </w:r>
      <w:bookmarkEnd w:id="5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به عنوان یک رسانه از نخستین روزها میزبان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فیلم های بزرگ هالیوود با دستمایه های مبتنی بر کتاب مقدس، از جمله سامسون و دلیله، داوود و بت شَبَع،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انجیل و ده فرمان، از دو جهت تأثیر چشم گیری بر جهان مذهب و گسترش آتی رسانه های مذهبی بر جای گذاردند؛ نخست آن که این فیلم ها کمک کردند که مخاطبانی سینمایی از دلِ اقشار متوسط مذهبی آمریکا شکل گیرد که پیش از آن به دیدۀ شک به سینما می نگریستند و به این ترتیب سینما رفتن را به امری آشنا و خانوادگی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پیش از آن در این افشار تحقیر و نکوهش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این فیلم ها نوعی ذوق و سلیقه برای تصویرپردازی های مذهبی رسانه ای </w:t>
      </w:r>
      <w:bookmarkStart w:id="588" w:name="pg3881_27957"/>
    </w:p>
    <w:p>
      <w:pPr>
        <w:pStyle w:val="BookText"/>
        <w:rPr/>
      </w:pPr>
      <w:bookmarkEnd w:id="588"/>
      <w:r>
        <w:rPr>
          <w:rFonts w:ascii="IRNazanin" w:hAnsi="IRNazanin" w:eastAsia="IRNazanin"/>
          <w:color w:val="111111"/>
          <w:sz w:val="28"/>
          <w:sz w:val="28"/>
          <w:szCs w:val="28"/>
          <w:rtl w:val="true"/>
          <w:lang w:bidi="fa-IR"/>
        </w:rPr>
        <w:t>در این مخاطبان به وجود آوردند و دریافتی مبتنی بر ممکن و قابل پذیرش بودنِ مذهب رسانه ای به آن ها بخشیدند</w:t>
      </w:r>
      <w:r>
        <w:rPr>
          <w:rFonts w:eastAsia="IRNazanin" w:cs="IRNazanin"/>
          <w:color w:val="111111"/>
          <w:sz w:val="28"/>
          <w:szCs w:val="28"/>
          <w:rtl w:val="true"/>
          <w:lang w:bidi="fa-IR"/>
        </w:rPr>
        <w:t>.</w:t>
      </w:r>
    </w:p>
    <w:p>
      <w:pPr>
        <w:pStyle w:val="Heading3"/>
        <w:numPr>
          <w:ilvl w:val="2"/>
          <w:numId w:val="1"/>
        </w:numPr>
        <w:rPr/>
      </w:pPr>
      <w:bookmarkStart w:id="589" w:name="__RefHeading___Toc1656406_2281741623"/>
      <w:bookmarkStart w:id="590" w:name="_Toc209"/>
      <w:bookmarkEnd w:id="589"/>
      <w:r>
        <w:rPr>
          <w:rtl w:val="true"/>
        </w:rPr>
        <w:t>سینمای فرقه گرا</w:t>
      </w:r>
      <w:bookmarkEnd w:id="590"/>
    </w:p>
    <w:p>
      <w:pPr>
        <w:pStyle w:val="BookText"/>
        <w:rPr/>
      </w:pPr>
      <w:r>
        <w:rPr>
          <w:rFonts w:ascii="IRNazanin" w:hAnsi="IRNazanin" w:eastAsia="IRNazanin"/>
          <w:color w:val="111111"/>
          <w:sz w:val="28"/>
          <w:sz w:val="28"/>
          <w:szCs w:val="28"/>
          <w:rtl w:val="true"/>
          <w:lang w:bidi="fa-IR"/>
        </w:rPr>
        <w:t>فیلم های تجاری، کماکان رسانۀ مهمی برای کندوکاو مذهبی به شمار می آیند، چه در شکلِ مجلل و پرشکوه و چه در شکلِ فرقه گرایانۀ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حوزۀ اخیر ـ یعنی فیلم های فرقه گرایانه ـ هم چنین یکی از تولیدکنندگانِ چشم گیرِ رسانه های مذهبی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مبلّغ انجیل از همان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تولید فیلم همت گماردند و در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فیلم ها به خوراکِ ثابتِ زیرزمین های کلیساها در سرتاسر ایالات متحده، اروپا و حوزه های تبلیغی دیگر نقاط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تجاری سینما به عنوان یک صنعت به شکل گیری مخاطبانی هر دم فزاینده تر انجامید و امروزه سینما از جملۀ تأثیرگذارترین مدیوم های بصری و جزو طیف فرهنگی و سطح بالای این رسانه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بر سر دسترسی به فیلم و هم چنین محتوای آن کماکان ادامه دارد؛ چنان که دربارۀ رخدادِ بزرگ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یعنی نمایشِ مصائب مسیح ـ که یکی از موفق ترین فیلم های مذهبی تمام دوران ها به شمار می آید ـ شاهد آن بودیم</w:t>
      </w:r>
      <w:r>
        <w:rPr>
          <w:rFonts w:eastAsia="IRNazanin" w:cs="IRNazanin"/>
          <w:color w:val="111111"/>
          <w:sz w:val="28"/>
          <w:szCs w:val="28"/>
          <w:rtl w:val="true"/>
          <w:lang w:bidi="fa-IR"/>
        </w:rPr>
        <w:t>.</w:t>
      </w:r>
    </w:p>
    <w:p>
      <w:pPr>
        <w:pStyle w:val="Heading3"/>
        <w:numPr>
          <w:ilvl w:val="2"/>
          <w:numId w:val="1"/>
        </w:numPr>
        <w:rPr/>
      </w:pPr>
      <w:bookmarkStart w:id="591" w:name="__RefHeading___Toc1656408_2281741623"/>
      <w:bookmarkStart w:id="592" w:name="_Toc210"/>
      <w:bookmarkEnd w:id="591"/>
      <w:r>
        <w:rPr>
          <w:rtl w:val="true"/>
        </w:rPr>
        <w:t>ادغام رسانه در مذهب</w:t>
      </w:r>
      <w:bookmarkEnd w:id="592"/>
    </w:p>
    <w:p>
      <w:pPr>
        <w:pStyle w:val="BookText"/>
        <w:rPr/>
      </w:pPr>
      <w:r>
        <w:rPr>
          <w:rFonts w:ascii="IRNazanin" w:hAnsi="IRNazanin" w:eastAsia="IRNazanin"/>
          <w:color w:val="111111"/>
          <w:sz w:val="28"/>
          <w:sz w:val="28"/>
          <w:szCs w:val="28"/>
          <w:rtl w:val="true"/>
          <w:lang w:bidi="fa-IR"/>
        </w:rPr>
        <w:t>ادغام رسانه در مذهب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رادیو، فیلم و نشر، به ویژه در غربِ صنعتی، به تدریج به اَشکال گوناگونی در تار و پود مذهب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نه تنها شرایط مفاهمۀ مذهبی و هم چنین نمادهای گفتار مذهبی را برای مخاطبانی گسترده استوار ساختند، بلکه در طول سدۀ بیستم به نحوی فزاینده چهارچوب های حوزۀ عمومی مذهبی را شکل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 گراهام، مبلغ انجیل، یکی از چهره های </w:t>
      </w:r>
      <w:bookmarkStart w:id="593" w:name="pg3881_27958"/>
    </w:p>
    <w:p>
      <w:pPr>
        <w:pStyle w:val="BookText"/>
        <w:rPr/>
      </w:pPr>
      <w:bookmarkEnd w:id="593"/>
      <w:r>
        <w:rPr>
          <w:rFonts w:ascii="IRNazanin" w:hAnsi="IRNazanin" w:eastAsia="IRNazanin"/>
          <w:color w:val="111111"/>
          <w:sz w:val="28"/>
          <w:sz w:val="28"/>
          <w:szCs w:val="28"/>
          <w:rtl w:val="true"/>
          <w:lang w:bidi="fa-IR"/>
        </w:rPr>
        <w:t>برجستۀ این فرآیند بود و نقش مهمی در شکل گیری نوع جدید و قابل پذیرش تری از پروتستانیسم محافظه کار ایفا کرد که از بنیاد گرایی اوایل قرن به انجیل باوری میانۀ سدۀ بیستم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اهمیت خاصی داشت که گراهام به سرعت توانست خودش را هم به عنوان یک چهرۀ عمومی و هم چهره ای رسانه ای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گیری گراهام هم چنین نشانگرِ گذار از عصر رسانه های مذهبی چاپی و صوتی به عصر رسانه های بصری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نهاد مذهبی گراهام به یکی از تهیه کنندگان و توزیع کنندگان مهم فیلم تبدیل شد، بلکه خود گراهام نیز به یکی از چهره های مذهبی مستقل بااهمیت در تلویزیون آمریکا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کاتولیک، فولتون شین، در زمینۀ حضور منظم در شبکه های تلویزیونی آمریکا بر گراهام تقدم داشت ولی جلسه های احیاء مذهبی گراهام که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تا سدۀ بیست و یکم دوام آورد و او به عنوان یکی از چهره های برجستۀ مبلغ انجیل در آمریکا و انگلستان و چهره ای بااهمیت در کل بدنۀ پروتستانیسم باقی ماند</w:t>
      </w:r>
      <w:r>
        <w:rPr>
          <w:rFonts w:eastAsia="IRNazanin" w:cs="IRNazanin"/>
          <w:color w:val="111111"/>
          <w:sz w:val="28"/>
          <w:szCs w:val="28"/>
          <w:rtl w:val="true"/>
          <w:lang w:bidi="fa-IR"/>
        </w:rPr>
        <w:t>.</w:t>
      </w:r>
    </w:p>
    <w:p>
      <w:pPr>
        <w:pStyle w:val="Heading3"/>
        <w:numPr>
          <w:ilvl w:val="2"/>
          <w:numId w:val="1"/>
        </w:numPr>
        <w:rPr/>
      </w:pPr>
      <w:bookmarkStart w:id="594" w:name="__RefHeading___Toc1656410_2281741623"/>
      <w:bookmarkStart w:id="595" w:name="_Toc211"/>
      <w:bookmarkEnd w:id="594"/>
      <w:r>
        <w:rPr>
          <w:rtl w:val="true"/>
        </w:rPr>
        <w:t>تلویزیون و مذهب</w:t>
      </w:r>
      <w:bookmarkEnd w:id="595"/>
    </w:p>
    <w:p>
      <w:pPr>
        <w:pStyle w:val="BookText"/>
        <w:rPr/>
      </w:pPr>
      <w:r>
        <w:rPr>
          <w:rFonts w:ascii="IRNazanin" w:hAnsi="IRNazanin" w:eastAsia="IRNazanin"/>
          <w:color w:val="111111"/>
          <w:sz w:val="28"/>
          <w:sz w:val="28"/>
          <w:szCs w:val="28"/>
          <w:rtl w:val="true"/>
          <w:lang w:bidi="fa-IR"/>
        </w:rPr>
        <w:t>تلویزیون و مذهب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برای مذهب، رسانه ای انقلابی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رسانه ای بود که بیش از تمامی رسانه های دیگر مخاطبان محلی و بین المللی را با یکدیگر ادغام کرد؛ تلویزیون بنیانی را فراهم ساخت که بر مبنای آن نظام نمادپردازی و گفتمان فرهنگی و اجتماعی سرانجام توانست از حوزۀ اختیارِ مراجع قدرت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برود و به فضای بازتری وارد شود که در آن نمادها و پیام های کالایی شده، خوش بیان و تأثیرگذار به تدریج ماهیت فرهنگ عمومی ـ اعم از مذهبی یا جز آن ـ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اولیۀ تلویزیون نیز </w:t>
      </w:r>
    </w:p>
    <w:p>
      <w:pPr>
        <w:pStyle w:val="BookText"/>
        <w:rPr/>
      </w:pPr>
      <w:r>
        <w:rPr>
          <w:rFonts w:ascii="IRNazanin" w:hAnsi="IRNazanin" w:eastAsia="IRNazanin"/>
          <w:color w:val="111111"/>
          <w:sz w:val="28"/>
          <w:sz w:val="28"/>
          <w:szCs w:val="28"/>
          <w:rtl w:val="true"/>
          <w:lang w:bidi="fa-IR"/>
        </w:rPr>
        <w:t>مانند رادیو تحت تأثیر الگوی خدمات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انقلابِ ویدیو که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هزینه های پخش تلویزیونی زمینی برای تمامی نهادها جز بزرگ ترین سازمان های عمومی و تجاری کمرشکن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و آمریکا، این بدان معنا بود که روایت های خاصی از رهیافت های عام گرا به مذهب، دست بالا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بریتانیا که از کلیسایی تثبیت شده برخوردار بود، امتیازات ویژه و چشم اندازهای کلیسای انگلستان در کانون خروجی های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که در راستای خدمات عمومی فعالیت می کرد ـ قرار داشت؛ هر چند با پیش بینی ها و ملاحظاتِ کامل برای صداها و چشم اندازهای دیگری که ممکن بود در آینده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رهیافت مبتنی بر حقایق عام غلبه داشت، هر چند که در عمل سه مذهب غالبِ آمریکای نیمۀ قرن ـ یعنی یهودیت، کاتولیسیسم و پروتستانیسم ـ در دسترسی به زمان های پخش از امتیازات ویژ ه ای برخوردار بودند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 متحده و بریتانیا و در واقع در تمامی نظام های تلویزیونی متکی به خدمات عمومی، مذهب عمدتاً به چیزی تنزل می یافت که با عنوانِ مذهب بسته بندی شدۀ آخر شب ها و صبح های یکشنبه شناخته می شد؛ یعنی اوقاتِ سنّتی اختصاص یافته به این برنامه ها در فضای خصوصی و اوقات خانگی هفته؛ ولی در عین حال اوقاتی که کوچک ترین رقابتی با برنامه های دیگر، که از طیف گسترده ای از مخاطبان برخوردار بودند،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شرایط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ابداعات دوگانۀ پخش ماهواره ای و نوار ویدیوییِ قطع کوچک شروع به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ماهواره و ویدیو امکان ورود طیف گسترده ای از تهیه کنندگان به حوزۀ بازار تلویزیون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ویدیویِ قطع کوچک هزینه های تولید و نهایتاً توزیعِ تلویزیونی را به شدت کاهش داد</w:t>
      </w:r>
      <w:r>
        <w:rPr>
          <w:rFonts w:eastAsia="IRNazanin" w:cs="IRNazanin"/>
          <w:color w:val="111111"/>
          <w:sz w:val="28"/>
          <w:szCs w:val="28"/>
          <w:rtl w:val="true"/>
          <w:lang w:bidi="fa-IR"/>
        </w:rPr>
        <w:t xml:space="preserve">. </w:t>
      </w:r>
      <w:bookmarkStart w:id="596" w:name="pg3881_27960"/>
    </w:p>
    <w:p>
      <w:pPr>
        <w:pStyle w:val="BookText"/>
        <w:rPr/>
      </w:pPr>
      <w:bookmarkEnd w:id="596"/>
      <w:r>
        <w:rPr>
          <w:rFonts w:ascii="IRNazanin" w:hAnsi="IRNazanin" w:eastAsia="IRNazanin"/>
          <w:color w:val="111111"/>
          <w:sz w:val="28"/>
          <w:sz w:val="28"/>
          <w:szCs w:val="28"/>
          <w:rtl w:val="true"/>
          <w:lang w:bidi="fa-IR"/>
        </w:rPr>
        <w:t xml:space="preserve">همراه با افتِ قیمتِ ابزارهای تولید ویدیویی، خودِ نوارهای ویدیویی و دستگاه ضبط ویدیویی در جریان دهه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تهیه کنندگانِ تازه ای با گرایش های تجاری، غیرتجاری، فرقه گرا، و عُرفی وارد تجارت تلویزیون شدند و تلویزیون به تدریج سرتاسر کرۀ زمین را به اشکالی بی سابقه در خود فرا گرفت</w:t>
      </w:r>
      <w:r>
        <w:rPr>
          <w:rFonts w:eastAsia="IRNazanin" w:cs="IRNazanin"/>
          <w:color w:val="111111"/>
          <w:sz w:val="28"/>
          <w:szCs w:val="28"/>
          <w:rtl w:val="true"/>
          <w:lang w:bidi="fa-IR"/>
        </w:rPr>
        <w:t>.</w:t>
      </w:r>
    </w:p>
    <w:p>
      <w:pPr>
        <w:pStyle w:val="Heading3"/>
        <w:numPr>
          <w:ilvl w:val="2"/>
          <w:numId w:val="1"/>
        </w:numPr>
        <w:rPr/>
      </w:pPr>
      <w:bookmarkStart w:id="597" w:name="__RefHeading___Toc1656412_2281741623"/>
      <w:bookmarkStart w:id="598" w:name="_Toc212"/>
      <w:bookmarkEnd w:id="597"/>
      <w:r>
        <w:rPr>
          <w:rtl w:val="true"/>
        </w:rPr>
        <w:t>دیدگاه بیلی گراهام دربارۀ تبلیغ انجیل و رسانه</w:t>
      </w:r>
      <w:bookmarkEnd w:id="598"/>
    </w:p>
    <w:p>
      <w:pPr>
        <w:pStyle w:val="BookText"/>
        <w:rPr/>
      </w:pPr>
      <w:r>
        <w:rPr>
          <w:rFonts w:ascii="IRNazanin" w:hAnsi="IRNazanin" w:eastAsia="IRNazanin"/>
          <w:color w:val="111111"/>
          <w:sz w:val="28"/>
          <w:sz w:val="28"/>
          <w:szCs w:val="28"/>
          <w:rtl w:val="true"/>
          <w:lang w:bidi="fa-IR"/>
        </w:rPr>
        <w:t>جالب آن جاست که دقیقاً در این زمان که حس می کنم نیرویم در حال تحلیل رفتن است، خداوند از رهگذر تکنولوژی، راه های تازه ای برای گسترش نهاد روحانی ما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دیگری از نوشتۀ حاضر اشاره کردم، تا پیش از قرن حاضر حوزۀ دسترسی مبلّغ انجیل به واسطۀ محدوده های صدا و توزیع نوشته های اش تعیین می شد ولی حالا تکنولوژی مدرن این موانع را از دور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گذشته، عملاً امکان آن فراهم شده است تا پیام انجیل را به سرتاسر جهان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اگر می توانستیم امکان های در دسترسِ صد، پنجاه یا حتی ده سال آینده را ببینیم، شگفت زده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اگر مسیح امروز زنده بود، از تمامی وسیله های موجود برای تبیین پیام الهی استفاده می کرد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599" w:name="__RefHeading___Toc1656414_2281741623"/>
      <w:bookmarkStart w:id="600" w:name="_Toc213"/>
      <w:bookmarkEnd w:id="599"/>
      <w:r>
        <w:rPr>
          <w:rtl w:val="true"/>
        </w:rPr>
        <w:t>تأثیر پخش ماهواره ای</w:t>
      </w:r>
      <w:bookmarkEnd w:id="600"/>
    </w:p>
    <w:p>
      <w:pPr>
        <w:pStyle w:val="BookText"/>
        <w:rPr/>
      </w:pPr>
      <w:r>
        <w:rPr>
          <w:rFonts w:ascii="IRNazanin" w:hAnsi="IRNazanin" w:eastAsia="IRNazanin"/>
          <w:color w:val="111111"/>
          <w:sz w:val="28"/>
          <w:sz w:val="28"/>
          <w:szCs w:val="28"/>
          <w:rtl w:val="true"/>
          <w:lang w:bidi="fa-IR"/>
        </w:rPr>
        <w:t>تأثیر پخش ماهواره ای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شاید عاملی که برای آیندۀ برنامه های مذهبی تلویزیون اهمیت بیشتری داشت، شکل گیری شیوۀ پخش ماهواره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مجموعه ای از تغییرات در بازار و نظارتِ تلویزیون، توزیع گستردۀ برنامه های تلویزیونی را از انحصار شبکه های گسترده یا نهادهای پخشِ دولتی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سرمایۀ لازم را در اختیار داشت، می توانست یک شبکۀ تلویزیونی راه اندازی کند و افزایش تلویزیون های کابلی در آمریکای شمالی و ظهور پخش مخفی ماهواره ای در دیگر نقاط بدان معنا بود که این شبکه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تازه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با گیرنده های خانگی هر دم بیشتر و مخاطبان هر دم فزاینده تری ارتباط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های عمدتاً تکنولوژیک، تأثیراتِ عمیق و ماندگاری بر ماهیتِ برنامه ها و شبکه های تلویزیونی مذهبی برجای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کننده های مبلّغ انجیل که برای مدتی طولانی در رادیو و حوزۀ تولید و توزیع فیلم، و تا اندازه ای در تلویزیون ـ در چهارچوب تنزل یافتۀ کم جاذبه ترین زمان ها و خروجی ها ـ فعال بودند، حالا آمادگی آن را داشتند تا از امکانات ماهواره و تلویزیونِ کابلی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شماری از نهادهای روحانی ـ تبلیغاتی که قابلیت افزایش سرمایۀ عظیمی داشتند و به نظامی الهیاتی مسلح بودند که این اکتشافات را به عنوان فرصت هایی برای دسترسی گسترده تر می نگریستند، گویی یک شبه به برنامه سازانی در ابعاد ملی و بین المللی 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از پَت رابرتسِن نام برد که به تدریج جایگاه سیاسی مهمی پیدا کرد و برنامۀ 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کانون تبلیغی بااهمیت به سدۀ بیست و یکم پا گذارد؛ هم چنین جیم و تمی بیکر با برنامۀ باشگاه</w:t>
      </w:r>
      <w:r>
        <w:rPr>
          <w:rFonts w:eastAsia="Times New Roman" w:cs="Times New Roman" w:ascii="Times New Roman" w:hAnsi="Times New Roman"/>
          <w:color w:val="111111"/>
          <w:sz w:val="28"/>
          <w:szCs w:val="28"/>
          <w:lang w:val="en-US" w:bidi="en-US"/>
        </w:rPr>
        <w:t>PTL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شبکۀ تلویزیونی ِترینیتی، متعلق به پال و جَن کراچ؛ بدون اغراق باید گفت امروزه صدها پخش کنندۀ تلویزیونی مذهبی در بازار حضور دارند و از شیوه های تولیدی و توزیعی گوناگونی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پخش کننده ها به لحاظ اندازه و میزان نفوذ با یکدیگر متفاوت اند و از شبکۀ ترینیتی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فیلم هایی با پخش عمومی تولید کرده است ـ تا تولید کننده های برنامه های یک ساعتۀ هفتگی را شامل </w:t>
      </w:r>
      <w:bookmarkStart w:id="601" w:name="pg3881_27962"/>
    </w:p>
    <w:p>
      <w:pPr>
        <w:pStyle w:val="BookText"/>
        <w:rPr/>
      </w:pPr>
      <w:bookmarkEnd w:id="601"/>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سرتاسر طیف دینی محافظه کار را در بر می گیرند؛ از شبکۀ تلویزیونی کاتولیکِ جهان باقی</w:t>
      </w:r>
      <w:r>
        <w:rPr>
          <w:rStyle w:val="FootnoteAnchor"/>
          <w:rtl w:val="true"/>
        </w:rPr>
        <w:footnoteReference w:id="189"/>
      </w:r>
      <w:r>
        <w:rPr>
          <w:rFonts w:ascii="IRNazanin" w:hAnsi="IRNazanin" w:eastAsia="IRNazanin"/>
          <w:color w:val="111111"/>
          <w:sz w:val="28"/>
          <w:sz w:val="28"/>
          <w:szCs w:val="28"/>
          <w:rtl w:val="true"/>
          <w:lang w:bidi="fa-IR"/>
        </w:rPr>
        <w:t xml:space="preserve">گرفته تا گلریزان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هین؛</w:t>
      </w:r>
      <w:r>
        <w:rPr>
          <w:rStyle w:val="FootnoteAnchor"/>
          <w:rtl w:val="true"/>
        </w:rPr>
        <w:footnoteReference w:id="190"/>
      </w:r>
    </w:p>
    <w:p>
      <w:pPr>
        <w:pStyle w:val="Heading3"/>
        <w:numPr>
          <w:ilvl w:val="2"/>
          <w:numId w:val="1"/>
        </w:numPr>
        <w:rPr/>
      </w:pPr>
      <w:bookmarkStart w:id="602" w:name="__RefHeading___Toc1656416_2281741623"/>
      <w:bookmarkStart w:id="603" w:name="_Toc214"/>
      <w:bookmarkEnd w:id="602"/>
      <w:r>
        <w:rPr>
          <w:rtl w:val="true"/>
        </w:rPr>
        <w:t>افول الگوی خدمات عمومی</w:t>
      </w:r>
      <w:bookmarkEnd w:id="603"/>
    </w:p>
    <w:p>
      <w:pPr>
        <w:pStyle w:val="BookText"/>
        <w:rPr/>
      </w:pPr>
      <w:r>
        <w:rPr>
          <w:rFonts w:ascii="IRNazanin" w:hAnsi="IRNazanin" w:eastAsia="IRNazanin"/>
          <w:color w:val="111111"/>
          <w:sz w:val="28"/>
          <w:sz w:val="28"/>
          <w:szCs w:val="28"/>
          <w:rtl w:val="true"/>
          <w:lang w:bidi="fa-IR"/>
        </w:rPr>
        <w:t>افول الگوی خدمات عمومی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تلویزیون های مذهبیِ آشکار و اعلام شده تنها بخشی از این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الگوی مبتنی بر خدماتِ عمومی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سکولار، نتیجۀ رقابت با پخش تجاری بود که در آن طیفی از صورت های فرهنگیِ کالایی شده، کانونِ محتوای کار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عقلانی به نظر می رسد که آن چه ما به سادگی تلویزیون سکولار نامیدیم، به عنوان کانون مرکزی بیان و معناسازی فرهنگی و اجتماعی، میزان قابل توجهی از برنامه هایی با محتوای مذهبی را نیز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سامانۀ پخشِ تجاری بر تمامی بی میلی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نمایش برنامه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بود از عصرِ خدماتِ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محتویات مذهبی به دقت و در برنامه های زمان بندی شده جای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باشد، غلبه کرد و شروع به زمان بندی برنامه هایی کرد که به طور مرتب با مذهب و مسائل معنوی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نمونۀ راه گشا و انقلابی، مجموعۀ بسیار موفقِ نظرکردۀ فرشته بود که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نمایش آن در شبکۀ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شد و نُه فصلِ نمایشِ کامل در فهرست برنامه های پربیننده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ژانِ آرکادیا نیز در شبکۀ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پخش شد؛ مجموعه ای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همیشه آمار بینندگان بالایی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تنها برجسته ترین نمونه ها از برنامه های پرشماری هستند که به طور ثابت و به اشکال گوناگون به مذهب و مسائل معنوی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 بیان گر آن هستند که تماشاگران تلویزیون حتی تعداد برنامه هایی بیش از این را از نظر مذهبی و </w:t>
      </w:r>
    </w:p>
    <w:p>
      <w:pPr>
        <w:pStyle w:val="BookText"/>
        <w:rPr/>
      </w:pPr>
      <w:r>
        <w:rPr>
          <w:rFonts w:ascii="IRNazanin" w:hAnsi="IRNazanin" w:eastAsia="IRNazanin"/>
          <w:color w:val="111111"/>
          <w:sz w:val="28"/>
          <w:sz w:val="28"/>
          <w:szCs w:val="28"/>
          <w:rtl w:val="true"/>
          <w:lang w:bidi="fa-IR"/>
        </w:rPr>
        <w:t>معنوی بامعنا و با اهمیت می دانند، از سیمپسِن ها گرفته تا پرونده های مجهول و حتی پیاده، پلیس سوارۀ تگزاس</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به نظر می رسد که در عصر تلویزیون، رسانه های مذهبی از رهگذر فعالیت های روزمرّۀ معناسازی مذهبی یا معنوی ـ که میزان و محدوده های ارتباطاتِ به لحاظ مذهبی یا معنوی بامعنا را تعیین می کنند ـ مجدداً جایگاه خود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گونه دیدنِ امور، نوعی تغییر نظرگاه را از جهت گیری ای متمرکز بر تکنولوژی های گوناگون رسانه ها و تاریخ آن ها، به سوی جهت گیری ای ایجاب می کند که بر کردارهای دریافتیِ مخاطبانِ رسانه ها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با گرایش های تحلیل فرهنگی معاصرِ ما نیز همسو خواهد بود؛ گرایش هایی که به جای تولید بیشتر معطوف به دریافت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ضرورتاً به در نظر گرفتن رسانه های مذهبی در ترکیب و تعامل با یکدیگر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و تملک چند جانبۀ فزاینده در صنایع رسانه ای، کردارِ چندرسانه ایِ در حال رشدِ مخاطبان نیز با نوعی چندرسانه ای سازی اقتصادی و فرهنگی تقارن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رسانه های مذهبی و رسانه های مربوط به مذهب، این نوع چندرسانه ای سازی، پدیدۀ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نهادهای روحانیِ مستقل علاوه بر برنامه های تلویزیونی و فیلم، به تهیۀ کتاب، نوار های صوتی و تصویری، نشریه، مجله، کتابچه و سی دی و دی وی دی پرداخته اند و این رسانه ها به شکلی فزاینده به ارتقا و تقویت یکدیگر کمک می کنند؛ برای نمونه از طریق بازاریابی برای محصولاتِ مکتوب از طریق رادیو و تلویزیون و برعکس</w:t>
      </w:r>
      <w:r>
        <w:rPr>
          <w:rFonts w:eastAsia="IRNazanin" w:cs="IRNazanin"/>
          <w:color w:val="111111"/>
          <w:sz w:val="28"/>
          <w:szCs w:val="28"/>
          <w:rtl w:val="true"/>
          <w:lang w:bidi="fa-IR"/>
        </w:rPr>
        <w:t xml:space="preserve">. </w:t>
      </w:r>
      <w:bookmarkStart w:id="604" w:name="pg3881_27964"/>
    </w:p>
    <w:p>
      <w:pPr>
        <w:pStyle w:val="Heading3"/>
        <w:numPr>
          <w:ilvl w:val="2"/>
          <w:numId w:val="1"/>
        </w:numPr>
        <w:rPr/>
      </w:pPr>
      <w:bookmarkStart w:id="605" w:name="__RefHeading___Toc1656418_2281741623"/>
      <w:bookmarkStart w:id="606" w:name="_Toc215"/>
      <w:bookmarkEnd w:id="604"/>
      <w:bookmarkEnd w:id="605"/>
      <w:r>
        <w:rPr>
          <w:rtl w:val="true"/>
        </w:rPr>
        <w:t>فعالیت های رسانه ای</w:t>
      </w:r>
      <w:bookmarkEnd w:id="606"/>
    </w:p>
    <w:p>
      <w:pPr>
        <w:pStyle w:val="BookText"/>
        <w:rPr/>
      </w:pPr>
      <w:r>
        <w:rPr>
          <w:rFonts w:ascii="IRNazanin" w:hAnsi="IRNazanin" w:eastAsia="IRNazanin"/>
          <w:color w:val="111111"/>
          <w:sz w:val="28"/>
          <w:sz w:val="28"/>
          <w:szCs w:val="28"/>
          <w:rtl w:val="true"/>
          <w:lang w:bidi="fa-IR"/>
        </w:rPr>
        <w:t>فعالیت های رسانه ای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قابل توجهی از رسانه های مذهبی از طیفِ محافظه کار مسیحیت و پروتستانیسم ریشه گرفته اند ولی دیگر مذاهب نیز رسانه 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عرفانی ای که با عنوان نیو ایج</w:t>
      </w:r>
      <w:r>
        <w:rPr>
          <w:rStyle w:val="FootnoteAnchor"/>
          <w:rtl w:val="true"/>
        </w:rPr>
        <w:footnoteReference w:id="191"/>
      </w:r>
      <w:r>
        <w:rPr>
          <w:rFonts w:ascii="IRNazanin" w:hAnsi="IRNazanin" w:eastAsia="IRNazanin"/>
          <w:color w:val="111111"/>
          <w:sz w:val="28"/>
          <w:sz w:val="28"/>
          <w:szCs w:val="28"/>
          <w:rtl w:val="true"/>
          <w:lang w:bidi="fa-IR"/>
        </w:rPr>
        <w:t>یا باورهای متمرکز بر جویندگان راه شناخته می شوند، فعالیت های رسانه ای چشم گیر و پرهزینه ای را پدید آورده اند، هرچند که این گرایش ها بیش از رادیو و تلویزیون در قالب هیئت های مذهبیِ سنتی تر فعال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به تدریج این کردارهای رسانه ای را در بسترِ دغدغه ای کلی تر در مورد فرهنگِ مادی مذهب</w:t>
      </w:r>
      <w:r>
        <w:rPr>
          <w:rStyle w:val="FootnoteAnchor"/>
          <w:rtl w:val="true"/>
        </w:rPr>
        <w:footnoteReference w:id="192"/>
      </w:r>
      <w:r>
        <w:rPr>
          <w:rFonts w:ascii="IRNazanin" w:hAnsi="IRNazanin" w:eastAsia="IRNazanin"/>
          <w:color w:val="111111"/>
          <w:sz w:val="28"/>
          <w:sz w:val="28"/>
          <w:szCs w:val="28"/>
          <w:rtl w:val="true"/>
          <w:lang w:bidi="fa-IR"/>
        </w:rPr>
        <w:t>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که در این حوزه صورت گرفته اند هر چیزی را از کارت های خوشامدگویی تا فعالیت های خاک سپاری، هدایا، تصویرسازی برای تقویم ها، هنرهای بومی و به طور کلی طیف وسیعِ اشکالی که مذهب می تواند در آن ها بیان و تجربه شود، بزرگ داشته شود یا قالبی کالایی به خود بگیرد،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گوناگون در عین حال نسبت های مختلفی با حوزه های جمعیت شناختی گوناگونِ مذهبی و غیرمذهبی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بخش عظیم و با نفوذی از صنعت نشر طیفی از سازمان ها، حساسیت ها و گروه های مذهبی را تحت پوشش خود قرار می دهد؛ با نشریاتی مانند </w:t>
      </w:r>
      <w:r>
        <w:rPr>
          <w:rFonts w:eastAsia="Times New Roman" w:cs="Times New Roman" w:ascii="Times New Roman" w:hAnsi="Times New Roman"/>
          <w:color w:val="111111"/>
          <w:sz w:val="28"/>
          <w:szCs w:val="28"/>
          <w:lang w:val="en-US" w:bidi="en-US"/>
        </w:rPr>
        <w:t>Christianity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فعالیت های انتشاراتی گوناگونِ منتسب به آن، که نقشی محوری در قطبِ محافظه کارِ طیفِ پروتستان ها ایفا می کند؛ در سوی دیگر این طیف، نشریۀ</w:t>
      </w:r>
      <w:r>
        <w:rPr>
          <w:rFonts w:eastAsia="Times New Roman" w:cs="Times New Roman" w:ascii="Times New Roman" w:hAnsi="Times New Roman"/>
          <w:color w:val="111111"/>
          <w:sz w:val="28"/>
          <w:szCs w:val="28"/>
          <w:lang w:val="en-US" w:bidi="en-US"/>
        </w:rPr>
        <w:t>Sojourners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فعالیت های آن جای می گیرد و هم چنین مجموعۀ بنگاه های کاتولیک و یهودی ای که هر یک بازیگران مهمی در این عرصه به شمار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حوزه های جمعیت شناختی گوناگون، رسانه های عامه پسند را نیز به شیوه های خاص خود مصرف می کنند؛ شیوه هایی که باز هم از نظر مذهبی یا معنوی بامعنا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جوانان نیز از این نظر حوزۀ علایق خاصی را تشکیل می دهد و به ویژه در زمینۀ تخصیص و سازگارسازی طیفی از رسانه ها بر طبق جست وجوهای خویش برای معانی معنوی یا مذهبی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رسانه هایی که بیش از همه با فرهنگ های جوان و در حال زایش در ارتباط هستند، باید از فن آوری هایی یاد کرد که به ویژه در انتهای سدۀ بیستم و آغاز سدۀ بیست و یکم اهمیت یافته اند؛ رسانه های دیجیتالِ اینترنت، وسایل ارتباطی شخصی و شبکۀ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با ظهور خود چشم اندازهای با اهمیتی در حوزه های مذهب و مسائل معنوی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وسیعی از وب سایت ها، جلسات، خدمات گروهی و دیگر فعالیت های اینترنتی از مضامین و تداعی های مذهبیِ کمتر آشکار و خودآگاهانه ای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اینترنت و شبکۀ جهانی پتانسیل زیادی در جهت تبدیل شدن به جبهۀ تازه ای برای تحوّل مذهب از خود نشان می دهند، دلایل کافی برای این گمان وجود دارد که بخش قابل توجه آن چه در این رسانۀ تازه می گذرد، بیشتر خصلتی معمولی و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رسانه های دیجیتالِ در حال ظهوری چون پیام رسانی فوری</w:t>
      </w:r>
      <w:r>
        <w:rPr>
          <w:rStyle w:val="FootnoteAnchor"/>
          <w:rtl w:val="true"/>
        </w:rPr>
        <w:footnoteReference w:id="193"/>
      </w:r>
      <w:r>
        <w:rPr>
          <w:rFonts w:ascii="IRNazanin" w:hAnsi="IRNazanin" w:eastAsia="IRNazanin"/>
          <w:color w:val="111111"/>
          <w:sz w:val="28"/>
          <w:sz w:val="28"/>
          <w:szCs w:val="28"/>
          <w:rtl w:val="true"/>
          <w:lang w:bidi="fa-IR"/>
        </w:rPr>
        <w:t>ممکن است حکایت از دگرگونی هایی باز هم بیشتر در نحوۀ بیان و تحقق مذهب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تحول رسانه ها، دگرگونی، همواره حکم قاعده را داشته است و تعاملِ رسانه با مذهب در آینده نیز کماکان از دگرگونی های تکنولوژیک و فرهنگی سرچشمه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استوارت هوور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مجید اخگر </w:t>
      </w:r>
      <w:bookmarkStart w:id="607" w:name="pg3881_27966"/>
    </w:p>
    <w:p>
      <w:pPr>
        <w:pStyle w:val="Heading3"/>
        <w:numPr>
          <w:ilvl w:val="2"/>
          <w:numId w:val="1"/>
        </w:numPr>
        <w:rPr/>
      </w:pPr>
      <w:bookmarkStart w:id="608" w:name="__RefHeading___Toc1656420_2281741623"/>
      <w:bookmarkStart w:id="609" w:name="_Toc216"/>
      <w:bookmarkEnd w:id="607"/>
      <w:bookmarkEnd w:id="608"/>
      <w:r>
        <w:rPr>
          <w:rtl w:val="true"/>
        </w:rPr>
        <w:t>برای مطالعۀ بیشتر</w:t>
      </w:r>
      <w:bookmarkEnd w:id="609"/>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Boudoin, T. (2000). Virtual faith: The irreverent spiritual quest of Generation X.San Francisco: Jossey-Bass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Brasher, B. (2001). Give me that online religion.San Francisco: Jossey-Bass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Carpenter, J. (1985, April). Tuning in the Gospel: Fundamentalist radio broadcasting and the revival of mass Evangelism,1930–45. Paper delivered to the Mid-American Studies Association, University of Illinois, Urbana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 L. S. (2003). From angels to aliens: Teenagers, the supernatural, and the media.New York: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Crowley, D., &amp; Heyer, P. (2003). Communication in history. Boston: Allyn and Bacon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Eisenstein, E. (1980). The printing press as an agent of change. New York: Cambridge University Press</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Habermans, J. (1991). The structural transformation of the public sphere.Cambridge, MA: MIT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Hadden, J., &amp; Cowan, D. (Eds.). (2000). Religion on the Internet.New York: JAI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Hendershot, H. (2004). Shaking the world for Jesus: Media and conservative Evangelical culture.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M. (2002). The culturalist turn in scholarship on media and religion. Journal of Media and Religion, 1(1), 25–36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M. (in press). Islands in the Global Stream: Television, Religion, and Geographic Integration. Studies in World Christianity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M., Clark, L. S., Alters, D.F., Champ, J.G., &amp; Hood, L. (2004). Media, home and family.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Hoover, S. M., Clark, L. S., &amp; Rainie,L. (2004). Faith online. A technical report of the Pew Internet and American Life Project. Retrieved June 13, 2005, from http://www.pewinternet.org/pdfs/PIP_Faith_Online_2004.pdf</w:t>
      </w:r>
    </w:p>
    <w:p>
      <w:pPr>
        <w:pStyle w:val="BookText"/>
        <w:rPr/>
      </w:pPr>
      <w:r>
        <w:rPr>
          <w:rFonts w:eastAsia="Times New Roman" w:cs="Times New Roman" w:ascii="Times New Roman" w:hAnsi="Times New Roman"/>
          <w:color w:val="111111"/>
          <w:sz w:val="28"/>
          <w:szCs w:val="28"/>
          <w:lang w:val="en-US" w:bidi="en-US"/>
        </w:rPr>
        <w:t>Hoover,S. M., &amp; Wagner,D. K. (1997). History and policy in American broadcast treatment of religion. Media, Culture and Society, 19(1), 7–27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Innis, H. A. (1972). Empire and communications. Toronto, Canada: University of Toronto Press</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Mahan, J., &amp; Forbes, B. (Eds.). (2000). Religion and popular culture in America. Berkeley: University of California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Marsden, G. (1982). Preachers of paradox. In M. Douglas &amp; S. Tipton (Eds.), Religion and America (p. 155). Boston: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McDannell, C. (1998). Material Christianity.New Haven, CT: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Morgan, D. (1999). Visual piety.Berkeley: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Morgan, D., &amp; Promey, S. (Eds.). (2001). The visual culture of American religions.Berkeley: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Nord, D. P. (2004). Faith in reading: Religious publishing and the birth of mass media in America, 1790–1860.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Pinsky, M. (2001). The Gospel according to the Simpsons: The spiritual life of the world’s most animated family.Louisville, KY: Westminster John Knox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Roof, W. C. (1998). Spiritual marketplace.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 The mythos of the electronic church. Critical Studies in Mass Communication, 4(3), 245–261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Wright, C. (1986). Mass communication: Asociological perspective.New York:McGraw-Hill</w:t>
      </w:r>
      <w:r>
        <w:rPr>
          <w:rFonts w:eastAsia="Times New Roman" w:cs="Times New Roman" w:ascii="Times New Roman" w:hAnsi="Times New Roman"/>
          <w:color w:val="111111"/>
          <w:sz w:val="28"/>
          <w:szCs w:val="28"/>
          <w:rtl w:val="true"/>
          <w:lang w:val="en-US" w:bidi="en-US"/>
        </w:rPr>
        <w:t xml:space="preserve">. </w:t>
      </w:r>
      <w:bookmarkStart w:id="610" w:name="pg3881_27969"/>
    </w:p>
    <w:p>
      <w:pPr>
        <w:pStyle w:val="Heading2"/>
        <w:numPr>
          <w:ilvl w:val="1"/>
          <w:numId w:val="1"/>
        </w:numPr>
        <w:rPr/>
      </w:pPr>
      <w:bookmarkStart w:id="611" w:name="__RefHeading___Toc1656422_2281741623"/>
      <w:bookmarkStart w:id="612" w:name="_Toc217"/>
      <w:bookmarkEnd w:id="610"/>
      <w:bookmarkEnd w:id="611"/>
      <w:r>
        <w:rPr>
          <w:rtl w:val="true"/>
        </w:rPr>
        <w:t>رسانه ها در اسراییل</w:t>
      </w:r>
      <w:bookmarkEnd w:id="612"/>
    </w:p>
    <w:p>
      <w:pPr>
        <w:pStyle w:val="Heading3"/>
        <w:numPr>
          <w:ilvl w:val="2"/>
          <w:numId w:val="1"/>
        </w:numPr>
        <w:rPr/>
      </w:pPr>
      <w:bookmarkStart w:id="613" w:name="__RefHeading___Toc1656424_2281741623"/>
      <w:bookmarkStart w:id="614" w:name="_Toc218"/>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رسانه ها در اسراییل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دولت اسراییل، یکی از مشخصه های رسانه های جمعی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میان دین و دولت در اسراییل، موضوع همیشگی پوشش خبری و برنامه های گفت وگویی در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رسانۀ دینیِ جداگانه ای نیز وجود دارد که نیازهای خبری و اطلاعاتی گروه هایی مانند حَرِدی ها</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عبری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ارتدکس های مدرن یا دِعتی لئومی</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دینداران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جریان اصلی دینی ـ را در اسراییل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ها در ساختار رسانه ها، مانند توجه به جایگاه دین در خبررسانی جمعی و اینترنت و دگرگونی های درونی حَرِدی ها و دعتی لئومی ها، رسانه های </w:t>
      </w:r>
      <w:bookmarkStart w:id="615" w:name="pg3881_27970"/>
    </w:p>
    <w:p>
      <w:pPr>
        <w:pStyle w:val="BookText"/>
        <w:rPr/>
      </w:pPr>
      <w:bookmarkEnd w:id="615"/>
      <w:r>
        <w:rPr>
          <w:rFonts w:ascii="IRNazanin" w:hAnsi="IRNazanin" w:eastAsia="IRNazanin"/>
          <w:color w:val="111111"/>
          <w:sz w:val="28"/>
          <w:sz w:val="28"/>
          <w:szCs w:val="28"/>
          <w:rtl w:val="true"/>
          <w:lang w:bidi="fa-IR"/>
        </w:rPr>
        <w:t>جمعی را به عامل فرعی شکل دهندۀ هویت دینی معاصر و پل ارتباطی میان گروه های دینی و سکولار در اسراییل تبدیل کرده است</w:t>
      </w:r>
      <w:r>
        <w:rPr>
          <w:rFonts w:eastAsia="IRNazanin" w:cs="IRNazanin"/>
          <w:color w:val="111111"/>
          <w:sz w:val="28"/>
          <w:szCs w:val="28"/>
          <w:rtl w:val="true"/>
          <w:lang w:bidi="fa-IR"/>
        </w:rPr>
        <w:t>.</w:t>
      </w:r>
    </w:p>
    <w:p>
      <w:pPr>
        <w:pStyle w:val="Heading3"/>
        <w:numPr>
          <w:ilvl w:val="2"/>
          <w:numId w:val="1"/>
        </w:numPr>
        <w:rPr/>
      </w:pPr>
      <w:bookmarkStart w:id="616" w:name="__RefHeading___Toc1656426_2281741623"/>
      <w:bookmarkStart w:id="617" w:name="_Toc219"/>
      <w:bookmarkEnd w:id="616"/>
      <w:r>
        <w:rPr>
          <w:rtl w:val="true"/>
        </w:rPr>
        <w:t>رسانه های جمعی</w:t>
      </w:r>
      <w:bookmarkEnd w:id="617"/>
    </w:p>
    <w:p>
      <w:pPr>
        <w:pStyle w:val="BookText"/>
        <w:rPr/>
      </w:pPr>
      <w:r>
        <w:rPr>
          <w:rFonts w:ascii="IRNazanin" w:hAnsi="IRNazanin" w:eastAsia="IRNazanin"/>
          <w:color w:val="111111"/>
          <w:sz w:val="28"/>
          <w:sz w:val="28"/>
          <w:szCs w:val="28"/>
          <w:rtl w:val="true"/>
          <w:lang w:bidi="fa-IR"/>
        </w:rPr>
        <w:t>رسانه های جمعی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کانال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سکولارها، بیشتر سنت گرا ها و جمعیت دیندار کشور ـ که شامل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اسراییل می شوند ـ اطلاعات لازم دربارۀ دین را از رسانه ها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دین در رسانه های جمعی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خبری مرتبط با دین و گزارش ـ داستان هایی دربارۀ دین که ربطی به اخبار روزانه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خبری دین، بیشتر دربارة دین و دولت است که شامل احزاب سیاسیِ دینی ـ که یک پنجم از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کرسی مجلس را دراختیار دارند و در تشکیل حکومت ائتلافی سهیم اند ـ بودجه های حکومتی برای یشیواها</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استثنائات ارتش برای دانشجویان نهادهای عالی دینی، منزلت جریان های دینی کوچک ولی در حال رشد غیر ارتدکس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کاران و اصلاح طلبانی که حکومت مرکزی، آنان را به رسمیت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آن ها از جایگاه رسمی دخالت ها در دین و مسئلة شبات</w:t>
      </w:r>
      <w:r>
        <w:rPr>
          <w:rStyle w:val="FootnoteAnchor"/>
          <w:rtl w:val="true"/>
        </w:rPr>
        <w:footnoteReference w:id="197"/>
      </w:r>
      <w:r>
        <w:rPr>
          <w:rFonts w:ascii="Amiri" w:hAnsi="Amiri" w:eastAsia="Amiri" w:cs="Amiri"/>
          <w:color w:val="111111"/>
          <w:sz w:val="28"/>
          <w:sz w:val="28"/>
          <w:szCs w:val="28"/>
          <w:rtl w:val="true"/>
          <w:lang w:bidi="ar-SA"/>
        </w:rPr>
        <w:t>و کَشروت</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نهادهای گروهی،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ملی دیگر، رادیو و تلویزیون هر کدام خبرنگاری در حوزۀ مسائل دینی دارند که وقایع مهم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داخلی مانند زندگی کنیسه ای، آیین های دینی، خاخام ها، نهادهای آموزش دینی به استثنای نهادهای متکی به بودجۀ حکومتی و گروه های دینی جوانان، توجه چندانی جلب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احکام قضایی</w:t>
      </w:r>
      <w:r>
        <w:rPr>
          <w:rStyle w:val="FootnoteAnchor"/>
          <w:rtl w:val="true"/>
        </w:rPr>
        <w:footnoteReference w:id="199"/>
      </w:r>
      <w:r>
        <w:rPr>
          <w:rFonts w:ascii="IRNazanin" w:hAnsi="IRNazanin" w:eastAsia="IRNazanin"/>
          <w:color w:val="111111"/>
          <w:sz w:val="28"/>
          <w:sz w:val="28"/>
          <w:szCs w:val="28"/>
          <w:rtl w:val="true"/>
          <w:lang w:bidi="fa-IR"/>
        </w:rPr>
        <w:t>معمول در رسانه های مردمی مطرح می شوند؛ مانند روزنامه های یِدیعوت اَحَرونوت</w:t>
      </w:r>
      <w:r>
        <w:rPr>
          <w:rStyle w:val="FootnoteAnchor"/>
          <w:rtl w:val="true"/>
        </w:rPr>
        <w:footnoteReference w:id="200"/>
      </w:r>
      <w:r>
        <w:rPr>
          <w:rFonts w:ascii="Amiri" w:hAnsi="Amiri" w:eastAsia="Amiri" w:cs="Amiri"/>
          <w:color w:val="111111"/>
          <w:sz w:val="28"/>
          <w:sz w:val="28"/>
          <w:szCs w:val="28"/>
          <w:rtl w:val="true"/>
          <w:lang w:bidi="ar-SA"/>
        </w:rPr>
        <w:t>و مَعریو</w:t>
      </w:r>
      <w:r>
        <w:rPr>
          <w:rStyle w:val="FootnoteAnchor"/>
          <w:rtl w:val="true"/>
        </w:rPr>
        <w:footnoteReference w:id="201"/>
      </w:r>
      <w:r>
        <w:rPr>
          <w:rFonts w:ascii="IRNazanin" w:hAnsi="IRNazanin" w:eastAsia="IRNazanin"/>
          <w:color w:val="111111"/>
          <w:sz w:val="28"/>
          <w:sz w:val="28"/>
          <w:szCs w:val="28"/>
          <w:rtl w:val="true"/>
          <w:lang w:bidi="fa-IR"/>
        </w:rPr>
        <w:t>آن هم فقط در حالتی که نوعی انحراف از دین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در این باره، روزهای تعطیل دینی است که معمولاً با عکس ها و گزارش های </w:t>
      </w:r>
      <w:bookmarkStart w:id="618" w:name="pg3881_27971"/>
    </w:p>
    <w:p>
      <w:pPr>
        <w:pStyle w:val="BookText"/>
        <w:rPr/>
      </w:pPr>
      <w:bookmarkEnd w:id="618"/>
      <w:r>
        <w:rPr>
          <w:rFonts w:ascii="IRNazanin" w:hAnsi="IRNazanin" w:eastAsia="IRNazanin"/>
          <w:color w:val="111111"/>
          <w:sz w:val="28"/>
          <w:sz w:val="28"/>
          <w:szCs w:val="28"/>
          <w:rtl w:val="true"/>
          <w:lang w:bidi="fa-IR"/>
        </w:rPr>
        <w:t>تلویزیونی در شب و روز عید همراه است؛ مانند گزارش هایی دربارة غذاهای عید پِسَح، لباس های ویژۀ کودکان برای تعطیلات عید پوریم یا کارهای گوناگونی که دینداران و سکولارهای اسراییل برای گذراندن تعطیلات در عید پِسَح و سوکوت</w:t>
      </w:r>
      <w:r>
        <w:rPr>
          <w:rStyle w:val="FootnoteAnchor"/>
          <w:rtl w:val="true"/>
        </w:rPr>
        <w:footnoteReference w:id="202"/>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حَرِدی ها ـ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پنج میلیون یهودی اسراییل را تشکیل می دهند ـ به سبب نفود سیاسی و شیوة ضدمدرنی که برای زندگی برگزیده اند، از بالاترین پوشش خبری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ارتدکس های مدرن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به پرسش هایی در بارة دین و دولت می پردازند و بیشتر به دنبال طرح اسکان در کرانة باختری یا همان منطقه ای که در کتاب مقدس، یهودیه نام دارد، هستند 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به اصلاح طلبان و محافظه کاران توجهی نمی شود، مگر زمانی که به اقتدار ارتدکس ها در برابر حکومت یا دادگاه عالی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مسلمانان یک ششم اسراییل را تشکیل می دهند و مهم ترین کلیساهای مسیحی در اورشلیم، ناصریه و بیت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پوشش خبری این دو گروه، نزدیک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دینی، محدود به ستونی در جمعه های هر سه روزنامة ملی اسراییل یعنی هاآرِتس، یدیعوت اَحَرنوت و مَعریو، اختصاص به خواندن کتاب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رایج در رفتار دینی گاهی سوژة روزنامه ها می شود</w:t>
      </w:r>
      <w:r>
        <w:rPr>
          <w:rFonts w:eastAsia="IRNazanin" w:cs="IRNazanin"/>
          <w:color w:val="111111"/>
          <w:sz w:val="28"/>
          <w:szCs w:val="28"/>
          <w:rtl w:val="true"/>
          <w:lang w:bidi="fa-IR"/>
        </w:rPr>
        <w:t>.</w:t>
      </w:r>
    </w:p>
    <w:p>
      <w:pPr>
        <w:pStyle w:val="Heading3"/>
        <w:numPr>
          <w:ilvl w:val="2"/>
          <w:numId w:val="1"/>
        </w:numPr>
        <w:rPr/>
      </w:pPr>
      <w:bookmarkStart w:id="619" w:name="__RefHeading___Toc1656428_2281741623"/>
      <w:bookmarkStart w:id="620" w:name="_Toc220"/>
      <w:bookmarkEnd w:id="619"/>
      <w:r>
        <w:rPr>
          <w:rtl w:val="true"/>
        </w:rPr>
        <w:t>مطبوعات حَرِدی ها</w:t>
      </w:r>
      <w:bookmarkEnd w:id="620"/>
    </w:p>
    <w:p>
      <w:pPr>
        <w:pStyle w:val="Heading4"/>
        <w:numPr>
          <w:ilvl w:val="3"/>
          <w:numId w:val="1"/>
        </w:numPr>
        <w:rPr/>
      </w:pPr>
      <w:bookmarkStart w:id="621" w:name="__RefHeading___Toc1656430_2281741623"/>
      <w:bookmarkStart w:id="622" w:name="_Toc221"/>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مطبوعات حَرِدی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محتوا</w:t>
      </w:r>
    </w:p>
    <w:p>
      <w:pPr>
        <w:pStyle w:val="Heading4"/>
        <w:numPr>
          <w:ilvl w:val="3"/>
          <w:numId w:val="1"/>
        </w:numPr>
        <w:rPr/>
      </w:pPr>
      <w:bookmarkStart w:id="623" w:name="__RefHeading___Toc1656432_2281741623"/>
      <w:bookmarkStart w:id="624" w:name="_Toc222"/>
      <w:bookmarkEnd w:id="623"/>
      <w:r>
        <w:rPr>
          <w:rtl w:val="true"/>
        </w:rPr>
        <w:t>ساختار</w:t>
      </w:r>
      <w:bookmarkEnd w:id="624"/>
    </w:p>
    <w:p>
      <w:pPr>
        <w:pStyle w:val="BookText"/>
        <w:rPr/>
      </w:pPr>
      <w:r>
        <w:rPr>
          <w:rFonts w:ascii="IRNazanin" w:hAnsi="IRNazanin" w:eastAsia="IRNazanin"/>
          <w:color w:val="111111"/>
          <w:sz w:val="28"/>
          <w:sz w:val="28"/>
          <w:szCs w:val="28"/>
          <w:rtl w:val="true"/>
          <w:lang w:bidi="fa-IR"/>
        </w:rPr>
        <w:t>ساختار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دینی به دو دستة مطبوعات حَرِدی و مطبوعات ارتدکس تقسیم می شوند؛ مطبوعات حَرِدی، روزنامه های وابسته به حزب یا نهاد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روزنامة حَرِدی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هَمودیع</w:t>
      </w:r>
      <w:r>
        <w:rPr>
          <w:rStyle w:val="FootnoteAnchor"/>
          <w:rtl w:val="true"/>
        </w:rPr>
        <w:footnoteReference w:id="203"/>
      </w:r>
      <w:r>
        <w:rPr>
          <w:rFonts w:ascii="IRNazanin" w:hAnsi="IRNazanin" w:eastAsia="IRNazanin"/>
          <w:color w:val="111111"/>
          <w:sz w:val="28"/>
          <w:sz w:val="28"/>
          <w:szCs w:val="28"/>
          <w:rtl w:val="true"/>
          <w:lang w:bidi="fa-IR"/>
        </w:rPr>
        <w:t xml:space="preserve">نام دارد 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و ارگان حزب سیاسی آگودت ییسرائل</w:t>
      </w:r>
      <w:r>
        <w:rPr>
          <w:rStyle w:val="FootnoteAnchor"/>
          <w:rtl w:val="true"/>
        </w:rPr>
        <w:footnoteReference w:id="204"/>
      </w:r>
      <w:r>
        <w:rPr>
          <w:rFonts w:ascii="IRNazanin" w:hAnsi="IRNazanin" w:eastAsia="IRNazanin"/>
          <w:color w:val="111111"/>
          <w:sz w:val="28"/>
          <w:sz w:val="28"/>
          <w:szCs w:val="28"/>
          <w:rtl w:val="true"/>
          <w:lang w:bidi="fa-IR"/>
        </w:rPr>
        <w:t>و نمایندة گرایش حَرِدی های حاسیدی اشکنازی است و با دادگاه گِرار</w:t>
      </w:r>
      <w:r>
        <w:rPr>
          <w:rStyle w:val="FootnoteAnchor"/>
          <w:rtl w:val="true"/>
        </w:rPr>
        <w:footnoteReference w:id="205"/>
      </w:r>
      <w:r>
        <w:rPr>
          <w:rFonts w:ascii="IRNazanin" w:hAnsi="IRNazanin" w:eastAsia="IRNazanin"/>
          <w:color w:val="111111"/>
          <w:sz w:val="28"/>
          <w:sz w:val="28"/>
          <w:szCs w:val="28"/>
          <w:rtl w:val="true"/>
          <w:lang w:bidi="fa-IR"/>
        </w:rPr>
        <w:t>حاسیدیون رابطة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عقاید توراتی، یاتِد نِئِمان</w:t>
      </w:r>
      <w:r>
        <w:rPr>
          <w:rStyle w:val="FootnoteAnchor"/>
          <w:rtl w:val="true"/>
        </w:rPr>
        <w:footnoteReference w:id="206"/>
      </w:r>
      <w:r>
        <w:rPr>
          <w:rFonts w:ascii="IRNazanin" w:hAnsi="IRNazanin" w:eastAsia="IRNazanin"/>
          <w:color w:val="111111"/>
          <w:sz w:val="28"/>
          <w:sz w:val="28"/>
          <w:szCs w:val="28"/>
          <w:rtl w:val="true"/>
          <w:lang w:bidi="fa-IR"/>
        </w:rPr>
        <w:t>ارگان حزب دِگِل تورا،</w:t>
      </w:r>
      <w:r>
        <w:rPr>
          <w:rStyle w:val="FootnoteAnchor"/>
          <w:rtl w:val="true"/>
        </w:rPr>
        <w:footnoteReference w:id="207"/>
      </w:r>
      <w:r>
        <w:rPr>
          <w:rFonts w:ascii="IRNazanin" w:hAnsi="IRNazanin" w:eastAsia="IRNazanin"/>
          <w:color w:val="111111"/>
          <w:sz w:val="28"/>
          <w:sz w:val="28"/>
          <w:szCs w:val="28"/>
          <w:rtl w:val="true"/>
          <w:lang w:bidi="fa-IR"/>
        </w:rPr>
        <w:t>نمایندة گرایش حَرِدی های اشکنازی غیرحاسیدی یا همان لیتوانیایی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را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الیعِزِر شاخ، رهبر نخبگان یشیوای پونووِر</w:t>
      </w:r>
      <w:r>
        <w:rPr>
          <w:rStyle w:val="FootnoteAnchor"/>
          <w:rtl w:val="true"/>
        </w:rPr>
        <w:footnoteReference w:id="208"/>
      </w:r>
      <w:r>
        <w:rPr>
          <w:rFonts w:ascii="IRNazanin" w:hAnsi="IRNazanin" w:eastAsia="IRNazanin"/>
          <w:color w:val="111111"/>
          <w:sz w:val="28"/>
          <w:sz w:val="28"/>
          <w:szCs w:val="28"/>
          <w:rtl w:val="true"/>
          <w:lang w:bidi="fa-IR"/>
        </w:rPr>
        <w:t>در بنه براق</w:t>
      </w:r>
      <w:r>
        <w:rPr>
          <w:rStyle w:val="FootnoteAnchor"/>
          <w:rtl w:val="true"/>
        </w:rPr>
        <w:footnoteReference w:id="209"/>
      </w:r>
      <w:r>
        <w:rPr>
          <w:rFonts w:ascii="IRNazanin" w:hAnsi="IRNazanin" w:eastAsia="IRNazanin"/>
          <w:color w:val="111111"/>
          <w:sz w:val="28"/>
          <w:sz w:val="28"/>
          <w:szCs w:val="28"/>
          <w:rtl w:val="true"/>
          <w:lang w:bidi="fa-IR"/>
        </w:rPr>
        <w:t>بنیان نهاد؛ پس از آن که این گروه از شورای فرزانگان تورات</w:t>
      </w:r>
      <w:r>
        <w:rPr>
          <w:rStyle w:val="FootnoteAnchor"/>
          <w:rtl w:val="true"/>
        </w:rPr>
        <w:footnoteReference w:id="210"/>
      </w:r>
      <w:r>
        <w:rPr>
          <w:rFonts w:ascii="IRNazanin" w:hAnsi="IRNazanin" w:eastAsia="IRNazanin"/>
          <w:color w:val="111111"/>
          <w:sz w:val="28"/>
          <w:sz w:val="28"/>
          <w:szCs w:val="28"/>
          <w:rtl w:val="true"/>
          <w:lang w:bidi="fa-IR"/>
        </w:rPr>
        <w:t>کنار رفت ـ که گروهی از خاخام های حَرِدی اشکنازی بودند ـ خوانندگان روزنامه ها، حَرِدی های را با توجه به زمینة اشکنازی یا سفاردی شان از هم متمایز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روزنامه ها با شمار نزدیک سی هزار نسخه منتشر می شوند به جز رادیو که فقط رسانة این گروه است؛ روزنامه ها، نقش عمده ای در یارگیری سیاسی دارند،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حَرِدی های، هَمودیع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یاتِد نِئِمان می خوانند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سیاسی سفاردی شاس</w:t>
      </w:r>
      <w:r>
        <w:rPr>
          <w:rStyle w:val="FootnoteAnchor"/>
          <w:rtl w:val="true"/>
        </w:rPr>
        <w:footnoteReference w:id="21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روزنامة خود را با نام یوم لیوم</w:t>
      </w:r>
      <w:r>
        <w:rPr>
          <w:rStyle w:val="FootnoteAnchor"/>
          <w:rtl w:val="true"/>
        </w:rPr>
        <w:footnoteReference w:id="212"/>
      </w:r>
      <w:r>
        <w:rPr>
          <w:rFonts w:ascii="IRNazanin" w:hAnsi="IRNazanin" w:eastAsia="IRNazanin"/>
          <w:color w:val="111111"/>
          <w:sz w:val="28"/>
          <w:sz w:val="28"/>
          <w:szCs w:val="28"/>
          <w:rtl w:val="true"/>
          <w:lang w:bidi="fa-IR"/>
        </w:rPr>
        <w:t>منتشر کرد که کمی بعد، تبدیل به هفته 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تقریبی این هفته نامه، سه هزار نسخه است؛ بر خلاف هَمودیع و یاتِد نِئِمان ـ که رسانه هایی برای پوشش اخبار هستند ـ یوم لیوم، فضای بیشتری به فعالیت های حزبی و خاخام عووَدیا یسِف</w:t>
      </w:r>
      <w:r>
        <w:rPr>
          <w:rStyle w:val="FootnoteAnchor"/>
          <w:rtl w:val="true"/>
        </w:rPr>
        <w:footnoteReference w:id="213"/>
      </w:r>
      <w:r>
        <w:rPr>
          <w:rFonts w:ascii="IRNazanin" w:hAnsi="IRNazanin" w:eastAsia="IRNazanin"/>
          <w:color w:val="111111"/>
          <w:sz w:val="28"/>
          <w:sz w:val="28"/>
          <w:szCs w:val="28"/>
          <w:rtl w:val="true"/>
          <w:lang w:bidi="fa-IR"/>
        </w:rPr>
        <w:t>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مؤسسه های انتشاراتی نهادی عبارتند از هَمَحَنِه هَحَردی،</w:t>
      </w:r>
      <w:r>
        <w:rPr>
          <w:rStyle w:val="FootnoteAnchor"/>
          <w:rtl w:val="true"/>
        </w:rPr>
        <w:footnoteReference w:id="214"/>
      </w:r>
      <w:r>
        <w:rPr>
          <w:rFonts w:ascii="IRNazanin" w:hAnsi="IRNazanin" w:eastAsia="IRNazanin"/>
          <w:color w:val="111111"/>
          <w:sz w:val="28"/>
          <w:sz w:val="28"/>
          <w:szCs w:val="28"/>
          <w:rtl w:val="true"/>
          <w:lang w:bidi="fa-IR"/>
        </w:rPr>
        <w:t>هفته نامة حاسیدیون بِلز؛</w:t>
      </w:r>
      <w:r>
        <w:rPr>
          <w:rStyle w:val="FootnoteAnchor"/>
          <w:rtl w:val="true"/>
        </w:rPr>
        <w:footnoteReference w:id="215"/>
      </w:r>
      <w:r>
        <w:rPr>
          <w:rFonts w:ascii="Amiri" w:hAnsi="Amiri" w:eastAsia="Amiri" w:cs="Amiri"/>
          <w:color w:val="111111"/>
          <w:sz w:val="28"/>
          <w:sz w:val="28"/>
          <w:szCs w:val="28"/>
          <w:rtl w:val="true"/>
          <w:lang w:bidi="ar-SA"/>
        </w:rPr>
        <w:t>کَفَر حَبَد،</w:t>
      </w:r>
      <w:r>
        <w:rPr>
          <w:rStyle w:val="FootnoteAnchor"/>
          <w:rtl w:val="true"/>
        </w:rPr>
        <w:footnoteReference w:id="216"/>
      </w:r>
      <w:r>
        <w:rPr>
          <w:rFonts w:ascii="IRNazanin" w:hAnsi="IRNazanin" w:eastAsia="IRNazanin"/>
          <w:color w:val="111111"/>
          <w:sz w:val="28"/>
          <w:sz w:val="28"/>
          <w:szCs w:val="28"/>
          <w:rtl w:val="true"/>
          <w:lang w:bidi="fa-IR"/>
        </w:rPr>
        <w:t>ارگان حاسیدیون حَبَد؛</w:t>
      </w:r>
      <w:r>
        <w:rPr>
          <w:rStyle w:val="FootnoteAnchor"/>
          <w:rtl w:val="true"/>
        </w:rPr>
        <w:footnoteReference w:id="217"/>
      </w:r>
      <w:r>
        <w:rPr>
          <w:rFonts w:ascii="Amiri" w:hAnsi="Amiri" w:eastAsia="Amiri" w:cs="Amiri"/>
          <w:color w:val="111111"/>
          <w:sz w:val="28"/>
          <w:sz w:val="28"/>
          <w:szCs w:val="28"/>
          <w:rtl w:val="true"/>
          <w:lang w:bidi="ar-SA"/>
        </w:rPr>
        <w:t>هاعِدا،</w:t>
      </w:r>
      <w:r>
        <w:rPr>
          <w:rStyle w:val="FootnoteAnchor"/>
          <w:rtl w:val="true"/>
        </w:rPr>
        <w:footnoteReference w:id="218"/>
      </w:r>
      <w:r>
        <w:rPr>
          <w:rFonts w:ascii="IRNazanin" w:hAnsi="IRNazanin" w:eastAsia="IRNazanin"/>
          <w:color w:val="111111"/>
          <w:sz w:val="28"/>
          <w:sz w:val="28"/>
          <w:szCs w:val="28"/>
          <w:rtl w:val="true"/>
          <w:lang w:bidi="fa-IR"/>
        </w:rPr>
        <w:t>ارگان شورای فرزانگان تورات؛ و هَهوما</w:t>
      </w:r>
      <w:r>
        <w:rPr>
          <w:rStyle w:val="FootnoteAnchor"/>
          <w:rtl w:val="true"/>
        </w:rPr>
        <w:footnoteReference w:id="219"/>
      </w:r>
      <w:r>
        <w:rPr>
          <w:rFonts w:ascii="IRNazanin" w:hAnsi="IRNazanin" w:eastAsia="IRNazanin"/>
          <w:color w:val="111111"/>
          <w:sz w:val="28"/>
          <w:sz w:val="28"/>
          <w:szCs w:val="28"/>
          <w:rtl w:val="true"/>
          <w:lang w:bidi="fa-IR"/>
        </w:rPr>
        <w:t>ارگان نطوره قَرطا</w:t>
      </w:r>
      <w:r>
        <w:rPr>
          <w:rStyle w:val="FootnoteAnchor"/>
          <w:rtl w:val="true"/>
        </w:rPr>
        <w:footnoteReference w:id="220"/>
      </w:r>
      <w:r>
        <w:rPr>
          <w:rFonts w:ascii="IRNazanin" w:hAnsi="IRNazanin" w:eastAsia="IRNazanin"/>
          <w:color w:val="111111"/>
          <w:sz w:val="28"/>
          <w:sz w:val="28"/>
          <w:szCs w:val="28"/>
          <w:rtl w:val="true"/>
          <w:lang w:bidi="fa-IR"/>
        </w:rPr>
        <w:t>بخشی از حاسیدیون سَتمار</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این ها بیشتر از آن که خبری باشند، اختصاص به </w:t>
      </w:r>
      <w:bookmarkStart w:id="625" w:name="pg3881_27973"/>
    </w:p>
    <w:p>
      <w:pPr>
        <w:pStyle w:val="BookText"/>
        <w:rPr/>
      </w:pPr>
      <w:bookmarkEnd w:id="625"/>
      <w:r>
        <w:rPr>
          <w:rFonts w:ascii="IRNazanin" w:hAnsi="IRNazanin" w:eastAsia="IRNazanin"/>
          <w:color w:val="111111"/>
          <w:sz w:val="28"/>
          <w:sz w:val="28"/>
          <w:szCs w:val="28"/>
          <w:rtl w:val="true"/>
          <w:lang w:bidi="fa-IR"/>
        </w:rPr>
        <w:t>تحلیل سیاسی اخبار دارند، به جز کَفَر حَبَد که گزارش گر برنامه های جهانی حَبَدهاست و پر از مقالاتی در ستایش خاخام های مرده ای است که زمانی، رهبری جنبش را برعهده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انحصار ارتدکس ها که حاصل بخشی از مطبوعات بود، توسط هفته نامه های نوپای حَرِدی با گرایش تجاری، به چالش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روزنامه نگارانی با گرایش های حَرِدی انجام دادند که از فن هایی مانند گرافیک مدرن، عنوان های جنجالی و پوشش خبری و موضوع های متنوع تری ـ نسبت به رسانه های تثبیت شدة حَرِدی ـ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هفته نامه ها ـ که امروزه دیگر منتشر نمی شوند ـ عِرو شَبات</w:t>
      </w:r>
      <w:r>
        <w:rPr>
          <w:rStyle w:val="FootnoteAnchor"/>
          <w:rtl w:val="true"/>
        </w:rPr>
        <w:footnoteReference w:id="222"/>
      </w:r>
      <w:r>
        <w:rPr>
          <w:rFonts w:ascii="IRNazanin" w:hAnsi="IRNazanin" w:eastAsia="IRNazanin"/>
          <w:color w:val="111111"/>
          <w:sz w:val="28"/>
          <w:sz w:val="28"/>
          <w:szCs w:val="28"/>
          <w:rtl w:val="true"/>
          <w:lang w:bidi="fa-IR"/>
        </w:rPr>
        <w:t>و یوم شیشی</w:t>
      </w:r>
      <w:r>
        <w:rPr>
          <w:rStyle w:val="FootnoteAnchor"/>
          <w:rtl w:val="true"/>
        </w:rPr>
        <w:footnoteReference w:id="223"/>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های اصلی میشپاها</w:t>
      </w:r>
      <w:r>
        <w:rPr>
          <w:rStyle w:val="FootnoteAnchor"/>
          <w:rtl w:val="true"/>
        </w:rPr>
        <w:footnoteReference w:id="224"/>
      </w:r>
      <w:r>
        <w:rPr>
          <w:rFonts w:ascii="IRNazanin" w:hAnsi="IRNazanin" w:eastAsia="IRNazanin"/>
          <w:color w:val="111111"/>
          <w:sz w:val="28"/>
          <w:sz w:val="28"/>
          <w:szCs w:val="28"/>
          <w:rtl w:val="true"/>
          <w:lang w:bidi="fa-IR"/>
        </w:rPr>
        <w:t>و بقهیلا</w:t>
      </w:r>
      <w:r>
        <w:rPr>
          <w:rStyle w:val="FootnoteAnchor"/>
          <w:rtl w:val="true"/>
        </w:rPr>
        <w:footnoteReference w:id="225"/>
      </w:r>
      <w:r>
        <w:rPr>
          <w:rFonts w:ascii="IRNazanin" w:hAnsi="IRNazanin" w:eastAsia="IRNazanin"/>
          <w:color w:val="111111"/>
          <w:sz w:val="28"/>
          <w:sz w:val="28"/>
          <w:szCs w:val="28"/>
          <w:rtl w:val="true"/>
          <w:lang w:bidi="fa-IR"/>
        </w:rPr>
        <w:t xml:space="preserve">هر دو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بیهوده خاخام های حَرِدی برای متوقف کردن پدیدة رسانه های تجاری شکست خورد و دلیلش، وجود گرایشی در این گروه بود که می خواست اطلاع رسانی بهتری صورت گیرد و کمتر از جامعة مدرن اسراییل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دولت اسراییل تأسیس شد، رهبران دینی حَرِدی ها آن را انکار کردند؛ چون معتقد بودند این دولت، پیش از موعد شکل گرفته است و پیش از ظهور مسیح، دولت مقتدر یهودی تأسیس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آگودت ییسرائل در حکومت ائتلافی این کشور مشارکت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حَرِدی ها به خدمت سربازی نیز نمی روند</w:t>
      </w:r>
      <w:r>
        <w:rPr>
          <w:rFonts w:eastAsia="IRNazanin" w:cs="IRNazanin"/>
          <w:color w:val="111111"/>
          <w:sz w:val="28"/>
          <w:szCs w:val="28"/>
          <w:rtl w:val="true"/>
          <w:lang w:bidi="fa-IR"/>
        </w:rPr>
        <w:t>.</w:t>
      </w:r>
    </w:p>
    <w:p>
      <w:pPr>
        <w:pStyle w:val="Heading4"/>
        <w:numPr>
          <w:ilvl w:val="3"/>
          <w:numId w:val="1"/>
        </w:numPr>
        <w:rPr/>
      </w:pPr>
      <w:bookmarkStart w:id="626" w:name="__RefHeading___Toc1656434_2281741623"/>
      <w:bookmarkStart w:id="627" w:name="_Toc223"/>
      <w:bookmarkEnd w:id="626"/>
      <w:r>
        <w:rPr>
          <w:rtl w:val="true"/>
        </w:rPr>
        <w:t>محتوا</w:t>
      </w:r>
      <w:bookmarkEnd w:id="627"/>
    </w:p>
    <w:p>
      <w:pPr>
        <w:pStyle w:val="BookText"/>
        <w:rPr/>
      </w:pPr>
      <w:r>
        <w:rPr>
          <w:rFonts w:ascii="IRNazanin" w:hAnsi="IRNazanin" w:eastAsia="IRNazanin"/>
          <w:color w:val="111111"/>
          <w:sz w:val="28"/>
          <w:sz w:val="28"/>
          <w:szCs w:val="28"/>
          <w:rtl w:val="true"/>
          <w:lang w:bidi="fa-IR"/>
        </w:rPr>
        <w:t>محتوا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حَرِدی ها بسیار تحت تأثیر اصول یهودیت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واقعیتی را نشان می دهند که باید باشد، نه واقعیتی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این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گزارة کتاب مقدس که سرزمین اسراییل مقدس خواهد بود، سردبیران مطبوعات حَرِدی به دنبال اطمینان از این مسئله اند که وقتی روزنامه شان وارد خانة یک حَرِدی شد، موجب گناه آلودشدن فضای خانواده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روزنامه ای، مسئول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 از سوی خاخام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کارش بررسی مطالبی است که باید روز بعد منتشر شوند؛ بالاتر از او، گروهی از خاخام ها هستند که خط مشی تحریریه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مطلبی دربارة سرگرمی، ورزش، خوانندگان، زنان و مسائل جنسی در این نشریات منتشر نمی شود؛ برای نمونه دربارة ایدز با نام بیماری واگیردار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 زدن مرزها در زمانی که باید اطلاعات مهمی منتشر شوند، یاتِد نِئِمان و هَمودیع ستونی با نام روزبه روز و دستورجلسه دارند که در آن، ضمن حمله به موضوع گفت و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مقوله ای غیریهودی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پیروزی اسراییل در رویدادی ورزشی، خوانندگان را از اخبار مربوط به آن آگاه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حزبی، سانسور را در مسائل درونی حزب اِعمال می کنند؛ برای نمونه، زمانی که روزنامه ای، رهبری دینی را باسوادترین و آگاه ترین خاخام وصف می کند، می فهمیم که این خاخام با روزنامه و طرفدارانش روابطی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سانسور، همواره نقش یهودیان را در جایگاه قومی که مسئولیت شان ساختن جامعة الگوست،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حَرِدی، جهان سکولار را از بالا می نگرند، با آن دشمنی می کنند و تلاش در اصلاحش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حَرِدی ها، یهودی اند و یهودیان سکولار، اسراییلی اند؛ آنان بر این باورند که برای ساختن جامعة ایده آل یهودی، باید اسراییلی 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یهودیان سکولار، آموزشی پیشرفته به معنای منفی آن است که از دید حَرِدی ها عاملی برای افزایش جرم و جنایت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چپ ها با دانشگاه ها و آکادمی ها، ارتباط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امروزی به مثابه یهودیی گمراه نکوهش می گشت، در حالی که به دینداران غیریهودی اشاره ای نمی شود و بیشترین انتقاد به صهیونیسم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ارتش اسراییل با نام واقعی اش ـ نیروهای دفاعی اسراییل</w:t>
      </w:r>
      <w:r>
        <w:rPr>
          <w:rStyle w:val="FootnoteAnchor"/>
          <w:rtl w:val="true"/>
        </w:rPr>
        <w:footnoteReference w:id="226"/>
      </w:r>
      <w:r>
        <w:rPr>
          <w:rFonts w:ascii="IRNazanin" w:hAnsi="IRNazanin" w:eastAsia="IRNazanin"/>
          <w:color w:val="111111"/>
          <w:sz w:val="28"/>
          <w:sz w:val="28"/>
          <w:szCs w:val="28"/>
          <w:rtl w:val="true"/>
          <w:lang w:bidi="fa-IR"/>
        </w:rPr>
        <w:t>ـ خوانده نمی شود؛ زیرا تنها مدافع واقعی اسراییل،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عالی اسراییل، همواره نقد می شود به این دلیل که تصمیماتش بر اساس هَلاخا،</w:t>
      </w:r>
      <w:r>
        <w:rPr>
          <w:rStyle w:val="FootnoteAnchor"/>
          <w:rtl w:val="true"/>
        </w:rPr>
        <w:footnoteReference w:id="227"/>
      </w:r>
      <w:r>
        <w:rPr>
          <w:rFonts w:ascii="IRNazanin" w:hAnsi="IRNazanin" w:eastAsia="IRNazanin"/>
          <w:color w:val="111111"/>
          <w:sz w:val="28"/>
          <w:sz w:val="28"/>
          <w:szCs w:val="28"/>
          <w:rtl w:val="true"/>
          <w:lang w:bidi="fa-IR"/>
        </w:rPr>
        <w:t xml:space="preserve">قانون دینی یهودیان، استوار نیست؛ احکام دادگاه، بیشتر قوانین خوانده می شوند و خبرهای دادگاه، همیشه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سکولار، همواره سهل انگار، ضدثبات و کافر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حَرِدی خبرنگاران اندکی دارند و بیشتر بر اخبار خبرگزاری ها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آن ها، تحلیل و تفسیر اخبار بر اساس نوع نگاه حَرِدی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اخبار داغ مشهور، ماجرای ییسرائل کاتصُوِر</w:t>
      </w:r>
      <w:r>
        <w:rPr>
          <w:rStyle w:val="FootnoteAnchor"/>
          <w:rtl w:val="true"/>
        </w:rPr>
        <w:footnoteReference w:id="228"/>
      </w:r>
      <w:r>
        <w:rPr>
          <w:rFonts w:ascii="IRNazanin" w:hAnsi="IRNazanin" w:eastAsia="IRNazanin"/>
          <w:color w:val="111111"/>
          <w:sz w:val="28"/>
          <w:sz w:val="28"/>
          <w:szCs w:val="28"/>
          <w:rtl w:val="true"/>
          <w:lang w:bidi="fa-IR"/>
        </w:rPr>
        <w:t>است؛ خبرنگاری که برای شعاریم</w:t>
      </w:r>
      <w:r>
        <w:rPr>
          <w:rStyle w:val="FootnoteAnchor"/>
          <w:rtl w:val="true"/>
        </w:rPr>
        <w:footnoteReference w:id="229"/>
      </w:r>
      <w:r>
        <w:rPr>
          <w:rFonts w:ascii="IRNazanin" w:hAnsi="IRNazanin" w:eastAsia="IRNazanin"/>
          <w:color w:val="111111"/>
          <w:sz w:val="28"/>
          <w:sz w:val="28"/>
          <w:szCs w:val="28"/>
          <w:rtl w:val="true"/>
          <w:lang w:bidi="fa-IR"/>
        </w:rPr>
        <w:t xml:space="preserve">کار می کرد و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گزارش جشن ورود اولین هواپیمای 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ارتش اسراییل را منتشر کرد که روز شبات وارد اسراییل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بحرانی در حکومت ائتلافی پدید آورد که سرانجام، موجب سقوط دولت اسحاق رابین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تجاریِ حَرِدی در حالی که از انتشار مطالب غیراخلاقی ـ که احساسات حَرِدی ها را جریحه دار می کند ـ خودداری می کنند، توانسته اند سطح جدیدی از آزادی مطبوعات را در این جامعة به شدت سلسله مراتبی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این مطبوعات فراتر از اختیار و جهت دهی شورای نخبگان تورات است و به مسائل سیاسی احزاب حَرِدی و فساد در نهادهای حَرِدی نیز می پردازند؛ هم چنین این مطبوعات، جعبة پاندورایی را گشوده اند که وجودش در میان حلقه های حَرِدی </w:t>
      </w:r>
      <w:bookmarkStart w:id="628" w:name="pg3881_27976"/>
    </w:p>
    <w:p>
      <w:pPr>
        <w:pStyle w:val="BookText"/>
        <w:rPr/>
      </w:pPr>
      <w:bookmarkEnd w:id="628"/>
      <w:r>
        <w:rPr>
          <w:rFonts w:ascii="IRNazanin" w:hAnsi="IRNazanin" w:eastAsia="IRNazanin"/>
          <w:color w:val="111111"/>
          <w:sz w:val="28"/>
          <w:sz w:val="28"/>
          <w:szCs w:val="28"/>
          <w:rtl w:val="true"/>
          <w:lang w:bidi="fa-IR"/>
        </w:rPr>
        <w:t>انکار می شد؛ مسائلی مانند اخراج حَرِدی ها از یشیواها، تبعیض در مدارس حَرِدی میان دانش آموزان اشکنازی و سفاردی و کودکان مبتلا به سندرم داون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تفاوت کیفی شدید میان گزارش های مطبوعات دینی و کل مطبوعات دیگر، این است که مطبوعات دیگر، مسائل دینی بیشتری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تصاویر جالبی از نخبگان دینی، تاریخ یهودیت، گفت وگو بر سر پرسش های معاصر از قانون یهود، مطالب خواندنی در روزهای تعطیل، بخش هایی شامل مسائل زنان و مرور کتاب های ناشران دینی نیز می شود؛ برخی از این مطالب در ضمیمة شب شبات روزنامه ها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ضمیمة جداگانه به آن دسته از خوانندگان که نمی خواهند در روز مقدس شَبات، مطالب سکولار بخوانند، اجازه می دهد فقط ضمیمه های قادُش</w:t>
      </w:r>
      <w:r>
        <w:rPr>
          <w:rStyle w:val="FootnoteAnchor"/>
          <w:rtl w:val="true"/>
        </w:rPr>
        <w:footnoteReference w:id="231"/>
      </w:r>
      <w:r>
        <w:rPr>
          <w:rFonts w:ascii="IRNazanin" w:hAnsi="IRNazanin" w:eastAsia="IRNazanin"/>
          <w:color w:val="111111"/>
          <w:sz w:val="28"/>
          <w:sz w:val="28"/>
          <w:szCs w:val="28"/>
          <w:rtl w:val="true"/>
          <w:lang w:bidi="fa-IR"/>
        </w:rPr>
        <w:t>را مطالعه کنند</w:t>
      </w:r>
      <w:r>
        <w:rPr>
          <w:rFonts w:eastAsia="IRNazanin" w:cs="IRNazanin"/>
          <w:color w:val="111111"/>
          <w:sz w:val="28"/>
          <w:szCs w:val="28"/>
          <w:rtl w:val="true"/>
          <w:lang w:bidi="fa-IR"/>
        </w:rPr>
        <w:t>.</w:t>
      </w:r>
    </w:p>
    <w:p>
      <w:pPr>
        <w:pStyle w:val="Heading3"/>
        <w:numPr>
          <w:ilvl w:val="2"/>
          <w:numId w:val="1"/>
        </w:numPr>
        <w:rPr/>
      </w:pPr>
      <w:bookmarkStart w:id="629" w:name="__RefHeading___Toc1656436_2281741623"/>
      <w:bookmarkStart w:id="630" w:name="_Toc224"/>
      <w:bookmarkEnd w:id="629"/>
      <w:r>
        <w:rPr>
          <w:rtl w:val="true"/>
        </w:rPr>
        <w:t>مطبوعات ارتدکس مدرن</w:t>
      </w:r>
      <w:bookmarkEnd w:id="630"/>
    </w:p>
    <w:p>
      <w:pPr>
        <w:pStyle w:val="BookText"/>
        <w:rPr/>
      </w:pPr>
      <w:r>
        <w:rPr>
          <w:rFonts w:ascii="IRNazanin" w:hAnsi="IRNazanin" w:eastAsia="IRNazanin"/>
          <w:color w:val="111111"/>
          <w:sz w:val="28"/>
          <w:sz w:val="28"/>
          <w:szCs w:val="28"/>
          <w:rtl w:val="true"/>
          <w:lang w:bidi="fa-IR"/>
        </w:rPr>
        <w:t>مطبوعات ارتدکس مدرن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دینی ـ ملی، روزنامه ای با نام هصوفه</w:t>
      </w:r>
      <w:r>
        <w:rPr>
          <w:rStyle w:val="FootnoteAnchor"/>
          <w:rtl w:val="true"/>
        </w:rPr>
        <w:footnoteReference w:id="232"/>
      </w:r>
      <w:r>
        <w:rPr>
          <w:rFonts w:ascii="IRNazanin" w:hAnsi="IRNazanin" w:eastAsia="IRNazanin"/>
          <w:color w:val="111111"/>
          <w:sz w:val="28"/>
          <w:sz w:val="28"/>
          <w:szCs w:val="28"/>
          <w:rtl w:val="true"/>
          <w:lang w:bidi="fa-IR"/>
        </w:rPr>
        <w:t xml:space="preserve">را با شمارگان روزانه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شبات، منتشر می کند؛ برخلاف روزنامه های حَرِدی، تأثیر این روزنامه کمتر است به این دلیل که ارتدکس های مدرن، بیشتر روزنامه های رایج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مطبوعات ضدملی گرایی رشد کرده اند، مطبوعاتی که تنها ارتدکس های مدرن آن ها را می خوانند و مانند حلقة ارتباطی یهودیان ساکن در یهودیه، سامره و غزه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نامة بَشِوَع</w:t>
      </w:r>
      <w:r>
        <w:rPr>
          <w:rStyle w:val="FootnoteAnchor"/>
          <w:rtl w:val="true"/>
        </w:rPr>
        <w:footnoteReference w:id="2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درآمد آن از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نامة مقور ریشون</w:t>
      </w:r>
      <w:r>
        <w:rPr>
          <w:rStyle w:val="FootnoteAnchor"/>
          <w:rtl w:val="true"/>
        </w:rPr>
        <w:footnoteReference w:id="234"/>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گرایش دینی چندان مشخصی ندارد</w:t>
      </w:r>
      <w:r>
        <w:rPr>
          <w:rFonts w:eastAsia="IRNazanin" w:cs="IRNazanin"/>
          <w:color w:val="111111"/>
          <w:sz w:val="28"/>
          <w:szCs w:val="28"/>
          <w:rtl w:val="true"/>
          <w:lang w:bidi="fa-IR"/>
        </w:rPr>
        <w:t xml:space="preserve">. </w:t>
      </w:r>
      <w:bookmarkStart w:id="631" w:name="pg3881_27977"/>
    </w:p>
    <w:p>
      <w:pPr>
        <w:pStyle w:val="Heading3"/>
        <w:numPr>
          <w:ilvl w:val="2"/>
          <w:numId w:val="1"/>
        </w:numPr>
        <w:rPr/>
      </w:pPr>
      <w:bookmarkStart w:id="632" w:name="__RefHeading___Toc1656438_2281741623"/>
      <w:bookmarkStart w:id="633" w:name="_Toc225"/>
      <w:bookmarkEnd w:id="631"/>
      <w:bookmarkEnd w:id="632"/>
      <w:r>
        <w:rPr>
          <w:rtl w:val="true"/>
        </w:rPr>
        <w:t>خبرپراکنی دینی</w:t>
      </w:r>
      <w:bookmarkEnd w:id="633"/>
    </w:p>
    <w:p>
      <w:pPr>
        <w:pStyle w:val="BookText"/>
        <w:rPr/>
      </w:pPr>
      <w:r>
        <w:rPr>
          <w:rFonts w:ascii="IRNazanin" w:hAnsi="IRNazanin" w:eastAsia="IRNazanin"/>
          <w:color w:val="111111"/>
          <w:sz w:val="28"/>
          <w:sz w:val="28"/>
          <w:szCs w:val="28"/>
          <w:rtl w:val="true"/>
          <w:lang w:bidi="fa-IR"/>
        </w:rPr>
        <w:t>خبرپراکنی دینی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خبرپراکنی به دو شکل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محتواهای دینی در بنگاه های خبرپراکنی عمومی و ایستگاه های خبرپراکنی ویژة دینداران؛ خبرپراکنی دینی، بسیار متأثر از الگوی خبرپراکنی جمعی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تلویزیون اسراییل 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اقتدار مطلق دارند و فراتر از این ها، بخشی از دفتر نخست وزیری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و تلویزیون اسراییل، بخش دینی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خبرپراکنی، کارکرد بخش دینی در بنگاه های خبرپراکنی اسراییل، تقویت رابطة اسراییلی ها با میراث یهود و ارزش های آن و افزایش دانش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پوشش دهندة اصلی یهود در اسراییل و گروه های یهودی خارج از کشور، آهنگ های آیین نماز و حاسیدی،</w:t>
      </w:r>
      <w:r>
        <w:rPr>
          <w:rStyle w:val="FootnoteAnchor"/>
          <w:rtl w:val="true"/>
        </w:rPr>
        <w:footnoteReference w:id="235"/>
      </w:r>
      <w:r>
        <w:rPr>
          <w:rFonts w:ascii="IRNazanin" w:hAnsi="IRNazanin" w:eastAsia="IRNazanin"/>
          <w:color w:val="111111"/>
          <w:sz w:val="28"/>
          <w:sz w:val="28"/>
          <w:szCs w:val="28"/>
          <w:rtl w:val="true"/>
          <w:lang w:bidi="fa-IR"/>
        </w:rPr>
        <w:t>گفت وگوهایی دربارة خواندن هفتگی کتاب مقدس و برنامه های مناسبتی در روزهای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توافق حکومتی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هدایتِ بخش دینی رادیو اسراییل را حزب ملی ارتدکس های مدرن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عهده دارد و این گروه، پس از رادیو اسراییل، گروهی مقتدر در عرصة عمومی شد تا اندازه ای که کارمندان این بخش ها، همگی به اعضای </w:t>
      </w:r>
      <w:r>
        <w:rPr>
          <w:rFonts w:eastAsia="Times New Roman" w:cs="Times New Roman" w:ascii="Times New Roman" w:hAnsi="Times New Roman"/>
          <w:color w:val="111111"/>
          <w:sz w:val="28"/>
          <w:szCs w:val="28"/>
          <w:lang w:val="en-US" w:bidi="en-US"/>
        </w:rPr>
        <w:t>NRP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محتوایی ارتدکسی به ویژه ارتدکس مدرن دارند و برنامه های کوتاهی نیز دربارة جنبش های غیرارتدکس محافظه کار و اصلاح طلب پخش می شوند که نقش کم رنگشان را در اسراییل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مسلمانان عرب نیز در برنامه های عرب زبان رادیو و تلویزیون سراسری اسراییل،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حَرِدی ها به برنامه های رادیو اسراییل به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برنامه ها برای خانه هایی مناسب نیست که ساکنان آن حَرِدی هستند؛ دوم، این برنامه ها، بخشی از ساختار دولت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دسته ای نیز به </w:t>
      </w:r>
      <w:bookmarkStart w:id="634" w:name="pg3881_27978"/>
    </w:p>
    <w:p>
      <w:pPr>
        <w:pStyle w:val="BookText"/>
        <w:rPr/>
      </w:pPr>
      <w:bookmarkEnd w:id="634"/>
      <w:r>
        <w:rPr>
          <w:rFonts w:ascii="IRNazanin" w:hAnsi="IRNazanin" w:eastAsia="IRNazanin"/>
          <w:color w:val="111111"/>
          <w:sz w:val="28"/>
          <w:sz w:val="28"/>
          <w:szCs w:val="28"/>
          <w:rtl w:val="true"/>
          <w:lang w:bidi="fa-IR"/>
        </w:rPr>
        <w:t>اخبار رادیو اسراییل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یکی از ایستگاه های غیرمجاز دینی ناسیونالیست ـ مدرن به ویژه عاروتس شِوَع</w:t>
      </w:r>
      <w:r>
        <w:rPr>
          <w:rStyle w:val="FootnoteAnchor"/>
          <w:rtl w:val="true"/>
        </w:rPr>
        <w:footnoteReference w:id="237"/>
      </w:r>
      <w:r>
        <w:rPr>
          <w:rFonts w:ascii="IRNazanin" w:hAnsi="IRNazanin" w:eastAsia="IRNazanin"/>
          <w:color w:val="111111"/>
          <w:sz w:val="28"/>
          <w:sz w:val="28"/>
          <w:szCs w:val="28"/>
          <w:rtl w:val="true"/>
          <w:lang w:bidi="fa-IR"/>
        </w:rPr>
        <w:t xml:space="preserve">را برمی گزینند که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تعطیلی اش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حکومت اسراییل، نیاز به وجود ایستگاهی رادیویی را برای گروه های دینی رسمی کرد و نخستین این ها، رادیو قول حی</w:t>
      </w:r>
      <w:r>
        <w:rPr>
          <w:rStyle w:val="FootnoteAnchor"/>
          <w:rtl w:val="true"/>
        </w:rPr>
        <w:footnoteReference w:id="23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ایستگاه برای حَرِدی ها و ارتدکس های مدرن است ولی هدایت آن در دست حَرِدی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ایستگاه های رادیویی غیرمجاز بسیاری تأسیس شده اند که بیشتر دینی هستند و پشتیبان آن ها، حزب دینی شاس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اِمِت،</w:t>
      </w:r>
      <w:r>
        <w:rPr>
          <w:rStyle w:val="FootnoteAnchor"/>
          <w:rtl w:val="true"/>
        </w:rPr>
        <w:footnoteReference w:id="239"/>
      </w:r>
      <w:r>
        <w:rPr>
          <w:rFonts w:ascii="IRNazanin" w:hAnsi="IRNazanin" w:eastAsia="IRNazanin"/>
          <w:color w:val="111111"/>
          <w:sz w:val="28"/>
          <w:sz w:val="28"/>
          <w:szCs w:val="28"/>
          <w:rtl w:val="true"/>
          <w:lang w:bidi="fa-IR"/>
        </w:rPr>
        <w:t>رادیو</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رادیو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شامل برنامه هایی دربارة درس های دینی شیعوریم</w:t>
      </w:r>
      <w:r>
        <w:rPr>
          <w:rStyle w:val="FootnoteAnchor"/>
          <w:rtl w:val="true"/>
        </w:rPr>
        <w:footnoteReference w:id="240"/>
      </w:r>
      <w:r>
        <w:rPr>
          <w:rFonts w:ascii="IRNazanin" w:hAnsi="IRNazanin" w:eastAsia="IRNazanin"/>
          <w:color w:val="111111"/>
          <w:sz w:val="28"/>
          <w:sz w:val="28"/>
          <w:szCs w:val="28"/>
          <w:rtl w:val="true"/>
          <w:lang w:bidi="fa-IR"/>
        </w:rPr>
        <w:t>و سرودهای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شاس در دهة نود برای قانونی کردن این ایستگاه ها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 های مدرن، بیشتر به رادیوی ملی گوش می دهند و تلویزیون ملی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ناخوشنودی ارتدکس های مدرن از برنامه های تلویزیون به تأسیس کانال تلویزیونی تِخلِت</w:t>
      </w:r>
      <w:r>
        <w:rPr>
          <w:rStyle w:val="FootnoteAnchor"/>
          <w:rtl w:val="true"/>
        </w:rPr>
        <w:footnoteReference w:id="24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که به گروه سنتی اسراییل اختصاص داشت و برنامه های نوآورانه ای دربارة تاریخ یهود در آن ساخته می شد؛ ولی از نظر اقتصادی شکست خورده و تعطیل شد</w:t>
      </w:r>
      <w:r>
        <w:rPr>
          <w:rFonts w:eastAsia="IRNazanin" w:cs="IRNazanin"/>
          <w:color w:val="111111"/>
          <w:sz w:val="28"/>
          <w:szCs w:val="28"/>
          <w:rtl w:val="true"/>
          <w:lang w:bidi="fa-IR"/>
        </w:rPr>
        <w:t>.</w:t>
      </w:r>
    </w:p>
    <w:p>
      <w:pPr>
        <w:pStyle w:val="Heading3"/>
        <w:numPr>
          <w:ilvl w:val="2"/>
          <w:numId w:val="1"/>
        </w:numPr>
        <w:rPr/>
      </w:pPr>
      <w:bookmarkStart w:id="635" w:name="__RefHeading___Toc1656440_2281741623"/>
      <w:bookmarkStart w:id="636" w:name="_Toc226"/>
      <w:bookmarkEnd w:id="635"/>
      <w:r>
        <w:rPr>
          <w:rtl w:val="true"/>
        </w:rPr>
        <w:t>تبلیغات و روابط عمومی</w:t>
      </w:r>
      <w:bookmarkEnd w:id="636"/>
    </w:p>
    <w:p>
      <w:pPr>
        <w:pStyle w:val="BookText"/>
        <w:rPr/>
      </w:pPr>
      <w:r>
        <w:rPr>
          <w:rFonts w:ascii="IRNazanin" w:hAnsi="IRNazanin" w:eastAsia="IRNazanin"/>
          <w:color w:val="111111"/>
          <w:sz w:val="28"/>
          <w:sz w:val="28"/>
          <w:szCs w:val="28"/>
          <w:rtl w:val="true"/>
          <w:lang w:bidi="fa-IR"/>
        </w:rPr>
        <w:t>تبلیغات و روابط عمومی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خاخام های حَرِدی بیشتر از پوسترهای دیواری که در نواحی مذهبی نشین نصب می شوند، استفاده می کنند تا به افراد یا گروه هایی حمله کنند که به نظرشان رفتار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خاخام های ارتدکس در اسراییل استفادة </w:t>
      </w:r>
      <w:bookmarkStart w:id="637" w:name="pg3881_27979"/>
    </w:p>
    <w:p>
      <w:pPr>
        <w:pStyle w:val="BookText"/>
        <w:rPr/>
      </w:pPr>
      <w:bookmarkEnd w:id="637"/>
      <w:r>
        <w:rPr>
          <w:rFonts w:ascii="IRNazanin" w:hAnsi="IRNazanin" w:eastAsia="IRNazanin"/>
          <w:color w:val="111111"/>
          <w:sz w:val="28"/>
          <w:sz w:val="28"/>
          <w:szCs w:val="28"/>
          <w:rtl w:val="true"/>
          <w:lang w:bidi="fa-IR"/>
        </w:rPr>
        <w:t>همه جانبه ای از رسانه ها می کنند و کانال های سنتی ارتباطی را مانند منبرِ کنیسه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شامل حضور پردامنة آن ها در رادیوها و روزنامه های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پدیدة جدید در کنیسه ها، انتشار بولتن های خبری هفتگی است که کار حرفه ای روی آن ها انجام می شود و شامل مقالاتی از خاخام ها، بیشتر با موضوع خواندن هفتگی کتاب مقدس و پرسش هایی دربارة قانون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بولتن ها بیشتر در شب شبات در کنیسه ها پخش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بولتن ها ازطرف نهادهای سیاسی حمایت می شوند و خاخام هایی که در آن ها می نویسند تلویحاً پیام های سیاسی صریحی دربارة جدال اعراب و اسراییل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خاخام های اصلی پیشین، موردخای اِلیاهو و عووَدیا یسِف، سخنرانی های هفتگی شان را از طریق ماهواره به پیروانشان در اسراییل و خارج از کشور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عمومی کمتر به خاخام ها توجه می کنند و تا حدی بر این باورند که شخصیت متعصب خاخام ها برای گفت وگوی رو در رو که مشخصة کار خبرنگاری است،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تبلیغات، گروه های ارتدکس مانند فمینیست ها، بر این باورند که باید تبلیغات با رویکرد روشن جنسی منع شود و برخی از حَرِدی ها نیز استفاده از محصولات شرکت هایی را که تبلیغات تحریک کننده دارند، ممنوع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جدیدتر در نتیجة پیشرفت استانداردهای تجاری در گروه حَرِدی، منع کردن شرکت هایی است که با تبلیغات به مردم تلقین می کنند و مخاطبان بالقوة رسانه های حَرِدی را هدف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شرکت های تبلیغاتی ـ تجاری با توجه به این رویکرد گسترش یافته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1656442_2281741623"/>
      <w:bookmarkStart w:id="639" w:name="_Toc227"/>
      <w:bookmarkEnd w:id="638"/>
      <w:r>
        <w:rPr>
          <w:rtl w:val="true"/>
        </w:rPr>
        <w:t>الگوهای مخاطبان</w:t>
      </w:r>
      <w:bookmarkEnd w:id="63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دینی در رسانه های جریان اصلی، حضوری متفاوت با یهودیان عام در اسراییل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حَرِدی ها و ارتدکس 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مؤمن می دانند، در قیاس با سکولارهای اسراییل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هیچ روزنامه ای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دربارة حَرِدی ها صدق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حَرِدی ها هیچ روزنامه ای نمی خوانند و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روزنامة عمومی و غیردینی مطالعه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رادیو گوش نمی دهند که از این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دلیل مذهبی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اخبار رادیو قول حی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به عاروتس 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دهند که با توجه به گرایش ضدصهیونیستی این ایستگاه رادیویی، آمار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رادیو اسراییل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ایستگاه رادیویی نظامی گاله صَهَل</w:t>
      </w:r>
      <w:r>
        <w:rPr>
          <w:rStyle w:val="FootnoteAnchor"/>
          <w:rtl w:val="true"/>
        </w:rPr>
        <w:footnoteReference w:id="242"/>
      </w:r>
      <w:r>
        <w:rPr>
          <w:rFonts w:ascii="IRNazanin" w:hAnsi="IRNazanin" w:eastAsia="IRNazanin"/>
          <w:color w:val="111111"/>
          <w:sz w:val="28"/>
          <w:sz w:val="28"/>
          <w:szCs w:val="28"/>
          <w:rtl w:val="true"/>
          <w:lang w:bidi="fa-IR"/>
        </w:rPr>
        <w:t>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اندک به رادیو با توجه به تحولات سریع در وضعیت امنیتی اسراییل،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های رادیویی غیرمجاز تقریباً وضع مشابهی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حَرِدی ها به قول نِشاما</w:t>
      </w:r>
      <w:r>
        <w:rPr>
          <w:rStyle w:val="FootnoteAnchor"/>
          <w:rtl w:val="true"/>
        </w:rPr>
        <w:footnoteReference w:id="2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رادیو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تلویزیون در گروه های حَرِدی ممنوع است به این دلیل که برنامه هایش به لحاظ اخلاقی نامناسب تشخیص داده می شود، این در حالی است که سرگرمی به خودی خود مجاز است؛ پس مشخص می شود که دلیل این گروه برای منع تلویزیون، فقط اتلاف وقت در تحصیل علوم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گروه های اسراییلی یهودی دربارۀ دین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اسراییلی های سکولار به شیعوریم گوش می دهند و برنامه هایی دربارة دین و سنت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یهودیان ارتدکس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یهودیان حَرِدی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کنید با برنامه های سنتی اسراییلی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40" w:name="pg3881_27981"/>
    </w:p>
    <w:p>
      <w:pPr>
        <w:pStyle w:val="Heading3"/>
        <w:numPr>
          <w:ilvl w:val="2"/>
          <w:numId w:val="1"/>
        </w:numPr>
        <w:rPr/>
      </w:pPr>
      <w:bookmarkStart w:id="641" w:name="__RefHeading___Toc1656444_2281741623"/>
      <w:bookmarkStart w:id="642" w:name="_Toc228"/>
      <w:bookmarkEnd w:id="640"/>
      <w:bookmarkEnd w:id="641"/>
      <w:r>
        <w:rPr>
          <w:rtl w:val="true"/>
        </w:rPr>
        <w:t>رسانه و روابط سکولار ـ دینی</w:t>
      </w:r>
      <w:bookmarkEnd w:id="642"/>
    </w:p>
    <w:p>
      <w:pPr>
        <w:pStyle w:val="BookText"/>
        <w:rPr/>
      </w:pPr>
      <w:r>
        <w:rPr>
          <w:rFonts w:ascii="IRNazanin" w:hAnsi="IRNazanin" w:eastAsia="IRNazanin"/>
          <w:color w:val="111111"/>
          <w:sz w:val="28"/>
          <w:sz w:val="28"/>
          <w:szCs w:val="28"/>
          <w:rtl w:val="true"/>
          <w:lang w:bidi="fa-IR"/>
        </w:rPr>
        <w:t>رسانه و روابط سکولار ـ دینی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جمعی بر ادراک دینداران و سکولارها و بر روابط نه چندان دوستانة آنان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حَرِدی ها با حمله به شیوة زندگی اسراییلی های سکولار، آن ها را نامشروع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دغدغة پوشش خبری در رسانه های جمعی اسراییل دربارة احزاب سیاسیِ دینی و مسئلة رابطة دین و دولت، آشکارا گرایش به حمایت از حَرِدی ها دارد و این موجب شده که گروه های سکولار، ذهنیت بدی از حَرِدی ها برای خود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مقام نهادِ سازندة کلیشه می تواند در درک مردم از خاخام تأثیرگذار باشد، او ممکن است در رسانه های دینی ستایش شود؛ ولی در رسانه های جمعی احتمالاً چندان از او استقبال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تلویزیون و عکس های مطبوعات از حَرِدی ها آنان را هم چون گروهی عقب مانده نشان می دهد که توان نفوذ به دنیای درون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گرایش مردم شناسانۀ ارتدکس ها به خانواده های بزرگ نیز همین امر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پرستی از ارتدکس های مدرن، اسحاق رابین ـ نخست وزیر ـ را ترور کرد که موجب افزایش تنش های دینداران و سکولارها در اسراییل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حَرِدی ها بر این باور بودند که رسانه ها موجب برخورد و اختلاف اند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برخی رسانه ها چنین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پرسشی دربارة اعتماد به رسانه ها با مقیاس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حَرِدی ها میانگین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ارتدکس های مدرن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سنتی ها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سکولارها </w:t>
      </w:r>
      <w:r>
        <w:rPr>
          <w:rFonts w:eastAsia="IRNazanin" w:cs="IRNazanin"/>
          <w:color w:val="111111"/>
          <w:sz w:val="28"/>
          <w:szCs w:val="28"/>
          <w:lang w:bidi="fa-IR"/>
        </w:rPr>
        <w:t>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های دین و دولت و نفوذ سیاسیِ احزابِ سیاسی ـ دینی بیشتر موضوع گفت وگوست به ویژه در رسانه های الکترونیک؛ با توجه به این که گفت وگو به دو طرف اجازه می دهد درونیات خود را آشکار کنند، این برنامه ها در بیشتر موارد به اختلاف 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نتیجة پراکندگی و تنوع </w:t>
      </w:r>
      <w:bookmarkStart w:id="643" w:name="pg3881_27982"/>
    </w:p>
    <w:p>
      <w:pPr>
        <w:pStyle w:val="BookText"/>
        <w:rPr/>
      </w:pPr>
      <w:bookmarkEnd w:id="643"/>
      <w:r>
        <w:rPr>
          <w:rFonts w:ascii="IRNazanin" w:hAnsi="IRNazanin" w:eastAsia="IRNazanin"/>
          <w:color w:val="111111"/>
          <w:sz w:val="28"/>
          <w:sz w:val="28"/>
          <w:szCs w:val="28"/>
          <w:rtl w:val="true"/>
          <w:lang w:bidi="fa-IR"/>
        </w:rPr>
        <w:t>رسانه ها، چه در رادیو و تلویزیون مجاز و چه در رادیوهای غیرمجاز، این گونه بحث ها رایج تر و محبوب تر شده است؛ همین است که هر مخاطبی به ایستگاه خود گوش می دهد و برنامة خود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ارتدکس های مدرن تلاش کردند تصویر رسانه ای خود را از راه تشویق اعضای شان به حرفة روزنامه نگاری بهتر نشان دهند و امروزه تعداد بسیاری از روزنامه نگارهای شاغل در رسانه ها از اعضای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رسانه ای وارد دروس آموزشی نهادهای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هنر مَعالِ</w:t>
      </w:r>
      <w:r>
        <w:rPr>
          <w:rStyle w:val="FootnoteAnchor"/>
          <w:rtl w:val="true"/>
        </w:rPr>
        <w:footnoteReference w:id="244"/>
      </w:r>
      <w:r>
        <w:rPr>
          <w:rFonts w:ascii="IRNazanin" w:hAnsi="IRNazanin" w:eastAsia="IRNazanin"/>
          <w:color w:val="111111"/>
          <w:sz w:val="28"/>
          <w:sz w:val="28"/>
          <w:szCs w:val="28"/>
          <w:rtl w:val="true"/>
          <w:lang w:bidi="fa-IR"/>
        </w:rPr>
        <w:t>در اورشلیم، آموزش فیلم سازی در محدودة قانون یهود را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چه قدر هم این گرایش، خلاقیت و دانش به همراه داشته باشد، در نهایت عاملی برای کاهش تنش دین و دولت است</w:t>
      </w:r>
      <w:r>
        <w:rPr>
          <w:rFonts w:eastAsia="IRNazanin" w:cs="IRNazanin"/>
          <w:color w:val="111111"/>
          <w:sz w:val="28"/>
          <w:szCs w:val="28"/>
          <w:rtl w:val="true"/>
          <w:lang w:bidi="fa-IR"/>
        </w:rPr>
        <w:t>.</w:t>
      </w:r>
    </w:p>
    <w:p>
      <w:pPr>
        <w:pStyle w:val="Heading3"/>
        <w:numPr>
          <w:ilvl w:val="2"/>
          <w:numId w:val="1"/>
        </w:numPr>
        <w:rPr/>
      </w:pPr>
      <w:bookmarkStart w:id="644" w:name="__RefHeading___Toc1656446_2281741623"/>
      <w:bookmarkStart w:id="645" w:name="_Toc229"/>
      <w:bookmarkEnd w:id="644"/>
      <w:r>
        <w:rPr>
          <w:rtl w:val="true"/>
        </w:rPr>
        <w:t>اینترنت یهودی</w:t>
      </w:r>
      <w:bookmarkEnd w:id="645"/>
    </w:p>
    <w:p>
      <w:pPr>
        <w:pStyle w:val="BookText"/>
        <w:rPr/>
      </w:pPr>
      <w:r>
        <w:rPr>
          <w:rFonts w:ascii="IRNazanin" w:hAnsi="IRNazanin" w:eastAsia="IRNazanin"/>
          <w:color w:val="111111"/>
          <w:sz w:val="28"/>
          <w:sz w:val="28"/>
          <w:szCs w:val="28"/>
          <w:rtl w:val="true"/>
          <w:lang w:bidi="fa-IR"/>
        </w:rPr>
        <w:t>اینترنت یهودی</w:t>
      </w:r>
    </w:p>
    <w:p>
      <w:pPr>
        <w:pStyle w:val="BookText"/>
        <w:rPr/>
      </w:pPr>
      <w:r>
        <w:rPr>
          <w:rFonts w:ascii="IRNazanin" w:hAnsi="IRNazanin" w:eastAsia="IRNazanin"/>
          <w:color w:val="111111"/>
          <w:sz w:val="28"/>
          <w:sz w:val="28"/>
          <w:szCs w:val="28"/>
          <w:rtl w:val="true"/>
          <w:lang w:bidi="fa-IR"/>
        </w:rPr>
        <w:t>اینترنت، عامل انقلابی در دست یابی به اطلاعات دربارة یهود و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یهودی در شبکه وجود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حامیان سایت های اینترنتی به مردم، گروه ها، سازمان ها، نهادها و مؤسسه های تجاری عادی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دینی در سایت های افراد عادی بیشتر شامل کتاب مقدس، تفسیر، تلمود و قانون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 به بازدیدکنندگان اجازه می دهند که در مطالعة روزانة صفحه ای از تلمود شرکت کنند و بحث های هفتگی دربارة خواندن تورات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شامل تعدادی از برنامه های پیشرفتة یهودی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رهبران دینی که به قابلیت های اینترنت پی بردند حبَد و عِش تورا</w:t>
      </w:r>
      <w:r>
        <w:rPr>
          <w:rStyle w:val="FootnoteAnchor"/>
          <w:rtl w:val="true"/>
        </w:rPr>
        <w:footnoteReference w:id="245"/>
      </w:r>
      <w:r>
        <w:rPr>
          <w:rFonts w:ascii="IRNazanin" w:hAnsi="IRNazanin" w:eastAsia="IRNazanin"/>
          <w:color w:val="111111"/>
          <w:sz w:val="28"/>
          <w:sz w:val="28"/>
          <w:szCs w:val="28"/>
          <w:rtl w:val="true"/>
          <w:lang w:bidi="fa-IR"/>
        </w:rPr>
        <w:t xml:space="preserve">بودند، هم چنین </w:t>
      </w:r>
      <w:bookmarkStart w:id="646" w:name="pg3881_27983"/>
    </w:p>
    <w:p>
      <w:pPr>
        <w:pStyle w:val="BookText"/>
        <w:rPr/>
      </w:pPr>
      <w:bookmarkEnd w:id="646"/>
      <w:r>
        <w:rPr>
          <w:rFonts w:ascii="IRNazanin" w:hAnsi="IRNazanin" w:eastAsia="IRNazanin"/>
          <w:color w:val="111111"/>
          <w:sz w:val="28"/>
          <w:sz w:val="28"/>
          <w:szCs w:val="28"/>
          <w:rtl w:val="true"/>
          <w:lang w:bidi="fa-IR"/>
        </w:rPr>
        <w:t>سازمان هایی مانند جنبش های محافظه کار، ارتدکس و اصلاح طلب، کنیسه، سازمان های جمعی، رستوران های کاشر، مکان هایی که برای یهودیان جالب است و دیگر خدمات به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نیز شامل نسخة اینترنتی روزنامه های یهودی و اسراییلی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تجاری تقریباً دیر جای خود را در اینترنت پیدا کردند، امروزه بیشتر، کتاب هایِ دینی یهودی را از این طریق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کنیسة مجازی نتوانست جای خود را باز کند؛ چرا که اینترنت نمی تواند معیارهای قانون یهود را برای نمازگزار برآورده کند؛ ولی خاخام مجازی به پرسش هایی دربارة قانون یهود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این پرسش ها دربارة ازدواج، روابط افراد و مسائل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پرسش ها به گروه مشخصی از خاخام ها داده شود، خاخام مجازی ناشناس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این سخنرانی ها و گپ زدن دربارة باورهای دینی، هم چنین مشارکت در دروس دینی ای که روی وب ارائه می شوند، کم کم گروه های مجازی را خلق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اینترنت بر هویت یهودی این است که کسانی که به دنبال اطلاعات دینی هستند، راحت تر آن ها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موضوع محبوب در اینترنت، تبارشناسی و تاریخ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رسمی اینترنت از طرف نخبگان حَرِدی موجب شده است که نشود ارزیابی دقیقی از کسانی داشت که مخفیانه این منع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اینترنت، دسترسی به گروه های یهودی ساکن در کشورهای بسته را آسان تر می کند</w:t>
      </w:r>
      <w:r>
        <w:rPr>
          <w:rFonts w:eastAsia="IRNazanin" w:cs="IRNazanin"/>
          <w:color w:val="111111"/>
          <w:sz w:val="28"/>
          <w:szCs w:val="28"/>
          <w:rtl w:val="true"/>
          <w:lang w:bidi="fa-IR"/>
        </w:rPr>
        <w:t>.</w:t>
      </w:r>
    </w:p>
    <w:p>
      <w:pPr>
        <w:pStyle w:val="Heading3"/>
        <w:numPr>
          <w:ilvl w:val="2"/>
          <w:numId w:val="1"/>
        </w:numPr>
        <w:rPr/>
      </w:pPr>
      <w:bookmarkStart w:id="647" w:name="__RefHeading___Toc1656448_2281741623"/>
      <w:bookmarkStart w:id="648" w:name="_Toc230"/>
      <w:bookmarkEnd w:id="647"/>
      <w:r>
        <w:rPr>
          <w:rtl w:val="true"/>
        </w:rPr>
        <w:t>رسانه های یهودیان آواره</w:t>
      </w:r>
      <w:bookmarkEnd w:id="648"/>
    </w:p>
    <w:p>
      <w:pPr>
        <w:pStyle w:val="BookText"/>
        <w:rPr/>
      </w:pPr>
      <w:r>
        <w:rPr>
          <w:rFonts w:ascii="IRNazanin" w:hAnsi="IRNazanin" w:eastAsia="IRNazanin"/>
          <w:color w:val="111111"/>
          <w:sz w:val="28"/>
          <w:sz w:val="28"/>
          <w:szCs w:val="28"/>
          <w:rtl w:val="true"/>
          <w:lang w:bidi="fa-IR"/>
        </w:rPr>
        <w:t>رسانه های یهودیان آواره</w:t>
      </w:r>
      <w:r>
        <w:rPr>
          <w:rStyle w:val="FootnoteAnchor"/>
          <w:rtl w:val="true"/>
        </w:rPr>
        <w:footnoteReference w:id="24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جمعی نقش مهمی در گروه های یهودیان آواره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یهودی پراکنده در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آمریکا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خبرهای محلی یهودیان، گروه یهودی ملی و خبرهایی از اسراییل و گروه های یهودی خارج از آن را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تولید خبر، مقاله، یادداشت و ریویو دربارة هویت، فرهنگ و دین یهودی نیز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افزون بر کارکرد غیر رسمی شان، نقش مهمی در تحکیم هویت یهودی و وحدت یهودیان در سراسر جهان دارند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مجلة یهودیان به نام روزنامة آمستردام در سال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آمستردام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روزنامه به معنای مدرن آن </w:t>
      </w:r>
      <w:r>
        <w:rPr>
          <w:rFonts w:eastAsia="Times New Roman" w:cs="Times New Roman" w:ascii="Times New Roman" w:hAnsi="Times New Roman"/>
          <w:color w:val="111111"/>
          <w:sz w:val="28"/>
          <w:szCs w:val="28"/>
          <w:lang w:val="en-US" w:bidi="en-US"/>
        </w:rPr>
        <w:t>Allgemeine Zeitung des Judenthums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 که در لایپزیگ به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شد و تا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نامة یهودیان لندن 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تا امروز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رشد جنبش آزادی بخش یهودیان در قرن هجدهم، روزنامه های یهودی نیز رشد چشم گیری داشتند تا جایی که در پایان قرن نوزدهم تعداد آن ها به بیش از صد روزنامه و مجلة یهودی در اروپا رسید که به آلمانی، عبری، انگلیسی، ییدیش و لاتین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تا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روزنامه هایی در پایتخت های شرق اروپا منتشر می شدند که پس از ظهور نازیسم همگی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روزنامة زیرزمینی نیز در دوران جنگ جهانی دوم در مناطق تحت نفوذ نازی ها از جمله گتوی ورشو،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توده های مهاجر یهودی به ایالات متحده در اواخر قرن نوزدهم و اوایل قرن بیستم موجب تأسیس روزنامه و هفته نامه ای به زبان ییدیش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اخبار، در این مطبوعات مطالبی دربارة حقوق مهاجران و سرزمین جدید نیز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پنجاه هفته نامه و تعداد بسیاری دوهفته نامه و ماه نامه در ایالات متحده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هفته نامة یهودی نیز در اروپا، </w:t>
      </w:r>
    </w:p>
    <w:p>
      <w:pPr>
        <w:pStyle w:val="BookText"/>
        <w:rPr/>
      </w:pPr>
      <w:r>
        <w:rPr>
          <w:rFonts w:ascii="IRNazanin" w:hAnsi="IRNazanin" w:eastAsia="IRNazanin"/>
          <w:color w:val="111111"/>
          <w:sz w:val="28"/>
          <w:sz w:val="28"/>
          <w:szCs w:val="28"/>
          <w:rtl w:val="true"/>
          <w:lang w:bidi="fa-IR"/>
        </w:rPr>
        <w:t>هفت هفته نامه در کانادا، سه تا در آمریکای لاتین و دو تا در دیگر نقاط جهان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تعداد بسیاری مطبوعات مناسبتی یا ماه نامه ها در مراکز گوناگون تجمع یهودیان در سراسر جهان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سابق با ظهور چهل نشریة یهودی، شاهد تولد دوبارة مطبوعات یهودی در خاک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اصلی اطلاعات دربارة مطبوعات یهودی در سراسر جهان، آژانس تلگرافی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آژانس را جیکوب لاندو در لاهه تأسیس کرد و از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محل آن به نیویورک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شبکة گسترده ای از خبرنگارانِ بیشتر پاره وقت را در آمریکای شمالی و دیگر نقاط جهان تحت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آژانس، زیر نظر شورای فدراسیون های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های اقتصادیِ رو در روی مطبوعات یهودی، فدراسیون های یهودی محلی را به خریدن این مطبوعات تشویق کرده است و از این طریق است که فدراسیون ها با گروه های یهودی ارتباط برقرار می کنند؛ ولی از سوی دیگر، این امر موجب تحدید آزادی رسانه در گزارش مسائل مربوط به یهودیان می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اسراییل بخش مهمی از خبرهای رسانه های یهودی امروز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رسانه های اصلی دنیا جدال اعراب و اسراییل را پوشش می دهند؛ ولی رسانه های یهودی با دیدگاهی کمتر انتقادی به ماجرا می پردازند و گسترة پهناوری از خبرها، هم چون سیاست، اقتصاد، دین و جامعة اسراییل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با خودداری از نقد دولت یهودی، یهودیان پراکنده در جهان را با اسراییل همدل می کنند</w:t>
      </w:r>
      <w:r>
        <w:rPr>
          <w:rFonts w:eastAsia="IRNazanin" w:cs="IRNazanin"/>
          <w:color w:val="111111"/>
          <w:sz w:val="28"/>
          <w:szCs w:val="28"/>
          <w:rtl w:val="true"/>
          <w:lang w:bidi="fa-IR"/>
        </w:rPr>
        <w:t xml:space="preserve">. </w:t>
      </w:r>
      <w:bookmarkStart w:id="649" w:name="pg3881_27986"/>
    </w:p>
    <w:p>
      <w:pPr>
        <w:pStyle w:val="BookText"/>
        <w:rPr/>
      </w:pPr>
      <w:bookmarkEnd w:id="649"/>
      <w:r>
        <w:rPr>
          <w:rFonts w:ascii="IRNazanin" w:hAnsi="IRNazanin" w:eastAsia="IRNazanin"/>
          <w:color w:val="111111"/>
          <w:sz w:val="28"/>
          <w:sz w:val="28"/>
          <w:szCs w:val="28"/>
          <w:rtl w:val="true"/>
          <w:lang w:bidi="fa-IR"/>
        </w:rPr>
        <w:t>در بسیاری از کشورها ایستگاه های رادیویی یهودی وجود دارد که در بیشتر موارد در هفته چند ساعت برنامه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ایستگاه های رادیویی یهودی در فرانسه، آرژانتین و نیویورک واقع هستند که در تمام طول هفته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تأسیس تلویزیون یهودیان به علت هزینه های سرسام آور تا به حال نتیجه نداشته است؛ هر چند در چند کشور، تلویزیون دولتی، بخشی از برنامه های خود را به دین یهود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تبدیل به ابزار مهمی برای پیگیری اخبار یهودیان شده است و بسیاری از سازمان های خبری یهودی، اخبار خود را به صورت آن لاین منتشر می کنند</w:t>
      </w:r>
      <w:r>
        <w:rPr>
          <w:rFonts w:eastAsia="IRNazanin" w:cs="IRNazanin"/>
          <w:color w:val="111111"/>
          <w:sz w:val="28"/>
          <w:szCs w:val="28"/>
          <w:rtl w:val="true"/>
          <w:lang w:bidi="fa-IR"/>
        </w:rPr>
        <w:t>.</w:t>
      </w:r>
    </w:p>
    <w:p>
      <w:pPr>
        <w:pStyle w:val="Heading3"/>
        <w:numPr>
          <w:ilvl w:val="2"/>
          <w:numId w:val="1"/>
        </w:numPr>
        <w:rPr/>
      </w:pPr>
      <w:bookmarkStart w:id="650" w:name="__RefHeading___Toc1656450_2281741623"/>
      <w:bookmarkStart w:id="651" w:name="_Toc231"/>
      <w:bookmarkEnd w:id="650"/>
      <w:r>
        <w:rPr>
          <w:rtl w:val="true"/>
        </w:rPr>
        <w:t>رسانه های عرب</w:t>
      </w:r>
      <w:bookmarkEnd w:id="651"/>
    </w:p>
    <w:p>
      <w:pPr>
        <w:pStyle w:val="BookText"/>
        <w:rPr/>
      </w:pPr>
      <w:r>
        <w:rPr>
          <w:rFonts w:ascii="IRNazanin" w:hAnsi="IRNazanin" w:eastAsia="IRNazanin"/>
          <w:color w:val="111111"/>
          <w:sz w:val="28"/>
          <w:sz w:val="28"/>
          <w:szCs w:val="28"/>
          <w:rtl w:val="true"/>
          <w:lang w:bidi="fa-IR"/>
        </w:rPr>
        <w:t>رسانه های عرب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موضوع مورد توجهی در رسانه های عرب، اسراییل و مناطق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اسراییل، رسانه های عرب، شامل هفته نامه هایی مانند قول العرب</w:t>
      </w:r>
      <w:r>
        <w:rPr>
          <w:rStyle w:val="FootnoteAnchor"/>
          <w:rtl w:val="true"/>
        </w:rPr>
        <w:footnoteReference w:id="247"/>
      </w:r>
      <w:r>
        <w:rPr>
          <w:rFonts w:ascii="Amiri" w:hAnsi="Amiri" w:eastAsia="Amiri" w:cs="Amiri"/>
          <w:color w:val="111111"/>
          <w:sz w:val="28"/>
          <w:sz w:val="28"/>
          <w:szCs w:val="28"/>
          <w:rtl w:val="true"/>
          <w:lang w:bidi="ar-SA"/>
        </w:rPr>
        <w:t>و سِناره</w:t>
      </w:r>
      <w:r>
        <w:rPr>
          <w:rStyle w:val="FootnoteAnchor"/>
          <w:rtl w:val="true"/>
        </w:rPr>
        <w:footnoteReference w:id="248"/>
      </w:r>
      <w:r>
        <w:rPr>
          <w:rFonts w:ascii="IRNazanin" w:hAnsi="IRNazanin" w:eastAsia="IRNazanin"/>
          <w:color w:val="111111"/>
          <w:sz w:val="28"/>
          <w:sz w:val="28"/>
          <w:szCs w:val="28"/>
          <w:rtl w:val="true"/>
          <w:lang w:bidi="fa-IR"/>
        </w:rPr>
        <w:t>یک ایستگاه رادیویی دینی به نام رادیو شمِس</w:t>
      </w:r>
      <w:r>
        <w:rPr>
          <w:rStyle w:val="FootnoteAnchor"/>
          <w:rtl w:val="true"/>
        </w:rPr>
        <w:footnoteReference w:id="249"/>
      </w:r>
      <w:r>
        <w:rPr>
          <w:rFonts w:ascii="IRNazanin" w:hAnsi="IRNazanin" w:eastAsia="IRNazanin"/>
          <w:color w:val="111111"/>
          <w:sz w:val="28"/>
          <w:sz w:val="28"/>
          <w:szCs w:val="28"/>
          <w:rtl w:val="true"/>
          <w:lang w:bidi="fa-IR"/>
        </w:rPr>
        <w:t>است که مسائل دینی اعراب را پوشش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اسراییل علاقة بسیاری به اخبار دینی دارند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دینی خبرها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خبررسانی دینی، شامل نماز جمعه، مراسم دینی در طول ماه رمضان و سخنرانی های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دین، شامل خبرهایی دربارة منزلت مسجدالاقصی ـ سومین مکان مقدس مسلمانان ـ که در بیت المقدس واقع شده است و گروه هایی از یهودیان بر آنند تا عبادتگاه خود را در آن جا بنا کنند و نیز مشاجره ای همیشگی در ناصریه بر سر بنای مسجدی بر خرابه های کلیسای باسیلیکا،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به زبان عربی از تلویزیون و رادیو اسراییل پخش می شود کمتر به امور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خبری مسیحیت و وقایع مربوط </w:t>
      </w:r>
    </w:p>
    <w:p>
      <w:pPr>
        <w:pStyle w:val="BookText"/>
        <w:rPr/>
      </w:pPr>
      <w:r>
        <w:rPr>
          <w:rFonts w:ascii="IRNazanin" w:hAnsi="IRNazanin" w:eastAsia="IRNazanin"/>
          <w:color w:val="111111"/>
          <w:sz w:val="28"/>
          <w:sz w:val="28"/>
          <w:szCs w:val="28"/>
          <w:rtl w:val="true"/>
          <w:lang w:bidi="fa-IR"/>
        </w:rPr>
        <w:t xml:space="preserve">به آن مانند جشن کریسمس در بیت اللحم از پوشش خبری اسلام کمتر است؛ به این دلیل که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اسراییل مسیحی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الگو در رسانه های فلسطینی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روزنامه های فلسطینی در ضمیمة هفتگی خود دربارة مسائل گوناگون از نگاه اسلام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فلسطین که در کنترل دولت فلسطین است، برنامة خاصی در روزهای جمعه دارد که از مسجد غزه پخش می شود، هم چنین برنامه های تلفنی دربارة ماه رمضان که افزون بر خبر، گزارش ها و تصاویر متنوعی از شخصیت ها و وقایع کلیدی تاریخ اسلام پخش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یوئل کوهن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امیر احمدی آریان </w:t>
      </w:r>
      <w:bookmarkStart w:id="652" w:name="pg3881_27988"/>
    </w:p>
    <w:p>
      <w:pPr>
        <w:pStyle w:val="Heading3"/>
        <w:numPr>
          <w:ilvl w:val="2"/>
          <w:numId w:val="1"/>
        </w:numPr>
        <w:rPr/>
      </w:pPr>
      <w:bookmarkStart w:id="653" w:name="__RefHeading___Toc1656452_2281741623"/>
      <w:bookmarkStart w:id="654" w:name="_Toc232"/>
      <w:bookmarkEnd w:id="652"/>
      <w:bookmarkEnd w:id="653"/>
      <w:r>
        <w:rPr>
          <w:rtl w:val="true"/>
        </w:rPr>
        <w:t>برای مطالعۀ بیشتر</w:t>
      </w:r>
      <w:bookmarkEnd w:id="654"/>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Baumel, S. D., (2002). Communication and change: Newspapers, periodicals, and acculturation among Israeli Haredim. Jewish History16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Cohen, Y., (2005). Religion News in Israel. Journal of Media &amp; Religion,4(3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Cohen, Y., (2001). Mass Media in the Jewish Tradition. In D.A. Stout &amp; J. M. Buddenbaum (Eds). Religion and popular culture: Studies on the interaction of worldviews, Ames:Iowa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Heilman, S. C. (1990). Religious Jewry in the secular press:Aftermath of the 1988 elections. In C. Liebman (Ed). Religious and secular: Conflict and accommodation between Jews in Israel.Tel Aviv: Avi Chai Foundation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Herzog Institute of Communications, Society, Politics. (2003( Public confidence in the media.Tel Aviv. Tel Aviv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Israel Advertisers’ Association (1995). Survey of Exposure to mass media: Haredim.Tel Aviv: IAA</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Jemaal, A. (2005). I’lam, Survey of media exposure of Israeli Arabs.Nazareth: Media Center for Arab Palestinians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Israel Advertisers’ Association (1997). Survey of exposure to mass media.Tel Aviv: IAA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Levi. A., (1990). The Haredi press and secular society. In C.Liebman (Ed.): Religious and secular: Conflict and accommodation between Jews in Israel. Tel Aviv: Avi Chai Foundation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Micolson, M. (1990). The Haredi press in Israel. Kesher,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Rokeach, E., (1997). Israeli governmental inquiry into strengthening Jewish values through radio. Unpublished manuscript</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Sasson-Levi, O. (1998). Secular Israelis as reflected in the Haredi press.Ramat Gan: Am Hofshi</w:t>
      </w:r>
      <w:r>
        <w:rPr>
          <w:rFonts w:eastAsia="Times New Roman" w:cs="Times New Roman" w:ascii="Times New Roman" w:hAnsi="Times New Roman"/>
          <w:color w:val="111111"/>
          <w:sz w:val="28"/>
          <w:szCs w:val="28"/>
          <w:rtl w:val="true"/>
          <w:lang w:val="en-US" w:bidi="en-US"/>
        </w:rPr>
        <w:t xml:space="preserve">. </w:t>
      </w:r>
      <w:bookmarkStart w:id="655" w:name="pg3881_27990"/>
    </w:p>
    <w:p>
      <w:pPr>
        <w:pStyle w:val="Heading2"/>
        <w:numPr>
          <w:ilvl w:val="1"/>
          <w:numId w:val="1"/>
        </w:numPr>
        <w:rPr/>
      </w:pPr>
      <w:bookmarkStart w:id="656" w:name="__RefHeading___Toc1656454_2281741623"/>
      <w:bookmarkStart w:id="657" w:name="_Toc233"/>
      <w:bookmarkEnd w:id="655"/>
      <w:bookmarkEnd w:id="656"/>
      <w:r>
        <w:rPr>
          <w:rtl w:val="true"/>
        </w:rPr>
        <w:t>رمان ها</w:t>
      </w:r>
      <w:bookmarkEnd w:id="657"/>
    </w:p>
    <w:p>
      <w:pPr>
        <w:pStyle w:val="Heading3"/>
        <w:numPr>
          <w:ilvl w:val="2"/>
          <w:numId w:val="1"/>
        </w:numPr>
        <w:rPr/>
      </w:pPr>
      <w:bookmarkStart w:id="658" w:name="__RefHeading___Toc1656456_2281741623"/>
      <w:bookmarkStart w:id="659" w:name="_Toc234"/>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رمان 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رمان در برقراری ارتباط مذهبی با مخاطب، یکی دیگر از فرم های ادبی است که کاملأ به برداشت از مذهب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از لحاظ تاریخی، نیازِ نظام ها و اصول اعتقادی را، از عرف و سنت گرفته تا گروه ها و فرقه های مذهبی گوناگون، برآورده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رمان و انواع سبک های ابتدایی آن مانند عاشقانه، طنز و داستان کوتاه، نه تنها راه خود را از روند مذهبی ـ سنتی جامعه دور کرده، بلکه عملا به نفی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رواج و رونق رمان ـ نیمه های قرن هجدهم ـ حجم انبوهی از کتاب های منتشر شده، در زمینۀ رمان و داستان کوتاه با پشت کردن به واقعیات، سعی در سرگرم کردن مخاطب داشته اند و در راه رسیدن به این مقصود در بهترین وضع، سطحی و ضعیف و در بدترین وضع، گمراه کننده </w:t>
      </w:r>
      <w:bookmarkStart w:id="660" w:name="pg3881_27991"/>
    </w:p>
    <w:p>
      <w:pPr>
        <w:pStyle w:val="BookText"/>
        <w:rPr/>
      </w:pPr>
      <w:bookmarkEnd w:id="660"/>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رمان ها فراتر از ارضای شهوات و امیال نفسانی خوانندگان هستند و در وسعت بخشیدن به نگاه و ذهن مخاطبان در عرصه های اجتماعی و هنری موفقیت هایی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نخستین رمان ها، بنیانگذار پندهای اخلاقی برای جوانان به ویژه زن های جوان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ساموئل ریچاردسِن به نام پاملا و کلاریسا از همین نوع بودند و منبع و مرجع تقلید بسیاری از رمان های آموزنده شدند ولی در فاصله ای بسیار کوتاه، رمانِ بی اعتنا به موضوعات اخلاقی، محدود به حفظ تقوا و خودداری از بی بند و باری های جنسی، به بیان تمایلات سرکش غرایز، شور جوانی و زندگی پرداخت که نمونۀ بارز آن رمان تام جونز از هنری فیلدینگ بود؛ داستانی از ماجراجویی ها و بلندپروازی های شهوانی قهرمان جوانِ آن</w:t>
      </w:r>
      <w:r>
        <w:rPr>
          <w:rFonts w:eastAsia="IRNazanin" w:cs="IRNazanin"/>
          <w:color w:val="111111"/>
          <w:sz w:val="28"/>
          <w:szCs w:val="28"/>
          <w:rtl w:val="true"/>
          <w:lang w:bidi="fa-IR"/>
        </w:rPr>
        <w:t>.</w:t>
      </w:r>
    </w:p>
    <w:p>
      <w:pPr>
        <w:pStyle w:val="Heading3"/>
        <w:numPr>
          <w:ilvl w:val="2"/>
          <w:numId w:val="1"/>
        </w:numPr>
        <w:rPr/>
      </w:pPr>
      <w:bookmarkStart w:id="661" w:name="__RefHeading___Toc1656458_2281741623"/>
      <w:bookmarkStart w:id="662" w:name="_Toc235"/>
      <w:bookmarkEnd w:id="661"/>
      <w:r>
        <w:rPr>
          <w:rtl w:val="true"/>
        </w:rPr>
        <w:t>پیدایش رمان</w:t>
      </w:r>
      <w:bookmarkEnd w:id="662"/>
    </w:p>
    <w:p>
      <w:pPr>
        <w:pStyle w:val="BookText"/>
        <w:rPr/>
      </w:pPr>
      <w:r>
        <w:rPr>
          <w:rFonts w:ascii="IRNazanin" w:hAnsi="IRNazanin" w:eastAsia="IRNazanin"/>
          <w:color w:val="111111"/>
          <w:sz w:val="28"/>
          <w:sz w:val="28"/>
          <w:szCs w:val="28"/>
          <w:rtl w:val="true"/>
          <w:lang w:bidi="fa-IR"/>
        </w:rPr>
        <w:t>پیدایش رمان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نخستین خوانندگان رمان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گسترش این گونة ادبی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قرن هجدهم و نوزدهم با موضوع سکس، فضایی به وجود آوردند که خواه ناخواه نمی شد آن ها را جزو ادبیات جدی به حساب آورد و حضور آن ها در کنار دیگر فعالیت های ادبی مانند حماسه، فلسفه و نوشته های علمی، حضوری فرعی و جانبی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شاهکار هایی که هم رمان نویسان زن و هم رمان نویسان مرد پدید می آوردند، بخش عمدة رمان های منتشره، نه برای ارائة کاری هنرمندانه که به قصد سرگرم کردن خوانندگان و با اهدافی سودجویانه نوشته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کم نبودند رمان هایی که در عین جلب توجه عام و فروش خوب، خوانندگان خاص و منتقدان سخت گیر به آن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ادبی اتفاق نظر دارند که نخستین رمان شناخته شده در </w:t>
      </w:r>
    </w:p>
    <w:p>
      <w:pPr>
        <w:pStyle w:val="BookText"/>
        <w:rPr/>
      </w:pPr>
      <w:r>
        <w:rPr>
          <w:rFonts w:ascii="IRNazanin" w:hAnsi="IRNazanin" w:eastAsia="IRNazanin"/>
          <w:color w:val="111111"/>
          <w:sz w:val="28"/>
          <w:sz w:val="28"/>
          <w:szCs w:val="28"/>
          <w:rtl w:val="true"/>
          <w:lang w:bidi="fa-IR"/>
        </w:rPr>
        <w:t>جهان، رمان عشقی افسانة گنجی است که لیدی موراساکی شیکیبو، اهل ژاپن در قرن یازدهم آن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اسپانیایی میگل دِ سروانتس به نام دن کیشوت در نخستین سال های قرن هفدهم </w:t>
      </w: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مهم ترین گام در مرحلة عبور از حماسه به رمان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رمان های حجیم بسیاری به انگلیسی منتشر شدند؛ مانند اورونکو اثر آفرا بن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رابینسون کروزوئه اثر دانیل دفو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 فلاندرز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سفرهای گالیور اثر جاناتان سویفت </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کتاب ها، به ویژه رابینسون کروزوئه بافت داستانی یک پارچة حجیمی نداشتند و به زندگی نامه های خود نوشتِ تخیلی و شاخ و برگ یافته، شباهت دارند، واژة دقیق رمان را نمی شود به آن ها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شرح ماجراهایی که برای شخصیتی خیالی روی می داد، فاصله ای میان قهرمان داستان و راوی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ناشران هر دو با دامن زدن به تخیلات خواننده و منحرف کردن ذهن او از واقعیات تا می توا نستند بازارگرمی برای آثار خود به وجود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آثاری که نام برده شد، نکات اخلاقی ارزشمندی وجود دارد و ذهن خواننده را پر بار می کند ولی نمی شود آن ها را رمان مذهبی نامید یا فعالیتی ادبی برای تبیین آرا و عقاید مذهبی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عصر حاضر، مذهبی های سنتی، رمان ها را تأیید و قبول نمی کنند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اثری که بسیاری آن را اولین کار جدی رمان شناخته اند، رمان مکاتبه ای ساموئل ریچاردسِن به نام پاملا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رمان با مجموعه ای از نامه ها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در سال های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 کلاریسا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مهم دیگر در زمینة رمان، تام جونز اثر هنری فیلدینگ </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با زندگی نامه های خود نوشتِ تخیلی که در بالا نام بردیم، وجه تمایز آشکاری </w:t>
      </w:r>
      <w:bookmarkStart w:id="663" w:name="pg3881_27993"/>
    </w:p>
    <w:p>
      <w:pPr>
        <w:pStyle w:val="BookText"/>
        <w:rPr/>
      </w:pPr>
      <w:bookmarkEnd w:id="663"/>
      <w:r>
        <w:rPr>
          <w:rFonts w:ascii="IRNazanin" w:hAnsi="IRNazanin" w:eastAsia="IRNazanin"/>
          <w:color w:val="111111"/>
          <w:sz w:val="28"/>
          <w:sz w:val="28"/>
          <w:szCs w:val="28"/>
          <w:rtl w:val="true"/>
          <w:lang w:bidi="fa-IR"/>
        </w:rPr>
        <w:t>داشتند و تا اندازه ای از ویژگی های تشکیل دهندة رمان بر 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منتقدان معاصر کوشیده اند، ویژگی های دقیق رمان را مشخص کنند و روشی برای آن در نظر بگیرند ولی واقعیت این است که هنوز بر خلاف انتشار روز افزون رمان در جهان، میان منتقدان و صاحب نظران، توافق کاملی برای تعیین این ویژگی ها صورت نگرفته است و گاه با انتشار رمانی جدید، دربارة رمان بودن یا نبودن آن در روزنامه ها، بسیار بحث می شود</w:t>
      </w:r>
      <w:r>
        <w:rPr>
          <w:rFonts w:eastAsia="IRNazanin" w:cs="IRNazanin"/>
          <w:color w:val="111111"/>
          <w:sz w:val="28"/>
          <w:szCs w:val="28"/>
          <w:rtl w:val="true"/>
          <w:lang w:bidi="fa-IR"/>
        </w:rPr>
        <w:t>.</w:t>
      </w:r>
    </w:p>
    <w:p>
      <w:pPr>
        <w:pStyle w:val="Heading3"/>
        <w:numPr>
          <w:ilvl w:val="2"/>
          <w:numId w:val="1"/>
        </w:numPr>
        <w:rPr/>
      </w:pPr>
      <w:bookmarkStart w:id="664" w:name="__RefHeading___Toc1656460_2281741623"/>
      <w:bookmarkStart w:id="665" w:name="_Toc236"/>
      <w:bookmarkEnd w:id="664"/>
      <w:r>
        <w:rPr>
          <w:rtl w:val="true"/>
        </w:rPr>
        <w:t>تعریف رمان</w:t>
      </w:r>
      <w:bookmarkEnd w:id="665"/>
    </w:p>
    <w:p>
      <w:pPr>
        <w:pStyle w:val="BookText"/>
        <w:rPr/>
      </w:pPr>
      <w:r>
        <w:rPr>
          <w:rFonts w:ascii="IRNazanin" w:hAnsi="IRNazanin" w:eastAsia="IRNazanin"/>
          <w:color w:val="111111"/>
          <w:sz w:val="28"/>
          <w:sz w:val="28"/>
          <w:szCs w:val="28"/>
          <w:rtl w:val="true"/>
          <w:lang w:bidi="fa-IR"/>
        </w:rPr>
        <w:t>تعریف رمان</w:t>
      </w:r>
    </w:p>
    <w:p>
      <w:pPr>
        <w:pStyle w:val="BookText"/>
        <w:rPr/>
      </w:pPr>
      <w:r>
        <w:rPr>
          <w:rFonts w:ascii="IRNazanin" w:hAnsi="IRNazanin" w:eastAsia="IRNazanin"/>
          <w:color w:val="111111"/>
          <w:sz w:val="28"/>
          <w:sz w:val="28"/>
          <w:szCs w:val="28"/>
          <w:rtl w:val="true"/>
          <w:lang w:bidi="fa-IR"/>
        </w:rPr>
        <w:t>رمان به نثری داستانی گویند که وجه تمایز آن با حکایت، قصه و داستان کوتاه در طولانی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مردم، هر تعریفی فراتر از این مشکل آفرین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رمان در انگلستان، موجب ترویج آن شد و انگیزه های کافی برای تنوع بخشیدن به آن را تقویت کرد؛ برای نمونه رمان ژوزف آندروز اثر فیلدینگ </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ادامه دادن حوادث رمانِ پاملای ریچاردسِن و استفاده از همان شخصیت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آندروس در واقع برادر پاملاست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جانی تازه به این رمان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بلند سویفت و دفو به سبب طولانی بودن قصه، در ردة رمان قرار می گیرند؛ زیرا طرح کلی موضوع یک دست نیست و نمی شود محوری اصلی برای آن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دن کیشوت برای انتقاد از اوضاع اجتماعی روزگار از زبان افراد طبقۀ پایین جامعه، قطعات مجزای حکایت گونه دارند که در اصطلاح ادبی به آن پیکارسک</w:t>
      </w:r>
      <w:r>
        <w:rPr>
          <w:rStyle w:val="FootnoteAnchor"/>
          <w:rtl w:val="true"/>
        </w:rPr>
        <w:footnoteReference w:id="250"/>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اجمالی به رمان های متعدد نشان می دهد که هر گاه کوشیده اند، رمان را در قالبی از پیش تعیین شده تعریف کنند، اصرار برای ارائة رمانی فراتر </w:t>
      </w:r>
      <w:bookmarkStart w:id="666" w:name="pg3881_27994"/>
    </w:p>
    <w:p>
      <w:pPr>
        <w:pStyle w:val="BookText"/>
        <w:rPr/>
      </w:pPr>
      <w:bookmarkEnd w:id="666"/>
      <w:r>
        <w:rPr>
          <w:rFonts w:ascii="IRNazanin" w:hAnsi="IRNazanin" w:eastAsia="IRNazanin"/>
          <w:color w:val="111111"/>
          <w:sz w:val="28"/>
          <w:sz w:val="28"/>
          <w:szCs w:val="28"/>
          <w:rtl w:val="true"/>
          <w:lang w:bidi="fa-IR"/>
        </w:rPr>
        <w:t>از آن تعاریف تعیین شده،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ندیده گرفتن تعاریفِ محدود کنندة رمان، اصل تغییر ناپذیر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به ندرت وسیلة خوبی برای تبلیغات مذهبی یا غیر مذهبی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ویژگیِ اجتناب ناپذیر رمان، دست آویزی برای بعضی نویسندگان شده تا واقعیت ها را بهتر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زندگی اشخاص واقعی را با نام های جعلی می نویسند و از این رهگذر انتقاد های سیاسی یا اجتماعی خود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رمان ها در اصطلاح ادبی رمان کلیدی</w:t>
      </w:r>
      <w:r>
        <w:rPr>
          <w:rStyle w:val="FootnoteAnchor"/>
          <w:rtl w:val="true"/>
        </w:rPr>
        <w:footnoteReference w:id="251"/>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معاصر این گونه رمان ها، رنگ های اصلی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ماجرای رسوایی چهل و دومین رییس جمهوری آمریکا و همسرش هیلاری کلینتون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رمان کلیدی در واقع تخیل گرایی رمان را به ستیزه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حجم رمان عامل متغیر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کارهای ساموئل ریچاردسِن، جرج الیوت و چارلز دیکنز طولانی و حجیم اند که در چند جلد منتشر یا به صورت داستان های دنباله دار در نشریات چاپ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امروزی معمولاً میان دویست یا دویست و پنجاه صفحه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چاپ کتاب هایی به نام رمان کوتاه و نا مشخص بودن تعریفِ داستان کوتاه باعث شد تا این اصطلاحات به جای مشخص کردن معنای رمان، بر گنگ بودن آن بیفزایند</w:t>
      </w:r>
      <w:r>
        <w:rPr>
          <w:rFonts w:eastAsia="IRNazanin" w:cs="IRNazanin"/>
          <w:color w:val="111111"/>
          <w:sz w:val="28"/>
          <w:szCs w:val="28"/>
          <w:rtl w:val="true"/>
          <w:lang w:bidi="fa-IR"/>
        </w:rPr>
        <w:t>.</w:t>
      </w:r>
    </w:p>
    <w:p>
      <w:pPr>
        <w:pStyle w:val="Heading3"/>
        <w:numPr>
          <w:ilvl w:val="2"/>
          <w:numId w:val="1"/>
        </w:numPr>
        <w:rPr/>
      </w:pPr>
      <w:bookmarkStart w:id="667" w:name="__RefHeading___Toc1656462_2281741623"/>
      <w:bookmarkStart w:id="668" w:name="_Toc237"/>
      <w:bookmarkEnd w:id="667"/>
      <w:r>
        <w:rPr>
          <w:rtl w:val="true"/>
        </w:rPr>
        <w:t>رمان و واقع گرایی اجتماعی</w:t>
      </w:r>
      <w:bookmarkEnd w:id="668"/>
    </w:p>
    <w:p>
      <w:pPr>
        <w:pStyle w:val="BookText"/>
        <w:rPr/>
      </w:pPr>
      <w:r>
        <w:rPr>
          <w:rFonts w:ascii="IRNazanin" w:hAnsi="IRNazanin" w:eastAsia="IRNazanin"/>
          <w:color w:val="111111"/>
          <w:sz w:val="28"/>
          <w:sz w:val="28"/>
          <w:szCs w:val="28"/>
          <w:rtl w:val="true"/>
          <w:lang w:bidi="fa-IR"/>
        </w:rPr>
        <w:t>رمان و واقع گرایی اجتماعی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گوناگونی روز افزون رمان که سبب می شد هر تعریفِ مشخص شده ای بی فاصله با موردی استثنایی روبه رو شود و چهارچوبش را از دست بدهد، اهل فن ناچار به تعریفی محدود ولی انعطاف پذیر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گاه کتابی دارای مشخصات معمول رمان، طولانی بودن داستان، انسجام داستان، داشتن ویژگی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ساختاری، منطقی درونی دارد که در آن هر جزیی به اجزای دیگر وابسته است، نمی شود چیزی را از آن برداشت، بدون آن که آسیبی به آن وارد آید یا چیزی به آن افزود، بی آن که معیوب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تمرکز بر شخصیت ها بود، می شود آن را از انواع مشابه دیگر متمایز دانست و به آن نام رمان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عمیق ترین و پرسش بر انگیزترین ویژگی های رمان را یان وات بیان کرد؛ زیرا تحقیقات گسترده اش در رمان، فصلی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پیدایش رمان از دیدگاه تازه ای دربارة رمان سخن گفته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ایان وات چنین استدلال می کند که تفاوت اولیه میان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قرن هجدهم انگلستان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های بلند از کلاسیک تا رنسانس در واقع گرایی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واقع گرایی را ویژگی متضاد آرمان گرایی می داند؛ هم چنین او معتقد است، داستان واقع گرایانه از رمانس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قارة اروپا میان قرون هجدهم و پیش از آن به چاپ می رسید،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رمانس معمولاً جماعت روشنفکر و تحصیل کرده اند، در حالی که رمان ها در آغاز برای اقشار گوناگون جامعه نوشته می شدند و تجارب گوناگون انسانی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مهم ترین استدلال وات این است که واقع گرایی رمان، ناشی از موضوعی که به آن پرداخته شده، نیست؛ بلکه نتیجة چگونه پرداختن به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داستان مذهبی می کوشد واقعاً مسائل را آن گونه که باید باشند، نه آن گونه که هستند،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واقع گرایی، آشکارا بخشی از بدنة رمان و ویژگی بسیاری از رمان های چاپ شده در سه قرن اخیر است؛ گرچه در قرن بیستم به </w:t>
      </w:r>
    </w:p>
    <w:p>
      <w:pPr>
        <w:pStyle w:val="BookText"/>
        <w:rPr/>
      </w:pPr>
      <w:r>
        <w:rPr>
          <w:rFonts w:ascii="IRNazanin" w:hAnsi="IRNazanin" w:eastAsia="IRNazanin"/>
          <w:color w:val="111111"/>
          <w:sz w:val="28"/>
          <w:sz w:val="28"/>
          <w:szCs w:val="28"/>
          <w:rtl w:val="true"/>
          <w:lang w:bidi="fa-IR"/>
        </w:rPr>
        <w:t xml:space="preserve">ویژه آرمان گرایی، به تدریج ارزش خود را برای نویسندگان از دست داده و جذب جریان سیال ذهن شده است که بانیان آن ویرجینیا ولف و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رمان چه به سمت واقع گرایی رفته باشد، چه در صد سال اخیر از آن پرهیز کرده باشد، واقعیت این است که رمان، تکلیف خود را از نظر ادبی روشن کرده و نشان داده که راهش از راه نوشته های نیایشی، عبادی و مذهبی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نمی توان منکر نقش اجتماعی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آن اشاره کردیم، بیشتر نوشته های عبادی از ایده آل های مذهبی حرف می زنند، از جامعه ای که باید به آن برسند؛ بر خلاف آن ها رمان واقع گرا جامعه را همان گونه به تصویر می کشد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جین آوستین و چارلز دیکنز آثارشان را چاپ کردند، انتقاد از وضع جامعه و نشان دادن معایب آن به امید اصلاحات، کار اصلی 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قرن بیستم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رمان جنگل، اثر آپتون سینکلر، موجب دگرگونی چشم گیری در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صنعت بسته بندی گوشت شیکاگو را از اواخر دهة</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بیستم می نویسد و چنان خشم و نارضایتی در مردم برانگیخت که رییس جمهور تئودور روزولت ناچار شد برای نظارت بر تهیة غذا و داروی سالمِ مورد اطمینان جامعه، قانونی از مجلس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نویسندگان واقع گرایی چون جان اشتِین بک، آروندهاتی روی و دیگران، تأثیرات مشابهی بر جامعه داشت و عامل دگرگونی هایی در نظام اجتماعی ـ سیاسی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رمان از واقع گرایی فقط اجتماعی به موضوعات دیگر، فاصلة آن ها را با نوشته های عبادی ـ مذهبی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 به جای توجه به مسائل اجتماعی، گرایش تازه ای به روح و روان انسان و زیبایی های زبان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669" w:name="pg3881_27997"/>
    </w:p>
    <w:p>
      <w:pPr>
        <w:pStyle w:val="BookText"/>
        <w:rPr/>
      </w:pPr>
      <w:bookmarkEnd w:id="669"/>
      <w:r>
        <w:rPr>
          <w:rFonts w:ascii="IRNazanin" w:hAnsi="IRNazanin" w:eastAsia="IRNazanin"/>
          <w:color w:val="111111"/>
          <w:sz w:val="28"/>
          <w:sz w:val="28"/>
          <w:szCs w:val="28"/>
          <w:rtl w:val="true"/>
          <w:lang w:bidi="fa-IR"/>
        </w:rPr>
        <w:t>نقاشان اکسپرسیونیست انتزاعی و رمان نویسانی چون جیمز جویس، گرترود اشتِین، ژوزف هلر و ژان کوکتو که در بند نمایش واقعیت خارجی نبودند و به جای آن خود و نگرشی بسیار شخصی به جامعه را مطرح می کردند؛ به همین دلیل، توجه آن ها به جنبه های زیباشناختی زبان و نه قابلیت های تشریحی آن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عمدة این جنبش به اختصار، این است که اکسپرسیون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خیال، نقطه گذاری، جمله بندی، دستور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تمایلی به عریان کردن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 رمان، زمانی شکل گرفت که به گونه ای جدی حقیقت را ـ مذهبی، فلسفی یا هر نوع دیگر آن ـ زیر سؤال برد</w:t>
      </w:r>
      <w:r>
        <w:rPr>
          <w:rFonts w:eastAsia="IRNazanin" w:cs="IRNazanin"/>
          <w:color w:val="111111"/>
          <w:sz w:val="28"/>
          <w:szCs w:val="28"/>
          <w:rtl w:val="true"/>
          <w:lang w:bidi="fa-IR"/>
        </w:rPr>
        <w:t>.</w:t>
      </w:r>
    </w:p>
    <w:p>
      <w:pPr>
        <w:pStyle w:val="Heading3"/>
        <w:numPr>
          <w:ilvl w:val="2"/>
          <w:numId w:val="1"/>
        </w:numPr>
        <w:rPr/>
      </w:pPr>
      <w:bookmarkStart w:id="670" w:name="__RefHeading___Toc1656464_2281741623"/>
      <w:bookmarkStart w:id="671" w:name="_Toc238"/>
      <w:bookmarkEnd w:id="670"/>
      <w:r>
        <w:rPr>
          <w:rtl w:val="true"/>
        </w:rPr>
        <w:t xml:space="preserve">پیدایش سکولاریسم </w:t>
      </w:r>
      <w:r>
        <w:rPr>
          <w:rtl w:val="true"/>
        </w:rPr>
        <w:t>(</w:t>
      </w:r>
      <w:r>
        <w:rPr>
          <w:rtl w:val="true"/>
        </w:rPr>
        <w:t>دنیامحوری</w:t>
      </w:r>
      <w:r>
        <w:rPr>
          <w:rtl w:val="true"/>
        </w:rPr>
        <w:t>/</w:t>
      </w:r>
      <w:r>
        <w:rPr>
          <w:rtl w:val="true"/>
        </w:rPr>
        <w:t xml:space="preserve">دین گریزی </w:t>
      </w:r>
      <w:r>
        <w:rPr>
          <w:rtl w:val="true"/>
        </w:rPr>
        <w:t>)</w:t>
      </w:r>
      <w:bookmarkEnd w:id="671"/>
    </w:p>
    <w:p>
      <w:pPr>
        <w:pStyle w:val="BookText"/>
        <w:rPr/>
      </w:pPr>
      <w:r>
        <w:rPr>
          <w:rFonts w:ascii="IRNazanin" w:hAnsi="IRNazanin" w:eastAsia="IRNazanin"/>
          <w:color w:val="111111"/>
          <w:sz w:val="28"/>
          <w:sz w:val="28"/>
          <w:szCs w:val="28"/>
          <w:rtl w:val="true"/>
          <w:lang w:bidi="fa-IR"/>
        </w:rPr>
        <w:t xml:space="preserve">پیدایش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گریزی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پیش از رواج رمان، فرهنگ غرب از سرچشمه های مذهبی خود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علوم، فلسفة تجربی و نظریة سیاسی از آثار فرانسیس بیکن، رنه دکارت، جان لاک، دیوید هیوم و دیگران، راه به سوی سکولاریسم باز کرد ؛ راهی که پیدایش رمان و تشکیل طبقة متوسط انگستان، آن را به شاهراه متصل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سکولاریزه کردن در مقطع خاصی روی نداد؛ بلکه رواج آن تدریجی بود و با جایگزینی ارزش های مادی در موقعیت های گوناگون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نفوذ خود را هم زمان در فرهنگ جامعه، کتابخانه ها، کتاب فروشی ها و در شهر های بزرگی چون لندن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و فلسفه، متون عبادی مانند زندگی نامه های قدیسین، الهیات، وعظ ها، اندرزهای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اصلیِ کتابخانه های عمومی و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رمان های عاشقانه و آثار تخیلی و افسانه ای نشانه های سست شدن ایمان و </w:t>
      </w:r>
      <w:bookmarkStart w:id="672" w:name="pg3881_27998"/>
    </w:p>
    <w:p>
      <w:pPr>
        <w:pStyle w:val="BookText"/>
        <w:rPr/>
      </w:pPr>
      <w:bookmarkEnd w:id="672"/>
      <w:r>
        <w:rPr>
          <w:rFonts w:ascii="IRNazanin" w:hAnsi="IRNazanin" w:eastAsia="IRNazanin"/>
          <w:color w:val="111111"/>
          <w:sz w:val="28"/>
          <w:sz w:val="28"/>
          <w:szCs w:val="28"/>
          <w:rtl w:val="true"/>
          <w:lang w:bidi="fa-IR"/>
        </w:rPr>
        <w:t>پیوستن به دنیای کافران و مرتدها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 در آغاز نفی می شدند ولی به مدت بیست، سی سال با سرعت شگفتی جای خود را در کتابخانه ها و کتاب فروشی ها باز کردند و از آن به علت ارتباط پذیری آسان با مخاطب، بسیار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بازوی قوی تازه ای برای اقتصاد انگلستان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کتاب فروشان، طبقة روشنفکر جدیدی را در دل طبقة متوسط رو به رشد شکل دادند که مغایر با خوش آیندِ طبقات اجتماعی بالا در دهه های گذشته، پیشرفت اجتماعی محسوسی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عاملی نمی توانست در تسریع تشکیل طبقة متوسط یا نابودیِ یک شبة جریان مذهبی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پروبین بیش از صد سال طول کشید تا شمار رمان ها از شمار کتاب های مذهبی جلو بزند</w:t>
      </w:r>
      <w:r>
        <w:rPr>
          <w:rFonts w:eastAsia="IRNazanin" w:cs="IRNazanin"/>
          <w:color w:val="111111"/>
          <w:sz w:val="28"/>
          <w:szCs w:val="28"/>
          <w:rtl w:val="true"/>
          <w:lang w:bidi="fa-IR"/>
        </w:rPr>
        <w:t>.</w:t>
      </w:r>
    </w:p>
    <w:p>
      <w:pPr>
        <w:pStyle w:val="Heading3"/>
        <w:numPr>
          <w:ilvl w:val="2"/>
          <w:numId w:val="1"/>
        </w:numPr>
        <w:rPr/>
      </w:pPr>
      <w:bookmarkStart w:id="673" w:name="__RefHeading___Toc1656466_2281741623"/>
      <w:bookmarkStart w:id="674" w:name="_Toc239"/>
      <w:bookmarkEnd w:id="673"/>
      <w:r>
        <w:rPr>
          <w:rtl w:val="true"/>
        </w:rPr>
        <w:t>رمان با ویژگی های مذهبی</w:t>
      </w:r>
      <w:bookmarkEnd w:id="674"/>
    </w:p>
    <w:p>
      <w:pPr>
        <w:pStyle w:val="BookText"/>
        <w:rPr/>
      </w:pPr>
      <w:r>
        <w:rPr>
          <w:rFonts w:ascii="IRNazanin" w:hAnsi="IRNazanin" w:eastAsia="IRNazanin"/>
          <w:color w:val="111111"/>
          <w:sz w:val="28"/>
          <w:sz w:val="28"/>
          <w:szCs w:val="28"/>
          <w:rtl w:val="true"/>
          <w:lang w:bidi="fa-IR"/>
        </w:rPr>
        <w:t>رمان با ویژگی های مذهبی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 ها به ندرت وسیله ای برای تبلیغ و ترویج مذهب شناخته شده اند ولی گاه مذهب را دست مایه یا موضوع خود قرار داده اند؛ البته برخلاف رمان های نخستین، مانند اثر تمثیلی ـ مذهبیِ جان 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زائر</w:t>
      </w:r>
      <w:r>
        <w:rPr>
          <w:rFonts w:eastAsia="IRNazanin" w:cs="IRNazanin"/>
          <w:color w:val="111111"/>
          <w:sz w:val="28"/>
          <w:szCs w:val="28"/>
          <w:rtl w:val="true"/>
          <w:lang w:bidi="fa-IR"/>
        </w:rPr>
        <w:t>) (</w:t>
      </w: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نقد می پردازند یا با انگشت گذاشتن بر ریاکاری ها آن را مسخره می کنند و تقلاهای فردی برای ایمان آوردن به خدا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ادبیات داستانی ریشه در کشف تضاد ها و تنش ها دارد، رمان بستر مناسبی برای پرداختن به موضوع مذهب برای نشان دادن تردیدهای مذهبی، خداشناسی، ایمان، سست شدن ایمان و خلل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ِکاندید اثر ولتر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رمان هایی است که به هجو مذهب، به ویژه تقبیح واعظان بی عمل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که در موقعیت بدی قرار گرفته و تنگ دست شده است از کشیشی که پند </w:t>
      </w:r>
    </w:p>
    <w:p>
      <w:pPr>
        <w:pStyle w:val="BookText"/>
        <w:rPr/>
      </w:pPr>
      <w:r>
        <w:rPr>
          <w:rFonts w:ascii="IRNazanin" w:hAnsi="IRNazanin" w:eastAsia="IRNazanin"/>
          <w:color w:val="111111"/>
          <w:sz w:val="28"/>
          <w:sz w:val="28"/>
          <w:szCs w:val="28"/>
          <w:rtl w:val="true"/>
          <w:lang w:bidi="fa-IR"/>
        </w:rPr>
        <w:t>مفصلی دربارة نیکوکاری داده، تقاضای غذا می کند و جواب منفی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جیمز جویس به نام تصویر هنرمند جوان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شخصیتی به نام استفن دیدالوس است که مبارزه اش علیه کاتولیسیسم، کشاکشی میان زهدگرایی و لذت جویی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چِیم پُتُک به نام نام من آشِر لِو است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آشِر لِو، یهودی ای حاسیدیست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 عرفانی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میان دنیای مذهبی ـ سنتی خود و دنیای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جهانی در نقاشی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کشمکش به سرمی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ها و شکاف های به وجود آمده در ایمان، شاید تنها با یک استثنای بزرگ، مهم ترین موضوع رمان های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های معادشناسیِ برجای مانده اثر تیموتی لهایی و جری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جنکینز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بارزی از این شنا کردن برخلاف جریان آب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دوازده رمان داریم که فروش آن ها از رمان های غیر مذهبی هم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دسته از رمان ها، آشکارا مذهبی به شمار می آیند ولی بر اساس باور های مسیحیت شکل نگرفته اند، بلکه آمیزه ای هستند از اصول انجیلی و اعتقاداتِ ِپرشور و جذبة جان نلسِن داربای با نام پیش هزاره گرایی یا این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مجدد عیسی طی هزار سال پس از مرگ؛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مخاطبان فراوان این نوع رمان ها که از قشر مذهبی و مؤمن بودند، می توان گفت محتوای این قبیل رمان ها به اندازۀ رمان های غیرمذهبی و ضدمذهبیِ نوشته شده در سیصد سال اخیر، از اصول مذهبیِ سنت گرا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غیرعادی این کتاب ها را می شود بیشتر در غیر متعارف بودن آن ها در جامعة سکولاریست دانست تا در جذابیت و کشش آن ها به عنوان آثاری قدرتمند و به یاد ماندنی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رمان اِلمِر گنتری که توسط سینکلر لوییس نویسندۀ آمریکایی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شخصیت یک شیادِ واقعی را به نمایش می گذارد که اسقف کلیسای متدیست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داستان، المر گنتری دانشجویی است ورزشکار، می خواره، زن باز و کاملآ بی اعتنا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گناهی بزرگتر از همۀ گناهانش مرتکب می شود به مددِ حضرت رابرتز به دین پناه می برد و راهب فرقۀ بابپتیست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رابطه ای نامشروع با دختر یک شماس، از کلیسای باپتیست رانده می شود و به دستفروشی در روستاها و شهرها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زن فریبایی به نام شارون فالکلنر برمی خورد که به تبلیغ انجیل می پردازد و دستیار و سپس فاسق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او به رمالی و دعانویسی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 شود ولی توفیق چندانی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کلیسای متدیست می شود و با وجود بعضی رسوایی ها که پنهان نگاه داشته می شوند و با وجود افشاگری های دشمنانش، عاقبت جای خود را در جامعه اش تثبیت می کند؛ یعنی زن می گیرد و زندگی مادی اش را روبه راه می کند و این، پیروزی ریا و تزویر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شیطانی نوشتۀ سلمان رشدی نوع منفی گل کردن رمان مذهبی به سبب ضدیت آن با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 با این که مسلمان به دنیا آمده ولی فاقد اعتقادات مسلمانی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او قوانین اسلامی و شخصیت های مورد ستایش مسلمانان جهان مانند قرآن، محمد رسول الله و همسرانش و آیت الله خمینی را به سخره می گیرد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چاپ این کتاب موجب صدور فتوا علیه سلمان رشدی و ناشران این کتاب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فتوا، رشدی ناچار شد خود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ژاپنی کتاب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ایتالیایی به شدت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مدت نه سال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ایران </w:t>
      </w:r>
    </w:p>
    <w:p>
      <w:pPr>
        <w:pStyle w:val="BookText"/>
        <w:rPr/>
      </w:pPr>
      <w:r>
        <w:rPr>
          <w:rFonts w:ascii="IRNazanin" w:hAnsi="IRNazanin" w:eastAsia="IRNazanin"/>
          <w:color w:val="111111"/>
          <w:sz w:val="28"/>
          <w:sz w:val="28"/>
          <w:szCs w:val="28"/>
          <w:rtl w:val="true"/>
          <w:lang w:bidi="fa-IR"/>
        </w:rPr>
        <w:t>در این مدت هزینة اجرای این طرح را به عهده گرفت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رمان سلمان رشدی و واکنشی که برانگیخت به نظر مبالغه آمیز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می تواند نمونة خوبی برای نشان دادن رفتار عناد آمیزِ رمان با مذهب از بدو پیدایش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تاد رابرت پترسِن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فریده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bookmarkStart w:id="675" w:name="pg3881_28002"/>
    </w:p>
    <w:p>
      <w:pPr>
        <w:pStyle w:val="Heading3"/>
        <w:numPr>
          <w:ilvl w:val="2"/>
          <w:numId w:val="1"/>
        </w:numPr>
        <w:rPr/>
      </w:pPr>
      <w:bookmarkStart w:id="676" w:name="__RefHeading___Toc1656468_2281741623"/>
      <w:bookmarkStart w:id="677" w:name="_Toc240"/>
      <w:bookmarkEnd w:id="675"/>
      <w:bookmarkEnd w:id="676"/>
      <w:r>
        <w:rPr>
          <w:rtl w:val="true"/>
        </w:rPr>
        <w:t>برای مطالعۀ بیشتر</w:t>
      </w:r>
      <w:bookmarkEnd w:id="677"/>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McKeon, M. (1987). The origins of the English novel: 1600-1740. Baltimore: Johns Hopkins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Probyn, C. T. (1987). English fiction of the eighteenth century:1700-1789. London and New York: Longman</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Watt, I. (1957). The rise of the novel. Berkeley and Los Angeles: University of California Press</w:t>
      </w:r>
      <w:r>
        <w:rPr>
          <w:rFonts w:eastAsia="Times New Roman" w:cs="Times New Roman" w:ascii="Times New Roman" w:hAnsi="Times New Roman"/>
          <w:color w:val="111111"/>
          <w:sz w:val="28"/>
          <w:szCs w:val="28"/>
          <w:rtl w:val="true"/>
          <w:lang w:val="en-US" w:bidi="en-US"/>
        </w:rPr>
        <w:t xml:space="preserve">. </w:t>
      </w:r>
      <w:bookmarkStart w:id="678" w:name="pg3881_28003"/>
    </w:p>
    <w:p>
      <w:pPr>
        <w:pStyle w:val="Heading2"/>
        <w:numPr>
          <w:ilvl w:val="1"/>
          <w:numId w:val="1"/>
        </w:numPr>
        <w:rPr/>
      </w:pPr>
      <w:bookmarkStart w:id="679" w:name="__RefHeading___Toc1656470_2281741623"/>
      <w:bookmarkStart w:id="680" w:name="_Toc241"/>
      <w:bookmarkEnd w:id="678"/>
      <w:bookmarkEnd w:id="679"/>
      <w:r>
        <w:rPr>
          <w:rtl w:val="true"/>
        </w:rPr>
        <w:t>سانسور</w:t>
      </w:r>
      <w:bookmarkEnd w:id="680"/>
    </w:p>
    <w:p>
      <w:pPr>
        <w:pStyle w:val="Heading3"/>
        <w:numPr>
          <w:ilvl w:val="2"/>
          <w:numId w:val="1"/>
        </w:numPr>
        <w:rPr/>
      </w:pPr>
      <w:bookmarkStart w:id="681" w:name="__RefHeading___Toc1656472_2281741623"/>
      <w:bookmarkStart w:id="682" w:name="_Toc242"/>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سانسور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تاریخ، حکومت ها و دیگر نخبگان قدرتمند کوشیده اند تا جلوی انتشار برخی از متون شفاهی یا مکتوب ـ به ویژه متونی با محتوای دینی یا سیاسی ـ را بگیرند و دست اندرکاران تولید و پخش آن ها را مجازات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یونان باستان تاکنون، متفکران مستقلی مورد پیگرد قرار گرفته اند؛ برای نمونه، زنوفان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تامس هابز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رنه دکارت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بارن دِ هولباخ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نویس انگلیسی ـ آمریکایی تامس پاین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سدة بیستم، حکومت های کمونیستی، متون دینی را سانسور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پیدایش کتاب و دیگر مواد نوشتاری، که ابتدا به صورت دست نویس بود و بعدها به صورت چاپی در نسخه های متعدد از ده دوازده نسخه گرفته تا صدها هزار منتشر می شد، سانسورِ سازمان یافته و نظام مند نیز امکان 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دهة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شیوه های اولیه و ابتدایی سانسور تغییر یافت؛ زیرا با ابداع دستگاه های مدرن چاپ و رواج حروف چاپ متحرک و قابل کاربرد مجدد، قدرت واژگان مکتوب بر همگان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سانسور به نهایت خود رسید؛ زیرا واژگانِ مکتوب نقش انکارناپذیری در جنبش پروتستان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تاریخ مسیحیت، سانسور را با آیات متعددی توجیه می کردند که در عهد عتیق و عهد جدید علیه نافرمانی پروردگار، گرایش به چندخدایی، بت پرستی، کفرگویی و ارتداد آمده است؛ حتی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نوزدهم اعمال حواریون، ظاهراً کتاب سوزی را در ملأعام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پیگرد و آزار کفار را خیلی زود آغاز کردند که نخستین آن ها تکفیر مارکیون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دین مسیحیت که خودش در آغاز مورد آزار دیگران بود به دین آزاردهندة دیگران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فهرست کتب ضاله که خواندن آن ها برای مسیحیان مؤمن حرام بود، احتمالاً کتاب</w:t>
      </w:r>
      <w:r>
        <w:rPr>
          <w:rFonts w:eastAsia="Times New Roman" w:cs="Times New Roman" w:ascii="Times New Roman" w:hAnsi="Times New Roman"/>
          <w:color w:val="111111"/>
          <w:sz w:val="28"/>
          <w:szCs w:val="28"/>
          <w:lang w:val="en-US" w:bidi="en-US"/>
        </w:rPr>
        <w:t>Decretum Gelasianum (494)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انجیل نیز مورد سانسور قرار گرفته است، آن هم نه تنها در کشورهای غیرمسیحی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سدة سیزدهم تا سدة شانزدهم در اغلب کشورهای اروپایی انتشار انجیل به زبانی غیر از لاتین ممنوع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دستاوردهای عظیم جنبش پروتستان، انتشار انجیل به زبان های بومی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سدۀ شانزدهم، کتاب ها و ترجمه های غیرمجاز ممنوع بود و ناشران چنین آثاری مورد پیگرد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فهرستی که شخص هِنری هشتم از کتب ضاله فراهم ساخت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مجوز برای چاپ کتاب </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باعث تثبیت مقررات سانسور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چاپ کتاب در سال های جنگ داخلی ملغی شد ولی در سال های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در سال های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مجوز چاپ به کلی از میان رفت ولی سانسور در بریتانیا از طریق قانون عرفی و آیین نامه های مجلس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نامة کفرگویی</w:t>
      </w:r>
      <w:r>
        <w:rPr>
          <w:rStyle w:val="FootnoteAnchor"/>
          <w:rtl w:val="true"/>
        </w:rPr>
        <w:footnoteReference w:id="255"/>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برخی از افراد موحد نیز مورد پیگرد قرار بگیرند، از جمله تامس وولستین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پیتر آنت </w:t>
      </w:r>
      <w:r>
        <w:rPr>
          <w:rFonts w:eastAsia="IRNazanin" w:cs="IRNazanin"/>
          <w:color w:val="111111"/>
          <w:sz w:val="28"/>
          <w:szCs w:val="28"/>
          <w:rtl w:val="true"/>
          <w:lang w:bidi="fa-IR"/>
        </w:rPr>
        <w:t>(</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وی از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مناقشه برانگیزی را به چاپ رسانیده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تامس ای لایو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1757</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باولدر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 باولدر سازی</w:t>
      </w:r>
      <w:r>
        <w:rPr>
          <w:rStyle w:val="FootnoteAnchor"/>
          <w:rtl w:val="true"/>
        </w:rPr>
        <w:footnoteReference w:id="256"/>
      </w:r>
      <w:r>
        <w:rPr>
          <w:rFonts w:ascii="IRNazanin" w:hAnsi="IRNazanin" w:eastAsia="IRNazanin"/>
          <w:color w:val="111111"/>
          <w:sz w:val="28"/>
          <w:sz w:val="28"/>
          <w:szCs w:val="28"/>
          <w:rtl w:val="true"/>
          <w:lang w:bidi="fa-IR"/>
        </w:rPr>
        <w:t>از نام او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سانسور شده ای از آثار شکسپیر چاپ کرد به نام شکسپیر خانواده که در آن همة اشاره های جنسی حذف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نامة تبلیغات قبیح</w:t>
      </w:r>
      <w:r>
        <w:rPr>
          <w:rStyle w:val="FootnoteAnchor"/>
          <w:rtl w:val="true"/>
        </w:rPr>
        <w:footnoteReference w:id="25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نامة انتشارات قبیح</w:t>
      </w:r>
      <w:r>
        <w:rPr>
          <w:rStyle w:val="FootnoteAnchor"/>
          <w:rtl w:val="true"/>
        </w:rPr>
        <w:footnoteReference w:id="258"/>
      </w:r>
      <w:r>
        <w:rPr>
          <w:rFonts w:ascii="IRNazanin" w:hAnsi="IRNazanin" w:eastAsia="IRNazanin"/>
          <w:color w:val="111111"/>
          <w:sz w:val="28"/>
          <w:sz w:val="28"/>
          <w:szCs w:val="28"/>
          <w:rtl w:val="true"/>
          <w:lang w:bidi="fa-IR"/>
        </w:rPr>
        <w:t>نیز با توسل به آموزه های دینی دربارۀ رمان ها و گاهی متون پزشکی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کتابخانه ها نیز به تفکیک و بایگانی کتاب های مشکوک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بعدی همین سده، اخلاق گرایی ویکتوریایی عنان اختیار </w:t>
      </w:r>
    </w:p>
    <w:p>
      <w:pPr>
        <w:pStyle w:val="BookText"/>
        <w:rPr/>
      </w:pPr>
      <w:r>
        <w:rPr>
          <w:rFonts w:ascii="IRNazanin" w:hAnsi="IRNazanin" w:eastAsia="IRNazanin"/>
          <w:color w:val="111111"/>
          <w:sz w:val="28"/>
          <w:sz w:val="28"/>
          <w:szCs w:val="28"/>
          <w:rtl w:val="true"/>
          <w:lang w:bidi="fa-IR"/>
        </w:rPr>
        <w:t>از کف داد و در نتیجه حتی برخی از جملات و عبارات انجیل که بار جنسی داشتند مورد حذف و تغییر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ها و قوانین، مورد حمایت انجمن مبارزه با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انجمن حراست ملی و مجمع ملی اخلاق عمومی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آیین نامة انتشارات قبیح بود که آزادی نسبی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نشریة بریتانیایی اخبار هم جنس بازان به دلیل چاپ شعری با نام عشقی که جرأت بر زبان راندنش را دارد، به کفر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شعری با دلالت های هم جنس خواهانه دربارة حضرت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امروزه انجمن رده بندی فیلم بریتانیا که در پی آیین نامة سینما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و با وجود این که تبصرة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آیین نامة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فیلم را هم در بر می گیرد، محتوای فیلم ها را شدیدتر از هر کشور غربی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آیین نامة ضبط برنامه های ویدیویی</w:t>
      </w:r>
      <w:r>
        <w:rPr>
          <w:rStyle w:val="FootnoteAnchor"/>
          <w:rtl w:val="true"/>
        </w:rPr>
        <w:footnoteReference w:id="259"/>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تنها قانون رسمی بریتانیا در زمینة سانسور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 کاتولیک از سدة دوازدهم تا شانزدهم، تفتیش عقاید را به راه انداختند تا جلوی گسترش جنبش پروتستان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پنجم، امپراتور رم مقدس، آثار مارتین لوتر را در اسپانیا </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دیگر جاها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ساخت و بعدها </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را به طور کلی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دوم، پادشاه اسپانیا، در سال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کتاب ها پیش از چاپ و پس از انتشار سانسور شوند؛ این خودکامه ترین سیاست تاریخ اروپا در زمینة سانسور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در دهه های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های به زبان محلی را سوزاندند و این انجیل ها در سال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کتب ضالة کلیسای کاتولیک اسپانیا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سدة هفدهم، روحانیون محلی و الهیون </w:t>
      </w:r>
    </w:p>
    <w:p>
      <w:pPr>
        <w:pStyle w:val="BookText"/>
        <w:rPr/>
      </w:pPr>
      <w:r>
        <w:rPr>
          <w:rFonts w:ascii="IRNazanin" w:hAnsi="IRNazanin" w:eastAsia="IRNazanin"/>
          <w:color w:val="111111"/>
          <w:sz w:val="28"/>
          <w:sz w:val="28"/>
          <w:szCs w:val="28"/>
          <w:rtl w:val="true"/>
          <w:lang w:bidi="fa-IR"/>
        </w:rPr>
        <w:t>دانشگاهی بودند که به منع و تحریم کتاب ها می پرداختند و پس از سدة هفدهم این کار به دست دولت افتاد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بدآوازه ترین فهرست کلیسای کاتولیک، یعنی فهرست کتب ممنوعه</w:t>
      </w:r>
      <w:r>
        <w:rPr>
          <w:rStyle w:val="FootnoteAnchor"/>
          <w:rtl w:val="true"/>
        </w:rPr>
        <w:footnoteReference w:id="2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شورای شهر ترنت منتشر شد و تا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 یا پنجاه سال روزآمد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مهم ترین متفکران سیاسی، علمی و برخی از بهترین رمان نویسان اروپا از جمله قربانیان این فهرست بودند؛ برای نمونه، گالیله ئو گالیله 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پیگرد و آزار قرار گرفت و سرانجام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سه قرن و نیم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ژان پل دوم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افراد به این فهرست اعتنا نمی کردند و از اواخر سدة هجدهم نفوذ و تأثیر آن رو به کاستی گذاشت ولی در ایرلند از دهة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روند چاپ و نشر سلطه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امروزه، کلیسا به کاتولیک های سراسر جهان توصیه می کند که چه فیلمی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اثر هنری یا سرگرمی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همة کاتولیک ها می توانند تماشا کنند، یا تنها مناسب کاتولیک های بالغ است یا هیچ فرد کاتولیکی نباید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پروتستان نیز به تحریم نوشته ها و افکار کاتولیکی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آلمان در دهة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ایالات متحدة آمریکا در برخی از برهه های سدة نوزدهم و سدة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مستعمره های بریتانیا در آمریکای شمالی، سانسور پیش از چاپ و استوار بر انگیزه های دینی تقریباً ناشناخته بود ولی تبعید و نفی بلد مرتدان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هاچیینسِن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اصلاحیة قانون اساسی آمریکا که دیدگاهی دوگانه به دین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نیایش های دینی و جدایی کلیسا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که سانسور رسمی توسط دین اساساً ناممکن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سراسر سدة نوزدهم، سازمان های دینی آمریکا موفق شدند محبوبیت </w:t>
      </w:r>
    </w:p>
    <w:p>
      <w:pPr>
        <w:pStyle w:val="BookText"/>
        <w:rPr/>
      </w:pPr>
      <w:r>
        <w:rPr>
          <w:rFonts w:ascii="IRNazanin" w:hAnsi="IRNazanin" w:eastAsia="IRNazanin"/>
          <w:color w:val="111111"/>
          <w:sz w:val="28"/>
          <w:sz w:val="28"/>
          <w:szCs w:val="28"/>
          <w:rtl w:val="true"/>
          <w:lang w:bidi="fa-IR"/>
        </w:rPr>
        <w:t>روزنامه های یکشنبه را کاهش دهند یا جلو انتشار آن ها را بگیرند و توانستند ادارة پست آمریکا را به وضع مقرراتی وادار کنند که بر اساس آن ها ارسال نشریات و دیگر مواد غیراخلاقی ممنوع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مبارزه با منکرات در نیویورک که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انجمن جوانان مسیحی و آنتونی کامستاک تأسیس شده بود، موفق شد آیین نامة مشهور به کامستاک را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نامة فدرال که بر ادارة پست آمریکا نظارت دارد هم چنان، البته با اصلاحاتی،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آمریکا هرزگی را به همان تعریفی پذیرفتند که در</w:t>
      </w:r>
      <w:r>
        <w:rPr>
          <w:rFonts w:eastAsia="Times New Roman" w:cs="Times New Roman" w:ascii="Times New Roman" w:hAnsi="Times New Roman"/>
          <w:color w:val="111111"/>
          <w:sz w:val="28"/>
          <w:szCs w:val="28"/>
          <w:lang w:val="en-US" w:bidi="en-US"/>
        </w:rPr>
        <w:t>Regina v. Hicklin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در افرادِ مستعد به فساد، موجبات فساد را فراهم سازد قبیح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پنجاه سال در دادگاه های آمریکا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کامستاک تا زمان مرگش به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جرم هرزگی به دادگاه کشانید و میلیون ها عکس، کارت پستال، وسایل جلوگیری از بارداری، روزنامه، مجله و کتاب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گروه های سانسورطلب دیگری نیز پا گرفتند؛ از جمله انجمن مراقبت و حراست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اتحادیة کتاب های پاک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نویسانی هم چون جیمز جویس نیز نمی توانستند در دفاع از خود در برابر اتهام هرزگی به امتیاز نویسنده بودن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سدة بیستم، پروتستان های بنیادگرا توانستند آموزش تکامل را در چهار ایالت ممنوع سازند، در نتیجه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به نام جان اسکوپز را به دادگاه کشاندند که به محاکمة میمون</w:t>
      </w:r>
      <w:r>
        <w:rPr>
          <w:rStyle w:val="FootnoteAnchor"/>
          <w:rtl w:val="true"/>
        </w:rPr>
        <w:footnoteReference w:id="261"/>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تشکیل انجمن ملی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این حکمِ دادگاه عالی أمریکا که اصلاحیة نخست قانون اساسی شامل فیلم نمی شود، انجمن </w:t>
      </w:r>
    </w:p>
    <w:p>
      <w:pPr>
        <w:pStyle w:val="BookText"/>
        <w:rPr/>
      </w:pPr>
      <w:r>
        <w:rPr>
          <w:rFonts w:ascii="IRNazanin" w:hAnsi="IRNazanin" w:eastAsia="IRNazanin"/>
          <w:color w:val="111111"/>
          <w:sz w:val="28"/>
          <w:sz w:val="28"/>
          <w:szCs w:val="28"/>
          <w:rtl w:val="true"/>
          <w:lang w:bidi="fa-IR"/>
        </w:rPr>
        <w:t xml:space="preserve">تهیه کنندگان و پخش کنندگان تصویر متحرک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نامة تولید ویلیام هیز، از اعضای شورای کلیسای رزبیتاریان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به مدت چهل سال بر محتوای فیلم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تلویزیون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رهبران کاتولیک در این دوران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آیین نامة اخلاقی تصویر متحرک</w:t>
      </w:r>
      <w:r>
        <w:rPr>
          <w:rStyle w:val="FootnoteAnchor"/>
          <w:rtl w:val="true"/>
        </w:rPr>
        <w:footnoteReference w:id="262"/>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تسلط بر ادارة نظارت بر تولید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سپاه نزاکت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ملی ادبیات منزه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رهبران خود را وقف تقویت آموزه های کاتولیک در فیلم ها، مجله ها، داستان های مصور و دیگر آثار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محلی سانسور در سراسر کشور فیلم های گوناگونی را تحریم کردند و شاید بتوان گفت که دلالت های جنسی در فیلم های آمریکایی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فیلم های پنجاه سال بعد بود ولی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عالی آمریکا رأی داد که نخستین اصلاحیة قانون اساسی شامل فیلم نیز می شود و در نهایت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نامة تولید از میان رفت و نظام رده بندی فیلم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پیگرد هرزه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دهه های</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تا این که به رأی دادگاه عالی آمریکا هرزه نگاری هم جنس گرایانه آزاد گردید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قباحت متغیر</w:t>
      </w:r>
      <w:r>
        <w:rPr>
          <w:rStyle w:val="FootnoteAnchor"/>
          <w:rtl w:val="true"/>
        </w:rPr>
        <w:footnoteReference w:id="263"/>
      </w:r>
      <w:r>
        <w:rPr>
          <w:rFonts w:ascii="IRNazanin" w:hAnsi="IRNazanin" w:eastAsia="IRNazanin"/>
          <w:color w:val="111111"/>
          <w:sz w:val="28"/>
          <w:sz w:val="28"/>
          <w:szCs w:val="28"/>
          <w:rtl w:val="true"/>
          <w:lang w:bidi="fa-IR"/>
        </w:rPr>
        <w:t xml:space="preserve">اعلام شد ـ یعنی چیزی که برای کم سالان قبیح به شمار می آید لزوماً برای بزرگ سالان قبیح نیست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اجازه داده شد تا هر ایالتی معیارهای خودش را دربارۀ میزان هرزگی و قباحت به کار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قانون به آیین نامه های ایالتی تعبیر می شود</w:t>
      </w:r>
      <w:r>
        <w:rPr>
          <w:rFonts w:eastAsia="IRNazanin" w:cs="IRNazanin"/>
          <w:color w:val="111111"/>
          <w:sz w:val="28"/>
          <w:szCs w:val="28"/>
          <w:rtl w:val="true"/>
          <w:lang w:bidi="fa-IR"/>
        </w:rPr>
        <w:t>).</w:t>
      </w:r>
      <w:r>
        <w:rPr>
          <w:rStyle w:val="FootnoteAnchor"/>
          <w:rtl w:val="true"/>
        </w:rPr>
        <w:footnoteReference w:id="26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دولت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که بر کارگزاران و مؤسسات معتقد به کلیسای بشارتیِ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در جهت این که </w:t>
      </w:r>
    </w:p>
    <w:p>
      <w:pPr>
        <w:pStyle w:val="BookText"/>
        <w:rPr/>
      </w:pPr>
      <w:r>
        <w:rPr>
          <w:rFonts w:ascii="IRNazanin" w:hAnsi="IRNazanin" w:eastAsia="IRNazanin"/>
          <w:color w:val="111111"/>
          <w:sz w:val="28"/>
          <w:sz w:val="28"/>
          <w:szCs w:val="28"/>
          <w:rtl w:val="true"/>
          <w:lang w:bidi="fa-IR"/>
        </w:rPr>
        <w:t>قوانین مربوط به هرزگی را به وضعیت سابق برگردانند،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رادیو و تلویزیونِ معمولی تابع قوانین لنگرگاه امنِ</w:t>
      </w:r>
      <w:r>
        <w:rPr>
          <w:rStyle w:val="FootnoteAnchor"/>
          <w:rtl w:val="true"/>
        </w:rPr>
        <w:footnoteReference w:id="265"/>
      </w:r>
      <w:r>
        <w:rPr>
          <w:rFonts w:ascii="IRNazanin" w:hAnsi="IRNazanin" w:eastAsia="IRNazanin"/>
          <w:color w:val="111111"/>
          <w:sz w:val="28"/>
          <w:sz w:val="28"/>
          <w:szCs w:val="28"/>
          <w:rtl w:val="true"/>
          <w:lang w:bidi="fa-IR"/>
        </w:rPr>
        <w:t>کمیسیون فدرال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آموزه های اخلاقی مسیحیت محافظه کار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 های قبیح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کمیسیون تمایل نداشته است که بر پخش برنامه های تلویزیون کابلی یا ماهواره یا اینترنت نیز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پیاپی محافظه کاران مذهبی برای این که از طریق آیین نامة نزاکت ارتباطات</w:t>
      </w:r>
      <w:r>
        <w:rPr>
          <w:rStyle w:val="FootnoteAnchor"/>
          <w:rtl w:val="true"/>
        </w:rPr>
        <w:footnoteReference w:id="266"/>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قوانین موجود، قواعد قباحت را به اینترنت نیز توسعه دهند، تقریباً به کلی بی نتیجه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محافظه کاران مذهبی از این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نصب تراشة وی</w:t>
      </w:r>
      <w:r>
        <w:rPr>
          <w:rStyle w:val="FootnoteAnchor"/>
          <w:rtl w:val="true"/>
        </w:rPr>
        <w:footnoteReference w:id="267"/>
      </w:r>
      <w:r>
        <w:rPr>
          <w:rFonts w:ascii="IRNazanin" w:hAnsi="IRNazanin" w:eastAsia="IRNazanin"/>
          <w:color w:val="111111"/>
          <w:sz w:val="28"/>
          <w:sz w:val="28"/>
          <w:szCs w:val="28"/>
          <w:rtl w:val="true"/>
          <w:lang w:bidi="fa-IR"/>
        </w:rPr>
        <w:t xml:space="preserve">در برخی از تلویزیون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تراشه اختیاری است و تنها عدة اندکی از آن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های عدم نزاکت، ترویج رده بندی یا دیگر برچسب ها روی برنامه های تلویزیونی و برخی از محصولات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 تنها در چند ایالت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ممنوعیت فروش مجله های هرزه نگاری در پایگاه های نظامی و طبقه بندی تصاویر لخت کودکان، حتی کودکانِ خود فرد، به عنوان هرزه نگاری کودکان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 افراد و انتشارات مذهبی همگی از کمونیسم سدة بیستم آسیب فراوانی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اروپای شرقی، کلیساها و انتشارات مذهبی تعطیل یا به شدت محدود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نشریات مذهبی کاملاً ممنوع نبودند ولی دولت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اجازۀ نشر یا واردات شمار اندکی انجیل یا دیگر کتب را می دادند در حالی که تقاضای آن ها سر به ده ها و حتی صدها هزار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تأثیرها و واکنش های این رویه متفاوت بودند؛ کتب </w:t>
      </w:r>
    </w:p>
    <w:p>
      <w:pPr>
        <w:pStyle w:val="BookText"/>
        <w:rPr/>
      </w:pPr>
      <w:r>
        <w:rPr>
          <w:rFonts w:ascii="IRNazanin" w:hAnsi="IRNazanin" w:eastAsia="IRNazanin"/>
          <w:color w:val="111111"/>
          <w:sz w:val="28"/>
          <w:sz w:val="28"/>
          <w:szCs w:val="28"/>
          <w:rtl w:val="true"/>
          <w:lang w:bidi="fa-IR"/>
        </w:rPr>
        <w:t>ممنوعة مذهبی و سیاسی که به آن ها سامیزدات</w:t>
      </w:r>
      <w:r>
        <w:rPr>
          <w:rStyle w:val="FootnoteAnchor"/>
          <w:rtl w:val="true"/>
        </w:rPr>
        <w:footnoteReference w:id="268"/>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دست نویس، تایپی، فتوکپی، یا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در همۀ کشورهای تحت اشغال کمونیسم رواج یافت؛ در این زمینه، کاتولیک های چک واسلواکی از همه فعال تر و موفق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همة کشورهای باقیماندة کمونیست رسماً بی دین هستند و حتی قانون اساسی چین مصوب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آزادی باور مذهبی برخوردارند، شامل بندها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 گریزهایی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پیگرد افراد به دلیل گرایش های مذهبی را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های مسلمان به ویژه در زمینة سانسور انعطاف ناپذیر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تقریباً یک میلیارد پیرو دارد که به دو مذهب اصلی شیعه و سنی و فرقه های متعدد تقسیم می شود؛ برای نمونه، فرقة بهایی از مذهب شیعه ریشه گرفته ولی کتب این فرقه در بسیاری از کشورهای مسلمان ممنوع یا محدود شده است؛ جالب این جاست که این فرقه، به خودسانسوری رسمی یا غیر رسمی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مسلمان، ادبیات، فیلم و هر اثری که اسلامِ مورد تأیید حکومت را زیر سؤال ببرد یا نفی کند مورد پیگرد یا ممنوعیت قرار می گیرد؛ هر چند، برای نمونه در تونس نمایش زنان برهنة عرب و مسلمان در فیلم ممنوع است ولی دربارۀ زنان غیر مسلمان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فیلم ها، محوله های پستی و تبلیغات اغلب باید بر پایة اصول اخلاقی هندوها و مسلمانان، هر دو، بوده و به همین دلیل در بزرگ ترین صنعت سینما، نمایش بوسه بر پرده ممنوع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گفته می شود که مسلمانان بیشتر به خودسانسوری گرایش دارند تا به سانسور، ولی در این زمینه استثناهای فراوانی را می توان ذکر کرد؛ برای نمونه، در ایرانِ پس از انقلاب اسلامی تولید فیلم چهار سال ممنوع بود،</w:t>
      </w:r>
      <w:r>
        <w:rPr>
          <w:rStyle w:val="FootnoteAnchor"/>
          <w:rtl w:val="true"/>
        </w:rPr>
        <w:footnoteReference w:id="269"/>
      </w:r>
      <w:r>
        <w:rPr>
          <w:rFonts w:ascii="IRNazanin" w:hAnsi="IRNazanin" w:eastAsia="IRNazanin"/>
          <w:color w:val="111111"/>
          <w:sz w:val="28"/>
          <w:sz w:val="28"/>
          <w:szCs w:val="28"/>
          <w:rtl w:val="true"/>
          <w:lang w:bidi="fa-IR"/>
        </w:rPr>
        <w:t xml:space="preserve">طالبان </w:t>
      </w:r>
    </w:p>
    <w:p>
      <w:pPr>
        <w:pStyle w:val="BookText"/>
        <w:rPr/>
      </w:pPr>
      <w:r>
        <w:rPr>
          <w:rFonts w:ascii="IRNazanin" w:hAnsi="IRNazanin" w:eastAsia="IRNazanin"/>
          <w:color w:val="111111"/>
          <w:sz w:val="28"/>
          <w:sz w:val="28"/>
          <w:szCs w:val="28"/>
          <w:rtl w:val="true"/>
          <w:lang w:bidi="fa-IR"/>
        </w:rPr>
        <w:t>در افغانستان تلویزیون ها و نوارهای ویدیو را منهدم کردند و شاید بتوان گفت که در میان کشورهای مسلمان تنها قطر است که از مطبوعات آزاد برخوردار است</w:t>
      </w:r>
      <w:r>
        <w:rPr>
          <w:rStyle w:val="FootnoteAnchor"/>
          <w:rtl w:val="true"/>
        </w:rPr>
        <w:footnoteReference w:id="270"/>
      </w:r>
      <w:r>
        <w:rPr>
          <w:rFonts w:ascii="IRNazanin" w:hAnsi="IRNazanin" w:eastAsia="IRNazanin"/>
          <w:color w:val="111111"/>
          <w:sz w:val="28"/>
          <w:sz w:val="28"/>
          <w:szCs w:val="28"/>
          <w:rtl w:val="true"/>
          <w:lang w:bidi="fa-IR"/>
        </w:rPr>
        <w:t>ولی دربارۀ دیگر پیروان ادیان بزرگ؛ مسیحیان اروپایی از سدة سیزدهم به بعد شمار فراوانی از کتب یهودیان را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سدة شانزدهم به بعد کتب یهودی در امپراتوری رم مقدس کاملاً ممنوع بود و هم یهودیان و هم حکومت های اروپایی، به ویژه از اواخر سدة هجدهم تا میانه سدة نوزدهم، کتاب های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حاسیدیم را ممنوع و نابود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تا پیش از سدة هفدهم به پیگرد مرتدان نمی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های نوزدهم و بیستم، کتاب ها و فیلم ها و دیگر آثار یهودیان شدیداً ممنوع بود؛ به ویژه در آلمان نازی، روسیة تزاری و دوران استالین و کشورهای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بودایی ها تنها در کامبوج و لائوس مورد پیگرد بوده اند ولی هندوهای هندوستان بیشتر از زد و خوردهای گاه به گاه با مسلمانان آسیب دیده اند؛ هم بودایی ها و هم هندوها آشکارا به خودسانسوری معتقدند و در سال های اخیر مدرک چندانی در دست نیست که به سانسور دیگران پرداخته 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سدة بیستم، شرکت های رسانه ای به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های تبلیغاتی نیز پرداخته اند به این بهانه که سیاست های دولت را زیر سؤال می برند یا مشتریان مذهبی را آزرده می سازند؛ برای نمونه، یکی از پوسترهای فیلم مردم علیه لَری فلینت در فرانسه و ایرلند و برخی از قسمت های ایالات متحدة آمریکا ممنوع شد؛ زیرا مردی شبیه به مسیح را با لُنگی منقش به پرچم آمریکا بر روی تصویر شکم زنی بیکینی پوش نشان می داد</w:t>
      </w:r>
      <w:r>
        <w:rPr>
          <w:rFonts w:eastAsia="IRNazanin" w:cs="IRNazanin"/>
          <w:color w:val="111111"/>
          <w:sz w:val="28"/>
          <w:szCs w:val="28"/>
          <w:rtl w:val="true"/>
          <w:lang w:bidi="fa-IR"/>
        </w:rPr>
        <w:t xml:space="preserve">. </w:t>
      </w:r>
      <w:bookmarkStart w:id="683" w:name="pg3881_28012"/>
    </w:p>
    <w:p>
      <w:pPr>
        <w:pStyle w:val="BookText"/>
        <w:rPr/>
      </w:pPr>
      <w:bookmarkEnd w:id="683"/>
      <w:r>
        <w:rPr>
          <w:rFonts w:ascii="IRNazanin" w:hAnsi="IRNazanin" w:eastAsia="IRNazanin"/>
          <w:color w:val="111111"/>
          <w:sz w:val="28"/>
          <w:sz w:val="28"/>
          <w:szCs w:val="28"/>
          <w:rtl w:val="true"/>
          <w:lang w:bidi="fa-IR"/>
        </w:rPr>
        <w:t>نکتة آخر این که سانسور، اغلب به دست کارمندانی کژپندار، غیرمتخصص و غیر اخلاقی صورت گرفته است؛ در نتیجه، سانسور چیز نامطلوبی را مشاهده کرده که مدنظر آفرینندة اثر نبوده و شمار اندکی متوجه آن می شده اند یا شاید هیچ کس متوجة آن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آمریکای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داستان های مصور نه تنها مجبور بودند ارزش های سیاسی و فرهنگی رایج را نمایش دهند بلکه گروه جنگجویان کار آزموده</w:t>
      </w:r>
      <w:r>
        <w:rPr>
          <w:rStyle w:val="FootnoteAnchor"/>
          <w:rtl w:val="true"/>
        </w:rPr>
        <w:footnoteReference w:id="271"/>
      </w:r>
      <w:r>
        <w:rPr>
          <w:rFonts w:ascii="IRNazanin" w:hAnsi="IRNazanin" w:eastAsia="IRNazanin"/>
          <w:color w:val="111111"/>
          <w:sz w:val="28"/>
          <w:sz w:val="28"/>
          <w:szCs w:val="28"/>
          <w:rtl w:val="true"/>
          <w:lang w:bidi="fa-IR"/>
        </w:rPr>
        <w:t>وادارشان کردند تا بَت وومن، کیتی کین و سگی به نام ایس را به داستان بتمن و رابین بیفزایند تا کسی خیال نکند که این دو قهرمان، هم جنس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تاریخ معاصر و در سراسر جهان ـ جز تا همین اواخر ـ محتوای آشکار هم جنس خواهانه به دلایل مذهبی در رسانه ها سانسور شده است و در بسیاری از کشورها هنوز سانسور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دِین کِلَوسِن</w:t>
      </w:r>
    </w:p>
    <w:p>
      <w:pPr>
        <w:pStyle w:val="BookText"/>
        <w:rPr/>
      </w:pPr>
      <w:r>
        <w:rPr>
          <w:rFonts w:ascii="IRNazanin" w:hAnsi="IRNazanin" w:eastAsia="IRNazanin"/>
          <w:color w:val="111111"/>
          <w:sz w:val="28"/>
          <w:sz w:val="28"/>
          <w:szCs w:val="28"/>
          <w:rtl w:val="true"/>
          <w:lang w:bidi="fa-IR"/>
        </w:rPr>
        <w:t>ترجمۀ محمد شهبا</w:t>
      </w:r>
    </w:p>
    <w:p>
      <w:pPr>
        <w:pStyle w:val="Heading3"/>
        <w:numPr>
          <w:ilvl w:val="2"/>
          <w:numId w:val="1"/>
        </w:numPr>
        <w:rPr/>
      </w:pPr>
      <w:bookmarkStart w:id="684" w:name="__RefHeading___Toc1656474_2281741623"/>
      <w:bookmarkStart w:id="685" w:name="_Toc243"/>
      <w:bookmarkEnd w:id="684"/>
      <w:r>
        <w:rPr>
          <w:rtl w:val="true"/>
        </w:rPr>
        <w:t>برای مطالعة بیشتر</w:t>
      </w:r>
      <w:bookmarkEnd w:id="685"/>
    </w:p>
    <w:p>
      <w:pPr>
        <w:pStyle w:val="BookText"/>
        <w:rPr/>
      </w:pPr>
      <w:r>
        <w:rPr>
          <w:rFonts w:ascii="IRNazanin" w:hAnsi="IRNazanin" w:eastAsia="IRNazanin"/>
          <w:color w:val="111111"/>
          <w:sz w:val="28"/>
          <w:sz w:val="28"/>
          <w:szCs w:val="28"/>
          <w:rtl w:val="true"/>
          <w:lang w:bidi="fa-IR"/>
        </w:rPr>
        <w:t>برای مطالعة بیشتر</w:t>
      </w:r>
    </w:p>
    <w:p>
      <w:pPr>
        <w:pStyle w:val="BookText"/>
        <w:rPr/>
      </w:pPr>
      <w:r>
        <w:rPr>
          <w:rFonts w:eastAsia="Times New Roman" w:cs="Times New Roman" w:ascii="Times New Roman" w:hAnsi="Times New Roman"/>
          <w:color w:val="111111"/>
          <w:sz w:val="28"/>
          <w:szCs w:val="28"/>
          <w:lang w:val="en-US" w:bidi="en-US"/>
        </w:rPr>
        <w:t>Bald, M. (1998). Literature suppressed on religious grounds. New York: Facts on File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Carmilly-Weinberger, M. (1997). Censorship and freedom of expression in Jewish history. New York: Sepher-Hermon Press</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Collins, R. K. L. &amp; Skover, D. M. (2002). The trials of Lenny Bruce: The fall and rise of an American icon. Naperville, IL: Sourcebooks Media Fusion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Foerstel, H. N. (2002). Banned in the U.S.A.: A reference guide to book censorship in schools and public libraries, revised and expanded edition. Westport, CT: Greenwood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Green, J., &amp; Karolides N. J. (2005). The encyclopedia of censorship, revised edition. New York: Facts On File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Heins, M. (1993). Sex, sin, and blasphemy: A guide to America’s censorship wars. New York: New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Heins, M. (2002). Not in front of the children: “Indecency,” censorship, and the innocence of youth. New York: Hill and Wang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D. (Ed.). (2001). Censorship: A world encyclopedia. Chicago: Fitzroy Dearborn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Mostyn, T. (2002). Censorship in Islamic societies. London: Saqi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Nelson, J. (1974). Captive voices: The report of the commission of inquiry into high school journalism. New York: Schocken Books</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Rasmussen, R. K. (Ed.). (1997). Censorship (Vol. 1–3). Pasadena, CA: Salem Press</w:t>
      </w:r>
      <w:r>
        <w:rPr>
          <w:rFonts w:eastAsia="Times New Roman" w:cs="Times New Roman" w:ascii="Times New Roman" w:hAnsi="Times New Roman"/>
          <w:color w:val="111111"/>
          <w:sz w:val="28"/>
          <w:szCs w:val="28"/>
          <w:rtl w:val="true"/>
          <w:lang w:val="en-US" w:bidi="en-US"/>
        </w:rPr>
        <w:t xml:space="preserve">. </w:t>
      </w:r>
      <w:bookmarkStart w:id="686" w:name="pg3881_28014"/>
    </w:p>
    <w:p>
      <w:pPr>
        <w:pStyle w:val="Heading2"/>
        <w:numPr>
          <w:ilvl w:val="1"/>
          <w:numId w:val="1"/>
        </w:numPr>
        <w:rPr/>
      </w:pPr>
      <w:bookmarkStart w:id="687" w:name="__RefHeading___Toc1656476_2281741623"/>
      <w:bookmarkStart w:id="688" w:name="_Toc244"/>
      <w:bookmarkEnd w:id="686"/>
      <w:bookmarkEnd w:id="687"/>
      <w:r>
        <w:rPr>
          <w:rtl w:val="true"/>
        </w:rPr>
        <w:t>سرگرمی</w:t>
      </w:r>
      <w:bookmarkEnd w:id="688"/>
    </w:p>
    <w:p>
      <w:pPr>
        <w:pStyle w:val="Heading3"/>
        <w:numPr>
          <w:ilvl w:val="2"/>
          <w:numId w:val="1"/>
        </w:numPr>
        <w:rPr/>
      </w:pPr>
      <w:bookmarkStart w:id="689" w:name="__RefHeading___Toc1656478_2281741623"/>
      <w:bookmarkStart w:id="690" w:name="_Toc245"/>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سرگرمی</w:t>
      </w:r>
    </w:p>
    <w:p>
      <w:pPr>
        <w:pStyle w:val="BookText"/>
        <w:rPr/>
      </w:pPr>
      <w:r>
        <w:rPr>
          <w:rFonts w:ascii="IRNazanin" w:hAnsi="IRNazanin" w:eastAsia="IRNazanin"/>
          <w:color w:val="111111"/>
          <w:sz w:val="28"/>
          <w:sz w:val="28"/>
          <w:szCs w:val="28"/>
          <w:rtl w:val="true"/>
          <w:lang w:bidi="fa-IR"/>
        </w:rPr>
        <w:t>انسان ها برای گریز از تنش های زندگی روزمره، به ناچار به سرگرمی</w:t>
      </w:r>
      <w:r>
        <w:rPr>
          <w:rStyle w:val="FootnoteAnchor"/>
          <w:rtl w:val="true"/>
        </w:rPr>
        <w:footnoteReference w:id="272"/>
      </w:r>
      <w:r>
        <w:rPr>
          <w:rFonts w:ascii="IRNazanin" w:hAnsi="IRNazanin" w:eastAsia="IRNazanin"/>
          <w:color w:val="111111"/>
          <w:sz w:val="28"/>
          <w:sz w:val="28"/>
          <w:szCs w:val="28"/>
          <w:rtl w:val="true"/>
          <w:lang w:bidi="fa-IR"/>
        </w:rPr>
        <w:t>روی می آورند ولی مقولۀ سرگرمی چگونه با تعهد به اندیشه ای مذهبی کنار می آید؟</w:t>
      </w:r>
    </w:p>
    <w:p>
      <w:pPr>
        <w:pStyle w:val="Heading3"/>
        <w:numPr>
          <w:ilvl w:val="2"/>
          <w:numId w:val="1"/>
        </w:numPr>
        <w:rPr/>
      </w:pPr>
      <w:bookmarkStart w:id="691" w:name="__RefHeading___Toc1656480_2281741623"/>
      <w:bookmarkStart w:id="692" w:name="_Toc246"/>
      <w:bookmarkEnd w:id="691"/>
      <w:r>
        <w:rPr>
          <w:rtl w:val="true"/>
        </w:rPr>
        <w:t>مشغولیت؛ هستۀ سرگرمی</w:t>
      </w:r>
      <w:bookmarkEnd w:id="692"/>
    </w:p>
    <w:p>
      <w:pPr>
        <w:pStyle w:val="BookText"/>
        <w:rPr/>
      </w:pPr>
      <w:r>
        <w:rPr>
          <w:rFonts w:ascii="IRNazanin" w:hAnsi="IRNazanin" w:eastAsia="IRNazanin"/>
          <w:color w:val="111111"/>
          <w:sz w:val="28"/>
          <w:sz w:val="28"/>
          <w:szCs w:val="28"/>
          <w:rtl w:val="true"/>
          <w:lang w:bidi="fa-IR"/>
        </w:rPr>
        <w:t>مشغولیت؛ هستۀ سرگرمی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تنشی میان ارتباط مذهبی و سرگرمی وجود داشته است و دلیل آن را باید در ماهیت درونی مفهوم مشغولیت جست وجو کرد که یکی از مؤلفه های محوری سرگرمی است و در بسیاری از موارد بر مبنای گریز از تأمل دربارۀ مسائل جدی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مستلزم تأمل عمیق، منضبط و تعهد به ارزش هایی است که پیامدهایی ازلی در پی دارند در حالی که سرگرمی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مستلزم فراغت هایی کوتاه از مشغله های فکری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گرچه سرگرمی می تواند شاد، اندوهناک یا صرفاً سرگرم کننده باشد، در همان حال قادر است به اندازۀ بیشتر پیوندها و ارتباطاتِ مذهبی، جدی و تفکربرانگیز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اندیشیدن به سرگرمی به عنوان جزیی طبیعی از زندگی از سوی یک فرهنگ، مستلزم وجود زمان آزادی است که فن آوری باید امکان آن را به عنوان اوقات فراغت فراهم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 نمی تواند در فرهنگی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ناگزیرند برای بقا و برآورده ساختن نیازهای جسمانی اولیۀ خود به طور بی وقفه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راحت تر شدن ارضای این نیاز های اولیه به واسطۀ پیشرفت های فن آوری، انسان ها شیوه هایی برای گذراندن فواصل زمانی برنامه ریزی نشدۀ خود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 ها به استراحت نیاز دارند ولی خواب تنها شیوۀ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 از طریق سرگرمی در فرهنگ های از نظر فن آوری پیشرفته شکل می گیرد تا جبران کنندۀ اوقات طولانی تمرکز بر مسائل حیاتی و ضروری باشد؛ حتی خدا نیز تصمیم گرفت تا در هفتمین روزِ پس از خلقت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زمانی که خداوند به استراحت می پرداخت، نیازی به سرگرم شدن داشت؟ در این جا مجدداً تناقضاتی برای مذهبیونِ سخت گیری بروز می کند که انرژی آن ها صَرف اجبار آدمیان به سپری کردن وجوه گوناگون زندگی شان به گونه ای می شود که گویی تأمل در ذات الهی تنها شکل استفادۀ مشروع از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ممکن است به سرگرمی نیاز داشته یا نداشته باشد ولی بدون شک پیروان او در فرهنگ های پیشرفته به این نیاز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همگانی مدرن هیچ گاه نتوانسته اند از برخورد با سخنگویان گوناگون ارتباطات مذهبی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میانۀ این منازعات فرهنگی </w:t>
      </w:r>
      <w:bookmarkStart w:id="693" w:name="pg3881_28016"/>
    </w:p>
    <w:p>
      <w:pPr>
        <w:pStyle w:val="BookText"/>
        <w:rPr/>
      </w:pPr>
      <w:bookmarkEnd w:id="693"/>
      <w:r>
        <w:rPr>
          <w:rFonts w:ascii="IRNazanin" w:hAnsi="IRNazanin" w:eastAsia="IRNazanin"/>
          <w:color w:val="111111"/>
          <w:sz w:val="28"/>
          <w:sz w:val="28"/>
          <w:szCs w:val="28"/>
          <w:rtl w:val="true"/>
          <w:lang w:bidi="fa-IR"/>
        </w:rPr>
        <w:t>نمونه هایی وجود داشته است که نشان می دهد رسانه های همگانی مدرن تا چه اندازه می توانند وجوهی از اندیشۀ مذهبی را به اَشکالی نو و نیرو بخش منتقل سازند</w:t>
      </w:r>
      <w:r>
        <w:rPr>
          <w:rFonts w:eastAsia="IRNazanin" w:cs="IRNazanin"/>
          <w:color w:val="111111"/>
          <w:sz w:val="28"/>
          <w:szCs w:val="28"/>
          <w:rtl w:val="true"/>
          <w:lang w:bidi="fa-IR"/>
        </w:rPr>
        <w:t>.</w:t>
      </w:r>
    </w:p>
    <w:p>
      <w:pPr>
        <w:pStyle w:val="Heading3"/>
        <w:numPr>
          <w:ilvl w:val="2"/>
          <w:numId w:val="1"/>
        </w:numPr>
        <w:rPr/>
      </w:pPr>
      <w:bookmarkStart w:id="694" w:name="__RefHeading___Toc1656482_2281741623"/>
      <w:bookmarkStart w:id="695" w:name="_Toc247"/>
      <w:bookmarkEnd w:id="694"/>
      <w:r>
        <w:rPr>
          <w:rtl w:val="true"/>
        </w:rPr>
        <w:t>پیام های مذهبی در سینما</w:t>
      </w:r>
      <w:bookmarkEnd w:id="695"/>
    </w:p>
    <w:p>
      <w:pPr>
        <w:pStyle w:val="BookText"/>
        <w:rPr/>
      </w:pPr>
      <w:r>
        <w:rPr>
          <w:rFonts w:ascii="IRNazanin" w:hAnsi="IRNazanin" w:eastAsia="IRNazanin"/>
          <w:color w:val="111111"/>
          <w:sz w:val="28"/>
          <w:sz w:val="28"/>
          <w:szCs w:val="28"/>
          <w:rtl w:val="true"/>
          <w:lang w:bidi="fa-IR"/>
        </w:rPr>
        <w:t>پیام های مذهبی در سینما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انتهای قرن نوزدهم تنها دورۀ ابداعاتِ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 نبود، بلکه زمانی بود که توجه کلیسای کاتولیک رم و مسیحیت پروتستان به محتوای رسانه ها و احساس مسئولیت شان در قبال آن پیروانی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ملیس که فیلم هایش را با اتکا به جلوه های ویژه تولید می کرد و پیش از آن نمایش های محیرالعقول و تردستی صحنه ای اجرا می کرد، با فیلم تاریخ ساز خود به نام سفر به ماه جایگاه خاصی در تاریخ سینما پیدا کرد ولی شمار کمی از افراد اطلاع دارند که تلاش های پیشین او در ایجاد جلوه های ویژه به تولید فیلم مذهبی مسیحِ گذرنده بر آب ها منتهی شده بود، که در آن بازیگری در نقش عیسی مسیح، معجزۀ قدم زدن بر روی آب را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روحانیون تیزبین، ارزش های بالقوۀ این فرم هنری نوظهور را برای به نمایش درآوردنِ مضامین مذهبی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کلیسای مستقلِ کانکتیکات به نام هربرت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جامپ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با نام قابلیت های مذهبی سینما</w:t>
      </w:r>
      <w:r>
        <w:rPr>
          <w:rStyle w:val="FootnoteAnchor"/>
          <w:rtl w:val="true"/>
        </w:rPr>
        <w:footnoteReference w:id="273"/>
      </w:r>
      <w:r>
        <w:rPr>
          <w:rFonts w:ascii="IRNazanin" w:hAnsi="IRNazanin" w:eastAsia="IRNazanin"/>
          <w:color w:val="111111"/>
          <w:sz w:val="28"/>
          <w:sz w:val="28"/>
          <w:szCs w:val="28"/>
          <w:rtl w:val="true"/>
          <w:lang w:bidi="fa-IR"/>
        </w:rPr>
        <w:t>به نگارش درآورد که در آن از جامعۀ مذهبی خواست با حضور در تماشاخانه ها در این فرآوردۀ فرهنگی عامه پسند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فیلم های مذهبی اولیه ناپدید شده یا از میان رفته اند ولی فیلم های مشهور جریان اصلی نیز به عنوان بخش های آگاهانه ای از طرح داستانی خود به مذهب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فیلم چهار حلقه ای بلند دیوید وارک گریفیث، یهودای </w:t>
      </w:r>
    </w:p>
    <w:p>
      <w:pPr>
        <w:pStyle w:val="BookText"/>
        <w:rPr/>
      </w:pPr>
      <w:r>
        <w:rPr>
          <w:rFonts w:ascii="IRNazanin" w:hAnsi="IRNazanin" w:eastAsia="IRNazanin"/>
          <w:color w:val="111111"/>
          <w:sz w:val="28"/>
          <w:sz w:val="28"/>
          <w:szCs w:val="28"/>
          <w:rtl w:val="true"/>
          <w:lang w:bidi="fa-IR"/>
        </w:rPr>
        <w:t>بتولیا نام داشت و بر مبنای داستانی از تاریخ یهود ساخته شده بود که به مجموعه ای از کتاب مقدس که با عنوان ابوکریفا</w:t>
      </w:r>
      <w:r>
        <w:rPr>
          <w:rStyle w:val="FootnoteAnchor"/>
          <w:rtl w:val="true"/>
        </w:rPr>
        <w:footnoteReference w:id="274"/>
      </w:r>
      <w:r>
        <w:rPr>
          <w:rFonts w:ascii="IRNazanin" w:hAnsi="IRNazanin" w:eastAsia="IRNazanin"/>
          <w:color w:val="111111"/>
          <w:sz w:val="28"/>
          <w:sz w:val="28"/>
          <w:szCs w:val="28"/>
          <w:rtl w:val="true"/>
          <w:lang w:bidi="fa-IR"/>
        </w:rPr>
        <w:t>شناخته می شود،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فیلم، گریفیث حماسۀ مناقشه برانگیز خود با عنوان تولد یک ملت را ساخت که در انتهای آن با استفاده از تمهید دو بخش کردنِ تصویر، شهری آسمانی و امید برای فردایی بهتر به مدد نیایش مذهبی به نمایش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حماسۀ شکست خوردۀ گریفیث با نام تعصب نیز دو مورد از سه داستان فیلم بر مسائل مذهبی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مرگ مسیح و شکنجۀ اعضای کلیسای اصلاح شدۀ پروتستانِ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سده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همپای جسارت یافتنِ بیشتر سینما در به تصویر کشیدنِ ویژگی های حسی، عاطفی و روابط انسانی، هم زیستی مثبتِ اولیۀ آن با نهادهای مذهبی از میان رفت ولی با وجود کشمکش های ایجاد شده، دو نمونۀ برجسته، استفاده از سینما برای انتقال پیام های مذهبی را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خوانندۀ جاز، که در آن خوانندۀ محبوبِ دوران، اَل جولسن در نقش نمایشگری ظاهر می شود که بین سنت ها و خانوادۀ یهودی ارتدکس خود و اشتیاق برای تبدیل شدن به خواننده ای محبوب دوپاره شده است؛ و فیلمِ فرانسوی کارل تئودور درایر، مصائب ژاندارک، که به معیار داستان ها و زندگی نامه های مذهبی سینمایی پس از خود بدل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مارتین کویگلی، کاتولیکی غیرروحانی، و دَنیل لُرد، که کشیشی ژزوئیت بود، آیین نامۀ تولید هالیوود</w:t>
      </w:r>
      <w:r>
        <w:rPr>
          <w:rStyle w:val="FootnoteAnchor"/>
          <w:rtl w:val="true"/>
        </w:rPr>
        <w:footnoteReference w:id="275"/>
      </w:r>
      <w:r>
        <w:rPr>
          <w:rFonts w:ascii="IRNazanin" w:hAnsi="IRNazanin" w:eastAsia="IRNazanin"/>
          <w:color w:val="111111"/>
          <w:sz w:val="28"/>
          <w:sz w:val="28"/>
          <w:szCs w:val="28"/>
          <w:rtl w:val="true"/>
          <w:lang w:bidi="fa-IR"/>
        </w:rPr>
        <w:t>را ابداع کردند که با قوانین اخلاقی و هِیز آفیس</w:t>
      </w:r>
      <w:r>
        <w:rPr>
          <w:rStyle w:val="FootnoteAnchor"/>
          <w:rtl w:val="true"/>
        </w:rPr>
        <w:footnoteReference w:id="276"/>
      </w:r>
      <w:r>
        <w:rPr>
          <w:rFonts w:ascii="IRNazanin" w:hAnsi="IRNazanin" w:eastAsia="IRNazanin"/>
          <w:color w:val="111111"/>
          <w:sz w:val="28"/>
          <w:sz w:val="28"/>
          <w:szCs w:val="28"/>
          <w:rtl w:val="true"/>
          <w:lang w:bidi="fa-IR"/>
        </w:rPr>
        <w:t>پیوند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 آفیس که هیچ گاه مستقیماً عامل ممیزی به شمار نمی آمد، چنان نفوذی پیدا کرد که فیلم های هالیوود به تدریج به نوعی بازنمایی رمز گذاری شدۀ اخلاق استحاله یافتند</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های آمریکایی تصمیم گرفتند که چهره های مذهبی را در قالب انسان های مهربان و کلیشه ای به نمایش بگذارند؛ شخصیت هایی خیرخواه و در همان حال بی نهایت حمایت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استثنائات این قاعده کشیش های حساس و بی خیالِ فیلم اُسکاری زوج هُنری بینگ کرازبی و بری فیتزجرالد با نام راه خودمو می 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جیمی استیوارت نیز در فیلم کریسمسی کلاسیکِ چه زندگی شگفت انگیزی، به کمک کلارنس، فرشته ای که تلاش می کند بال هایش را به دست بیاورد، می تواند از باتلاقی اخلاقی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دومیلِ کارگردان برای یافتن فرمولی که با آن بتواند جنسیت و حماسه های کتاب مقدس را در بستری واحد کنار هم بنشاند، به بازسازی حماسه های صامتی که بر مبنای کتاب مقدس ساخته بود، پرداخت و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مخاطبانی تازه برای فیلم ده فرمان، که کاملاً به جلوه های ویژه متکی 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پس از آن، ویلیام وایلر یکی از ستایش شده ترین فیلم های اسکاری تاریخ، یعنی حماسۀ کتاب مقدسی بن هور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در طول دهه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های مذهبی به دلیل مخارج بالای خود، که بازگشت سرمایه را با خطر مواجه می کردند، عموماً کنار گذاشته شدند،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رهیافت تازه ای به طرح مضامین مذهبی در سینما شکل پیدا کرد که متکی به پیوندی طبیعی با ویژگی های شخصیتی یا انتخاب های حیاتی شخصیت های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ارابه های آتش، شخصیتی محوری را معرفی کرد که به علت شور و اشتیاق و باورهای مذهبی خود، برای کشور بریتانیا در مسابقۀ دوی المپیک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 و مناقشه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دوباره با تفسیرهای سینمایی رخدادهای کتاب مقدس در فیلم هایی چون آخرین وسوسۀ مسیح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هالیوود را نمی توان </w:t>
      </w:r>
      <w:bookmarkStart w:id="696" w:name="pg3881_28019"/>
    </w:p>
    <w:p>
      <w:pPr>
        <w:pStyle w:val="BookText"/>
        <w:rPr/>
      </w:pPr>
      <w:bookmarkEnd w:id="696"/>
      <w:r>
        <w:rPr>
          <w:rFonts w:ascii="IRNazanin" w:hAnsi="IRNazanin" w:eastAsia="IRNazanin"/>
          <w:color w:val="111111"/>
          <w:sz w:val="28"/>
          <w:sz w:val="28"/>
          <w:szCs w:val="28"/>
          <w:rtl w:val="true"/>
          <w:lang w:bidi="fa-IR"/>
        </w:rPr>
        <w:t xml:space="preserve">در کلیت خود به خاطر ضد مذهب بودن کنار گذاشت و دلیل این امر را نیز می توان فیلم رابرت دووال با نام حواری دانست که کاندید بهترین فیلمِ اسکار بود و در آن رنج ها و بهجت های یک خطیبِ عید خمسین در نواحی روستایی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معاصر به شکلی دقیق و وفادارانه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در حال حاضر نسل تازه ای از مؤلفان، کارگردان ها و فیلم نامه نویسان را به خود می بیند که در چهارچوب هایی فراتر از مذهب رسمی به پی گیری انواع انگاره های معنویِ ممکن علاقه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 توان در فیلم 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نایت شیامالان مشاهده کرد؛ به ویژه در حس ششم و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مستقلِ مل گیبسِن، مصائب مسیح، به چشم گیرترین و بزرگ ترین فیلم مستقلِ کل تاریخ سینما تبدیل شده است و جالب آن جاست که اَبَرفیلم گیبسِن کنایۀ تمام عیاری را به نمایش می گذارد؛ چرا که بسیاری از افراد مذهبی که قسم یاد کرده بودند به سمت فیلم های درجه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که به جنسیت، خشونت و فحاشی شناخته می شوند ـ نروند، دسته دسته به دیدن فیلمی مذهبی رفتند که به خاطر بازسازی های تاریخی خود از سبعیتِ رومیان و دقت و درستی انجیلی مورد نظر، این گونه درجه بندی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مذهبی با صنعت سینما همواره به طور بالقوه گنگ و نامشخص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تعهد به حقیقت در بازنمایی داستان ها و روایت های قابل اتّکا، فیلم نامه نویسان، کارگردانان و تهیه کنندگان را به سوی پیام های مذهبی بازمی گرداند</w:t>
      </w:r>
      <w:r>
        <w:rPr>
          <w:rFonts w:eastAsia="IRNazanin" w:cs="IRNazanin"/>
          <w:color w:val="111111"/>
          <w:sz w:val="28"/>
          <w:szCs w:val="28"/>
          <w:rtl w:val="true"/>
          <w:lang w:bidi="fa-IR"/>
        </w:rPr>
        <w:t>.</w:t>
      </w:r>
    </w:p>
    <w:p>
      <w:pPr>
        <w:pStyle w:val="Heading3"/>
        <w:numPr>
          <w:ilvl w:val="2"/>
          <w:numId w:val="1"/>
        </w:numPr>
        <w:rPr/>
      </w:pPr>
      <w:bookmarkStart w:id="697" w:name="__RefHeading___Toc1656484_2281741623"/>
      <w:bookmarkStart w:id="698" w:name="_Toc248"/>
      <w:bookmarkEnd w:id="697"/>
      <w:r>
        <w:rPr>
          <w:rtl w:val="true"/>
        </w:rPr>
        <w:t>پیام های مذهبی در رادیو، تلویزیون و اینترنت</w:t>
      </w:r>
      <w:bookmarkEnd w:id="69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های مذهبی در رادیو، تلویزیون و اینترنت </w:t>
      </w:r>
    </w:p>
    <w:p>
      <w:pPr>
        <w:pStyle w:val="BookText"/>
        <w:rPr/>
      </w:pPr>
      <w:r>
        <w:rPr>
          <w:rFonts w:ascii="IRNazanin" w:hAnsi="IRNazanin" w:eastAsia="IRNazanin"/>
          <w:color w:val="111111"/>
          <w:sz w:val="28"/>
          <w:sz w:val="28"/>
          <w:szCs w:val="28"/>
          <w:rtl w:val="true"/>
          <w:lang w:bidi="fa-IR"/>
        </w:rPr>
        <w:t>رادیو در ابتدای قرن بیستم به عنوان رسانۀ سرگرم کنندۀ برگزیدۀ بسیاری از سخنگویان مذهبی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برجسته هیچ گاه ادعا نمی کنند که به معنای هالیوودیِ کلمه، فردی سرگرمی ساز بوده اند؛ با این حال بسیاری از آن ها مانند خواهر اِیمی سِمپِل مک فرسِن به گزارشگران چنین القا کردند که اگر دعوت به روحانیت را حس نکرده بودند، صحنه یا پردۀ سینما را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فرسِن شکل جدیدی از موعظه را به نام موعظه های مصوّر</w:t>
      </w:r>
      <w:r>
        <w:rPr>
          <w:rStyle w:val="FootnoteAnchor"/>
          <w:rtl w:val="true"/>
        </w:rPr>
        <w:footnoteReference w:id="277"/>
      </w:r>
      <w:r>
        <w:rPr>
          <w:rFonts w:ascii="IRNazanin" w:hAnsi="IRNazanin" w:eastAsia="IRNazanin"/>
          <w:color w:val="111111"/>
          <w:sz w:val="28"/>
          <w:sz w:val="28"/>
          <w:szCs w:val="28"/>
          <w:rtl w:val="true"/>
          <w:lang w:bidi="fa-IR"/>
        </w:rPr>
        <w:t>ابداع کرد که در آن ها لباس های گوناگونی می پوشید، گاهی اوقات به وسیلۀ سیمی نامریی از بالکنِ عبادت خانه اش در لس آنجلس فرود می آمد یا برای موعظه ای چون گربه و قناری</w:t>
      </w:r>
      <w:r>
        <w:rPr>
          <w:rStyle w:val="FootnoteAnchor"/>
          <w:rtl w:val="true"/>
        </w:rPr>
        <w:footnoteReference w:id="278"/>
      </w:r>
      <w:r>
        <w:rPr>
          <w:rFonts w:ascii="IRNazanin" w:hAnsi="IRNazanin" w:eastAsia="IRNazanin"/>
          <w:color w:val="111111"/>
          <w:sz w:val="28"/>
          <w:sz w:val="28"/>
          <w:szCs w:val="28"/>
          <w:rtl w:val="true"/>
          <w:lang w:bidi="fa-IR"/>
        </w:rPr>
        <w:t>صدای شخصیت های گوناگون را تقلید می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اُرال رابرتز، باوردرمان گر و مبلغ مسیحی که کار خود را از رادیو شروع کرد و در سال های اولیۀ تلویزیون به آن جا نقل مکان نمود، عملاً مراسم باوردرمانی</w:t>
      </w:r>
      <w:r>
        <w:rPr>
          <w:rStyle w:val="FootnoteAnchor"/>
          <w:rtl w:val="true"/>
        </w:rPr>
        <w:footnoteReference w:id="279"/>
      </w:r>
      <w:r>
        <w:rPr>
          <w:rFonts w:ascii="IRNazanin" w:hAnsi="IRNazanin" w:eastAsia="IRNazanin"/>
          <w:color w:val="111111"/>
          <w:sz w:val="28"/>
          <w:sz w:val="28"/>
          <w:szCs w:val="28"/>
          <w:rtl w:val="true"/>
          <w:lang w:bidi="fa-IR"/>
        </w:rPr>
        <w:t>را در تلویزیون و رادیو اجرا می کرد تا واکنش های جسمانی حادِ ایجادشده بر اثر ذوب شدن در روح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 گراهام که در به کارگیری حکایت و استفاده از زبانی عاطفی مهارت داشت، 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چادری در لس آنجلس کار مذهبی جهان گستر خود را آغاز کرد ولی به تدریج ضرورتِ تنظیم یک برنامۀ رادیویی هفتگی با عنوان ساعت تصمیم</w:t>
      </w:r>
      <w:r>
        <w:rPr>
          <w:rStyle w:val="FootnoteAnchor"/>
          <w:rtl w:val="true"/>
        </w:rPr>
        <w:footnoteReference w:id="280"/>
      </w:r>
      <w:r>
        <w:rPr>
          <w:rFonts w:ascii="IRNazanin" w:hAnsi="IRNazanin" w:eastAsia="IRNazanin"/>
          <w:color w:val="111111"/>
          <w:sz w:val="28"/>
          <w:sz w:val="28"/>
          <w:szCs w:val="28"/>
          <w:rtl w:val="true"/>
          <w:lang w:bidi="fa-IR"/>
        </w:rPr>
        <w:t>را حس کرد؛ برنامه ای که عملاً موعظه های جلساتِ احیاء مذهبی را با شیوۀ گفت وگوهای استودیویی در تبلیغ مسیحیت ترکیب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وبیش همگی کسانی که در رادیو به تبلیغ مسیحیت می پرداختند به تلویزیون رفتند ولی احتمالاً هیچ یک از آن ها در درهم ریختن مرزهای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ترکیب آن با تبلیغات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اسقفِ کاتولیک، فولتِن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سخنگوی بااستعدادی بود که در لباس کشیش باشکوهی </w:t>
      </w:r>
    </w:p>
    <w:p>
      <w:pPr>
        <w:pStyle w:val="BookText"/>
        <w:rPr/>
      </w:pPr>
      <w:r>
        <w:rPr>
          <w:rFonts w:ascii="IRNazanin" w:hAnsi="IRNazanin" w:eastAsia="IRNazanin"/>
          <w:color w:val="111111"/>
          <w:sz w:val="28"/>
          <w:sz w:val="28"/>
          <w:szCs w:val="28"/>
          <w:rtl w:val="true"/>
          <w:lang w:bidi="fa-IR"/>
        </w:rPr>
        <w:t xml:space="preserve">ظاهر می شد و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آمار بینندگان بالایی را در تلویزیون به خود اختصاص می داد که با آمار کمدینِ بسیار محبوبِ آن دوره، میلتِن بِرل، قابل قیاس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کاترین کولمان که یک مبلغ مسیحی باوردرمان گر بود، با به کارگیری شکل تغییریافته ای از میزگردهای تلویزیونی با حضور کسانی که در جلسات او درمان شده بودند، میزان سرگرم کنندگی پیام های مذهبی را دیگرگون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 رابرتسِن، که او نیز مبلغی مسیحی بود، با خلق برنامۀ 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 از پیش مفهوم سرگرمی را دگرگون کرد؛ برنامه ای که می شد آن را معادلِ مذهبی بحث های خبری و میزگردهای نیمه شب با دعوت چهره های مشهور مذهبی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وسوسۀ قدرت و نفوذ و توجه صرف به ارزش های سرگرم کننده، بسیاری از مبلغان مسیحی را به سراشیب فساد و انحطاط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و تَمی فِی بیکر و جیمی استیوارت تنها برخی از چهره های تلویزیونی معروفی هستند که فعالیت مذهبی آن ها بر اثر حواشی و جار و جنجال های پیرامونی کاملاً تخریب شد یا تأثیر آن به شدت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این افراد به خاطر توجه مطلق به مقولۀ سرگرم کنندگی پیوند خود را با انگیزه و غایت مذهبی اولیۀ کار خود از دست داده بودند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مجموعه های نمایشی تلویزیونی چهره های مذهبی را در نقش هایی تکرار شونده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عجیب به نظر رسد ولی معروف ترین مجموعه ای که پیام رسانی مذهبی را به بخش جداناپذیری از رابطۀ خود با مردم تبدیل کرده است، مجموعۀ انیمیشن طولانی مدتِ سیمپسِن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گزینشی اتفاقی از بخش های پر شمار این مجموعه نشان می دهد که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قسمت ها به پیام یا شخصیتی مذهبی می پردازند یا به صورتی گذرا به مذهب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نظرکردۀ فرشته مخاطبانی پیدا کرد که در طول چندین فصل در شبکۀ تلویزیونی </w:t>
      </w:r>
      <w:r>
        <w:rPr>
          <w:rFonts w:eastAsia="Times New Roman" w:cs="Times New Roman" w:ascii="Times New Roman" w:hAnsi="Times New Roman"/>
          <w:color w:val="111111"/>
          <w:sz w:val="28"/>
          <w:szCs w:val="28"/>
          <w:lang w:val="en-US" w:bidi="en-US"/>
        </w:rPr>
        <w:t>CBS</w:t>
      </w:r>
      <w:r>
        <w:rPr>
          <w:rFonts w:ascii="IRNazanin" w:hAnsi="IRNazanin" w:eastAsia="IRNazanin"/>
          <w:color w:val="111111"/>
          <w:sz w:val="28"/>
          <w:sz w:val="28"/>
          <w:szCs w:val="28"/>
          <w:rtl w:val="true"/>
          <w:lang w:bidi="fa-IR"/>
        </w:rPr>
        <w:t>آن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پلیسی منطقه که به مدت سه سال در تلویزیون به نمایش درمی آمد، مکرراً شخصیت هایی ظاهر می شدند که آشکارا ایمان خود به عیسی مسیح را اظهار می کردند یا درگیرِ مسائل مربوط به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نوجوان ژانِ آرکادیا چهره های گوناگونی را می بیند که خود را خدا معرفی می کنند و او را از نصایح و هدایت معنوی خویش برخوردار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مجموعه های تلویزیونی از پرداختن به پیام ها یا دیدگاه های مذهبی دست نمی کشند، حتی اگر موضع آن ها دست انداختنِ مذهب رسمی باشد؛ چنان که در مجموعۀ انیمیشن پارک جنوبی مکرراً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نشان دادنِ نحوۀ برخورد شخصیت های مجموعه های کمدی یا درام با مسائل مذهبی در سطحی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فن آوری در حوزۀ اینترنت معیارهای سرگرم کننده ای را برای انتشار پیام های مذهبی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های گوناگون با استفاده از تصاویرِ سینمای عامه پسند و تلویزیون به موعظه های خود شکلی مصوّر می بخشند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Movieministry.com</w:t>
      </w:r>
    </w:p>
    <w:p>
      <w:pPr>
        <w:pStyle w:val="BookText"/>
        <w:rPr/>
      </w:pPr>
      <w:r>
        <w:rPr>
          <w:rFonts w:eastAsia="Times New Roman" w:cs="Times New Roman" w:ascii="Times New Roman" w:hAnsi="Times New Roman"/>
          <w:color w:val="111111"/>
          <w:sz w:val="28"/>
          <w:szCs w:val="28"/>
          <w:lang w:val="en-US" w:bidi="en-US"/>
        </w:rPr>
        <w:t>Movieguide.org Ministryandmedia.com</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هایی با مضامین مذهبی به طور مرتب در قالب ای میل هایی که می توان آن ها را داون لود کرد به منازل افراد در سراسر دنیا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های پویا و در حال شکوفایی و حتی بازی های اینترنتی مذهبی، فرصت های سرگرم کننده ای را در اختیار افرادی با گرایش های دینی می گذارند که در همان حال از میزان قابل قبولی از اخلاقیات و معنویات نیز برخوردارند</w:t>
      </w:r>
      <w:r>
        <w:rPr>
          <w:rFonts w:eastAsia="IRNazanin" w:cs="IRNazanin"/>
          <w:color w:val="111111"/>
          <w:sz w:val="28"/>
          <w:szCs w:val="28"/>
          <w:rtl w:val="true"/>
          <w:lang w:bidi="fa-IR"/>
        </w:rPr>
        <w:t>.</w:t>
      </w:r>
      <w:bookmarkStart w:id="699" w:name="pg3881_28023"/>
    </w:p>
    <w:p>
      <w:pPr>
        <w:pStyle w:val="Heading3"/>
        <w:numPr>
          <w:ilvl w:val="2"/>
          <w:numId w:val="1"/>
        </w:numPr>
        <w:rPr/>
      </w:pPr>
      <w:bookmarkStart w:id="700" w:name="__RefHeading___Toc1656486_2281741623"/>
      <w:bookmarkStart w:id="701" w:name="_Toc249"/>
      <w:bookmarkEnd w:id="699"/>
      <w:bookmarkEnd w:id="700"/>
      <w:r>
        <w:rPr>
          <w:rtl w:val="true"/>
        </w:rPr>
        <w:t>پیامد ها</w:t>
      </w:r>
      <w:bookmarkEnd w:id="701"/>
    </w:p>
    <w:p>
      <w:pPr>
        <w:pStyle w:val="BookText"/>
        <w:rPr/>
      </w:pPr>
      <w:r>
        <w:rPr>
          <w:rFonts w:ascii="IRNazanin" w:hAnsi="IRNazanin" w:eastAsia="IRNazanin"/>
          <w:color w:val="111111"/>
          <w:sz w:val="28"/>
          <w:sz w:val="28"/>
          <w:szCs w:val="28"/>
          <w:rtl w:val="true"/>
          <w:lang w:bidi="fa-IR"/>
        </w:rPr>
        <w:t>پیامد ها</w:t>
      </w:r>
    </w:p>
    <w:p>
      <w:pPr>
        <w:pStyle w:val="BookText"/>
        <w:rPr/>
      </w:pPr>
      <w:r>
        <w:rPr>
          <w:rFonts w:ascii="IRNazanin" w:hAnsi="IRNazanin" w:eastAsia="IRNazanin"/>
          <w:color w:val="111111"/>
          <w:sz w:val="28"/>
          <w:sz w:val="28"/>
          <w:szCs w:val="28"/>
          <w:rtl w:val="true"/>
          <w:lang w:bidi="fa-IR"/>
        </w:rPr>
        <w:t>تا آن جا که به پخش برنامه مربوط می شود، می توان گفت سینما، رادیو، تلویزیون و اینترنت ویژگی مذهبی تری پیدا کرده اند یا دست کم به عنوان خروجی مذهبی برخی دیدگاه ها، گشوده 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به نظر می رسد ژانرِ حماسی ـ مذهبی به تدریج رواج خود را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مسیح چشم گیرترین استثناءِ این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ژانرِ مذهبی سازگاری بیشتری پیدا کرده و فضای خاصی را از آن خود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ورلد واید پیکچرزِ بیلی گراهام برای نمایش فیلم هایی چون صعود سالن اجاره می کند و امکان پخش در ساعات پربینندۀ تلویزیون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مورمون فیلمز نمایش های محدودی در برخی سالن ها و تماشاخانه های مخصوص به دست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فیلم هایی چون قدیس ها و سربازها اثر رایان لیتل و ارتش خدا ساختۀ ریچارد دوچر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آخرالزمانی ای مانند برجای مانده و لحظۀ سپسین نیز طرفدارانِ وفادار و محدودِ ژانر فیلم های قیامت محور را جذب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 رسد که صنعت های سینما، تلویزیون، رادیو و اینترنت در فکر برآورده ساختن نیازهای گروه های مذهبی باشند ولی بدون شک مشکلی با تولید محصولات سرگرم کننده ای ندارند که افراد مذهبی با آن ها احساس هم دلی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این اَشکال ارتباطی ـ رسانه ای مشوّق این باور هستند که به راستی خداوند از رهگذر مشغولیت های فراهم آمده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خروجی هایی برای آشکار ساختن وجوهی از طبیعت خود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به طور قطع به نیازها و اقتضائات خداوند پی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چیزی اساساً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آشکارا باور داریم که این گونه ابزارهای سرگرم کننده، ما را به بازاندیشی در این زمینه برمی انگیزند که تا چه اندازه طبیعت، حالات و پیام های خداوند، در لحظاتِ پیش بینی نشدۀ سرگرمی و مشغولیت های ذهنی به نمایش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تاد لویس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مجید اخگر </w:t>
      </w:r>
      <w:bookmarkStart w:id="702" w:name="pg3881_28024"/>
    </w:p>
    <w:p>
      <w:pPr>
        <w:pStyle w:val="Heading3"/>
        <w:numPr>
          <w:ilvl w:val="2"/>
          <w:numId w:val="1"/>
        </w:numPr>
        <w:rPr/>
      </w:pPr>
      <w:bookmarkStart w:id="703" w:name="__RefHeading___Toc1656488_2281741623"/>
      <w:bookmarkStart w:id="704" w:name="_Toc250"/>
      <w:bookmarkEnd w:id="702"/>
      <w:bookmarkEnd w:id="703"/>
      <w:r>
        <w:rPr>
          <w:rtl w:val="true"/>
        </w:rPr>
        <w:t>برای مطالعۀ بیشتر</w:t>
      </w:r>
      <w:bookmarkEnd w:id="704"/>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Barsotti, C. M., &amp; Johnston, R. K. (2004). Finding God in the movies.Grand Rapids, MI: Baker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Billingsley, K. L. (1989). The seductive image: AChristian critique of the world of film. Westchester, IL: Crossway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Corliss, R. (2004, August 16). The gospel according to Spider-Man. Time Magazine,70–72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Godawa, B. (2002). Hollywood worldviews: Watching films with wisdom &amp; discernment. Downers Grove, IL: InterVarsity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Hadden, J. K., &amp; Swann, C. E. (1981). Prime time preachers: The rising power of televangelism.Reading, MA: AddisonWesley Publishing Company</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Johnston, R. K. (2000). Reel spirituality: Theology and film in dialogue.Grand Rapids, MI: Baker Academic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Lewis, T.(1988). Charisma and media evangelists: An explication and model of communication influence. Southern Communication Journal,54,93–111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T.(1998). Rhetorically exorcising the unseen demon: Charisma and consequences in The Apostle. Paper presented at National Communication Association, New York, 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T. (2002). Religious rhetoric and the comic frame in The Simpsons. Journal of Media and Religion, 1(3), 153–165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T. (2003). Loss of faith rhetoric in Signs: ABurkean analysis of rebirth. Paper presented at National Communication Association, Miami, FL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T. (2004). Media logic and rhetorical issues of “Faith” in the television program, The District. Paper presented at National Communication Association Convention, Chicago, 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Lindvall, T. (2001). The silents of God: Selected issues and documents in silent American film and religion: 1908–1925. Lanham, MD: The Scarecrow Press,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Mast, G., &amp; Kawin, B. F. (2003). Ashort history of the movies (8th ed.). New York: Longman</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May, J. R., &amp; Bird, M. (Eds.). (1982). Religion in film. Knoxville: The University of Tennessee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Newman. M. T. (Ed.). (1993). Arhetorical analysis of popular American film. Dubuque, IA: Kendall/Hunt Publishing Company</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Pinsky, M. I. (2001). The gospel according to The Simpsons. Louisville, KY: Westminster John Knox Press</w:t>
      </w:r>
      <w:r>
        <w:rPr>
          <w:rFonts w:eastAsia="Times New Roman" w:cs="Times New Roman" w:ascii="Times New Roman" w:hAnsi="Times New Roman"/>
          <w:color w:val="111111"/>
          <w:sz w:val="28"/>
          <w:szCs w:val="28"/>
          <w:rtl w:val="true"/>
          <w:lang w:val="en-US" w:bidi="en-US"/>
        </w:rPr>
        <w:t xml:space="preserve">. </w:t>
      </w:r>
      <w:bookmarkStart w:id="705" w:name="pg3881_28027"/>
    </w:p>
    <w:p>
      <w:pPr>
        <w:pStyle w:val="Heading2"/>
        <w:numPr>
          <w:ilvl w:val="1"/>
          <w:numId w:val="1"/>
        </w:numPr>
        <w:rPr/>
      </w:pPr>
      <w:bookmarkStart w:id="706" w:name="__RefHeading___Toc1656490_2281741623"/>
      <w:bookmarkStart w:id="707" w:name="_Toc251"/>
      <w:bookmarkEnd w:id="705"/>
      <w:bookmarkEnd w:id="706"/>
      <w:r>
        <w:rPr>
          <w:rtl w:val="true"/>
        </w:rPr>
        <w:t>شعر</w:t>
      </w:r>
      <w:bookmarkEnd w:id="707"/>
    </w:p>
    <w:p>
      <w:pPr>
        <w:pStyle w:val="Heading3"/>
        <w:numPr>
          <w:ilvl w:val="2"/>
          <w:numId w:val="1"/>
        </w:numPr>
        <w:rPr/>
      </w:pPr>
      <w:bookmarkStart w:id="708" w:name="__RefHeading___Toc1656492_2281741623"/>
      <w:bookmarkStart w:id="709" w:name="_Toc252"/>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پس خداوند، سرشار از محبت</w:t>
      </w:r>
    </w:p>
    <w:p>
      <w:pPr>
        <w:pStyle w:val="BookText"/>
        <w:rPr/>
      </w:pPr>
      <w:r>
        <w:rPr>
          <w:rFonts w:ascii="IRNazanin" w:hAnsi="IRNazanin" w:eastAsia="IRNazanin"/>
          <w:color w:val="111111"/>
          <w:sz w:val="28"/>
          <w:sz w:val="28"/>
          <w:szCs w:val="28"/>
          <w:rtl w:val="true"/>
          <w:lang w:bidi="fa-IR"/>
        </w:rPr>
        <w:t>مرا پاداشی بخشید به زیبایی شعر</w:t>
      </w:r>
    </w:p>
    <w:p>
      <w:pPr>
        <w:pStyle w:val="BookText"/>
        <w:rPr/>
      </w:pPr>
      <w:r>
        <w:rPr>
          <w:rFonts w:ascii="IRNazanin" w:hAnsi="IRNazanin" w:eastAsia="IRNazanin"/>
          <w:color w:val="111111"/>
          <w:sz w:val="28"/>
          <w:sz w:val="28"/>
          <w:szCs w:val="28"/>
          <w:rtl w:val="true"/>
          <w:lang w:bidi="fa-IR"/>
        </w:rPr>
        <w:t>زیرا من همواره از ته دل عشق ورزیده ام</w:t>
      </w:r>
    </w:p>
    <w:p>
      <w:pPr>
        <w:pStyle w:val="BookText"/>
        <w:rPr/>
      </w:pPr>
      <w:r>
        <w:rPr>
          <w:rFonts w:ascii="IRNazanin" w:hAnsi="IRNazanin" w:eastAsia="IRNazanin"/>
          <w:color w:val="111111"/>
          <w:sz w:val="28"/>
          <w:sz w:val="28"/>
          <w:szCs w:val="28"/>
          <w:rtl w:val="true"/>
          <w:lang w:bidi="fa-IR"/>
        </w:rPr>
        <w:t>و هرگز رفیق نیمه راه نبوده ام</w:t>
      </w:r>
    </w:p>
    <w:p>
      <w:pPr>
        <w:pStyle w:val="BookText"/>
        <w:rPr/>
      </w:pPr>
      <w:r>
        <w:rPr>
          <w:rFonts w:ascii="IRNazanin" w:hAnsi="IRNazanin" w:eastAsia="IRNazanin"/>
          <w:color w:val="111111"/>
          <w:sz w:val="28"/>
          <w:sz w:val="28"/>
          <w:szCs w:val="28"/>
          <w:rtl w:val="true"/>
          <w:lang w:bidi="fa-IR"/>
        </w:rPr>
        <w:t>آن گاه آفریدگار، سرشار از محبت</w:t>
      </w:r>
    </w:p>
    <w:p>
      <w:pPr>
        <w:pStyle w:val="BookText"/>
        <w:rPr/>
      </w:pPr>
      <w:r>
        <w:rPr>
          <w:rFonts w:ascii="IRNazanin" w:hAnsi="IRNazanin" w:eastAsia="IRNazanin"/>
          <w:color w:val="111111"/>
          <w:sz w:val="28"/>
          <w:sz w:val="28"/>
          <w:szCs w:val="28"/>
          <w:rtl w:val="true"/>
          <w:lang w:bidi="fa-IR"/>
        </w:rPr>
        <w:t>مرا موهبتی عطا فرمود به مهربانیِ مرگ</w:t>
      </w:r>
    </w:p>
    <w:p>
      <w:pPr>
        <w:pStyle w:val="BookText"/>
        <w:rPr/>
      </w:pPr>
      <w:r>
        <w:rPr>
          <w:rFonts w:ascii="IRNazanin" w:hAnsi="IRNazanin" w:eastAsia="IRNazanin"/>
          <w:color w:val="111111"/>
          <w:sz w:val="28"/>
          <w:sz w:val="28"/>
          <w:szCs w:val="28"/>
          <w:rtl w:val="true"/>
          <w:lang w:bidi="fa-IR"/>
        </w:rPr>
        <w:t>زیرا من بس بیهوده عشق ورزیده ام</w:t>
      </w:r>
    </w:p>
    <w:p>
      <w:pPr>
        <w:pStyle w:val="BookText"/>
        <w:rPr/>
      </w:pPr>
      <w:r>
        <w:rPr>
          <w:rFonts w:ascii="IRNazanin" w:hAnsi="IRNazanin" w:eastAsia="IRNazanin"/>
          <w:color w:val="111111"/>
          <w:sz w:val="28"/>
          <w:sz w:val="28"/>
          <w:szCs w:val="28"/>
          <w:rtl w:val="true"/>
          <w:lang w:bidi="fa-IR"/>
        </w:rPr>
        <w:t>و بس غمگنانه ترانه سروده 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 دانبار</w:t>
      </w:r>
      <w:r>
        <w:rPr>
          <w:rStyle w:val="FootnoteAnchor"/>
          <w:rtl w:val="true"/>
        </w:rPr>
        <w:footnoteReference w:id="28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خوب، چون زمزمة نیایشی والاست، بر خاسته از دل، کلماتی ساده و زلال که ناگفتنی ها را باز می گوید و در خلوتی سرشار از اعتماد بر دل مخاطب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ارتباط روحی عمیقی را میسر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شیو ه های اندیشیدن، مِهِ درون انسان را غلظت می بخشند و امکان ارتباط او را با خود و دیگران مانند باور ها و اعتقادات مذهبی متحجرانه یا تبلیغاتِ جلو ه های زندگی متجددانه غیرممکن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از آن جا که شاعران، منابع الهام خود را کتب مقدسی چون قرآن، تورات و انجیل می دانستند در نظر مؤمنان از مقربان درگاه الهی به شمار می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فیلیس ویت لی با این که به عنوان برده در خانۀ سفیدپوستان کار می کرد پس از سرودن مرثیه ای برای واعظ کلیسای بوستون، یکی از شخصیت های برجستۀ ادبی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فصولی از کتاب مقدس را از بر داشت و مضامین شعرش را رستگاری مسیحی یا مراثی مذهبی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او به عنوان اولین کتابی که از یک سیاه پوست به چاپ می رسید، آن هم در دورانی که سیاه پوستان از کمترین حقوق انسانی خود بهره مند بودند، اهمیتی را که مردم به شاعران به عنوان مقربان درگاه الهی می دادند، روشن می کند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 قرن بیستم، شاعران ناگزیر از رقابت با موسیقی، تلویزیون، سینما و دیگر هنرهای پرمخاطب، رسانه های خبری را در خلوت خود راه دادند تا ارتباطشان با مخاطبان رنگ نبازد؛ مخاطبانی که به سبب تأثیرپذیری از سینما، عکاسی و هنرهای دیگر توقعات تازه ای از شعر و شاعران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مدرن برای رابطه برقرار کردن با این مخاطب مدرن و حفظ و تقویتِ نیازهای مذهبی و روحی او، می باید به کمال سادگی و قدرت تأثیرپذیری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خصیصة مورد نیاز مخاطب مدرن در اشعار اخلاق گرای کلاسیک موجود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وجوی زیبایی در دنیای مادی و در میان وقایع </w:t>
      </w:r>
      <w:bookmarkStart w:id="710" w:name="pg3881_28029"/>
    </w:p>
    <w:p>
      <w:pPr>
        <w:pStyle w:val="BookText"/>
        <w:rPr/>
      </w:pPr>
      <w:bookmarkEnd w:id="710"/>
      <w:r>
        <w:rPr>
          <w:rFonts w:ascii="IRNazanin" w:hAnsi="IRNazanin" w:eastAsia="IRNazanin"/>
          <w:color w:val="111111"/>
          <w:sz w:val="28"/>
          <w:sz w:val="28"/>
          <w:szCs w:val="28"/>
          <w:rtl w:val="true"/>
          <w:lang w:bidi="fa-IR"/>
        </w:rPr>
        <w:t xml:space="preserve">ساده و روزمره؛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و اختصار در ابیات و رعایتِ سادگی و روانی معنا و موسیقی شعر برای رسیدن به غایتِ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زیر نمونۀ درخشانی است از تلاش شاعران مدرنی که می کوشند به زبانی ساده، صریح و امروزی مخاطب بیگانه با خود را به یاد آن امانت الهی بیندازند که در عین ِ سنگینی ِکوه آسا، شکننده ترین است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711" w:name="__RefHeading___Toc1656494_2281741623"/>
      <w:bookmarkStart w:id="712" w:name="_Toc253"/>
      <w:bookmarkEnd w:id="711"/>
      <w:r>
        <w:rPr>
          <w:rtl w:val="true"/>
        </w:rPr>
        <w:t>تجربه</w:t>
      </w:r>
      <w:bookmarkEnd w:id="712"/>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هیچ نشانی بر جای نمانده است</w:t>
      </w:r>
    </w:p>
    <w:p>
      <w:pPr>
        <w:pStyle w:val="BookText"/>
        <w:rPr/>
      </w:pPr>
      <w:r>
        <w:rPr>
          <w:rFonts w:ascii="IRNazanin" w:hAnsi="IRNazanin" w:eastAsia="IRNazanin"/>
          <w:color w:val="111111"/>
          <w:sz w:val="28"/>
          <w:sz w:val="28"/>
          <w:szCs w:val="28"/>
          <w:rtl w:val="true"/>
          <w:lang w:bidi="fa-IR"/>
        </w:rPr>
        <w:t>از آن همه اعیاد شکوهمند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فناپذیر است،</w:t>
      </w:r>
    </w:p>
    <w:p>
      <w:pPr>
        <w:pStyle w:val="BookText"/>
        <w:rPr/>
      </w:pPr>
      <w:r>
        <w:rPr>
          <w:rFonts w:ascii="IRNazanin" w:hAnsi="IRNazanin" w:eastAsia="IRNazanin"/>
          <w:color w:val="111111"/>
          <w:sz w:val="28"/>
          <w:sz w:val="28"/>
          <w:szCs w:val="28"/>
          <w:rtl w:val="true"/>
          <w:lang w:bidi="fa-IR"/>
        </w:rPr>
        <w:t>و آن چه ما جاودانه می خوانیم</w:t>
      </w:r>
    </w:p>
    <w:p>
      <w:pPr>
        <w:pStyle w:val="BookText"/>
        <w:rPr/>
      </w:pPr>
      <w:r>
        <w:rPr>
          <w:rFonts w:ascii="IRNazanin" w:hAnsi="IRNazanin" w:eastAsia="IRNazanin"/>
          <w:color w:val="111111"/>
          <w:sz w:val="28"/>
          <w:sz w:val="28"/>
          <w:szCs w:val="28"/>
          <w:rtl w:val="true"/>
          <w:lang w:bidi="fa-IR"/>
        </w:rPr>
        <w:t>فانی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 شکننده ترین است که می 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عمیق زخمی که عشق بر جای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بلاگا دیمیتروا</w:t>
      </w:r>
      <w:r>
        <w:rPr>
          <w:rStyle w:val="FootnoteAnchor"/>
          <w:rtl w:val="true"/>
        </w:rPr>
        <w:footnoteReference w:id="285"/>
      </w:r>
    </w:p>
    <w:p>
      <w:pPr>
        <w:pStyle w:val="Heading3"/>
        <w:numPr>
          <w:ilvl w:val="2"/>
          <w:numId w:val="1"/>
        </w:numPr>
        <w:rPr/>
      </w:pPr>
      <w:bookmarkStart w:id="713" w:name="__RefHeading___Toc1656496_2281741623"/>
      <w:bookmarkStart w:id="714" w:name="_Toc254"/>
      <w:bookmarkEnd w:id="713"/>
      <w:r>
        <w:rPr>
          <w:rtl w:val="true"/>
        </w:rPr>
        <w:t>سرچشمة شعر مدرن</w:t>
      </w:r>
      <w:bookmarkEnd w:id="71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سرچشمة شعر مدرن </w:t>
      </w:r>
    </w:p>
    <w:p>
      <w:pPr>
        <w:pStyle w:val="BookText"/>
        <w:rPr/>
      </w:pPr>
      <w:r>
        <w:rPr>
          <w:rFonts w:ascii="IRNazanin" w:hAnsi="IRNazanin" w:eastAsia="IRNazanin"/>
          <w:color w:val="111111"/>
          <w:sz w:val="28"/>
          <w:sz w:val="28"/>
          <w:szCs w:val="28"/>
          <w:rtl w:val="true"/>
          <w:lang w:bidi="fa-IR"/>
        </w:rPr>
        <w:t>باید سرچشمة شعر مذهبی مدرن و پسا مدرن در میان شاعران و نویسندگان مبتکر و صاحب نظر را در غرب جست؛کسانی که از پذیرفتن فرهنگ غالب بر جامعه با گرایش های ضدماتریالیستی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ضدماد 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میلیتاریستی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ضدارتش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از رنگ باختن ارزش های معنوی در گرایش های سودجویانة نظام اقتصادی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شاعرانی که سرود ه های آن ها بر اساس مضامین معنوی بود به چند گروه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ایماژیست ها یا تصویرگرایان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رنسانس هارلم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اُبژکتیویست ها یا عین گراها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ها</w:t>
      </w:r>
      <w:r>
        <w:rPr>
          <w:rStyle w:val="FootnoteAnchor"/>
          <w:rtl w:val="true"/>
        </w:rPr>
        <w:footnoteReference w:id="286"/>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شاعران معاصر این گرو ه ها با آن ها دنیای مشترک نداشتند و تعداد کمی دنباله رو بودند؛ بیشترِ شاعران، جذب زمانه و فرهنگ جامعة خود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شاعران بسیاری بودند که سبک خاص و عقاید منحصر به فرد خود را داشتند؛ مانند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چسترتِن، رابرت فراست، رابینسِن جفرز، راینر ماریا ریلکه، دایلن تامس، والت ویتمن و ویلیام باتلر ییتس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هنوز در پذیرفتن ترانه در جایگاه شعر جای تردید است ولی نمی شود منکر این واقعیت شد که رسانه های گروهی در شکل دادن سلیقة بینندگان و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خوانندگان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بودن جنبه های سمعی شعر به جنبه های بصری آن بسیار مؤثر بوده 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شفاهی، دور ه های مختلف تاریخی فرهنگ های مذهبی بسیاری از کشورها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 خانه به دوش، آمیزه ای از طالع بین و موعظه گر، نقشی حاشیه ای در جامعه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ترانه سرای مدرن، برخوردار از طیف وسیع مخاطبان موسیقی پاپ، نقشی محوری در شکل گیری فرهنگ غالب بر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با رونق گرفتن مجلات و روزنامه های </w:t>
      </w:r>
      <w:bookmarkStart w:id="715" w:name="pg3881_28031"/>
    </w:p>
    <w:p>
      <w:pPr>
        <w:pStyle w:val="BookText"/>
        <w:rPr/>
      </w:pPr>
      <w:bookmarkEnd w:id="715"/>
      <w:r>
        <w:rPr>
          <w:rFonts w:ascii="IRNazanin" w:hAnsi="IRNazanin" w:eastAsia="IRNazanin"/>
          <w:color w:val="111111"/>
          <w:sz w:val="28"/>
          <w:sz w:val="28"/>
          <w:szCs w:val="28"/>
          <w:rtl w:val="true"/>
          <w:lang w:bidi="fa-IR"/>
        </w:rPr>
        <w:t>ادبی، شعر چاپی به تقویت خصوصیات بصری خود پرداخت و با استفاده از علایم نقطه گذاری و حروف بزرگ، مانند کاری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کامینگز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 هویت تازه ای به شعر نوشتاری بخشید</w:t>
      </w:r>
      <w:r>
        <w:rPr>
          <w:rFonts w:eastAsia="IRNazanin" w:cs="IRNazanin"/>
          <w:color w:val="111111"/>
          <w:sz w:val="28"/>
          <w:szCs w:val="28"/>
          <w:rtl w:val="true"/>
          <w:lang w:bidi="fa-IR"/>
        </w:rPr>
        <w:t>.</w:t>
      </w:r>
    </w:p>
    <w:p>
      <w:pPr>
        <w:pStyle w:val="Heading3"/>
        <w:numPr>
          <w:ilvl w:val="2"/>
          <w:numId w:val="1"/>
        </w:numPr>
        <w:rPr/>
      </w:pPr>
      <w:bookmarkStart w:id="716" w:name="__RefHeading___Toc1656498_2281741623"/>
      <w:bookmarkStart w:id="717" w:name="_Toc255"/>
      <w:bookmarkEnd w:id="716"/>
      <w:r>
        <w:rPr>
          <w:rtl w:val="true"/>
        </w:rPr>
        <w:t>شعر برای مخاطبان مذهبی</w:t>
      </w:r>
      <w:bookmarkEnd w:id="717"/>
    </w:p>
    <w:p>
      <w:pPr>
        <w:pStyle w:val="BookText"/>
        <w:rPr/>
      </w:pPr>
      <w:r>
        <w:rPr>
          <w:rFonts w:ascii="IRNazanin" w:hAnsi="IRNazanin" w:eastAsia="IRNazanin"/>
          <w:color w:val="111111"/>
          <w:sz w:val="28"/>
          <w:sz w:val="28"/>
          <w:szCs w:val="28"/>
          <w:rtl w:val="true"/>
          <w:lang w:bidi="fa-IR"/>
        </w:rPr>
        <w:t>شعر برای مخاطبان مذهبی</w:t>
      </w:r>
    </w:p>
    <w:p>
      <w:pPr>
        <w:pStyle w:val="BookText"/>
        <w:rPr/>
      </w:pPr>
      <w:r>
        <w:rPr>
          <w:rFonts w:ascii="IRNazanin" w:hAnsi="IRNazanin" w:eastAsia="IRNazanin"/>
          <w:color w:val="111111"/>
          <w:sz w:val="28"/>
          <w:sz w:val="28"/>
          <w:szCs w:val="28"/>
          <w:rtl w:val="true"/>
          <w:lang w:bidi="fa-IR"/>
        </w:rPr>
        <w:t>شاعران متافیزیکی قرن هفدهم، مانند جرج هربرت، جان میلتِن و جان دان از بسیاری جهات دانشمندانی بودند که برای دانشمندان و مذهبی ها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ارتباطات قرن بیستم، شعر مذهبی از راه چاپ و نشر، فراتر از مخاطب خاص، امکان ارتباط با مخاطبِ عام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 ها میان سال های</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شعر را جملاتی ساده و آهنگین می پنداشتند که در آگهی های تلویزیونی، روزنامه ای و دیواری، برنامه های رادیویی و فیلم های سینمایی به آن ها عرضه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رقابت با ترانه های پاپ و جذب گروه وسیع تری از مخاطبان، شاعران می کوشیدند از سرودن اشعار روشنفکرانه و خاصِ قشر متفکر و کتاب خوان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مذهبی سنتی، چه به صورت حدیث نفس، چه به صورت پند به مخاطب عرضه می شد و از دایرة تنگ افراد خاصی بیرون نمی رفت، در دوران جدید به یاری رسانه های صوتی و تصویری، کتب و نشریات، میان مردم راه می یافت و عمومی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رسانه ها و گامی مؤثر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بار که شعر، نقش اجتماعی مـؤثری را ایفا کرد آغاز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زمانی که نمایشگاه بین المللی شیکاگو برای اجرای سرود گروه کُر در مراسم افتتاحیه با پرداخت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سرودة هاریت مونروئه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p>
    <w:p>
      <w:pPr>
        <w:pStyle w:val="BookText"/>
        <w:rPr/>
      </w:pPr>
      <w:r>
        <w:rPr>
          <w:rFonts w:ascii="IRNazanin" w:hAnsi="IRNazanin" w:eastAsia="IRNazanin"/>
          <w:color w:val="111111"/>
          <w:sz w:val="28"/>
          <w:sz w:val="28"/>
          <w:szCs w:val="28"/>
          <w:rtl w:val="true"/>
          <w:lang w:bidi="fa-IR"/>
        </w:rPr>
        <w:t>وکیل برجستة شیکاگو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نشریة دنیای نیویورک این شعر را پیش از فرا رسیدن روز افتتاح منتشر کرد و با شکایت شاعر برای نادیده گرفتن حق کپی رایت، ناچار شد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خسارت بدهد که چنین مبلغی در آن موقع امکان سیر و سیاحت خانم مونروئه را در بسیاری از کشور ها ممکن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هاریت مونروئه به شیکاگو بازگشت، مجلاتی هم چون خانة زنان</w:t>
      </w:r>
      <w:r>
        <w:rPr>
          <w:rStyle w:val="FootnoteAnchor"/>
          <w:rtl w:val="true"/>
        </w:rPr>
        <w:footnoteReference w:id="287"/>
      </w:r>
      <w:r>
        <w:rPr>
          <w:rFonts w:ascii="IRNazanin" w:hAnsi="IRNazanin" w:eastAsia="IRNazanin"/>
          <w:color w:val="111111"/>
          <w:sz w:val="28"/>
          <w:sz w:val="28"/>
          <w:szCs w:val="28"/>
          <w:rtl w:val="true"/>
          <w:lang w:bidi="fa-IR"/>
        </w:rPr>
        <w:t xml:space="preserve">و آتلانتیک که برای هر شعر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 پرداختند از قبول اشعار او سرباز زدند؛</w:t>
      </w:r>
    </w:p>
    <w:p>
      <w:pPr>
        <w:pStyle w:val="BookText"/>
        <w:rPr/>
      </w:pPr>
      <w:r>
        <w:rPr>
          <w:rFonts w:ascii="IRNazanin" w:hAnsi="IRNazanin" w:eastAsia="IRNazanin"/>
          <w:color w:val="111111"/>
          <w:sz w:val="28"/>
          <w:sz w:val="28"/>
          <w:szCs w:val="28"/>
          <w:rtl w:val="true"/>
          <w:lang w:bidi="fa-IR"/>
        </w:rPr>
        <w:t>بخشی از ترومبون های خدا اثر جیمز ولدن جانسِن</w:t>
      </w:r>
    </w:p>
    <w:p>
      <w:pPr>
        <w:pStyle w:val="BookText"/>
        <w:rPr/>
      </w:pPr>
      <w:r>
        <w:rPr>
          <w:rFonts w:ascii="IRNazanin" w:hAnsi="IRNazanin" w:eastAsia="IRNazanin"/>
          <w:color w:val="111111"/>
          <w:sz w:val="28"/>
          <w:sz w:val="28"/>
          <w:szCs w:val="28"/>
          <w:rtl w:val="true"/>
          <w:lang w:bidi="fa-IR"/>
        </w:rPr>
        <w:t xml:space="preserve">جیمز ولدن جانسِن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رمان نویس صاحب نامِ آمریکایی ـ آفریقایی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زیر از شعر خلقت او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معروف ترین کار او، ترومبون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نیایش وارة سیاه</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پدیدار شد در فضا و نگاهی به اطراف افکند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تنهایم من، مرا باید که جهانی بیافرینم</w:t>
      </w:r>
    </w:p>
    <w:p>
      <w:pPr>
        <w:pStyle w:val="BookText"/>
        <w:rPr/>
      </w:pPr>
      <w:r>
        <w:rPr>
          <w:rFonts w:ascii="IRNazanin" w:hAnsi="IRNazanin" w:eastAsia="IRNazanin"/>
          <w:color w:val="111111"/>
          <w:sz w:val="28"/>
          <w:sz w:val="28"/>
          <w:szCs w:val="28"/>
          <w:rtl w:val="true"/>
          <w:lang w:bidi="fa-IR"/>
        </w:rPr>
        <w:t>و تا چشم کار می کرد تاریکی بود، تاریک تر از تاریکی انبوه تالاب های متروک</w:t>
      </w:r>
    </w:p>
    <w:p>
      <w:pPr>
        <w:pStyle w:val="BookText"/>
        <w:rPr/>
      </w:pPr>
      <w:r>
        <w:rPr>
          <w:rFonts w:ascii="IRNazanin" w:hAnsi="IRNazanin" w:eastAsia="IRNazanin"/>
          <w:color w:val="111111"/>
          <w:sz w:val="28"/>
          <w:sz w:val="28"/>
          <w:szCs w:val="28"/>
          <w:rtl w:val="true"/>
          <w:lang w:bidi="fa-IR"/>
        </w:rPr>
        <w:t>آن گاه خدا لبخند زد،</w:t>
      </w:r>
    </w:p>
    <w:p>
      <w:pPr>
        <w:pStyle w:val="BookText"/>
        <w:rPr/>
      </w:pPr>
      <w:r>
        <w:rPr>
          <w:rFonts w:ascii="IRNazanin" w:hAnsi="IRNazanin" w:eastAsia="IRNazanin"/>
          <w:color w:val="111111"/>
          <w:sz w:val="28"/>
          <w:sz w:val="28"/>
          <w:szCs w:val="28"/>
          <w:rtl w:val="true"/>
          <w:lang w:bidi="fa-IR"/>
        </w:rPr>
        <w:t>و روشنایی شکفت</w:t>
      </w:r>
    </w:p>
    <w:p>
      <w:pPr>
        <w:pStyle w:val="BookText"/>
        <w:rPr/>
      </w:pPr>
      <w:r>
        <w:rPr>
          <w:rFonts w:ascii="IRNazanin" w:hAnsi="IRNazanin" w:eastAsia="IRNazanin"/>
          <w:color w:val="111111"/>
          <w:sz w:val="28"/>
          <w:sz w:val="28"/>
          <w:szCs w:val="28"/>
          <w:rtl w:val="true"/>
          <w:lang w:bidi="fa-IR"/>
        </w:rPr>
        <w:t>و تاریکی بساطش را برچید</w:t>
      </w:r>
    </w:p>
    <w:p>
      <w:pPr>
        <w:pStyle w:val="BookText"/>
        <w:rPr/>
      </w:pPr>
      <w:r>
        <w:rPr>
          <w:rFonts w:ascii="IRNazanin" w:hAnsi="IRNazanin" w:eastAsia="IRNazanin"/>
          <w:color w:val="111111"/>
          <w:sz w:val="28"/>
          <w:sz w:val="28"/>
          <w:szCs w:val="28"/>
          <w:rtl w:val="true"/>
          <w:lang w:bidi="fa-IR"/>
        </w:rPr>
        <w:t>و نور همه جا را فرا گرفت</w:t>
      </w:r>
    </w:p>
    <w:p>
      <w:pPr>
        <w:pStyle w:val="BookText"/>
        <w:rPr/>
      </w:pP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هاریت مجلة شعر</w:t>
      </w:r>
      <w:r>
        <w:rPr>
          <w:rStyle w:val="FootnoteAnchor"/>
          <w:rtl w:val="true"/>
        </w:rPr>
        <w:footnoteReference w:id="288"/>
      </w:r>
      <w:r>
        <w:rPr>
          <w:rFonts w:ascii="IRNazanin" w:hAnsi="IRNazanin" w:eastAsia="IRNazanin"/>
          <w:color w:val="111111"/>
          <w:sz w:val="28"/>
          <w:sz w:val="28"/>
          <w:szCs w:val="28"/>
          <w:rtl w:val="true"/>
          <w:lang w:bidi="fa-IR"/>
        </w:rPr>
        <w:t xml:space="preserve">را بنیان گذاشت که هنوز پابرجاست و با شعار آزادی در شعر، آثار بسیاری از شاعران در سطوح مختلف فکری و تجربی </w:t>
      </w:r>
    </w:p>
    <w:p>
      <w:pPr>
        <w:pStyle w:val="BookText"/>
        <w:rPr/>
      </w:pPr>
      <w:r>
        <w:rPr>
          <w:rFonts w:ascii="IRNazanin" w:hAnsi="IRNazanin" w:eastAsia="IRNazanin"/>
          <w:color w:val="111111"/>
          <w:sz w:val="28"/>
          <w:sz w:val="28"/>
          <w:szCs w:val="28"/>
          <w:rtl w:val="true"/>
          <w:lang w:bidi="fa-IR"/>
        </w:rPr>
        <w:t>را چاپ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مونروئه شاعر چندان موفقی نبود و نامش در گلچین شاعران نورتون</w:t>
      </w:r>
      <w:r>
        <w:rPr>
          <w:rStyle w:val="FootnoteAnchor"/>
          <w:rtl w:val="true"/>
        </w:rPr>
        <w:footnoteReference w:id="289"/>
      </w:r>
      <w:r>
        <w:rPr>
          <w:rFonts w:ascii="IRNazanin" w:hAnsi="IRNazanin" w:eastAsia="IRNazanin"/>
          <w:color w:val="111111"/>
          <w:sz w:val="28"/>
          <w:sz w:val="28"/>
          <w:szCs w:val="28"/>
          <w:rtl w:val="true"/>
          <w:lang w:bidi="fa-IR"/>
        </w:rPr>
        <w:t>به چاپ نرسیده است ولی توانایی او در استفاده از رسانه برای یافتن مخاطب، بیرون آوردن شعر از انزوایی غیرفعال و تحرک بخشیدن به آن در نخستین دهه های قرن بیستم انکارکردنی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چهارصد تا پانصد شاعر هر ماه به دست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زمانة بیداری مذاهب جهان، اشعار شاعر کبیر هند، رابیندرانات تاگور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چاپ می شدند؛ همراه با تراوشات ذهنی بسیاری از درون گرایان که پیش از آن هرگز حتی یک خط شعر هم ننوشته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باورکردن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هاریت مونروئه در شیکاگو، امی لاول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بوستِن و عِذرا پوند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ِمهاجر در لندن، موجی به نام تصویرگرایی</w:t>
      </w:r>
      <w:r>
        <w:rPr>
          <w:rStyle w:val="FootnoteAnchor"/>
          <w:rtl w:val="true"/>
        </w:rPr>
        <w:footnoteReference w:id="290"/>
      </w:r>
      <w:r>
        <w:rPr>
          <w:rFonts w:ascii="IRNazanin" w:hAnsi="IRNazanin" w:eastAsia="IRNazanin"/>
          <w:color w:val="111111"/>
          <w:sz w:val="28"/>
          <w:sz w:val="28"/>
          <w:szCs w:val="28"/>
          <w:rtl w:val="true"/>
          <w:lang w:bidi="fa-IR"/>
        </w:rPr>
        <w:t>در شعر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این مکتب با وجود نبود امکان چاپ آثارشان، توانستند از راه رسانه ها هویت خود را بشناسانند و مخاطبانی برای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پرشور آن ها در جوامع، جایگاه مهمی برای شعر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گرایان معتقد بودند، شعر باید بتواند به کمک تصاویری که چشم دل می بیند، پرده از راز های بشر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پیش از آن رسم بود سطور دفاتر قطور حماسه، گویای قهرمانی ها باشد، تصویرگرایان جان جهان را در دانه ای شن متبلور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از زاویة مجازی عکاس و به تصویر کشیدن چیزها به یاری کلمات، این امکان را برای شاعران به وجود آورد تا بتوانند به معنا، گوهر نور و رنگ و راز هماهنگی اشیای اطراف ما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تصویرگرا، دیدن جهان را با چشم دل می آموخت و کلمات را تصاویری زنده و دقیق، نقش شده بر صفحة کاغذ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p>
    <w:p>
      <w:pPr>
        <w:pStyle w:val="BookText"/>
        <w:rPr/>
      </w:pPr>
      <w:r>
        <w:rPr>
          <w:rFonts w:ascii="IRNazanin" w:hAnsi="IRNazanin" w:eastAsia="IRNazanin"/>
          <w:color w:val="111111"/>
          <w:sz w:val="28"/>
          <w:sz w:val="28"/>
          <w:szCs w:val="28"/>
          <w:rtl w:val="true"/>
          <w:lang w:bidi="fa-IR"/>
        </w:rPr>
        <w:t>تصویرگرایان بر مبنای اصول هایکونویسی شکل می گرفت که شبیه پرسش های رازگونة راهبان بودایی از مریدان و شاگردانشان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معروف ترین شعر تصویرگرایی را که ویلیام کارلوس ویلیامز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چرخ دستی قرمز</w:t>
      </w:r>
      <w:r>
        <w:rPr>
          <w:rStyle w:val="FootnoteAnchor"/>
          <w:rtl w:val="true"/>
        </w:rPr>
        <w:footnoteReference w:id="291"/>
      </w:r>
      <w:r>
        <w:rPr>
          <w:rFonts w:ascii="IRNazanin" w:hAnsi="IRNazanin" w:eastAsia="IRNazanin"/>
          <w:color w:val="111111"/>
          <w:sz w:val="28"/>
          <w:sz w:val="28"/>
          <w:szCs w:val="28"/>
          <w:rtl w:val="true"/>
          <w:lang w:bidi="fa-IR"/>
        </w:rPr>
        <w:t>نوشته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است مذهبی بدون آن که کوچک ترین نشانی از نماد ها و نشانه های مذهبی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تنها با وصف اشیای جاندار و بی جانی که در حیاط طویله می بیند، رابطة عمیق خود را با آفرینش و تقدس هستی آشکار می کند و خواننده را به تفکر و عبادت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قدری موجز، شفاف و تأمل برانگیز هستند که به اشیا، حرمت شمایل مذهبی را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بستگی دارد</w:t>
      </w:r>
    </w:p>
    <w:p>
      <w:pPr>
        <w:pStyle w:val="BookText"/>
        <w:rPr/>
      </w:pPr>
      <w:r>
        <w:rPr>
          <w:rFonts w:ascii="IRNazanin" w:hAnsi="IRNazanin" w:eastAsia="IRNazanin"/>
          <w:color w:val="111111"/>
          <w:sz w:val="28"/>
          <w:sz w:val="28"/>
          <w:szCs w:val="28"/>
          <w:rtl w:val="true"/>
          <w:lang w:bidi="fa-IR"/>
        </w:rPr>
        <w:t>به چرخ دستی قرمز رنگی</w:t>
      </w:r>
    </w:p>
    <w:p>
      <w:pPr>
        <w:pStyle w:val="BookText"/>
        <w:rPr/>
      </w:pPr>
      <w:r>
        <w:rPr>
          <w:rFonts w:ascii="Amiri" w:hAnsi="Amiri" w:eastAsia="Amiri" w:cs="Amiri"/>
          <w:color w:val="111111"/>
          <w:sz w:val="28"/>
          <w:sz w:val="28"/>
          <w:szCs w:val="28"/>
          <w:rtl w:val="true"/>
          <w:lang w:bidi="ar-SA"/>
        </w:rPr>
        <w:t>خیسِ باران</w:t>
      </w:r>
    </w:p>
    <w:p>
      <w:pPr>
        <w:pStyle w:val="BookText"/>
        <w:rPr/>
      </w:pPr>
      <w:r>
        <w:rPr>
          <w:rFonts w:ascii="IRNazanin" w:hAnsi="IRNazanin" w:eastAsia="IRNazanin"/>
          <w:color w:val="111111"/>
          <w:sz w:val="28"/>
          <w:sz w:val="28"/>
          <w:szCs w:val="28"/>
          <w:rtl w:val="true"/>
          <w:lang w:bidi="fa-IR"/>
        </w:rPr>
        <w:t>کنار جوجه های سفید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بستگی دارد توانایی خواننده به یافتن پاسخی به این راز ذن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کارلوس ویلیامز، پزشک اهل کاست شرقی در واقع روح تازه ای در جان ترانه های اولیة روزنامه نگار اهل بروکلین، والت ویتمن، می دمید و با به کارگیری ایجاز هایکوهای ژاپنی و نکته سنجی های فیلسوفانة امیلی دیکنسون، نمونه های موفقی از شعر تصویرگرا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پیش از آن که خبر باشد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به دنیای شعر دعوت می شود و دنیای خیالی را با بخشیدن نگاهی تازه، واقعیت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مونروئه، تصویرگرایی را ابداع خود می دانست ولی واچل لیندزی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نویسندة مرام زیبایی</w:t>
      </w:r>
      <w:r>
        <w:rPr>
          <w:rStyle w:val="FootnoteAnchor"/>
          <w:rtl w:val="true"/>
        </w:rPr>
        <w:footnoteReference w:id="292"/>
      </w:r>
      <w:r>
        <w:rPr>
          <w:rFonts w:ascii="IRNazanin" w:hAnsi="IRNazanin" w:eastAsia="IRNazanin"/>
          <w:color w:val="111111"/>
          <w:sz w:val="28"/>
          <w:sz w:val="28"/>
          <w:szCs w:val="28"/>
          <w:rtl w:val="true"/>
          <w:lang w:bidi="fa-IR"/>
        </w:rPr>
        <w:t>و سرود نیایش جانی آپل سید برای خورشید</w:t>
      </w:r>
      <w:r>
        <w:rPr>
          <w:rStyle w:val="FootnoteAnchor"/>
          <w:rtl w:val="true"/>
        </w:rPr>
        <w:footnoteReference w:id="293"/>
      </w:r>
      <w:r>
        <w:rPr>
          <w:rFonts w:ascii="IRNazanin" w:hAnsi="IRNazanin" w:eastAsia="IRNazanin"/>
          <w:color w:val="111111"/>
          <w:sz w:val="28"/>
          <w:sz w:val="28"/>
          <w:szCs w:val="28"/>
          <w:rtl w:val="true"/>
          <w:lang w:bidi="fa-IR"/>
        </w:rPr>
        <w:t>این حق را برای خود محفوظ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718" w:name="pg3881_28035"/>
    </w:p>
    <w:p>
      <w:pPr>
        <w:pStyle w:val="BookText"/>
        <w:rPr/>
      </w:pPr>
      <w:bookmarkEnd w:id="718"/>
      <w:r>
        <w:rPr>
          <w:rFonts w:ascii="IRNazanin" w:hAnsi="IRNazanin" w:eastAsia="IRNazanin"/>
          <w:color w:val="111111"/>
          <w:sz w:val="28"/>
          <w:sz w:val="28"/>
          <w:szCs w:val="28"/>
          <w:rtl w:val="true"/>
          <w:lang w:bidi="fa-IR"/>
        </w:rPr>
        <w:t>مدعی بود شعرش دربارة شفای شهرها</w:t>
      </w:r>
      <w:r>
        <w:rPr>
          <w:rStyle w:val="FootnoteAnchor"/>
          <w:rtl w:val="true"/>
        </w:rPr>
        <w:footnoteReference w:id="294"/>
      </w:r>
      <w:r>
        <w:rPr>
          <w:rFonts w:ascii="IRNazanin" w:hAnsi="IRNazanin" w:eastAsia="IRNazanin"/>
          <w:color w:val="111111"/>
          <w:sz w:val="28"/>
          <w:sz w:val="28"/>
          <w:szCs w:val="28"/>
          <w:rtl w:val="true"/>
          <w:lang w:bidi="fa-IR"/>
        </w:rPr>
        <w:t>است، نه شفای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جزوة مرام زیبایی و پای پیاده از فلوریدا تا کنتاکی را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از نیویورک تا اوهایو را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ایلی نوی تا نیو مکزیکو را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نهضت شاعران رنسانس هارلم، موج بسیار قدرتمندی از شعر معنوی سیاهان و تجربة کلیسای سیاهان به وجود آورد که مرهون شاعرانی چون جیمز ولدن جانسِن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w:t>
      </w:r>
      <w:r>
        <w:rPr>
          <w:rStyle w:val="FootnoteAnchor"/>
          <w:rtl w:val="true"/>
        </w:rPr>
        <w:footnoteReference w:id="295"/>
      </w:r>
      <w:r>
        <w:rPr>
          <w:rFonts w:ascii="IRNazanin" w:hAnsi="IRNazanin" w:eastAsia="IRNazanin"/>
          <w:color w:val="111111"/>
          <w:sz w:val="28"/>
          <w:sz w:val="28"/>
          <w:szCs w:val="28"/>
          <w:rtl w:val="true"/>
          <w:lang w:bidi="fa-IR"/>
        </w:rPr>
        <w:t>و دور شو مرگ؛</w:t>
      </w:r>
      <w:r>
        <w:rPr>
          <w:rStyle w:val="FootnoteAnchor"/>
          <w:rtl w:val="true"/>
        </w:rPr>
        <w:footnoteReference w:id="296"/>
      </w:r>
      <w:r>
        <w:rPr>
          <w:rFonts w:ascii="IRNazanin" w:hAnsi="IRNazanin" w:eastAsia="IRNazanin"/>
          <w:color w:val="111111"/>
          <w:sz w:val="28"/>
          <w:sz w:val="28"/>
          <w:szCs w:val="28"/>
          <w:rtl w:val="true"/>
          <w:lang w:bidi="fa-IR"/>
        </w:rPr>
        <w:t xml:space="preserve">لنگستِن هیوز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 در آلاباما؛</w:t>
      </w:r>
      <w:r>
        <w:rPr>
          <w:rStyle w:val="FootnoteAnchor"/>
          <w:rtl w:val="true"/>
        </w:rPr>
        <w:footnoteReference w:id="297"/>
      </w:r>
      <w:r>
        <w:rPr>
          <w:rFonts w:ascii="IRNazanin" w:hAnsi="IRNazanin" w:eastAsia="IRNazanin"/>
          <w:color w:val="111111"/>
          <w:sz w:val="28"/>
          <w:sz w:val="28"/>
          <w:szCs w:val="28"/>
          <w:rtl w:val="true"/>
          <w:lang w:bidi="fa-IR"/>
        </w:rPr>
        <w:t xml:space="preserve">کانتی کالن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شعر مسیح سیاه و دیگر شعرها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ژان تومر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مجموعة آثارش بود</w:t>
      </w:r>
      <w:r>
        <w:rPr>
          <w:rFonts w:eastAsia="IRNazanin" w:cs="IRNazanin"/>
          <w:color w:val="111111"/>
          <w:sz w:val="28"/>
          <w:szCs w:val="28"/>
          <w:rtl w:val="true"/>
          <w:lang w:bidi="fa-IR"/>
        </w:rPr>
        <w:t>.</w:t>
      </w:r>
    </w:p>
    <w:p>
      <w:pPr>
        <w:pStyle w:val="Heading3"/>
        <w:numPr>
          <w:ilvl w:val="2"/>
          <w:numId w:val="1"/>
        </w:numPr>
        <w:rPr/>
      </w:pPr>
      <w:bookmarkStart w:id="719" w:name="__RefHeading___Toc1656500_2281741623"/>
      <w:bookmarkStart w:id="720" w:name="_Toc256"/>
      <w:bookmarkEnd w:id="719"/>
      <w:r>
        <w:rPr>
          <w:rtl w:val="true"/>
        </w:rPr>
        <w:t>اشیای مقدس</w:t>
      </w:r>
      <w:bookmarkEnd w:id="720"/>
    </w:p>
    <w:p>
      <w:pPr>
        <w:pStyle w:val="BookText"/>
        <w:rPr/>
      </w:pPr>
      <w:r>
        <w:rPr>
          <w:rFonts w:ascii="IRNazanin" w:hAnsi="IRNazanin" w:eastAsia="IRNazanin"/>
          <w:color w:val="111111"/>
          <w:sz w:val="28"/>
          <w:sz w:val="28"/>
          <w:szCs w:val="28"/>
          <w:rtl w:val="true"/>
          <w:lang w:bidi="fa-IR"/>
        </w:rPr>
        <w:t>اشیای مقدس</w:t>
      </w:r>
    </w:p>
    <w:p>
      <w:pPr>
        <w:pStyle w:val="BookText"/>
        <w:rPr/>
      </w:pPr>
      <w:r>
        <w:rPr>
          <w:rFonts w:ascii="IRNazanin" w:hAnsi="IRNazanin" w:eastAsia="IRNazanin"/>
          <w:color w:val="111111"/>
          <w:sz w:val="28"/>
          <w:sz w:val="28"/>
          <w:szCs w:val="28"/>
          <w:rtl w:val="true"/>
          <w:lang w:bidi="fa-IR"/>
        </w:rPr>
        <w:t xml:space="preserve">ابژکتیویست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بودند که شعر را بدون پیرایه های ادبی، وقف موجودیت خودِ موضوع، از انسان تا شیء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آن ها چارلز اولسِن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لوییس ژوکوفسکی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آن ها با لحن کودکی که در همه چیز نشانه ای از قدرت و شکوه الهی می بیند به توصیف دید ه ها و شنید ه ها می پرداخت و به جای وزن و قافیه از آهنگ درونی اشیای پنهان در طبیعت سود می جست؛ مانند این شعر ژوکوفسکی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ام من</w:t>
      </w:r>
    </w:p>
    <w:p>
      <w:pPr>
        <w:pStyle w:val="BookText"/>
        <w:rPr/>
      </w:pPr>
      <w:r>
        <w:rPr>
          <w:rFonts w:ascii="IRNazanin" w:hAnsi="IRNazanin" w:eastAsia="IRNazanin"/>
          <w:color w:val="111111"/>
          <w:sz w:val="28"/>
          <w:sz w:val="28"/>
          <w:szCs w:val="28"/>
          <w:rtl w:val="true"/>
          <w:lang w:bidi="fa-IR"/>
        </w:rPr>
        <w:t>می شود لطفاً نیشی بزنم به پنجة پای گنده ات؟</w:t>
      </w:r>
    </w:p>
    <w:p>
      <w:pPr>
        <w:pStyle w:val="BookText"/>
        <w:rPr/>
      </w:pPr>
      <w:r>
        <w:rPr>
          <w:rFonts w:ascii="IRNazanin" w:hAnsi="IRNazanin" w:eastAsia="IRNazanin"/>
          <w:color w:val="111111"/>
          <w:sz w:val="28"/>
          <w:sz w:val="28"/>
          <w:szCs w:val="28"/>
          <w:rtl w:val="true"/>
          <w:lang w:bidi="fa-IR"/>
        </w:rPr>
        <w:t>این هم ده دلار</w:t>
      </w:r>
    </w:p>
    <w:p>
      <w:pPr>
        <w:pStyle w:val="BookText"/>
        <w:rPr/>
      </w:pPr>
      <w:r>
        <w:rPr>
          <w:rFonts w:ascii="IRNazanin" w:hAnsi="IRNazanin" w:eastAsia="IRNazanin"/>
          <w:color w:val="111111"/>
          <w:sz w:val="28"/>
          <w:sz w:val="28"/>
          <w:szCs w:val="28"/>
          <w:rtl w:val="true"/>
          <w:lang w:bidi="fa-IR"/>
        </w:rPr>
        <w:t>برش دار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جور که دلت می خواهد خرجش کن </w:t>
      </w:r>
      <w:bookmarkStart w:id="721" w:name="pg3881_28036"/>
    </w:p>
    <w:p>
      <w:pPr>
        <w:pStyle w:val="Heading3"/>
        <w:numPr>
          <w:ilvl w:val="2"/>
          <w:numId w:val="1"/>
        </w:numPr>
        <w:rPr/>
      </w:pPr>
      <w:bookmarkStart w:id="722" w:name="__RefHeading___Toc1656502_2281741623"/>
      <w:bookmarkStart w:id="723" w:name="_Toc257"/>
      <w:bookmarkEnd w:id="721"/>
      <w:bookmarkEnd w:id="722"/>
      <w:r>
        <w:rPr>
          <w:rtl w:val="true"/>
        </w:rPr>
        <w:t>نمونه ای از اشعار نهضت هارلم</w:t>
      </w:r>
      <w:bookmarkEnd w:id="723"/>
    </w:p>
    <w:p>
      <w:pPr>
        <w:pStyle w:val="BookText"/>
        <w:rPr/>
      </w:pPr>
      <w:r>
        <w:rPr>
          <w:rFonts w:ascii="IRNazanin" w:hAnsi="IRNazanin" w:eastAsia="IRNazanin"/>
          <w:color w:val="111111"/>
          <w:sz w:val="28"/>
          <w:sz w:val="28"/>
          <w:szCs w:val="28"/>
          <w:rtl w:val="true"/>
          <w:lang w:bidi="fa-IR"/>
        </w:rPr>
        <w:t>منجی</w:t>
      </w:r>
    </w:p>
    <w:p>
      <w:pPr>
        <w:pStyle w:val="BookText"/>
        <w:rPr/>
      </w:pPr>
      <w:r>
        <w:rPr>
          <w:rFonts w:ascii="IRNazanin" w:hAnsi="IRNazanin" w:eastAsia="IRNazanin"/>
          <w:color w:val="111111"/>
          <w:sz w:val="28"/>
          <w:sz w:val="28"/>
          <w:szCs w:val="28"/>
          <w:rtl w:val="true"/>
          <w:lang w:bidi="fa-IR"/>
        </w:rPr>
        <w:t>کشیشان ِعبوس،</w:t>
      </w:r>
    </w:p>
    <w:p>
      <w:pPr>
        <w:pStyle w:val="BookText"/>
        <w:rPr/>
      </w:pPr>
      <w:r>
        <w:rPr>
          <w:rFonts w:ascii="IRNazanin" w:hAnsi="IRNazanin" w:eastAsia="IRNazanin"/>
          <w:color w:val="111111"/>
          <w:sz w:val="28"/>
          <w:sz w:val="28"/>
          <w:szCs w:val="28"/>
          <w:rtl w:val="true"/>
          <w:lang w:bidi="fa-IR"/>
        </w:rPr>
        <w:t>فرماندهان آزمند،</w:t>
      </w:r>
    </w:p>
    <w:p>
      <w:pPr>
        <w:pStyle w:val="BookText"/>
        <w:rPr/>
      </w:pPr>
      <w:r>
        <w:rPr>
          <w:rFonts w:ascii="IRNazanin" w:hAnsi="IRNazanin" w:eastAsia="IRNazanin"/>
          <w:color w:val="111111"/>
          <w:sz w:val="28"/>
          <w:sz w:val="28"/>
          <w:szCs w:val="28"/>
          <w:rtl w:val="true"/>
          <w:lang w:bidi="fa-IR"/>
        </w:rPr>
        <w:t>و هزاران هزار اعمال و عباداتِ ریاکارانه</w:t>
      </w:r>
    </w:p>
    <w:p>
      <w:pPr>
        <w:pStyle w:val="BookText"/>
        <w:rPr/>
      </w:pPr>
      <w:r>
        <w:rPr>
          <w:rFonts w:ascii="IRNazanin" w:hAnsi="IRNazanin" w:eastAsia="IRNazanin"/>
          <w:color w:val="111111"/>
          <w:sz w:val="28"/>
          <w:sz w:val="28"/>
          <w:szCs w:val="28"/>
          <w:rtl w:val="true"/>
          <w:lang w:bidi="fa-IR"/>
        </w:rPr>
        <w:t>چه بسیار فاصله انداخته اند</w:t>
      </w:r>
    </w:p>
    <w:p>
      <w:pPr>
        <w:pStyle w:val="BookText"/>
        <w:rPr/>
      </w:pPr>
      <w:r>
        <w:rPr>
          <w:rFonts w:ascii="IRNazanin" w:hAnsi="IRNazanin" w:eastAsia="IRNazanin"/>
          <w:color w:val="111111"/>
          <w:sz w:val="28"/>
          <w:sz w:val="28"/>
          <w:szCs w:val="28"/>
          <w:rtl w:val="true"/>
          <w:lang w:bidi="fa-IR"/>
        </w:rPr>
        <w:t>میان عشق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بزرگ ِتو برای رستگاری انسان</w:t>
      </w:r>
    </w:p>
    <w:p>
      <w:pPr>
        <w:pStyle w:val="BookText"/>
        <w:rPr/>
      </w:pPr>
      <w:r>
        <w:rPr>
          <w:rFonts w:ascii="IRNazanin" w:hAnsi="IRNazanin" w:eastAsia="IRNazanin"/>
          <w:color w:val="111111"/>
          <w:sz w:val="28"/>
          <w:sz w:val="28"/>
          <w:szCs w:val="28"/>
          <w:rtl w:val="true"/>
          <w:lang w:bidi="fa-IR"/>
        </w:rPr>
        <w:t>چگونه بدل شد به خاطره ای مجلٌل</w:t>
      </w:r>
    </w:p>
    <w:p>
      <w:pPr>
        <w:pStyle w:val="BookText"/>
        <w:rPr/>
      </w:pPr>
      <w:r>
        <w:rPr>
          <w:rFonts w:ascii="IRNazanin" w:hAnsi="IRNazanin" w:eastAsia="IRNazanin"/>
          <w:color w:val="111111"/>
          <w:sz w:val="28"/>
          <w:sz w:val="28"/>
          <w:szCs w:val="28"/>
          <w:rtl w:val="true"/>
          <w:lang w:bidi="fa-IR"/>
        </w:rPr>
        <w:t>در خورِ ضیافت های تشریفاتی</w:t>
      </w:r>
    </w:p>
    <w:p>
      <w:pPr>
        <w:pStyle w:val="BookText"/>
        <w:rPr/>
      </w:pPr>
      <w:r>
        <w:rPr>
          <w:rFonts w:ascii="IRNazanin" w:hAnsi="IRNazanin" w:eastAsia="IRNazanin"/>
          <w:color w:val="111111"/>
          <w:sz w:val="28"/>
          <w:sz w:val="28"/>
          <w:szCs w:val="28"/>
          <w:rtl w:val="true"/>
          <w:lang w:bidi="fa-IR"/>
        </w:rPr>
        <w:t>و مناسکِ کسالت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مواج دریاهای خروشان</w:t>
      </w:r>
    </w:p>
    <w:p>
      <w:pPr>
        <w:pStyle w:val="BookText"/>
        <w:rPr/>
      </w:pPr>
      <w:r>
        <w:rPr>
          <w:rFonts w:ascii="IRNazanin" w:hAnsi="IRNazanin" w:eastAsia="IRNazanin"/>
          <w:color w:val="111111"/>
          <w:sz w:val="28"/>
          <w:sz w:val="28"/>
          <w:szCs w:val="28"/>
          <w:rtl w:val="true"/>
          <w:lang w:bidi="fa-IR"/>
        </w:rPr>
        <w:t>هنوز نشانی از رد گام های تو دارد</w:t>
      </w:r>
    </w:p>
    <w:p>
      <w:pPr>
        <w:pStyle w:val="BookText"/>
        <w:rPr/>
      </w:pPr>
      <w:r>
        <w:rPr>
          <w:rFonts w:ascii="IRNazanin" w:hAnsi="IRNazanin" w:eastAsia="IRNazanin"/>
          <w:color w:val="111111"/>
          <w:sz w:val="28"/>
          <w:sz w:val="28"/>
          <w:szCs w:val="28"/>
          <w:rtl w:val="true"/>
          <w:lang w:bidi="fa-IR"/>
        </w:rPr>
        <w:t>شادی سترگ ات اما،</w:t>
      </w:r>
    </w:p>
    <w:p>
      <w:pPr>
        <w:pStyle w:val="BookText"/>
        <w:rPr/>
      </w:pPr>
      <w:r>
        <w:rPr>
          <w:rFonts w:ascii="IRNazanin" w:hAnsi="IRNazanin" w:eastAsia="IRNazanin"/>
          <w:color w:val="111111"/>
          <w:sz w:val="28"/>
          <w:sz w:val="28"/>
          <w:szCs w:val="28"/>
          <w:rtl w:val="true"/>
          <w:lang w:bidi="fa-IR"/>
        </w:rPr>
        <w:t>رنگ می بازد بر الواحِ رسولان برگزیدۀ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منجی بزرگ</w:t>
      </w:r>
    </w:p>
    <w:p>
      <w:pPr>
        <w:pStyle w:val="BookText"/>
        <w:rPr/>
      </w:pPr>
      <w:r>
        <w:rPr>
          <w:rFonts w:ascii="IRNazanin" w:hAnsi="IRNazanin" w:eastAsia="IRNazanin"/>
          <w:color w:val="111111"/>
          <w:sz w:val="28"/>
          <w:sz w:val="28"/>
          <w:szCs w:val="28"/>
          <w:rtl w:val="true"/>
          <w:lang w:bidi="fa-IR"/>
        </w:rPr>
        <w:t>ما را دیگر بار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w:t>
      </w:r>
    </w:p>
    <w:p>
      <w:pPr>
        <w:pStyle w:val="BookText"/>
        <w:rPr/>
      </w:pPr>
      <w:r>
        <w:rPr>
          <w:rFonts w:ascii="IRNazanin" w:hAnsi="IRNazanin" w:eastAsia="IRNazanin"/>
          <w:color w:val="111111"/>
          <w:sz w:val="28"/>
          <w:sz w:val="28"/>
          <w:szCs w:val="28"/>
          <w:rtl w:val="true"/>
          <w:lang w:bidi="fa-IR"/>
        </w:rPr>
        <w:t>آکنده از بی ایمانی،</w:t>
      </w:r>
    </w:p>
    <w:p>
      <w:pPr>
        <w:pStyle w:val="BookText"/>
        <w:rPr/>
      </w:pPr>
      <w:r>
        <w:rPr>
          <w:rFonts w:ascii="IRNazanin" w:hAnsi="IRNazanin" w:eastAsia="IRNazanin"/>
          <w:color w:val="111111"/>
          <w:sz w:val="28"/>
          <w:sz w:val="28"/>
          <w:szCs w:val="28"/>
          <w:rtl w:val="true"/>
          <w:lang w:bidi="fa-IR"/>
        </w:rPr>
        <w:t>با دل های زنگار گرفته</w:t>
      </w:r>
    </w:p>
    <w:p>
      <w:pPr>
        <w:pStyle w:val="BookText"/>
        <w:rPr/>
      </w:pPr>
      <w:r>
        <w:rPr>
          <w:rFonts w:ascii="IRNazanin" w:hAnsi="IRNazanin" w:eastAsia="IRNazanin"/>
          <w:color w:val="111111"/>
          <w:sz w:val="28"/>
          <w:sz w:val="28"/>
          <w:szCs w:val="28"/>
          <w:rtl w:val="true"/>
          <w:lang w:bidi="fa-IR"/>
        </w:rPr>
        <w:t>اینک، در مغاک هولناکِ جهل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اگر چه نامت را گم کرده ایم </w:t>
      </w:r>
      <w:bookmarkStart w:id="724" w:name="pg3881_28037"/>
    </w:p>
    <w:p>
      <w:pPr>
        <w:pStyle w:val="BookText"/>
        <w:rPr/>
      </w:pPr>
      <w:bookmarkEnd w:id="724"/>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هم چنان نام تو را فریاد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مایا آنجلو</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عین گراها از همان زاویة دید ذِن، با تمرکز بر خلاءِ مترادف با ابدیت و بقا، کوشیدند موضوع انسان و فناپذیری را با تصاویری از طبیعت بی جان به نمایش بگذارند و این هم زمان بود با اختراع تلویزیون و محبوبیت روزافزون هنرپیشگان فیلم کمدی که همة هوش و حواس مخاطبانِ عین گراها را معطوف خود کرده بودند</w:t>
      </w:r>
      <w:r>
        <w:rPr>
          <w:rFonts w:eastAsia="IRNazanin" w:cs="IRNazanin"/>
          <w:color w:val="111111"/>
          <w:sz w:val="28"/>
          <w:szCs w:val="28"/>
          <w:rtl w:val="true"/>
          <w:lang w:bidi="fa-IR"/>
        </w:rPr>
        <w:t>.</w:t>
      </w:r>
    </w:p>
    <w:p>
      <w:pPr>
        <w:pStyle w:val="Heading3"/>
        <w:numPr>
          <w:ilvl w:val="2"/>
          <w:numId w:val="1"/>
        </w:numPr>
        <w:rPr/>
      </w:pPr>
      <w:bookmarkStart w:id="725" w:name="__RefHeading___Toc1656504_2281741623"/>
      <w:bookmarkStart w:id="726" w:name="_Toc258"/>
      <w:bookmarkEnd w:id="725"/>
      <w:r>
        <w:rPr>
          <w:rtl w:val="true"/>
        </w:rPr>
        <w:t>نسل بیت</w:t>
      </w:r>
      <w:bookmarkEnd w:id="726"/>
    </w:p>
    <w:p>
      <w:pPr>
        <w:pStyle w:val="BookText"/>
        <w:rPr/>
      </w:pPr>
      <w:r>
        <w:rPr>
          <w:rFonts w:ascii="IRNazanin" w:hAnsi="IRNazanin" w:eastAsia="IRNazanin"/>
          <w:color w:val="111111"/>
          <w:sz w:val="28"/>
          <w:sz w:val="28"/>
          <w:szCs w:val="28"/>
          <w:rtl w:val="true"/>
          <w:lang w:bidi="fa-IR"/>
        </w:rPr>
        <w:t>نسل بیت</w:t>
      </w:r>
    </w:p>
    <w:p>
      <w:pPr>
        <w:pStyle w:val="BookText"/>
        <w:rPr/>
      </w:pPr>
      <w:r>
        <w:rPr>
          <w:rFonts w:ascii="IRNazanin" w:hAnsi="IRNazanin" w:eastAsia="IRNazanin"/>
          <w:color w:val="111111"/>
          <w:sz w:val="28"/>
          <w:sz w:val="28"/>
          <w:szCs w:val="28"/>
          <w:rtl w:val="true"/>
          <w:lang w:bidi="fa-IR"/>
        </w:rPr>
        <w:t xml:space="preserve">در غرب، شاعران نسل بیت در سال های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تأثیر را بر مخاطبان رسانه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سرخوردگی خود را از جامعة مدرنِ مادی گرا و نظامی گری آمریکا در اشعارشان نشان می دادند و ترس از مرگِ معنویت را در روزگار خود یادآور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زبانِ گاه کفرآلود بیت ها، دغدغة جدی برای رسیدن به تقوا، پیوند آن ها را با مذهبی ها استحکام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از این نسل که اشعارشان در ظاهر و باطن مذهبی بودند عبارتند از</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لارنس فرلینگهتی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آلن گینزبرگ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کادیش،</w:t>
      </w:r>
      <w:r>
        <w:rPr>
          <w:rStyle w:val="FootnoteAnchor"/>
          <w:rtl w:val="true"/>
        </w:rPr>
        <w:footnoteReference w:id="300"/>
      </w:r>
      <w:r>
        <w:rPr>
          <w:rFonts w:ascii="IRNazanin" w:hAnsi="IRNazanin" w:eastAsia="IRNazanin"/>
          <w:color w:val="111111"/>
          <w:sz w:val="28"/>
          <w:sz w:val="28"/>
          <w:szCs w:val="28"/>
          <w:rtl w:val="true"/>
          <w:lang w:bidi="fa-IR"/>
        </w:rPr>
        <w:t>زوزه</w:t>
      </w:r>
      <w:r>
        <w:rPr>
          <w:rStyle w:val="FootnoteAnchor"/>
          <w:rtl w:val="true"/>
        </w:rPr>
        <w:footnoteReference w:id="301"/>
      </w:r>
      <w:r>
        <w:rPr>
          <w:rFonts w:ascii="IRNazanin" w:hAnsi="IRNazanin" w:eastAsia="IRNazanin"/>
          <w:color w:val="111111"/>
          <w:sz w:val="28"/>
          <w:sz w:val="28"/>
          <w:szCs w:val="28"/>
          <w:rtl w:val="true"/>
          <w:lang w:bidi="fa-IR"/>
        </w:rPr>
        <w:t>و سوپرمارکت در کالیفرنیا</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کار هر یک از این شاعران آمیزه ای از هندوییسم، هارِکریشنا و ذن و تعمق 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زن این گروه، بیشتر از خادمان کلیساها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صومعة تراپیست ها در کنتاکی، هزاران کیلومتر دور از کافه تریا و کتاب فروشی </w:t>
      </w:r>
      <w:r>
        <w:rPr>
          <w:rFonts w:eastAsia="Times New Roman" w:cs="Times New Roman" w:ascii="Times New Roman" w:hAnsi="Times New Roman"/>
          <w:color w:val="111111"/>
          <w:sz w:val="28"/>
          <w:szCs w:val="28"/>
          <w:lang w:val="en-US" w:bidi="en-US"/>
        </w:rPr>
        <w:t>Citylight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سان فرانسیسکو جایی که پاتوق بیت ها بود، راهبی به نام تامس مرتِن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bookmarkStart w:id="727" w:name="pg3881_28038"/>
    </w:p>
    <w:p>
      <w:pPr>
        <w:pStyle w:val="BookText"/>
        <w:rPr/>
      </w:pPr>
      <w:bookmarkEnd w:id="727"/>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التحصیل دانشگاه کلمبیا، مقاله ای با این مضمون نوشت که ما در زمینة شعر مذهبی، دو گونه شاعر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پایه گذار کاتدرال یا کلیسای جامع بودند؛ مانند دانته شاعر ایتالیایی و گروهی که شعر آن ها الهام دهندة فیلم های داستانی بود و به رشد و شکوفایی هنر هفتم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باید به یاری کلمات، شخصیت هایی خلق می کرد و فضاهایی، که از روابط میان آن ها خواننده بتواند به درون خود نقب زند و دل کنده از عالم مادیات به عوالم معنوی میل و توجه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مرتِن میان سال های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حماسی در بارة رسانه ها به نام </w:t>
      </w:r>
      <w:r>
        <w:rPr>
          <w:rFonts w:eastAsia="Times New Roman" w:cs="Times New Roman" w:ascii="Times New Roman" w:hAnsi="Times New Roman"/>
          <w:color w:val="111111"/>
          <w:sz w:val="28"/>
          <w:szCs w:val="28"/>
          <w:lang w:val="en-US" w:bidi="en-US"/>
        </w:rPr>
        <w:t>Cable to the 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 که در آن از فنون شعری تصویرگرایان، عینی گراها و بیت ها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مردیت با نوشتن طولانی ترین شعر خود می خواست به قلة شاعران کلاسیکی هم چون هومر، دانته و میلتِن و در میان معاصرین به سطح شاعرانی چون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در منظومة شعر عاشقانه برای جی آلفرد پروفراک، والت ویتمن در اثر ماندگارش برگ های علف،</w:t>
      </w:r>
      <w:r>
        <w:rPr>
          <w:rStyle w:val="FootnoteAnchor"/>
          <w:rtl w:val="true"/>
        </w:rPr>
        <w:footnoteReference w:id="303"/>
      </w:r>
      <w:r>
        <w:rPr>
          <w:rFonts w:ascii="IRNazanin" w:hAnsi="IRNazanin" w:eastAsia="IRNazanin"/>
          <w:color w:val="111111"/>
          <w:sz w:val="28"/>
          <w:sz w:val="28"/>
          <w:szCs w:val="28"/>
          <w:rtl w:val="true"/>
          <w:lang w:bidi="fa-IR"/>
        </w:rPr>
        <w:t xml:space="preserve">آلن گینزبرگ در دو اثر زوزه و کادیش و لوییس ژوکوفسکی در شعری به نام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که نوشتنش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ـ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به آثار مذهبی کلاسیک دیگری هم چون بزرگداشت بانو براداستریت</w:t>
      </w:r>
      <w:r>
        <w:rPr>
          <w:rStyle w:val="FootnoteAnchor"/>
          <w:rtl w:val="true"/>
        </w:rPr>
        <w:footnoteReference w:id="304"/>
      </w:r>
      <w:r>
        <w:rPr>
          <w:rFonts w:ascii="IRNazanin" w:hAnsi="IRNazanin" w:eastAsia="IRNazanin"/>
          <w:color w:val="111111"/>
          <w:sz w:val="28"/>
          <w:sz w:val="28"/>
          <w:szCs w:val="28"/>
          <w:rtl w:val="true"/>
          <w:lang w:bidi="fa-IR"/>
        </w:rPr>
        <w:t>اثر جان بری من، پاترسِن</w:t>
      </w:r>
      <w:r>
        <w:rPr>
          <w:rStyle w:val="FootnoteAnchor"/>
          <w:rtl w:val="true"/>
        </w:rPr>
        <w:footnoteReference w:id="305"/>
      </w:r>
      <w:r>
        <w:rPr>
          <w:rFonts w:ascii="IRNazanin" w:hAnsi="IRNazanin" w:eastAsia="IRNazanin"/>
          <w:color w:val="111111"/>
          <w:sz w:val="28"/>
          <w:sz w:val="28"/>
          <w:szCs w:val="28"/>
          <w:rtl w:val="true"/>
          <w:lang w:bidi="fa-IR"/>
        </w:rPr>
        <w:t>اثر ویلیام کارلوس ویلیامز، قلعة لُرد ویری</w:t>
      </w:r>
      <w:r>
        <w:rPr>
          <w:rStyle w:val="FootnoteAnchor"/>
          <w:rtl w:val="true"/>
        </w:rPr>
        <w:footnoteReference w:id="306"/>
      </w:r>
      <w:r>
        <w:rPr>
          <w:rFonts w:ascii="IRNazanin" w:hAnsi="IRNazanin" w:eastAsia="IRNazanin"/>
          <w:color w:val="111111"/>
          <w:sz w:val="28"/>
          <w:sz w:val="28"/>
          <w:szCs w:val="28"/>
          <w:rtl w:val="true"/>
          <w:lang w:bidi="fa-IR"/>
        </w:rPr>
        <w:t>اثر رابرت لاول و آثار کلاسیک شاعران معاصر که به موضوع قرن حاضر می پرداختند ـ مقاومت در برابر مادی گرایی، جست و جوی خود ِگمشده در هیاهوی فرهنگ جامعه و ارتباط قلبی و عمیق با قدرت الهی یا همان ناشناخته ـ تعلق خاطر داشت</w:t>
      </w:r>
      <w:r>
        <w:rPr>
          <w:rFonts w:eastAsia="IRNazanin" w:cs="IRNazanin"/>
          <w:color w:val="111111"/>
          <w:sz w:val="28"/>
          <w:szCs w:val="28"/>
          <w:rtl w:val="true"/>
          <w:lang w:bidi="fa-IR"/>
        </w:rPr>
        <w:t>.</w:t>
      </w:r>
    </w:p>
    <w:p>
      <w:pPr>
        <w:pStyle w:val="Heading3"/>
        <w:numPr>
          <w:ilvl w:val="2"/>
          <w:numId w:val="1"/>
        </w:numPr>
        <w:rPr/>
      </w:pPr>
      <w:bookmarkStart w:id="728" w:name="__RefHeading___Toc1656506_2281741623"/>
      <w:bookmarkStart w:id="729" w:name="_Toc259"/>
      <w:bookmarkEnd w:id="728"/>
      <w:r>
        <w:rPr>
          <w:rtl w:val="true"/>
        </w:rPr>
        <w:t>تأثیر رسانه های گروهی جهانی</w:t>
      </w:r>
      <w:bookmarkEnd w:id="72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رسانه های گروهی جهانی </w:t>
      </w:r>
    </w:p>
    <w:p>
      <w:pPr>
        <w:pStyle w:val="BookText"/>
        <w:rPr/>
      </w:pPr>
      <w:r>
        <w:rPr>
          <w:rFonts w:ascii="IRNazanin" w:hAnsi="IRNazanin" w:eastAsia="IRNazanin"/>
          <w:color w:val="111111"/>
          <w:sz w:val="28"/>
          <w:sz w:val="28"/>
          <w:szCs w:val="28"/>
          <w:rtl w:val="true"/>
          <w:lang w:bidi="fa-IR"/>
        </w:rPr>
        <w:t>مشکل فرهنگی جوامع مدرن و هنر مذهبی، از دست دادن مخاطبِ دارای قدرت تفکر و تشخیص بود؛ مخاطبی که تحت تأثیر فرهنگ تبلیغات تجاری، افکار و علایق خاصی به او تزریق می شد و انگیزه ای برای خلوت کردن با خود و اندیشیدن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آگهی های تجاری، نوعی زبان بین المللی برای تبادل فرهنگی مشابه پدید آورد و هویت فردی و ملی انسان ها را کم 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هرگز مخاطبان وسیعی نیافت؛ حتی بر خلاف پیداییِ دایم مکاتب و نهضت های ادبی، هر موج شاعرانه عمری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شعر</w:t>
      </w:r>
      <w:r>
        <w:rPr>
          <w:rStyle w:val="FootnoteAnchor"/>
          <w:rtl w:val="true"/>
        </w:rPr>
        <w:footnoteReference w:id="307"/>
      </w:r>
      <w:r>
        <w:rPr>
          <w:rFonts w:ascii="IRNazanin" w:hAnsi="IRNazanin" w:eastAsia="IRNazanin"/>
          <w:color w:val="111111"/>
          <w:sz w:val="28"/>
          <w:sz w:val="28"/>
          <w:szCs w:val="28"/>
          <w:rtl w:val="true"/>
          <w:lang w:bidi="fa-IR"/>
        </w:rPr>
        <w:t>تنها پدیدة فرهنگی دایم در این زمینه است که با چاپ اشعار گوناگون از بنیادگرایان گرفته تا اصلاح طلبان، سعی در زنده نگاه داشتن قدرت تفکر، تشخیص و تلطیف احساسات داشت ولی از آن جا که قشر وسیعی از جامعه، به آسان اندیشی ناشی از تأثیراتِ تبلیغاتِ رسانه های گروهی جهانی خو گرفته بودند، شعر در مسیر ِیافتن شگردهای جدید برای نفوذ در انحصار گروهی معدود به زندگی خود ادامه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کِلِر باداراکّو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فریده حسن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 xml:space="preserve">) </w:t>
      </w:r>
      <w:bookmarkStart w:id="730" w:name="pg3881_28040"/>
    </w:p>
    <w:p>
      <w:pPr>
        <w:pStyle w:val="Heading3"/>
        <w:numPr>
          <w:ilvl w:val="2"/>
          <w:numId w:val="1"/>
        </w:numPr>
        <w:rPr/>
      </w:pPr>
      <w:bookmarkStart w:id="731" w:name="__RefHeading___Toc1656508_2281741623"/>
      <w:bookmarkStart w:id="732" w:name="_Toc260"/>
      <w:bookmarkEnd w:id="730"/>
      <w:bookmarkEnd w:id="731"/>
      <w:r>
        <w:rPr>
          <w:rtl w:val="true"/>
        </w:rPr>
        <w:t>نمونه ای از شعر نسل بیت</w:t>
      </w:r>
      <w:bookmarkEnd w:id="732"/>
    </w:p>
    <w:p>
      <w:pPr>
        <w:pStyle w:val="BookText"/>
        <w:rPr/>
      </w:pPr>
      <w:r>
        <w:rPr>
          <w:rFonts w:ascii="IRNazanin" w:hAnsi="IRNazanin" w:eastAsia="IRNazanin"/>
          <w:color w:val="111111"/>
          <w:sz w:val="28"/>
          <w:sz w:val="28"/>
          <w:szCs w:val="28"/>
          <w:rtl w:val="true"/>
          <w:lang w:bidi="fa-IR"/>
        </w:rPr>
        <w:t>تکنولوژی و شعر</w:t>
      </w:r>
    </w:p>
    <w:p>
      <w:pPr>
        <w:pStyle w:val="BookText"/>
        <w:rPr/>
      </w:pPr>
      <w:r>
        <w:rPr>
          <w:rFonts w:ascii="IRNazanin" w:hAnsi="IRNazanin" w:eastAsia="IRNazanin"/>
          <w:color w:val="111111"/>
          <w:sz w:val="28"/>
          <w:sz w:val="28"/>
          <w:szCs w:val="28"/>
          <w:rtl w:val="true"/>
          <w:lang w:bidi="fa-IR"/>
        </w:rPr>
        <w:t>هرگز حسرت به دل نبوده ام</w:t>
      </w:r>
    </w:p>
    <w:p>
      <w:pPr>
        <w:pStyle w:val="BookText"/>
        <w:rPr/>
      </w:pPr>
      <w:r>
        <w:rPr>
          <w:rFonts w:ascii="IRNazanin" w:hAnsi="IRNazanin" w:eastAsia="IRNazanin"/>
          <w:color w:val="111111"/>
          <w:sz w:val="28"/>
          <w:sz w:val="28"/>
          <w:szCs w:val="28"/>
          <w:rtl w:val="true"/>
          <w:lang w:bidi="fa-IR"/>
        </w:rPr>
        <w:t>برای موبایل یا کامپیوتر</w:t>
      </w:r>
    </w:p>
    <w:p>
      <w:pPr>
        <w:pStyle w:val="BookText"/>
        <w:rPr/>
      </w:pPr>
      <w:r>
        <w:rPr>
          <w:rFonts w:ascii="IRNazanin" w:hAnsi="IRNazanin" w:eastAsia="IRNazanin"/>
          <w:color w:val="111111"/>
          <w:sz w:val="28"/>
          <w:sz w:val="28"/>
          <w:szCs w:val="28"/>
          <w:rtl w:val="true"/>
          <w:lang w:bidi="fa-IR"/>
        </w:rPr>
        <w:t>کادیلاک یا لیموزینی</w:t>
      </w:r>
    </w:p>
    <w:p>
      <w:pPr>
        <w:pStyle w:val="BookText"/>
        <w:rPr/>
      </w:pPr>
      <w:r>
        <w:rPr>
          <w:rFonts w:ascii="IRNazanin" w:hAnsi="IRNazanin" w:eastAsia="IRNazanin"/>
          <w:color w:val="111111"/>
          <w:sz w:val="28"/>
          <w:sz w:val="28"/>
          <w:szCs w:val="28"/>
          <w:rtl w:val="true"/>
          <w:lang w:bidi="fa-IR"/>
        </w:rPr>
        <w:t>که شاهراه ها را با سرعتی بهینه درنوردد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کوره راهی خاکی</w:t>
      </w:r>
    </w:p>
    <w:p>
      <w:pPr>
        <w:pStyle w:val="BookText"/>
        <w:rPr/>
      </w:pPr>
      <w:r>
        <w:rPr>
          <w:rFonts w:ascii="IRNazanin" w:hAnsi="IRNazanin" w:eastAsia="IRNazanin"/>
          <w:color w:val="111111"/>
          <w:sz w:val="28"/>
          <w:sz w:val="28"/>
          <w:szCs w:val="28"/>
          <w:rtl w:val="true"/>
          <w:lang w:bidi="fa-IR"/>
        </w:rPr>
        <w:t>دور از چشم اندازِ ناهنجار تمدن</w:t>
      </w:r>
    </w:p>
    <w:p>
      <w:pPr>
        <w:pStyle w:val="BookText"/>
        <w:rPr/>
      </w:pPr>
      <w:r>
        <w:rPr>
          <w:rFonts w:ascii="IRNazanin" w:hAnsi="IRNazanin" w:eastAsia="IRNazanin"/>
          <w:color w:val="111111"/>
          <w:sz w:val="28"/>
          <w:sz w:val="28"/>
          <w:szCs w:val="28"/>
          <w:rtl w:val="true"/>
          <w:lang w:bidi="fa-IR"/>
        </w:rPr>
        <w:t>جایی است که من خلوتم را بنا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قدیمی به من بده</w:t>
      </w:r>
    </w:p>
    <w:p>
      <w:pPr>
        <w:pStyle w:val="BookText"/>
        <w:rPr/>
      </w:pPr>
      <w:r>
        <w:rPr>
          <w:rFonts w:ascii="IRNazanin" w:hAnsi="IRNazanin" w:eastAsia="IRNazanin"/>
          <w:color w:val="111111"/>
          <w:sz w:val="28"/>
          <w:sz w:val="28"/>
          <w:szCs w:val="28"/>
          <w:rtl w:val="true"/>
          <w:lang w:bidi="fa-IR"/>
        </w:rPr>
        <w:t>با امکانات اندک</w:t>
      </w:r>
    </w:p>
    <w:p>
      <w:pPr>
        <w:pStyle w:val="BookText"/>
        <w:rPr/>
      </w:pPr>
      <w:r>
        <w:rPr>
          <w:rFonts w:ascii="IRNazanin" w:hAnsi="IRNazanin" w:eastAsia="IRNazanin"/>
          <w:color w:val="111111"/>
          <w:sz w:val="28"/>
          <w:sz w:val="28"/>
          <w:szCs w:val="28"/>
          <w:rtl w:val="true"/>
          <w:lang w:bidi="fa-IR"/>
        </w:rPr>
        <w:t>چاپخانه ای کوچک</w:t>
      </w:r>
    </w:p>
    <w:p>
      <w:pPr>
        <w:pStyle w:val="BookText"/>
        <w:rPr/>
      </w:pPr>
      <w:r>
        <w:rPr>
          <w:rFonts w:ascii="IRNazanin" w:hAnsi="IRNazanin" w:eastAsia="IRNazanin"/>
          <w:color w:val="111111"/>
          <w:sz w:val="28"/>
          <w:sz w:val="28"/>
          <w:szCs w:val="28"/>
          <w:rtl w:val="true"/>
          <w:lang w:bidi="fa-IR"/>
        </w:rPr>
        <w:t>جایی که در آن بتوانم با انگشتان آغشته به جوهر</w:t>
      </w:r>
    </w:p>
    <w:p>
      <w:pPr>
        <w:pStyle w:val="BookText"/>
        <w:rPr/>
      </w:pPr>
      <w:r>
        <w:rPr>
          <w:rFonts w:ascii="IRNazanin" w:hAnsi="IRNazanin" w:eastAsia="IRNazanin"/>
          <w:color w:val="111111"/>
          <w:sz w:val="28"/>
          <w:sz w:val="28"/>
          <w:szCs w:val="28"/>
          <w:rtl w:val="true"/>
          <w:lang w:bidi="fa-IR"/>
        </w:rPr>
        <w:t>حروف سربی را بچینم؛ خوش دارم احساس کنم شعری را</w:t>
      </w:r>
    </w:p>
    <w:p>
      <w:pPr>
        <w:pStyle w:val="BookText"/>
        <w:rPr/>
      </w:pPr>
      <w:r>
        <w:rPr>
          <w:rFonts w:ascii="IRNazanin" w:hAnsi="IRNazanin" w:eastAsia="IRNazanin"/>
          <w:color w:val="111111"/>
          <w:sz w:val="28"/>
          <w:sz w:val="28"/>
          <w:szCs w:val="28"/>
          <w:rtl w:val="true"/>
          <w:lang w:bidi="fa-IR"/>
        </w:rPr>
        <w:t>که در دستانم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به خودی خود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خوب است و نه بد </w:t>
      </w:r>
    </w:p>
    <w:p>
      <w:pPr>
        <w:pStyle w:val="BookText"/>
        <w:rPr/>
      </w:pPr>
      <w:r>
        <w:rPr>
          <w:rFonts w:ascii="IRNazanin" w:hAnsi="IRNazanin" w:eastAsia="IRNazanin"/>
          <w:color w:val="111111"/>
          <w:sz w:val="28"/>
          <w:sz w:val="28"/>
          <w:szCs w:val="28"/>
          <w:rtl w:val="true"/>
          <w:lang w:bidi="fa-IR"/>
        </w:rPr>
        <w:t>تنها نقاطِ ضعف ما را برملا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طلبی و اشتهای سیری ناپذیرِ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 به این معناست که من انکار می کنم</w:t>
      </w:r>
    </w:p>
    <w:p>
      <w:pPr>
        <w:pStyle w:val="BookText"/>
        <w:rPr/>
      </w:pPr>
      <w:r>
        <w:rPr>
          <w:rFonts w:ascii="IRNazanin" w:hAnsi="IRNazanin" w:eastAsia="IRNazanin"/>
          <w:color w:val="111111"/>
          <w:sz w:val="28"/>
          <w:sz w:val="28"/>
          <w:szCs w:val="28"/>
          <w:rtl w:val="true"/>
          <w:lang w:bidi="fa-IR"/>
        </w:rPr>
        <w:t>ره آوردهای تکنولوژی مدرن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می دارم آبِ جاری،</w:t>
      </w:r>
    </w:p>
    <w:p>
      <w:pPr>
        <w:pStyle w:val="BookText"/>
        <w:rPr/>
      </w:pPr>
      <w:r>
        <w:rPr>
          <w:rFonts w:ascii="IRNazanin" w:hAnsi="IRNazanin" w:eastAsia="IRNazanin"/>
          <w:color w:val="111111"/>
          <w:sz w:val="28"/>
          <w:sz w:val="28"/>
          <w:szCs w:val="28"/>
          <w:rtl w:val="true"/>
          <w:lang w:bidi="fa-IR"/>
        </w:rPr>
        <w:t>برق،</w:t>
      </w:r>
    </w:p>
    <w:p>
      <w:pPr>
        <w:pStyle w:val="BookText"/>
        <w:rPr/>
      </w:pPr>
      <w:r>
        <w:rPr>
          <w:rFonts w:ascii="IRNazanin" w:hAnsi="IRNazanin" w:eastAsia="IRNazanin"/>
          <w:color w:val="111111"/>
          <w:sz w:val="28"/>
          <w:sz w:val="28"/>
          <w:szCs w:val="28"/>
          <w:rtl w:val="true"/>
          <w:lang w:bidi="fa-IR"/>
        </w:rPr>
        <w:t>و خانه ای گرم در دل ِزمستان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بیشترین، همیشه بهترین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سوپر مارکت ها رونق می بخشند حرفۀ دزدی را</w:t>
      </w:r>
    </w:p>
    <w:p>
      <w:pPr>
        <w:pStyle w:val="BookText"/>
        <w:rPr/>
      </w:pPr>
      <w:r>
        <w:rPr>
          <w:rFonts w:ascii="IRNazanin" w:hAnsi="IRNazanin" w:eastAsia="IRNazanin"/>
          <w:color w:val="111111"/>
          <w:sz w:val="28"/>
          <w:sz w:val="28"/>
          <w:szCs w:val="28"/>
          <w:rtl w:val="true"/>
          <w:lang w:bidi="fa-IR"/>
        </w:rPr>
        <w:t>و موش ها در انبارهای برنج، لانه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بوداوار، سال های بسیار</w:t>
      </w:r>
    </w:p>
    <w:p>
      <w:pPr>
        <w:pStyle w:val="BookText"/>
        <w:rPr/>
      </w:pPr>
      <w:r>
        <w:rPr>
          <w:rFonts w:ascii="IRNazanin" w:hAnsi="IRNazanin" w:eastAsia="IRNazanin"/>
          <w:color w:val="111111"/>
          <w:sz w:val="28"/>
          <w:sz w:val="28"/>
          <w:szCs w:val="28"/>
          <w:rtl w:val="true"/>
          <w:lang w:bidi="fa-IR"/>
        </w:rPr>
        <w:t>به انزوایم پناه برده ام</w:t>
      </w:r>
    </w:p>
    <w:p>
      <w:pPr>
        <w:pStyle w:val="BookText"/>
        <w:rPr/>
      </w:pPr>
      <w:r>
        <w:rPr>
          <w:rFonts w:ascii="IRNazanin" w:hAnsi="IRNazanin" w:eastAsia="IRNazanin"/>
          <w:color w:val="111111"/>
          <w:sz w:val="28"/>
          <w:sz w:val="28"/>
          <w:szCs w:val="28"/>
          <w:rtl w:val="true"/>
          <w:lang w:bidi="fa-IR"/>
        </w:rPr>
        <w:t>اما نه برای فراموش کردن ِ جهان پیرامون</w:t>
      </w:r>
    </w:p>
    <w:p>
      <w:pPr>
        <w:pStyle w:val="BookText"/>
        <w:rPr/>
      </w:pPr>
      <w:r>
        <w:rPr>
          <w:rFonts w:ascii="IRNazanin" w:hAnsi="IRNazanin" w:eastAsia="IRNazanin"/>
          <w:color w:val="111111"/>
          <w:sz w:val="28"/>
          <w:sz w:val="28"/>
          <w:szCs w:val="28"/>
          <w:rtl w:val="true"/>
          <w:lang w:bidi="fa-IR"/>
        </w:rPr>
        <w:t>که تنها برای راه یافتن به دنیای واقعی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از سام همیل</w:t>
      </w:r>
      <w:r>
        <w:rPr>
          <w:rStyle w:val="FootnoteAnchor"/>
          <w:rtl w:val="true"/>
        </w:rPr>
        <w:footnoteReference w:id="308"/>
      </w:r>
      <w:bookmarkStart w:id="733" w:name="pg3881_28042"/>
    </w:p>
    <w:p>
      <w:pPr>
        <w:pStyle w:val="Heading3"/>
        <w:numPr>
          <w:ilvl w:val="2"/>
          <w:numId w:val="1"/>
        </w:numPr>
        <w:rPr/>
      </w:pPr>
      <w:bookmarkStart w:id="734" w:name="__RefHeading___Toc1656510_2281741623"/>
      <w:bookmarkStart w:id="735" w:name="_Toc261"/>
      <w:bookmarkEnd w:id="733"/>
      <w:bookmarkEnd w:id="734"/>
      <w:r>
        <w:rPr>
          <w:rtl w:val="true"/>
        </w:rPr>
        <w:t>برای مطالعۀ بیشتر</w:t>
      </w:r>
      <w:bookmarkEnd w:id="73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Badaracco, C. (1995). Trading words: Poetry, typography and illustrated books in the modern literary economy. Baltimore: The Johns Hopkins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Harper, M.S. &amp; Walton, A. (2000). The Vintage book of African American poetry.New York: Vintage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Parisi, J. &amp; Young,S. (Eds.). (2002). The Poetry anthology, ninety years of America’smost distinguished verse magazine. Chicago: Ivan R. Dee</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Trapp, J. (Ed.). (1964). Modern religious poetry. New York: Harper &amp; Row</w:t>
      </w:r>
      <w:r>
        <w:rPr>
          <w:rFonts w:eastAsia="Times New Roman" w:cs="Times New Roman" w:ascii="Times New Roman" w:hAnsi="Times New Roman"/>
          <w:color w:val="111111"/>
          <w:sz w:val="28"/>
          <w:szCs w:val="28"/>
          <w:rtl w:val="true"/>
          <w:lang w:val="en-US" w:bidi="en-US"/>
        </w:rPr>
        <w:t xml:space="preserve">. </w:t>
      </w:r>
      <w:bookmarkStart w:id="736" w:name="pg3881_28043"/>
    </w:p>
    <w:p>
      <w:pPr>
        <w:pStyle w:val="Heading2"/>
        <w:numPr>
          <w:ilvl w:val="1"/>
          <w:numId w:val="1"/>
        </w:numPr>
        <w:rPr/>
      </w:pPr>
      <w:bookmarkStart w:id="737" w:name="__RefHeading___Toc1656512_2281741623"/>
      <w:bookmarkStart w:id="738" w:name="_Toc262"/>
      <w:bookmarkEnd w:id="736"/>
      <w:bookmarkEnd w:id="737"/>
      <w:r>
        <w:rPr>
          <w:rtl w:val="true"/>
        </w:rPr>
        <w:t>فیلم</w:t>
      </w:r>
      <w:bookmarkEnd w:id="738"/>
    </w:p>
    <w:p>
      <w:pPr>
        <w:pStyle w:val="Heading3"/>
        <w:numPr>
          <w:ilvl w:val="2"/>
          <w:numId w:val="1"/>
        </w:numPr>
        <w:rPr/>
      </w:pPr>
      <w:bookmarkStart w:id="739" w:name="__RefHeading___Toc1656514_2281741623"/>
      <w:bookmarkStart w:id="740" w:name="_Toc263"/>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فیلم</w:t>
      </w:r>
    </w:p>
    <w:p>
      <w:pPr>
        <w:pStyle w:val="BookText"/>
        <w:rPr/>
      </w:pPr>
      <w:r>
        <w:rPr>
          <w:rFonts w:ascii="IRNazanin" w:hAnsi="IRNazanin" w:eastAsia="IRNazanin"/>
          <w:color w:val="111111"/>
          <w:sz w:val="28"/>
          <w:sz w:val="28"/>
          <w:szCs w:val="28"/>
          <w:rtl w:val="true"/>
          <w:lang w:bidi="fa-IR"/>
        </w:rPr>
        <w:t>تاریخچۀ سینمای مذهبی، دست کم تا امروز، بازتاب دقیقی از طیف وسیع و متنوعِ کنش ها و امکانات مذهبیِ موجود در جهان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سینما و چند دهۀ نخست تکامل آن، هم زمان با برتری دامنه دار سیاسی و فرهنگیِ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همین نفوذ فرهنگی و سیاسی در فیلم های سینمایی اولیه مفاهیم یهودی ـ مسیحی، در بسیط ترین معنا ی شان، سیطره ای نامتناسب دارند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آن زمان تا امروز طیف متنوع تری از ایده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سینمایی خویش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آن جا که منابع تحقیقاتی عمدتاً وابسته به اموری هستند که توجه ما به آن ها جلب شده است، در زمینۀ سینما و سنت هایی که ما به آن ها در غرب و روایت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داریم، توجه و </w:t>
      </w:r>
      <w:bookmarkStart w:id="741" w:name="pg3881_28044"/>
    </w:p>
    <w:p>
      <w:pPr>
        <w:pStyle w:val="BookText"/>
        <w:rPr/>
      </w:pPr>
      <w:bookmarkEnd w:id="741"/>
      <w:r>
        <w:rPr>
          <w:rFonts w:ascii="IRNazanin" w:hAnsi="IRNazanin" w:eastAsia="IRNazanin"/>
          <w:color w:val="111111"/>
          <w:sz w:val="28"/>
          <w:sz w:val="28"/>
          <w:szCs w:val="28"/>
          <w:rtl w:val="true"/>
          <w:lang w:bidi="fa-IR"/>
        </w:rPr>
        <w:t>در نتیجه ادراکی نامتوازن هم 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اندازها و دیدگاه هایی که موجب جبران این عدم توازن خواهند شد، به گونه ای وسیع و به میزان کافی اشاعه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به طور اعم و دربارۀ بیان مذهبی در سینما به طور اخص، سوژه های فراوانی که مورد کاوش فیلم سازان و جوامع فیلم سازی قرار گرفته اند، هم چنان در انتظار برخورد پژوهشی و تحقیقاتی مناسب و درخور باقی مانده اند</w:t>
      </w:r>
      <w:r>
        <w:rPr>
          <w:rFonts w:eastAsia="IRNazanin" w:cs="IRNazanin"/>
          <w:color w:val="111111"/>
          <w:sz w:val="28"/>
          <w:szCs w:val="28"/>
          <w:rtl w:val="true"/>
          <w:lang w:bidi="fa-IR"/>
        </w:rPr>
        <w:t>.</w:t>
      </w:r>
    </w:p>
    <w:p>
      <w:pPr>
        <w:pStyle w:val="Heading3"/>
        <w:numPr>
          <w:ilvl w:val="2"/>
          <w:numId w:val="1"/>
        </w:numPr>
        <w:rPr/>
      </w:pPr>
      <w:bookmarkStart w:id="742" w:name="__RefHeading___Toc1656516_2281741623"/>
      <w:bookmarkStart w:id="743" w:name="_Toc264"/>
      <w:bookmarkEnd w:id="742"/>
      <w:r>
        <w:rPr>
          <w:rtl w:val="true"/>
        </w:rPr>
        <w:t>مذهب در فیلم های سینمای متقدم</w:t>
      </w:r>
      <w:bookmarkEnd w:id="743"/>
    </w:p>
    <w:p>
      <w:pPr>
        <w:pStyle w:val="BookText"/>
        <w:rPr/>
      </w:pPr>
      <w:r>
        <w:rPr>
          <w:rFonts w:ascii="IRNazanin" w:hAnsi="IRNazanin" w:eastAsia="IRNazanin"/>
          <w:color w:val="111111"/>
          <w:sz w:val="28"/>
          <w:sz w:val="28"/>
          <w:szCs w:val="28"/>
          <w:rtl w:val="true"/>
          <w:lang w:bidi="fa-IR"/>
        </w:rPr>
        <w:t>مذهب در فیلم های سینمای متقدم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نخسین فیلم هایی که در اواخر قرن نوزدهم امکان پخش عمومی یافتند، عمدتاً تصاویری از امور واقعی بودند که پیشگامان سینمای مستند و غیرداستانی امروز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فیلم های اولیه، حس اعجاب و حیرتی که از ابداع و طلیعۀ سینما وجود داشت، مانع از تجلی هرگونه توجه و دلبستگی جدی می شد، هر چند که بسیاری از این آثار ممکن است در عین حال ابژه های تجاری و ایدئولوژیک نیز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بیستم و هنگامی که این تصاویر واقعی جای خود را به فیلم های داستانی می دهند، به تدریج عواطف مذهبی به گونه ای آگاهانه تر و حساب شده تر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فیلم های داستانی، فاقد دستور زبانی منسجم و قابل ادراک بودند ولی با تکامل دستور زبان سینمایی، تولیدکنندگان و مخاطبان آثار سینمایی هم زمان به مضامین و داستان های آشنا روی آوردند و از این داستان ها وضوح معنا و منطقی را به عاریت گرفتند که هنوز به شاخصۀ اصولی رسانۀ سینما تبدیل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و مصائب حضرت مسیح به گونه ای ویژه، منبعی بسیار رایج برای این معنا و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سینما در اواسط دهۀ نخست قرن بیستم به تدریج دلالت های معنایی آشکارتر و باثبات تری پیدا می کرد، داستان های مسیحی نیز که عمدتاً ولی نه مختصاً در فرانسه و ایالات متحده تولید می شدند، جای پای خود را محکم 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به سینما مشروعتی می بخشیدند که تهیه کنندگان به دلایل تجاری و ایدئولوژیک، به شدت مشتاق به دست آوردنش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ی مذهبی در پس زمینه های ملی گوناگون، به همراه اقتباس هایی که از آثار معتبر ادبی و نمایشی صورت می گرفت، برای ارتقای چهره و جایگاهِ رسانه ای مورد استفاده قرار گرفتند که از نظر بسیاری، رسانه ای مشکوک به نظر می رسید؛ رسانه ای برای بروز و تحریکِ امیال و طبقات نازل به طور توأمان که می توانست خطرات بالقوه ای به همراه داشته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هنوز منحصراً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انجام وظایف زبان شناختی و مشروعیت بخشی خویش ادامه می دادند و در همین حال دستور زبانی که به سرعت شکل می گرفت در ساختارهای داستانی مبسوط تر و پیچیده تر اعمال می شد، تولید آثار سینمایی بیش از پیش عقلایی و صنعتی می شد و ترکیب های گوناگون تصاویر متحرک، به گونه ای پخته تر و فعالانه تر مورد سرمایه گذاری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های سینمایی رو به افزایش، محاسبات اقتصادی و محتوای مذهبی در مجموعه ای از فیلم های ایتالیایی عظیمی که بین سال 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شدند و داستان شان در دوران کلاسیک یا صدر مسیحیت می گذشت، آشکار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تولیدات سینمایی نوعی دیالکتیک تاریخی پدید می آید، مکالمه ای که در آن شکوهِ </w:t>
      </w:r>
    </w:p>
    <w:p>
      <w:pPr>
        <w:pStyle w:val="BookText"/>
        <w:rPr/>
      </w:pPr>
      <w:r>
        <w:rPr>
          <w:rFonts w:ascii="IRNazanin" w:hAnsi="IRNazanin" w:eastAsia="IRNazanin"/>
          <w:color w:val="111111"/>
          <w:sz w:val="28"/>
          <w:sz w:val="28"/>
          <w:szCs w:val="28"/>
          <w:rtl w:val="true"/>
          <w:lang w:bidi="fa-IR"/>
        </w:rPr>
        <w:t xml:space="preserve">ملحدانه و رو به افول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روزهای پمپئی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کابیریا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راه و رسم متعالی و به لحاظ سینمایی هم چنان شکوهمند مسیح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Que Vadis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نفوذِ زیباشناختی و مفهومی این تولیدات به شدت در سینمای ایالات متحده احساس شد؛ سینمایی که با آغاز جنگ جهانی اول در تولید انبوه فیلم، به درجه ای از کمال رسید و استیلای تجاری کمابیش ماندگاری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تولیداتی مانند یهودای بتولیا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ساختۀ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گریفیث و تمدن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ساختۀ تامس اینس بازتابی از اسلاف ایتالیایی خود بودند و از بسیاری جهات، بلندپروازی ها و اعتمادبه نفس سینمایی این آثار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نهفتۀ مسیحی ادامه یافت و به گونه ای استعاری دامنۀ آن به زمان حال نیز رسید؛ هر دو فیلم آخری که به آن ها اشاره کردیم، پس زمینه و احساسات مذهبی را برای بیان گرایش های ضدجنگ خود مورد استفاده قرار می دهند و از نوعی سیاست انزواطلبانه جانبداری می کنند و تا آن جا پیش می روند که ظهور مجدد مسیح را برای تأیید مواضع و جمع بندی روایی خود به تصویر می کشند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هواداری محترمانه در نهایت تأثیری بر سیاست خارجی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فروش فیلم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نگذاشت؛ پس از این بود که در زمینه های تجاری، آموزه های مذهبی عمدتاً به شیوه هایی کلی تر، در ظاهری غیرسیاسی و انتقادناپذیر بیان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ترکیبی از طراحی آگاهانه و تکامل جبری، بیان فردی و فرآیندی صرفاً صنعتی، صنعت سینمای آمریکا به تدریج مجموعه ای از ارزش های بنیادین و مورد اجماع عمومی را پایه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ها در </w:t>
      </w:r>
      <w:bookmarkStart w:id="744" w:name="pg3881_28047"/>
    </w:p>
    <w:p>
      <w:pPr>
        <w:pStyle w:val="BookText"/>
        <w:rPr/>
      </w:pPr>
      <w:bookmarkEnd w:id="744"/>
      <w:r>
        <w:rPr>
          <w:rFonts w:ascii="IRNazanin" w:hAnsi="IRNazanin" w:eastAsia="IRNazanin"/>
          <w:color w:val="111111"/>
          <w:sz w:val="28"/>
          <w:sz w:val="28"/>
          <w:szCs w:val="28"/>
          <w:rtl w:val="true"/>
          <w:lang w:bidi="fa-IR"/>
        </w:rPr>
        <w:t>خدمت شکل گیری و پشتیبانی از سینمایی قرار گرفت که طی دهه های آینده دست کم به گونه ای تلویحی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هم چنین در جهت ایجاد و پایه گذاری شاخص ها و امکاناتی ــ چه در پیروی و چه در تقابل با، در آمریکا یا صحنۀ جهانی ــ برای تأیید و جست وجوی معنوی عمل کردند که در بسیاری جنبه ها تا امروز هم چنان پابرجا هستند</w:t>
      </w:r>
      <w:r>
        <w:rPr>
          <w:rFonts w:eastAsia="IRNazanin" w:cs="IRNazanin"/>
          <w:color w:val="111111"/>
          <w:sz w:val="28"/>
          <w:szCs w:val="28"/>
          <w:rtl w:val="true"/>
          <w:lang w:bidi="fa-IR"/>
        </w:rPr>
        <w:t>.</w:t>
      </w:r>
    </w:p>
    <w:p>
      <w:pPr>
        <w:pStyle w:val="Heading3"/>
        <w:numPr>
          <w:ilvl w:val="2"/>
          <w:numId w:val="1"/>
        </w:numPr>
        <w:rPr/>
      </w:pPr>
      <w:bookmarkStart w:id="745" w:name="__RefHeading___Toc1656518_2281741623"/>
      <w:bookmarkStart w:id="746" w:name="_Toc265"/>
      <w:bookmarkEnd w:id="745"/>
      <w:r>
        <w:rPr>
          <w:rtl w:val="true"/>
        </w:rPr>
        <w:t xml:space="preserve">سینمای مذهبی دهه های </w:t>
      </w:r>
      <w:r>
        <w:rPr/>
        <w:t>1920</w:t>
      </w:r>
      <w:r>
        <w:rPr>
          <w:rtl w:val="true"/>
        </w:rPr>
        <w:t xml:space="preserve"> </w:t>
      </w:r>
      <w:r>
        <w:rPr>
          <w:rtl w:val="true"/>
        </w:rPr>
        <w:t xml:space="preserve">و </w:t>
      </w:r>
      <w:r>
        <w:rPr/>
        <w:t>1930</w:t>
      </w:r>
      <w:bookmarkEnd w:id="746"/>
    </w:p>
    <w:p>
      <w:pPr>
        <w:pStyle w:val="BookText"/>
        <w:rPr/>
      </w:pPr>
      <w:r>
        <w:rPr>
          <w:rFonts w:ascii="IRNazanin" w:hAnsi="IRNazanin" w:eastAsia="IRNazanin"/>
          <w:color w:val="111111"/>
          <w:sz w:val="28"/>
          <w:sz w:val="28"/>
          <w:szCs w:val="28"/>
          <w:rtl w:val="true"/>
          <w:lang w:bidi="fa-IR"/>
        </w:rPr>
        <w:t xml:space="preserve">سینمای مذهبی دهه 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سینمای مذهبی آمریکا طی این دوره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به خود گرفت، هر چند که این دو شکل کاملاً مجزا از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مذهبی</w:t>
      </w:r>
      <w:r>
        <w:rPr>
          <w:rStyle w:val="FootnoteAnchor"/>
          <w:rtl w:val="true"/>
        </w:rPr>
        <w:footnoteReference w:id="310"/>
      </w:r>
      <w:r>
        <w:rPr>
          <w:rFonts w:ascii="IRNazanin" w:hAnsi="IRNazanin" w:eastAsia="IRNazanin"/>
          <w:color w:val="111111"/>
          <w:sz w:val="28"/>
          <w:sz w:val="28"/>
          <w:szCs w:val="28"/>
          <w:rtl w:val="true"/>
          <w:lang w:bidi="fa-IR"/>
        </w:rPr>
        <w:t xml:space="preserve">که ریشه در اخلاقیات ویکتوریایی و فیلم های اولیۀ گریفیث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ـ برای نمونه، بسیاری از فیلم های مری پیکفورد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بابا لنگ دراز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پولیانا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آنی رونی کوچولو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گنجشک ها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راه دور شرق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گریفیث و دیوید تحمل پذیر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ساختۀ هنری کینگ نمونه های خوبی از آن ها محسوب می شوند ـ موجودیتی به لحاظ تجاری محافظه کار، به لحاظ ایدئولوژیک سازشکار و همرنگ جماعت داشتند که به جانبداری از فضایل متعارف یا افشای پلیدی های رایج به واسطۀ قصه های معاصری می پرداختند که اغلب زیبا و تأثیرگذار و گاه مایۀ دلزدگی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های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ده فرمان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که داستان مذهبی مدرن خودش را به تصویر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 هور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الملوک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هزینه های بالای تولید و عظمتی شهرت دارند که متناسب با مرجعیت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شان است و </w:t>
      </w:r>
    </w:p>
    <w:p>
      <w:pPr>
        <w:pStyle w:val="BookText"/>
        <w:rPr/>
      </w:pPr>
      <w:r>
        <w:rPr>
          <w:rFonts w:ascii="IRNazanin" w:hAnsi="IRNazanin" w:eastAsia="IRNazanin"/>
          <w:color w:val="111111"/>
          <w:sz w:val="28"/>
          <w:sz w:val="28"/>
          <w:szCs w:val="28"/>
          <w:rtl w:val="true"/>
          <w:lang w:bidi="fa-IR"/>
        </w:rPr>
        <w:t>قادر به روایت و فروش دیدگاهی سهل و متناسب با وحدت گرایی کلیسایی</w:t>
      </w:r>
      <w:r>
        <w:rPr>
          <w:rStyle w:val="FootnoteAnchor"/>
          <w:rtl w:val="true"/>
        </w:rPr>
        <w:footnoteReference w:id="311"/>
      </w:r>
      <w:r>
        <w:rPr>
          <w:rFonts w:ascii="IRNazanin" w:hAnsi="IRNazanin" w:eastAsia="IRNazanin"/>
          <w:color w:val="111111"/>
          <w:sz w:val="28"/>
          <w:sz w:val="28"/>
          <w:szCs w:val="28"/>
          <w:rtl w:val="true"/>
          <w:lang w:bidi="fa-IR"/>
        </w:rPr>
        <w:t>از حقیقت راستین مسیحیت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که در زمان خود از محبوبیت و تأثیرگذاری بالایی برخوردار بودند، اکنون تا حدی از چشم ها افتاده اند و حتی از نظر نقد نیز مورد بی توجهی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فیلم ها مشکلاتی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های مذهبی به شدت در معرض لغزش به ورطۀ ملودرام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دیگر، نگاه سیاه و سفید به خوب و بد،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ارائۀ راه حل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الوصول، بی توجه به حساسیت های اجتماعی یا پیچیدگی های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 از حد این آثار نسبت به گناه، یا بحران های اجتماعی ـ گذشته از شیوۀ ساده انگارانه ای که این آثار این دو را با هم برابر قرار می دهند ـ بازتابی از دیدگاهی خشکه مقدسانه بود که اغلب و به گونه ای افراطی، به ممنوعیت و سانسور متوسل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چنین این تناقضات را می توان در ساز و کار نظارت درونی قوانین هیز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هالیوود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تحمیلی لژیون کاتولیک نجابت،</w:t>
      </w:r>
      <w:r>
        <w:rPr>
          <w:rStyle w:val="FootnoteAnchor"/>
          <w:rtl w:val="true"/>
        </w:rPr>
        <w:footnoteReference w:id="312"/>
      </w:r>
      <w:r>
        <w:rPr>
          <w:rFonts w:ascii="IRNazanin" w:hAnsi="IRNazanin" w:eastAsia="IRNazanin"/>
          <w:color w:val="111111"/>
          <w:sz w:val="28"/>
          <w:sz w:val="28"/>
          <w:szCs w:val="28"/>
          <w:rtl w:val="true"/>
          <w:lang w:bidi="fa-IR"/>
        </w:rPr>
        <w:t>باز هم در آمریکا،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فیلم های کتاب مقدسی نیز به نوبۀ خود ـ به ویژه آثاری که توسط سیسیل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دومیل تولید می شدند ـ اغلب به مثابه ترکیب ریاکارانه ای از اخلاقیات متعارف و هرزگی بی پرده شناخته شده اند؛ آثاری که در آن ها موعظه های خوش ظاهر با عشوه گری های تحریک کننده رقابتی عذاب آور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نامحسوس تر، تصور هالیوود مبنی بر وجود مجموعۀ مشترکی از ارزش های فرهنگی، اخلاقی و مخاطبانی همگن، موجب محو و زدودن تفاوت های فرهنگی و مذهبی واقعی ای می شود که مستحق به رسمیت شناخته شدن و حتی بزرگداشت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بسیار فراتر از فیلم هایی می رود که آشکارا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 ای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چهره های موسس صنعت فیلم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آدولف زوکر، ساموئل گلدفیش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گلدوین، لوییس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 کارل لامل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مهاجرانی یهودی از اروپای شرقی یا مرکزی بودند، مردانی که شکست و موفقیت توأمان آن ها سرکوب و جلوگیری از رسوخ پس زمینه ها و اعتقادات خاص هر یک به کار و صنعتی بود که آن ها تا اندازۀ زیادی مسئولش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کلیدی دیگری که در این میان مطرح است، عملاً نوعی محدودیت ذاتی یا به واقع، تعیین حد و حدود سینمای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کاری مالی بنیادین سینمای تجاری به ما اطمینان می دهد که در حیطۀ مذهب و دیگر حیطه ها، تنوع و گونا گونی تنها به مثابه نوعی استراتژی برای تنوع تولیدات سینمایی عمل می کنند و نه به مثابه تجلی واقعی نوعی فرآیند جست وجو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ظاهریِِ بی مسئلۀ فیلم های مذهبی هالیوودی در دهۀ،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ژرفنای این آثار که به طور بالقوه گنگ و تاریک بودند را از نظرها پنهان می کرد؛ ژرفنایی که چندین دهه بعد به سطح این آثار نفوذ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آثار، صاحبِ فضیلت هایی نیز هستند که گذشت زمان موجب تحت الشعاع قرار گرفتن 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مذهبی هالیوود در دوران صامت با وجود تمامی کمبودهای شان، صاحبِ جوهره، ظرافت و حتی عمق عاطفیِ بیشتر از چیزی هستند که امروز به آن ها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برای خود وظیفه ای دشوار تعیین می کنند که اغلب نیز در انجام آن موفق می شوند؛ یعنی ترکیب سرگرمی و تعلیم، انگیزه های تجاری و خلوص نیتی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این آثار بیشتر از آن که به خاطر نوعی نیرنگ و دوروییِ حساب شده باشد، ناشی از دشواری پرداختن به امر قدسی در رسانه ای است که در این مورد خاص، خود را آشکارا وقف دستیابی به سود مادی و آن هم صرفاً از طریق عرضۀ نوعی </w:t>
      </w:r>
    </w:p>
    <w:p>
      <w:pPr>
        <w:pStyle w:val="BookText"/>
        <w:rPr/>
      </w:pPr>
      <w:r>
        <w:rPr>
          <w:rFonts w:ascii="IRNazanin" w:hAnsi="IRNazanin" w:eastAsia="IRNazanin"/>
          <w:color w:val="111111"/>
          <w:sz w:val="28"/>
          <w:sz w:val="28"/>
          <w:szCs w:val="28"/>
          <w:rtl w:val="true"/>
          <w:lang w:bidi="fa-IR"/>
        </w:rPr>
        <w:t xml:space="preserve">گریزگاه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جهان واقعی به تماشاگران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موعظه و هرزگی که از یک سو ریاکارانه به نظر می رسد، از سوی دیگر بازتاب تکان دهنده ای از کشمکش ها و گاه شکست هایی است که هر فرد، جامعه و بی شک صنعتی تجربه می کند که در جهانی سکولار و دورانی مدرن و مادی گرا، به دنبال امر متعالی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برخی از بنیادی ترین تناقض ها، چالش ها و نیز خدمات سینمای مذهبی را آشکار می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سوءقرائتِ تنها بخشی از اسناد تاریخی، موجب ایجاد این پیش فرض شده است که مذهب، به ویژه از انواع غربی اش، موجب ایجاد فشاری منفی، محافظه کارانه و خرده گیرانه بر حس خلاقیت و آگاهی ـ و فرهنگ سینما به طور کلی ـ می شود ولی این تنها بخشی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تصویری کاریکاتوری از این دسته بندی ها ـ بی بند وباری هالیوود و خرده گیری ایالت های مرکزی ــ تا حدی ریشه در واقعیت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اگر به گونه ای منصفانه و در چشم اندازی وسیع تر مد نظر قرار گیرد، بسیار پیچیده تر و جذاب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صنایع و مخاطبان همواره درگیر نوعی چانه زنی معنوی و بغرنج بوده اند؛ ایجاد تعادل میان انگیزه های دوگانه ای که نه تنها برای هنر، بلکه برای جست وجوی امر قدسی و بقای اجتماعی نیز 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 هایی مانند امر فردی و امر جمعی، اکتشاف و حفاظت، نیروهای گریز از مرکز و نیروهای مرکزگرا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دیالکتیک تنها به جدال میان امر مقدس نما و امر سکولار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شاهد استقرار یکی دیگر از این آلترناتیوهای دوگانه در حیطۀ مذهب بود؛ آلترناتیوی که در عین تصدیق و تأیید به پرسش و انتقاد سازنده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هنری </w:t>
      </w:r>
    </w:p>
    <w:p>
      <w:pPr>
        <w:pStyle w:val="BookText"/>
        <w:rPr/>
      </w:pPr>
      <w:r>
        <w:rPr>
          <w:rFonts w:ascii="IRNazanin" w:hAnsi="IRNazanin" w:eastAsia="IRNazanin"/>
          <w:color w:val="111111"/>
          <w:sz w:val="28"/>
          <w:sz w:val="28"/>
          <w:szCs w:val="28"/>
          <w:rtl w:val="true"/>
          <w:lang w:bidi="fa-IR"/>
        </w:rPr>
        <w:t>در برابر تحریف های گاه به گاه و بیانیه های تصنعی سینمای تجاری، بیشتر حامی مکاشفه هایی معنوی بود و این جست وجوی حقیقت فردی و دارای فردیتِ سینمای هنری تا حدی موجب ایجاد تعادل در برابر فشارهای ناشی از اصول اخلاقی اکثریت قریب به اتفاق جامعه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هنری در این جا و از این جا به بعد، به تدریج در حیطه هایی شکوفا شد که صنعت فیلم سازی دارای ثبات، نظام سلسله مراتبی و زیرساخت های کمتری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نظام پرداخت یارانه که موجب حفاظت نسبی سینمای هنری در برابر نیروهای بازار می شد، همین نقش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ثباتی و گاه عدم وجود تشریفات رسمی ـ جایی که حامیان ثروتمند، ارز ش های آماتوری و تولیدات مستقل حکمفرما بودند ـ اغلب به معنای وجود امکان بیشتری برای نوآوری و فردیت بخشی به آثار هنری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ویژه ای برای عقاید راسخ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سازندگان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هنرورانۀ سینمای هنری و طبیعت شخصی این نوع سینما، آشکارا در تضاد با صنعتی سازی و تولید انبوه قرار دارد و این امر در نگاه این نوع سینما به مذهب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ها تعالی نه از خلال کشمکش های منفرد، بلکه اغلب از طرق مقابله با قواعد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تئودور درایر، نویسنده و کارگردان دانمارکی، الگوی خوبی برای استقلال و امکانات زیبایی شناختی این رویکرد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درایر در یکی از مشهورترین آثار خود، مصائب ژاندارک</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تنش های دیرینه میان مذهب فرقه گرا و معنویت فردی، بر این نکته صحه می گذارد که آگاهی فردی می تواند رودرروی نهاد کلیسا و دیگر نهادهای اجتماعی به طور کلی قرار گیرد ولی نقد ایدئولوژیک و تاثیرگذار درایر که چیزی بسیار فراتر از </w:t>
      </w:r>
    </w:p>
    <w:p>
      <w:pPr>
        <w:pStyle w:val="BookText"/>
        <w:rPr/>
      </w:pPr>
      <w:r>
        <w:rPr>
          <w:rFonts w:ascii="IRNazanin" w:hAnsi="IRNazanin" w:eastAsia="IRNazanin"/>
          <w:color w:val="111111"/>
          <w:sz w:val="28"/>
          <w:sz w:val="28"/>
          <w:szCs w:val="28"/>
          <w:rtl w:val="true"/>
          <w:lang w:bidi="fa-IR"/>
        </w:rPr>
        <w:t>انکار و نقیضه ای صرف است، از طریق یک سبک کارگردانی هنرمندانه و منحصر به فرد و نیز بازی درخشان رنه فالکونتی در نقش ژاندارک، در بازنمایی ایمان و شهادت ژاندارک به درجۀ بالایی از تکریم و احترام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محکومیت سیاست و کشیش گری، فیلم درایر موفق می شود به تحولی قابل توجه و تأثیرگذار دست پیدا کند و تصویری متقاعد کننده از جهانی تحت سیطرۀ مذهب و رأفت ناشی از آن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کنایی نهفته در سینمای هنری ـ مذهبی که در بحث های مربوط به درایر و دیگر کارگردانان بزرگ این حوزه مشهود می شود، این نکته است که این آثار به همان اندازه که برای تعهد و اعتقاد معنوی والایی که در آن ها مطرح می شود، نوعی تکریم و احترام رمانتیک به همراه می آورد، برای هنرمندان خالق شان نیز این تکریم و احترام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دیگر از نکات کلیدی ای است که باید در بحث مذهب به طور کلی و در رابطۀ مذهب با سینما به طور خاص،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مذهبی نه تنها در فرقه های مذهبی، بلکه در هر گونه جست وجویی برای دال های متعالی، به عنوان انگیزۀ اولیه و آخرین راه حل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 و فرقه ها، فلسفه ها و سبک های زندگی، ایدئولوژی ها و افراد، همگی در این جست وجو طرف مشورت قرار می گیرند و هر یک پاسخ های خاص خود را به پرسش های بزرگ دربارۀ سرمنشأ و معنا، هدف و مقصود، اشکال متفاوت الوهیت و امکان دستیابی بشر به آن ارائه می کنند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حتی لذت جویی هالیوود، ماتریالیسم آن و ستارگان فیلم های هالیوودی به یک خواست درونی پاسخ دادند و الهام بخش نوعی دلبستگی مذهبی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مستقیماً نیز در ایجاد قوانین هایس، لژیون نجابت و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های مذهبی که پیش از این در موردشان بحث کردیم، ایفای نقش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سینمای دهه 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نیز، شاهد بیان نوعی ایمان و هم چنین طرد جزمیت ها و روش های مسیحی و سرمایه داری هستیم که البته با ادعاها و تبلیغ دکترین مارکسیسم ـ لنینیسم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های دورۀ نازی ها که در ستایش و اثبات پیشوا و سرزمین پدری ساخته شده، شاهد نوعی ایمان و اعتقاد محکم هستیم که اغلب با نوعی زورگویی 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ژاپن نیز دچار نوعی دین باوری و تا حدودی آمیختگی با مذهب در سال های انتهایی حکومت میجی</w:t>
      </w:r>
      <w:r>
        <w:rPr>
          <w:rStyle w:val="FootnoteAnchor"/>
          <w:rtl w:val="true"/>
        </w:rPr>
        <w:footnoteReference w:id="313"/>
      </w:r>
      <w:r>
        <w:rPr>
          <w:rFonts w:ascii="IRNazanin" w:hAnsi="IRNazanin" w:eastAsia="IRNazanin"/>
          <w:color w:val="111111"/>
          <w:sz w:val="28"/>
          <w:sz w:val="28"/>
          <w:szCs w:val="28"/>
          <w:rtl w:val="true"/>
          <w:lang w:bidi="fa-IR"/>
        </w:rPr>
        <w:t>می شود که در حقیقت بازتابی از مذهب غالب و مورد وثوق، یعنی شینتوییسم و تقدیس آن از امپراتور و ناسیونالیسم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حقایق قابل نمایش، خطر کاریکاتورهای مذهبی و فرهنگی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چیزها در زندگی مردم آلمان، اتحاد جماهیر شوروی و ژاپن نمی تواند حتی به پیچیدگی این چیزها و هم چنین طیف باورها و اعمالی که در خارج از محدودۀ آن ها قرار می گیرد،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مشهود است این است که هرگونه درکی از سائقه و بیان مذهبی در سینما باید همراه با حساسیتی ایدئولوژیک و حتی شکاکیتی ملازم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تجلیِ کمتر مشهود ولی بی شک موجودی از سائقۀ مذهبی در تاریخ سینما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نخستین نشانه های آشکار آن را می توان در فیلم های مستند دهۀ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مستند که تا حد زیادی توسط جان گریرسِن، نظریه پرداز و تهیه کنندۀ اسکاتلندی تعریف شد و توسعه یافت، به لحاظ اجتماعی آلترناتیوی فعال را نسبت به موعظه های هالیوودی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اجتماعی سینمای مستند که آشکار و بدیهی است و تا امروز نیز حضور خود را حفظ کرده است ولی دربارۀ مذهب، گریرسون و بسیاری از </w:t>
      </w:r>
      <w:bookmarkStart w:id="747" w:name="pg3881_28054"/>
    </w:p>
    <w:p>
      <w:pPr>
        <w:pStyle w:val="BookText"/>
        <w:rPr/>
      </w:pPr>
      <w:bookmarkEnd w:id="747"/>
      <w:r>
        <w:rPr>
          <w:rFonts w:ascii="IRNazanin" w:hAnsi="IRNazanin" w:eastAsia="IRNazanin"/>
          <w:color w:val="111111"/>
          <w:sz w:val="28"/>
          <w:sz w:val="28"/>
          <w:szCs w:val="28"/>
          <w:rtl w:val="true"/>
          <w:lang w:bidi="fa-IR"/>
        </w:rPr>
        <w:t xml:space="preserve">کسانی که در پی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صحنۀ سینمای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الهام خود را نه تنها از نظریه های جمعی و اجتماعی مارکس، بلکه در عین حال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آثار مستند از زمان گریرسون به بعد بازتابی از نوعی حس شک گرایی و حتی لاادری گری و الحاد نسبت به نهادهایی چون کلیسا بوده است ولی گونۀ بسیار خاصی از دلبستگی مذهبی همواره بر جای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صاف و بی عیب نزد خدا و پدر این است که یتیمان و بیوه زنان را در مصیبت ایشان تفقد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رسالۀ یعقوب، باب اول، آیۀ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مشابهی از این گونه فعالیت اجتماعی در شماری از فیلم های آمریکایی این دوره که صاحب وجدان و آگاهی اجتماعی بودند، به چشم می خورد؛ آثاری که در عین حال اغلب به گونه ای تلویحی و گاه آشکار، نهادها و دستگاه های قدرت از جمله کلیسا را مورد انتقاد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نگاه کنید به کشیشِ سالوس و غیرموثرِ فیلم من از یک دسته اوباش زنجیره ای فرار می کنم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های غیرمتعارف تری هم چون مراتع سبز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داشتند که فانتزی خودپسندانه و در عین حال عمیقاً قدرشناسانۀ سفیدپوستان دربارۀ ایمان و تجربۀ مذهبی آفریقایی ـ آمریکایی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های سیاه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 کشد ولی در غالب موارد، فیلم های تجاری مذهبی در آمریکا هم چنان از همان الگوهای تثبیت شده پیروی می کنند</w:t>
      </w:r>
      <w:r>
        <w:rPr>
          <w:rFonts w:eastAsia="IRNazanin" w:cs="IRNazanin"/>
          <w:color w:val="111111"/>
          <w:sz w:val="28"/>
          <w:szCs w:val="28"/>
          <w:rtl w:val="true"/>
          <w:lang w:bidi="fa-IR"/>
        </w:rPr>
        <w:t>.</w:t>
      </w:r>
    </w:p>
    <w:p>
      <w:pPr>
        <w:pStyle w:val="Heading3"/>
        <w:numPr>
          <w:ilvl w:val="2"/>
          <w:numId w:val="1"/>
        </w:numPr>
        <w:rPr/>
      </w:pPr>
      <w:bookmarkStart w:id="748" w:name="__RefHeading___Toc1656520_2281741623"/>
      <w:bookmarkStart w:id="749" w:name="_Toc266"/>
      <w:bookmarkEnd w:id="748"/>
      <w:r>
        <w:rPr>
          <w:rtl w:val="true"/>
        </w:rPr>
        <w:t xml:space="preserve">دهه های </w:t>
      </w:r>
      <w:r>
        <w:rPr/>
        <w:t>1930</w:t>
      </w:r>
      <w:r>
        <w:rPr>
          <w:rtl w:val="true"/>
        </w:rPr>
        <w:t xml:space="preserve"> </w:t>
      </w:r>
      <w:r>
        <w:rPr>
          <w:rtl w:val="true"/>
        </w:rPr>
        <w:t xml:space="preserve">و </w:t>
      </w:r>
      <w:r>
        <w:rPr/>
        <w:t>1940</w:t>
      </w:r>
      <w:bookmarkEnd w:id="749"/>
    </w:p>
    <w:p>
      <w:pPr>
        <w:pStyle w:val="BookText"/>
        <w:rPr/>
      </w:pPr>
      <w:r>
        <w:rPr>
          <w:rFonts w:ascii="IRNazanin" w:hAnsi="IRNazanin" w:eastAsia="IRNazanin"/>
          <w:color w:val="111111"/>
          <w:sz w:val="28"/>
          <w:sz w:val="28"/>
          <w:szCs w:val="28"/>
          <w:rtl w:val="true"/>
          <w:lang w:bidi="fa-IR"/>
        </w:rPr>
        <w:t xml:space="preserve">دهه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رکود اقتصادی بزرگ آمریکا، مجموعه ای از موعظه های کلیسایی در فیلم هایی با شرکت شرلی تمپل را ایجاد و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p>
    <w:p>
      <w:pPr>
        <w:pStyle w:val="BookText"/>
        <w:rPr/>
      </w:pPr>
      <w:r>
        <w:rPr>
          <w:rFonts w:ascii="IRNazanin" w:hAnsi="IRNazanin" w:eastAsia="IRNazanin"/>
          <w:color w:val="111111"/>
          <w:sz w:val="28"/>
          <w:sz w:val="28"/>
          <w:szCs w:val="28"/>
          <w:rtl w:val="true"/>
          <w:lang w:bidi="fa-IR"/>
        </w:rPr>
        <w:t>فیلم های ماری پیکفورد، پیشرفتی معصومانه، شجاعانه و همراه با انگیزۀ فردی بالغ، منجر به نوعی مداخلۀ الهی می شود که البته این بار در پیش زمینۀ اجتماعی ـ اقتصادی جهت دارتری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افول ستارۀ اقبال حرفه ای تمپل، فیلم های بلندپروازانۀ والت دیزنی و همکارانش اهمیت اقتصادی بیشتری پیدا می کنند و موفق به ایجاد ادغام و تلفیق مهم و معناداری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 توان آشکارتر از همه در فیلم پینوکیو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به نوعی شرح پیشرفت یک زائر است که در مرگ جان فشانانه و تغییر شکل نهایی قهرمان فیلم به نقطۀ اوج می رسد ولی تحول سرنوشت سازی که با این فیلم روی داد،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کلاس های مذهبی و افسانه های پریان، با حساسیت ها، مخاطبان و پس زمینۀ آموزشی تعلیمی مشابه شان، به یکدیگر پیوستند و به نوعی قابل جانشینی و جایگزینی با یکدیگر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رکود اقتصادی و در نهایت ورود آمریکا به جنگ جهانی دوم، این گونه تلفیق ها به فیلم های سینمایی مخصوص بزرگسالان نیز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زمینه های فانتزی و واقع گرای پیشین، فیلم های پرشماری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جوردن وارد می شود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رفتن به راه خود و مردی به نام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lang w:bidi="fa-IR"/>
        </w:rPr>
        <w:t>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کمی بعد فرشته روی شانه هایم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اسقف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متعارف را به تصویر می کشند و راه حلی متعارف نیز برای آن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جهان از بدو تولد با مشکلاتی فراوان روبه روست ولی خداوند از طریق قدیسان و مقربان بارگاهش و یا از طریق مداخله ای فراطبیعی، به کمک ما می آید و مشکلات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روایی، تفاوت چندانی با روایت مقدسی ندارد که مبنای بیشتر سنت های مذهبی است و همگی ریشه هایی دیرینه و مستنداتی فراوان دارند ولی تفاوت و مشکل، این جا است که در این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ها صدق مذهبی با فانتزی در هم آمیخته می شود و واردِ حیطۀ ارضای آرزوها و حتی تکذیب غیرمستقیم اطمینان و اعتماد مذهبی نسبت به رستگاری و هم چنین ماهیت مشکلات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فانتزی های نیمه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مذهبی ممکن است همراه با ملاحت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می تواند صبر کند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 و 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زندگی شگفت انگیزی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طنز و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مرگ و زندگی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در کل، هر چند هدف این فیلم ها آرامش و تسلّای مخاطب است، این آثار در عین حال موجب نوعی انفعال و حتی تشویق رفتاری با مخاطبان، مشابه رفتار با کودکان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بازتابی از حس عدم امنیتی قابل درک است؛ عدم قطعیت و عدم اطمینانی ذاتی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اندازهای دیگری نیز طی این دوره مذهب را بازتاب داده اند و به ردیابی الگوهای درگیری خاص خود با مذهب و نیز احساسات ضدونقیض و دوگانه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دانمارکِ تحت اشغال، درایر در فیلم روز خشم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یک جامعۀ مذهبی متعصب را با روش شناسی و تأثیرات حکومتی استبدادی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سینمایی متفقین دربارۀ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نوعی اطمینان و حتی ستیزه جویی مبتنی بر این که خدا طرف ماست، آغاز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خدمتی که می کنیم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میلیون ها نفر مثل ما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 مینیور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مستند فرانک کاپرا و آناتول لیتوک با نام چرا می جنگیم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خود را به رویکردی متواضعانه تر و پرابهام تر به پیروزی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ها افروخته شدند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گونۀ خوشبخت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فداشدنی بودند، پیاده روی زیر آفتاب، بگذار نور بتابد و دفتر خاطراتی برای تیموتی همه ساخته شده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حرکت از عادات استعماری ـ تحمیل جهان بینی ها و نهادهای غربی به </w:t>
      </w:r>
      <w:bookmarkStart w:id="750" w:name="pg3881_28057"/>
    </w:p>
    <w:p>
      <w:pPr>
        <w:pStyle w:val="BookText"/>
        <w:rPr/>
      </w:pPr>
      <w:bookmarkEnd w:id="750"/>
      <w:r>
        <w:rPr>
          <w:rFonts w:ascii="IRNazanin" w:hAnsi="IRNazanin" w:eastAsia="IRNazanin"/>
          <w:color w:val="111111"/>
          <w:sz w:val="28"/>
          <w:sz w:val="28"/>
          <w:szCs w:val="28"/>
          <w:rtl w:val="true"/>
          <w:lang w:bidi="fa-IR"/>
        </w:rPr>
        <w:t>خاطر برتری آشکارشان ـ به سوی مسائل مستعمراتی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فرض های ما در هر محیطی جواب می دهند؟ آیا به راستی حق با ماست؟ این برهه ای حیاتی، به ویژه در رابطه با ایجاد تنوع بیشتر در شکل بیان مذهبی سینما،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تجربۀ جنگ، غرب را مجبور کرد تا به برداشتی دقیق تر و محتاط تر از بقیۀ جهان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نتایج این مسئله، در ارتباط با مذهب، نگاهی جدی تر و همدلانه تر به دیگر سنت ها و دیگر استدلال های معتبر بود؛ امری که در فیلم فراری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جان فورد و رودخانه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ساختۀ ژان رنوآر مشهود است و حتی شاید به گونه ای معنادارتر و پراهمیت تر، غرب به واسطۀ سینما شروع به شک کردن در برتری فرهنگی و ایدئولوژیک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ویژه در اقتباس حیرت انگیز مایکل پاول و اِمِریک پرسبرگر از کتاب کوکب سیاه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رامر گودن مشهود است؛ جایی که مذهبِ رنگ باخته و تبلیغی غربی به هیچ وجه قابل مقایسه با رنگارنگی، جسمانیت و نفوذناپذیری کیهان شناسی های مشروع شرقی نیست</w:t>
      </w:r>
      <w:r>
        <w:rPr>
          <w:rFonts w:eastAsia="IRNazanin" w:cs="IRNazanin"/>
          <w:color w:val="111111"/>
          <w:sz w:val="28"/>
          <w:szCs w:val="28"/>
          <w:rtl w:val="true"/>
          <w:lang w:bidi="fa-IR"/>
        </w:rPr>
        <w:t>.</w:t>
      </w:r>
    </w:p>
    <w:p>
      <w:pPr>
        <w:pStyle w:val="Heading3"/>
        <w:numPr>
          <w:ilvl w:val="2"/>
          <w:numId w:val="1"/>
        </w:numPr>
        <w:rPr/>
      </w:pPr>
      <w:bookmarkStart w:id="751" w:name="__RefHeading___Toc1656522_2281741623"/>
      <w:bookmarkStart w:id="752" w:name="_Toc267"/>
      <w:bookmarkEnd w:id="751"/>
      <w:r>
        <w:rPr>
          <w:rtl w:val="true"/>
        </w:rPr>
        <w:t>سینما فراتر از مسیحیت</w:t>
      </w:r>
      <w:bookmarkEnd w:id="752"/>
    </w:p>
    <w:p>
      <w:pPr>
        <w:pStyle w:val="BookText"/>
        <w:rPr/>
      </w:pPr>
      <w:r>
        <w:rPr>
          <w:rFonts w:ascii="IRNazanin" w:hAnsi="IRNazanin" w:eastAsia="IRNazanin"/>
          <w:color w:val="111111"/>
          <w:sz w:val="28"/>
          <w:sz w:val="28"/>
          <w:szCs w:val="28"/>
          <w:rtl w:val="true"/>
          <w:lang w:bidi="fa-IR"/>
        </w:rPr>
        <w:t>سینما فراتر از مسیحیت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گانۀ آپو اثر ساتیا جیت رای، فیلم ساز بنگالی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پاترپانچالی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آپاراجیتو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آپو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چالش ها و فواید این فرآیند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داستانی کلی این سه گانه، روایت مرارت های پسر یک موبد برهمن از کودکی تا دوران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ها که کنکاشی استادانه در شخصیت، محیط و بومگاه هستند، عناصر مذهبی به هیچ وجه تحمیلی به نظر نمی رسند و در عوض به منزلة بخشی از ساختاری بسیار عمیق </w:t>
      </w:r>
      <w:bookmarkStart w:id="753" w:name="pg3881_28058"/>
    </w:p>
    <w:p>
      <w:pPr>
        <w:pStyle w:val="BookText"/>
        <w:rPr/>
      </w:pPr>
      <w:bookmarkEnd w:id="753"/>
      <w:r>
        <w:rPr>
          <w:rFonts w:ascii="IRNazanin" w:hAnsi="IRNazanin" w:eastAsia="IRNazanin"/>
          <w:color w:val="111111"/>
          <w:sz w:val="28"/>
          <w:sz w:val="28"/>
          <w:szCs w:val="28"/>
          <w:rtl w:val="true"/>
          <w:lang w:bidi="fa-IR"/>
        </w:rPr>
        <w:t>عمل می کنند که به دقت پی ریزی شده و به گونه ای سهل و ممتنع به تماشاگر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پیچیدگی های هندویی و بودایی این فیلم ها کاملاً طبیعی به نظر می رسند و بخشی از شبکۀ پیچیده تر عوامل تعیین کننده و دلالت گری هستند که به ناچار و به گونه ای اصولی از غریبه ها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مشابهی در مورد فیلم های آسیایی نیز وجود دارد که موجب پیچیدگی واقعیت و قرائتِ این آثار می شود؛ آثاری که حساسیت خود را به لحاظ فرم و محتوا مدیون افکار بودیستی، به ویژه تکامل و انتشار این افکار از 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هر چند به گونه ای بسیار کلی ولی درخور، می توان در سبک بازنمایی و ژرف اندیشانۀ این آثار یافت که بازتاب و واکنشی به این مفهوم هستند که زندگی، متشکل است از اموری گذرا و رنج کشیدن و این که تسلیمِ همراه با آرامش و رأفت تنها واکنش شایسته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این طرز تفکر که به گونه ای آشکار و نهان، آگاهانه و ناخودآگاهانه به کار گرفته می شود را می توان هنوز در شماری از سبک های ملی در آسیا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بازتابی از فرهنگی خاص و نیز چشم اندازهایی هستند که فرد یا افراد در آن به بیان منویات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ریشۀ اندوه همدلانۀ مشهور آثار یاسوجیرو ازو را می توان در همین جا یافت</w:t>
      </w:r>
      <w:r>
        <w:rPr>
          <w:rFonts w:eastAsia="IRNazanin" w:cs="IRNazanin"/>
          <w:color w:val="111111"/>
          <w:sz w:val="28"/>
          <w:szCs w:val="28"/>
          <w:rtl w:val="true"/>
          <w:lang w:bidi="fa-IR"/>
        </w:rPr>
        <w:t>.</w:t>
      </w:r>
    </w:p>
    <w:p>
      <w:pPr>
        <w:pStyle w:val="Heading3"/>
        <w:numPr>
          <w:ilvl w:val="2"/>
          <w:numId w:val="1"/>
        </w:numPr>
        <w:rPr/>
      </w:pPr>
      <w:bookmarkStart w:id="754" w:name="__RefHeading___Toc1656524_2281741623"/>
      <w:bookmarkStart w:id="755" w:name="_Toc268"/>
      <w:bookmarkEnd w:id="754"/>
      <w:r>
        <w:rPr>
          <w:rtl w:val="true"/>
        </w:rPr>
        <w:t>سینمای نیکوکاری</w:t>
      </w:r>
      <w:bookmarkEnd w:id="755"/>
    </w:p>
    <w:p>
      <w:pPr>
        <w:pStyle w:val="BookText"/>
        <w:rPr/>
      </w:pPr>
      <w:r>
        <w:rPr>
          <w:rFonts w:ascii="IRNazanin" w:hAnsi="IRNazanin" w:eastAsia="IRNazanin"/>
          <w:color w:val="111111"/>
          <w:sz w:val="28"/>
          <w:sz w:val="28"/>
          <w:szCs w:val="28"/>
          <w:rtl w:val="true"/>
          <w:lang w:bidi="fa-IR"/>
        </w:rPr>
        <w:t>سینمای نیکوکاری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گونۀ دیگری از بیان معنوی در سینما که این جا قصد بیان آن را داریم، از میان نافهمی ها و عدم ادراک های فرهنگی، مسیری واقعی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نیکوکاری این قدرت را دارد که از مرزهای ملی و فرقه ای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سینما لزوماً آگاهی خود را از طریق اتکا به نظریه و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این که ـ دست کم و به ویژه برای حامیان وحدت گرایی کلیسایی ـ این آثار بازتابی از سائقه های مذهبی کلی تر و قابل دستیابی تری </w:t>
      </w:r>
    </w:p>
    <w:p>
      <w:pPr>
        <w:pStyle w:val="BookText"/>
        <w:rPr/>
      </w:pPr>
      <w:r>
        <w:rPr>
          <w:rFonts w:ascii="IRNazanin" w:hAnsi="IRNazanin" w:eastAsia="IRNazanin"/>
          <w:color w:val="111111"/>
          <w:sz w:val="28"/>
          <w:sz w:val="28"/>
          <w:szCs w:val="28"/>
          <w:rtl w:val="true"/>
          <w:lang w:bidi="fa-IR"/>
        </w:rPr>
        <w:t>هستند، سائقه ای که نقشی محوری در تمامی سنت های مذهبی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سبکی و روایی این آثار به تنوع مذهب ها، فرهنگ ها و افرادی است که به آن 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مشخصۀ اصلی سینمای نیکوکاری بیش از هر چیز، نگرشش به سوژه های سینمایی و تماشاگران به گونه ای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نگرشی همراه با احترام، شفقت، سخاوت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فیلم هایی هستند که با عشق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که در این رابطه به ذهن می رسند، بیشتر نام کارگردانانی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شاستروم، رابرت فلاهرتی، ژان رنوآر، الکساندر داوژنکو، فرانک بورزاگ، ازو، هوارد هاکس، لئو مک کاری، هامفری جنینگز، کنجی میزوگوچی، روبرتو روسیلینی، ساتیا جیت رای، تام دالی، ژان روش، ارمانو اولمی، جان کاساویتس، استن براخاژ، ویم وندرس، باربارا کاپل، چارلز برنت، اگنس واردا و عباس کیارستمی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فهرست هایی ـ این که تنها یک نمونه است و تنها هم به کارگردانان می پردازد ـ نوعی چالش و حتی نکوهش برای برخی مومنان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لئو مک کاری بی شک یکی از کارکردها و تجلیات کاتولیسیسم وی است ولی دربارۀ دیگر کارگردانان، حقیقتی که مخاطب احساس می کند، ریشه در سنت هایی دارد که ممکن است مورد پسند مخاطب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سنت، اصلاً سنتی مذهبی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ژان رنوآر، دست کم از نظر اصول و کنش، بی شک سکولار هستند و بیش از هر چیز تحت تأثیر سخاوت عظیم و ایمان امانیستی پایدار 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رنوآر بی شک کارگردان محبوب فرقه گرایان نیست و بی شک بسیاری از پیش فرض های او مورد تایید این افراد نیست، با این حال رنوآر به گونه ای تردیدناپذیر یکی از پرطنین ترین و سودبخش ترین نمونه ها در جهان فیلم سازی نیکوکاری باقی می ماند ولی در </w:t>
      </w:r>
      <w:bookmarkStart w:id="756" w:name="pg3881_28060"/>
    </w:p>
    <w:p>
      <w:pPr>
        <w:pStyle w:val="BookText"/>
        <w:rPr/>
      </w:pPr>
      <w:bookmarkEnd w:id="756"/>
      <w:r>
        <w:rPr>
          <w:rFonts w:ascii="IRNazanin" w:hAnsi="IRNazanin" w:eastAsia="IRNazanin"/>
          <w:color w:val="111111"/>
          <w:sz w:val="28"/>
          <w:sz w:val="28"/>
          <w:szCs w:val="28"/>
          <w:rtl w:val="true"/>
          <w:lang w:bidi="fa-IR"/>
        </w:rPr>
        <w:t>این جا یکی از رازها و معماهای سینمای مذهبی و شاید حتی خداپرستی،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مورد اغلب تجربه های قدسی به چشم می خورد، در این جا نیز توصیف تأثیر تمامی این آثار سینمایی متنوع و هم چنین تلاش و توجه سینمایی و اجتماعیِ خود ما، دشوار است و درک علت های تأثیر مذکور نیز دشوار است ولی احساسات و نتایج این امر در گرایشات سخاوتمندانه و اعمال نیکوکارانه، بی شک آشکار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نیکوکاری که در تمامی طول تاریخ این رسانه حاضر بوده است، قدرت این را داشته و هم چنان دارد که بر شکاف های فرهنگی و سوءتفاهمات مذهبی فائق آید و آغازگر پیوند امور نامتناجس در فضایی مملو از سپاس و قدردانی دوطرفه باشد</w:t>
      </w:r>
      <w:r>
        <w:rPr>
          <w:rFonts w:eastAsia="IRNazanin" w:cs="IRNazanin"/>
          <w:color w:val="111111"/>
          <w:sz w:val="28"/>
          <w:szCs w:val="28"/>
          <w:rtl w:val="true"/>
          <w:lang w:bidi="fa-IR"/>
        </w:rPr>
        <w:t>.</w:t>
      </w:r>
    </w:p>
    <w:p>
      <w:pPr>
        <w:pStyle w:val="Heading3"/>
        <w:numPr>
          <w:ilvl w:val="2"/>
          <w:numId w:val="1"/>
        </w:numPr>
        <w:rPr/>
      </w:pPr>
      <w:bookmarkStart w:id="757" w:name="__RefHeading___Toc1656526_2281741623"/>
      <w:bookmarkStart w:id="758" w:name="_Toc269"/>
      <w:bookmarkEnd w:id="757"/>
      <w:r>
        <w:rPr>
          <w:rtl w:val="true"/>
        </w:rPr>
        <w:t xml:space="preserve">دهۀ </w:t>
      </w:r>
      <w:r>
        <w:rPr/>
        <w:t>1950</w:t>
      </w:r>
      <w:bookmarkEnd w:id="758"/>
    </w:p>
    <w:p>
      <w:pPr>
        <w:pStyle w:val="BookText"/>
        <w:rPr/>
      </w:pP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1950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غنی سازی ها و گونه به گونگی ها با دوره ای از عدم قطعیت های وجودی مصادف می شود که با بحران اقتصادی صنعت فیلم سازی هالیوود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واکنش های هالیوود به این بحران، بازگشت به سوژه ها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نمونه های موفقی نیز به چشم می خورند ولی این فیلم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آثاری از قبیل سامسون و دلیله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کجا می روی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فرمان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 هور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فاقد ظرافت و صداقت بهترین آثار در میان اسلاف 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مسئله ناشی از امکانات دراماتیک گستردۀ این آثار و ساده اندیشی گاه ستیزه جویانۀ آن ها بود که نمایش ایمان و اعتقاد واقعی نیز برای خنثی سازی اثر آن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جیرینگ جیرینگ معمول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سکه هایی که در صندوق سینمای تجاری می افتاد نیز شاید یادآور ویرانی های معنوی عظیم 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 شاید از همه مهم تر، این واقعیت که این فیلم ها نیز همان تکنیک های سرگرمی گریزگرا را در خدمت امری معنوی به کار می گرفتند، منجر به ایجاد اشکالات و تحریفاتی بنیادین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تجاری همیشه به سوی ساده سازی گرایش داشته است، این که بخش زیاد و حتی اعظمی از کار تماشاگر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کار، اغلب انفعال و حتی عدم توان و تمایل به تفکر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تماشاگران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و مصرف کنندگان آثار سینمایی در این فرآیند به یک اندازه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مذهبی عامه پسند به ساده سازی ستیز و کشمکش معنوی می پردازند، فرآیندهای دشوار را از قلم می اندازند و پیشرفت درونی را از طریق مقاصد خارجی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تجلیات معجزه گونی که از طریق جلوه های ویژه به گونه ای متقاعدکننده تصویر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رابطۀ متقابل میان موضوع اصلی اثر و سبک، میان مذهبی که همراه سهولتی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این نشانه هایی از خود را در آثار 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داده بود ولی 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تجسم تناقض بنیادینِ سینمای مذهبی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مقدسِ چندین سنت مذهبی بر این نکته تأکید می کنند که در حیطۀ تجلیات و تجربیات معنوی، امر الهی نه در میان بادهای شدید، زمین لرزه و آتش سوزی، بلکه در صدا و صوتی کوچک و آرام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متون مقدس، چنین تجلیاتی خارج از دسترسی و کنترل ما هستند و به قول معروف، باد به هر کجا بخواهد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هالیوود و سینمای تجاری به طور کلی، راه آسان تر و به ظن فراوان، دورتر از معنویت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مانند گذشته، سینمای هنری اروپا در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آلترناتیو سالم تر و چالش برانگیزتری را نسبت به سهولت های مذهب هالیوودی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آثاری مانند اردت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کارل درایر و خاطرات کشیش دهکده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فرار کرد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جیب بر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روبر برسون، نمایش پرزرق و برق جای خود را به کاوشی ظریف و درونی در وجدان، آگاهی و تجربۀ فردی می دهد که با ضرباهنگی تأمل انگیز و سبکی مهارشده و زاهدانه نیز همراهی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خالی و نامتراکم این فیلم ها که گاه به سادگی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عاری بودن از هر زینتی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می زند، نه تنها در روایت، بلکه در بیان سینمایی سختی و واقعیت کشمکش معنوی نیز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نقطۀ مقابل رستگاری سینمایی سهل و آسان است و اگر مسیرهای عبور از آن تنگ و باریک است، پاداش عبور نیز برای قهرمانان فیلم و تماشاگرانی که با همدلی، آن ها را دنبال کرده اند، به همین میزان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تأثیرات تعلیمی آن چه پل شریدر سبک استعلایی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بررسی او از فیلم های برسون، درایر و یاسوجیرو 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حساسیت های لاادری گرانه و ملحدانه نیز به جست وجوی معنویت در فیلم های این دوره نیرو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صداهای ضروری، بازتابی از گرایش های فلسفی و روشنفکری دیرپایی بودند و به ما یادآوری می کردند که دغدغۀ مذهب تنها یافتن نیست، بلکه جست وجو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مصرانه و حتی وسواس گون اینگمار برگمان، کارگردان سوئدی در ظلمات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هفتم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خلال شیشه ای تاریک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زمستانی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سکوت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فریادها و نجواها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شکاکیتی در ابعادی داستایفسکی وار را پی جویی می کند و دقیقاً نیز به خاطر همین اصرار و سماجت، تأثیری ماندگار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میزان که ظلمات بر آثار برگمان سایه می افکند، تداوم این مکالمه عملاً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ایمان، اگر نه به شکل پاسخ هایی خاص و مشخص، بلکه به شکل اهمیت متداوم سئوال ها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برگمان به گونه ای متناقض به فرآیندهای معنوی اعتبار می بخشد و در عین حال از ثمربخشی آن ها اظهار یأس و نومیدی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و اعتقاد معنوی در آثار کارگردان اتئیست اسپانیایی، لوییس بونوئل، حتی از این هم متناقض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ناشی از هولوکاست و بسیاری رویدادهای دیگر، طرد مذهب را به موضعِ نوعی این دوران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بونوئل به نماد و بلندگویی برای این موضع بدل شد، هر چند که فیلم های او حاوی پیام هایی با صراحتی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دوپهلو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واقع از کفرگویی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L’Age d’Or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بخشی از نقد داداییستی و تزلزل برانگیزِ انواع و اقسام نهادها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نگاهی دقیق تر به آثار متأخر او نشان می دهد که این گونه حرمت شکنی ها ـ از جمله در سکانس شام آخر در فیلم ویریدیانا ـ را می توان در عین حال به مثابه محکومیت اخلاق گرایانۀ ریاکاری مذهبی و حتی بیان خشم بر حق وی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بونوئل به کرات نهاد کلیسا را هدف گرفته است و حملات او نیز ریشه در سوءاستفاده 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زمین بدون نان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تنها مذهب نیست که بونوئل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دیالکتیک میان مفهوم قابل احترام احمق 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قهرمانان دو فیلم ویریدیانا و نازارین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تلاش می کنند به مدیریت و انجام کار خیر بپردازند ـ و خباثت و فرومایگی کسانی که دریافت کنندگان خیر هستند، بر این آثار سایه می افکنند و موجب ایجاد تنشی طراوت بخش و سالم در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منفی و اغلب انسان گریز بونوئل عاری از تکریم و احترام </w:t>
      </w:r>
      <w:bookmarkStart w:id="759" w:name="pg3881_28064"/>
    </w:p>
    <w:p>
      <w:pPr>
        <w:pStyle w:val="BookText"/>
        <w:rPr/>
      </w:pPr>
      <w:bookmarkEnd w:id="759"/>
      <w:r>
        <w:rPr>
          <w:rFonts w:ascii="IRNazanin" w:hAnsi="IRNazanin" w:eastAsia="IRNazanin"/>
          <w:color w:val="111111"/>
          <w:sz w:val="28"/>
          <w:sz w:val="28"/>
          <w:szCs w:val="28"/>
          <w:rtl w:val="true"/>
          <w:lang w:bidi="fa-IR"/>
        </w:rPr>
        <w:t>نیست؛ به خاطر دفاع موثرش از اصولی که مومنان اغلب از پایبندی به آن ها باز می مانند</w:t>
      </w:r>
      <w:r>
        <w:rPr>
          <w:rFonts w:eastAsia="IRNazanin" w:cs="IRNazanin"/>
          <w:color w:val="111111"/>
          <w:sz w:val="28"/>
          <w:szCs w:val="28"/>
          <w:rtl w:val="true"/>
          <w:lang w:bidi="fa-IR"/>
        </w:rPr>
        <w:t>.</w:t>
      </w:r>
    </w:p>
    <w:p>
      <w:pPr>
        <w:pStyle w:val="Heading3"/>
        <w:numPr>
          <w:ilvl w:val="2"/>
          <w:numId w:val="1"/>
        </w:numPr>
        <w:rPr/>
      </w:pPr>
      <w:bookmarkStart w:id="760" w:name="__RefHeading___Toc1656528_2281741623"/>
      <w:bookmarkStart w:id="761" w:name="_Toc270"/>
      <w:bookmarkEnd w:id="760"/>
      <w:r>
        <w:rPr>
          <w:rtl w:val="true"/>
        </w:rPr>
        <w:t xml:space="preserve">دهۀ </w:t>
      </w:r>
      <w:r>
        <w:rPr/>
        <w:t>1960</w:t>
      </w:r>
      <w:bookmarkEnd w:id="761"/>
    </w:p>
    <w:p>
      <w:pPr>
        <w:pStyle w:val="BookText"/>
        <w:rPr/>
      </w:pP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1960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جوش و خروش و ناآرامی که به بی ثباتی بلندمدت صنعت سینما اضافه شده بود، موجب قطع ارتباط هالیوود با جستارهای مذهبی پیش رو شد و به ابزاری ناکارآمد برای انتشار و دفاع از ارزش های محوری آن ها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آبکیِ ریچارد بروکس در اِلمِر گنتری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شادابی هیستریک آوای موسیقی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گروه تماشاگران ترس خورده ای را به سوی خود کشید که بر اثر ضدفرهنگ های در حال شکوفایی در برابر هم صف بندی کرده بودند و بی ربطی ظاهری مشهود بزرگ ترین داستانی که تا به حال روایت شده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تاییدی بر این مدعا بودند که سینمای تجاری دیگر قادر به پاسخگویی به مسائل و دغدغه های مذهبی نیست، بلکه در عین حال نشان می دادند که این مسائل، در عمل، دیگر مسئله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این نگهبان پیر و شکست خورده، هالیوود جدیدی از راه می رسید که مذهب را با پیش فرض رابطۀ ناگزیر آن با محافظه کاری ارتجاعی یا مادی گرایی بورژوایی، به کلی پس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نگاه کنید به دختر خائن کشیش در فیلم بانی و کلاید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عبارت دیگر، با بت واره سازی از بدترین تجلیات مذهب و گرفتن این بخش های جزیی به جای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چنین نقدهایی به هیچ وجه جهان شمول نبودند ولی راه را برای آغاز مسیر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سینمای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توهم همگنی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خواست آشکاری از سوی </w:t>
      </w:r>
      <w:bookmarkStart w:id="762" w:name="pg3881_28065"/>
    </w:p>
    <w:p>
      <w:pPr>
        <w:pStyle w:val="BookText"/>
        <w:rPr/>
      </w:pPr>
      <w:bookmarkEnd w:id="762"/>
      <w:r>
        <w:rPr>
          <w:rFonts w:ascii="IRNazanin" w:hAnsi="IRNazanin" w:eastAsia="IRNazanin"/>
          <w:color w:val="111111"/>
          <w:sz w:val="28"/>
          <w:sz w:val="28"/>
          <w:szCs w:val="28"/>
          <w:rtl w:val="true"/>
          <w:lang w:bidi="fa-IR"/>
        </w:rPr>
        <w:t>تماشاگرانی که بلیت می خریدند، سینمای تجاری آمریکا از این نقطه در کل از ایفای نقشی فعال در تقویت ارزش های مذهبی که از مدت ها پیش کانون طبیعی آن را تشکیل می دادند،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 نهادی و تا حدی برساخته، راه را برای دیالکتیک باقی مانده از جست وجو و درک معنوی، تأیید و انکار و نیز همۀ طیف هایی که بین این دو قطب قرار می گرفتند،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 عوامل دیگری نیز وجود داشتند که به ابهام و غنای بحث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تنوع و چندگونگی در جوامع بین المللی فیلم سازی، به ویژه در جهان در حال توسعه؛ دمکراتیزه شدن مشروط تولید و پخش فیلم از طریق پیشرفت تکنولوژی؛ گفتارهای انتقادی که روندی رو به افزایش را طی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تمامی این ها است که سینمای مذهبی به مثابه ابژه ای متغیر و دگرگونی پذیر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انگشت گذاشتن روی الگوهای تاریخی و امکانات نظری دشوارتر از گذشته شده بود و با از راه رسیدن زمان حال بیش از پیش در هاله ای از ابهام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 تا زمانی که گرد و خاک فعالیت های معاصر در میان اسناد تحقیقاتی و پژوهشی دهه های آینده بخوابد، تنها برداشت هایی تاثیرگذار و پیش بینی هایی وجود دارند که همگی بر مبنای فعالیت های گذشته شکل گرفته اند</w:t>
      </w:r>
      <w:r>
        <w:rPr>
          <w:rFonts w:eastAsia="IRNazanin" w:cs="IRNazanin"/>
          <w:color w:val="111111"/>
          <w:sz w:val="28"/>
          <w:szCs w:val="28"/>
          <w:rtl w:val="true"/>
          <w:lang w:bidi="fa-IR"/>
        </w:rPr>
        <w:t>.</w:t>
      </w:r>
    </w:p>
    <w:p>
      <w:pPr>
        <w:pStyle w:val="Heading3"/>
        <w:numPr>
          <w:ilvl w:val="2"/>
          <w:numId w:val="1"/>
        </w:numPr>
        <w:rPr/>
      </w:pPr>
      <w:bookmarkStart w:id="763" w:name="__RefHeading___Toc1656530_2281741623"/>
      <w:bookmarkStart w:id="764" w:name="_Toc271"/>
      <w:bookmarkEnd w:id="763"/>
      <w:r>
        <w:rPr>
          <w:rtl w:val="true"/>
        </w:rPr>
        <w:t>تحولات اخیر</w:t>
      </w:r>
      <w:bookmarkEnd w:id="764"/>
    </w:p>
    <w:p>
      <w:pPr>
        <w:pStyle w:val="BookText"/>
        <w:rPr/>
      </w:pPr>
      <w:r>
        <w:rPr>
          <w:rFonts w:ascii="IRNazanin" w:hAnsi="IRNazanin" w:eastAsia="IRNazanin"/>
          <w:color w:val="111111"/>
          <w:sz w:val="28"/>
          <w:sz w:val="28"/>
          <w:szCs w:val="28"/>
          <w:rtl w:val="true"/>
          <w:lang w:bidi="fa-IR"/>
        </w:rPr>
        <w:t>تحولات اخیر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سینمای عرفانی آندری تارکوفسکی از اوایل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تبعید از اتحاد جماهیر شوروی و مرگش در اوایل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نه تنها ایمان مذهبی دیریاب خود وی را بیان می کرد، بلکه آشکارا به مثابه دست رد و نقطۀ مقابلی در برابر مذهب دولتی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امانیسم موج نوی سینمای چک در </w:t>
      </w:r>
    </w:p>
    <w:p>
      <w:pPr>
        <w:pStyle w:val="BookText"/>
        <w:rPr/>
      </w:pPr>
      <w:r>
        <w:rPr>
          <w:rFonts w:ascii="IRNazanin" w:hAnsi="IRNazanin" w:eastAsia="IRNazanin"/>
          <w:color w:val="111111"/>
          <w:sz w:val="28"/>
          <w:sz w:val="28"/>
          <w:szCs w:val="28"/>
          <w:rtl w:val="true"/>
          <w:lang w:bidi="fa-IR"/>
        </w:rPr>
        <w:t xml:space="preserve">اواسط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واکنش مشابهی محسوب می شود، چنان که تاکید بر اهمیت بیان فردی و ارزش فرد در سینمای چین طی دهه 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نقش مشابهی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ساخت شب مردگان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سینمای ترسناک مدرن با نوعی تاثیرگذاری متناوب، به مثابه تصویر نگاتیوی از مسائل مذهبی متعارف پدیدار شد، در حالی که اضطراب های ژرف و بدبینی خاص این سینما بحث های متعارف دربارۀ مسائل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سینمای فرقه ای، تولیداتی که از طریق نهادهای مذهبی خاص تولید و میان پیروان وفادارشان توزیع می شدند، نشانگر گسستی مهم از صنعت سینما و جایگزینی برای عناصر تحمیلی این صنعت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 چنین نشانگر ایجاد شکافی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سینمای مذهبی و صنعت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مومنانی که از هر سو تحت فشار بودند، هر روز کمتر از گذشته خود، دغدغه ها و تسلی های شان را در سینمایی بیش از پیش سکولار که هر روز 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را زیر پا می گذاشت،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 ای از تحقیقاتی که دربارۀ این موضوع خاص صورت گرفته است، به گونه ای آشکار وجود این شکاف را روشن می سازد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هر چیز، در آثار شخصی و همکاری های دونفرۀ پل شریدر و مارتین اسکورسیزی، انگیزه ها و خواسته های متعالی با ناتورالیسمی سرسخت و نکبت بار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آثاری مانند خیابان های پایین شهر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راننده تاکسی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ژیگول آمریکایی و گاو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کار رویکردی اپرایی و حتی سرخوشانه به رنج و گناه است که با یکدیگر در 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سینمای ریاضت و کف نفس، به گونه ای موثر خواسته ها و خلا </w:t>
      </w:r>
    </w:p>
    <w:p>
      <w:pPr>
        <w:pStyle w:val="BookText"/>
        <w:rPr/>
      </w:pPr>
      <w:r>
        <w:rPr>
          <w:rFonts w:ascii="IRNazanin" w:hAnsi="IRNazanin" w:eastAsia="IRNazanin"/>
          <w:color w:val="111111"/>
          <w:sz w:val="28"/>
          <w:sz w:val="28"/>
          <w:szCs w:val="28"/>
          <w:rtl w:val="true"/>
          <w:lang w:bidi="fa-IR"/>
        </w:rPr>
        <w:t>دوران خود را به تصویر می کشند و در عین حال نشانه های قدرتمندی از رستگاری نیز در آن ها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نهم یوحنا که در انتهای گاو خشمگین بر صفحه ظاهر می شود، علت وجودی این فیلم ها را توضیح می دهد و تا حد زیادی نیز اعمال قهرمانان زخم خورده شان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او گناهکار است یا نه، نمی دانم ولی یک چیز را می دانم، این که پیش از این کور بودم و اکنون بینا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قاطع و آشکار نیز به نوبۀ خود موجب تعمیق شکاف شد و رابطۀ دیرپای میان حوزه های سکولار و فرقه ای را وارونه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مورد وثوق کلاس های مذهبی کلیسا ها به گونه ای افراطی تصویری کاریکاتوری از گناه و گناه کارانی ارائه می داد که در ارائۀ تصویری صادقانه از آن ها تلاش می کرد، پنجاه، شصت سال بعد، سینمای متمکن و لبریز از گناه نمی توانست با بسیاری از مومنان موجود در میان مخاطبان بیگانه شدۀ خود ارتباط چندانی برقرار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جنجالی که بر سر فیلم آخرین وسوسۀ مسیحِ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شریدر و اسکورسیزی بر پا شد، نمونه و نشانۀ خوبی از این بیگانه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اثری شجاعانه و سرشار از اعتقادات و باورهای عمیق و در عین حال لغزش های بزرگی در زمینۀ سلیقه و رعایت حرمت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خصومتی که این فیلم با آن مواجه شد شاید تا حدودی بازتابی از فرهنگ ستیزی متکبرانه ای باشد که راست مذهبی قابلیت آن را دارد ولی این امر در عین حال موجب جلب توجه به مسائلی واقعی و مشروع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محافظه کاری نبود، بلکه محافظت بود، تنها تعصب و عدم تحمل نبود، بلکه نوعی آگاهی از خطرات بالقوۀ نقطۀ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مومنان می گفتند که تمایل بیش از حد به رنجش و رنجیده شدن باید در برابر خطر متقابلی مورد سنجش قرار بگیرد که ناتوانی از رنجیده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غربیان مومن که گاه به گاه در آثاری چون رحمت های پرمهر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مکان هایی در دل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تاریخی رابرت دووال،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 شد، طنینی از ایدۀ بنیادی جنبش فیلم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هنرمندی و بیان فردی عناصری ضروری هستند که باید به گونه ای در راستای احساس مسئولیت اجتماعی و جست وجوی خیرجمعی جهت دهی شوند ولی باز هم مانند همیشه، در صحنۀ بین المللی نیز شاهد واکنش ها، مقاومت ها و تحولاتی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سینمای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 وندرس در آثاری چون بال های هوس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دور، چه نزدیک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فانتزی فرشتۀ مداخله گر هالیوود را از نو ابداع می کند و با استفاده از الهامات اسطوره ای، استعاره، کنایه و درجه ای از طنز، از ظاهرگرایی و گاه ابتذال بعضی از ناموفق ترین الگوهایش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که در برلین می گذرند و به زیبایی فیلم برداری شده اند، در عین حال پیش نمایشی مافوق طبیعی از سقوط کمونیسم و چالش ها و فرصت های ژئوپولتیکِ پیامد آن به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کارگیری این استعاره های آسمانی، استعاره های اسطوره ای و کمی طنز و کنایه وجود دارد ولی با وجود تمام این فاصله گیری های محتاطانه، این آثار در عین حال حکایاتی دل پذیر و هوشمندانه دربارۀ اندوه و رستگاری هستند، گواهی بر قدرت نگاه مهرآمیز سینما و بالاخره، به ویژه در فصل پایانی فیلم دوم، بیان سپاسگزاری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در میان لفاظی های تفرقه انگیزِ گاه به گاه، شاهدی دلگرم کننده وجود دارد مبنی بر این که هنرمندان عامه پسند و مدرنیست های نخبه می توانند در </w:t>
      </w:r>
    </w:p>
    <w:p>
      <w:pPr>
        <w:pStyle w:val="BookText"/>
        <w:rPr/>
      </w:pPr>
      <w:r>
        <w:rPr>
          <w:rFonts w:ascii="IRNazanin" w:hAnsi="IRNazanin" w:eastAsia="IRNazanin"/>
          <w:color w:val="111111"/>
          <w:sz w:val="28"/>
          <w:sz w:val="28"/>
          <w:szCs w:val="28"/>
          <w:rtl w:val="true"/>
          <w:lang w:bidi="fa-IR"/>
        </w:rPr>
        <w:t>زمینۀ غنی و هنوز مشترک سینمای مذهبی، با یکدیگر ملاقات کنند و تهذیب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دورتر، مهمانی ببیت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زیبا و بدیع گابریل اکسل، که به گونه ای استراتژیک بازیگران شاهکارهای کارل تئودور درایر را انتخاب و به کار می گیرد، امکان تعمقی دقیق و یک آشتی و سازگاری دوست داشتنی میان گرایش های وافرِ مذهبی هالیوود و برخوردهای تلخ سینمای هنری را فراهم می کند؛ هم چنین نوعی آشتی و سازگاری میان رضایت ناشی از جست وجوی خواسته هایی عمدتاً سکولار و نیازهای مبرم تر زندگی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شینتوییسم فولکلور نقشی ضروری در لذات و جوهرۀ انیمیشن های اخیر استودیوی جیبلیِ ژاپن ایفا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همسایه ام توتورو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شاهزاده مونونوکه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شور انگیز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هایائو میازاکی و جنگ راکون ها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ایسائو تاکاهاتا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وابسته به ارزشی خاص در این آثار ـ توجه به محیط زیست، خودداری از قطب بندی خیر و شر در میان شخصیت ها، گرامی داشت قلمروی خانه ـ که از اسلافی وافر پیروی می کنند، در خارج از آن نظام ارزشی خاص نیز بازتاب پیدا می کنند و تاثیری کلی و گردهم آورنده باقی می گذارند و این امر با وجود و شاید به خاطر خاص بودگی فرهنگی و مذهبی این آثار روی می 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و بی شک، مهم ترین موضوع هر بحثی دربارۀ سینما و مذهب معاصر، سینمای ایران در دهه 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که بسیاری از مسائل مطروحه در این بحث را در خود خلاصه می کند و در عین حال چالش ها و فرصت های جدیدی را برای بحث هایی ثمربخش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کجای دیگر نیست که سهولت و خطر عدم تفاهم بین مذهبی، لزوم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هایی سخاوتمندانه و دوسویه، آشکارتر از ضرورت ایجاد تعامل میان اسلام و جهان یهودی ـ مسیحی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حضرت محمد دربارۀ ممنوعیت بازنمایی هنرمندانۀ پیکر انسان تا حد زیادی عامل قلت تولیدات هنری به طور اعم و تولیدات سینمایی به طور اخص، در جهان اسلام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 به رغم چنین توصیه ها و برداشت هایی، تولیداتی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ایران، این تولیدات برخی از نیروبخش ترین و چالش برانگیزترین آثار سینمایی جهان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کلیشه هایی دربارۀ ایران وجود دارد که ممکن است ریشه هایی نیز در حقایق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محافظه کار و سرکوبگر در ایران واقعی هستند، نیروهایی که عمدتاً مذهبی هستند و از ایجاد محدودیت بر سر راه آزادی بیان در سینما اطمینان حاصل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می توان به درستی استدلال کرد که نیروهای سرکوبگر در ایالات متحده نیز به همین ترتیب بر سر راه انتشار و کسب افتخار این آثار ارزنده محدودیت ایجاد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می توان به عدم صدور ویزا برای عباس کیارستمی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فستیوال فیلم نیویورک اشاره کرد که بازتاب گسترده ای نیز در رسانه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گرایش به جست وجوی نشانه های رمزی و سیاسی در آثار سینمای ایران جذابیت ویژه ای یافته است و ممکن است به نتایجی هم برسد ولی مطمئناً ثمربخش ترین رویکردی که می توان به آثار سینمای ایران داشت، به ویژه در ارتباط با بحث ما ـ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دوران اوج هالیوود و نیز بسیاری شرایط سیاسی محدود و بستۀ دیگر، محدودیت ها گاه در خدمت شکوفایی خلاقیت و اضطرار قرار گرفته اند ولی این مسائل در اعماق سطحِ ظاهراً آرام و بی تلاطمی قرار دارند که به کاوش و بررسی ما تن 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این که، باید به این نکتۀ بدیهی </w:t>
      </w:r>
    </w:p>
    <w:p>
      <w:pPr>
        <w:pStyle w:val="BookText"/>
        <w:rPr/>
      </w:pPr>
      <w:r>
        <w:rPr>
          <w:rFonts w:ascii="IRNazanin" w:hAnsi="IRNazanin" w:eastAsia="IRNazanin"/>
          <w:color w:val="111111"/>
          <w:sz w:val="28"/>
          <w:sz w:val="28"/>
          <w:szCs w:val="28"/>
          <w:rtl w:val="true"/>
          <w:lang w:bidi="fa-IR"/>
        </w:rPr>
        <w:t>توجه کرد که سینمای ایران تجسم گوناگون واقعیتی ساده است؛ شاید به گونه ای منحصر به فرد در تاریخ سینما، سینمای ملی این کشور آشکارا متشکل از بیانِ جمعی جامعه ای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فرمال این سینما چالش برانگیز و حتی پیشگام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تنوع فراوانی وجود دارد ـ سینمای اندرزگوی مجید مجیدی؛ عمل گرایی رئالیستی جعفر پناهی؛ معاضدت های گونا گون خانوادۀ مخملباف؛ نازک بینی ها، سخاوت ها و سکولاریسم نسبی فیلم های هنری و روشنفکرانۀ عباس کیارستمی ـ آن گاه این امر تاییدی بر وجود طیف گسترده ای از مسائل و امکاناتی است که مذهب قادر به انگیزش شان است؛ مذهبی که اکنون بیش از گذشته تصویری کاریکاتوری از آن به مثابه امری محدودکننده و دست و پاگیر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سینما در طول تاریخ خود قدرتش را برای جلب توجه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گونه ای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ای پیگیر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ها و از قلم افتادگی هایی که در متن کوتاهی مانند این وجود دارد و از لوازم چنین قالب و زمینه ای محسوب می شود، ممکن است در عمل در برابر هیپنوتیزم مضر آن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فیلم سازان، به ویژه آن جا که پای مذهب در میان است، تنها باید به مثابه نوعی سرآغاز و به عنوان بخشی از تبادل وسیع تر و چالش برانگیزتر اصول و مفاهیم عمل کنند؛ تبادلی که باید موجب گسترش ادراک و ارزیابی ما از پدیده های بیرونی و در عین حال موجب تشدید ادراک و ارزیابی ما از باورهایی شوند که درون ما پایدار و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دِین دانکِین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نیما ملک محمدی </w:t>
      </w:r>
      <w:bookmarkStart w:id="765" w:name="pg3881_28072"/>
    </w:p>
    <w:p>
      <w:pPr>
        <w:pStyle w:val="Heading3"/>
        <w:numPr>
          <w:ilvl w:val="2"/>
          <w:numId w:val="1"/>
        </w:numPr>
        <w:rPr/>
      </w:pPr>
      <w:bookmarkStart w:id="766" w:name="__RefHeading___Toc1656532_2281741623"/>
      <w:bookmarkStart w:id="767" w:name="_Toc272"/>
      <w:bookmarkEnd w:id="765"/>
      <w:bookmarkEnd w:id="766"/>
      <w:r>
        <w:rPr>
          <w:rtl w:val="true"/>
        </w:rPr>
        <w:t>برای مطالعۀ بیشتر</w:t>
      </w:r>
      <w:bookmarkEnd w:id="767"/>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Bazin, A. (1993). Cinema and theology. In J. McAuliffe (Ed.) Plays, movies, and critics.Durham, NC: Duke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Bliss, M. (1995). The word made flesh: Catholicism and conflict in the films of Martin Scorsese.Lanham, MD: Scarecrow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Bunuel, Luis (1983). My last sigh.New York: Alfred A. Knopf. Cowie, Peter (1982). Ingmar Bergman: Acritical biography.New York: Scribner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Dabashi, Hamid (2001). Close up: Iranian cinema, past, present and future.London; New York: Verso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Fraser,P.(1998). Images of the passion: The sacramental mode in film.Westport, CT: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Hardy,F. (Ed.). (1966). Grierson on documentary. New York: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Hayne, D. (Ed.). (1959). The autobiography of Cecil B. DeMille. New York: Garland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Lyden, J. (2003). Film as religion: Myth, morals, rituals. New York: New York University Press</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Medved, M. (1992). Hollywood vs. America: Popular culture and the war on traditional values. New York: Harper Collins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Schrader, P. (1972). Transcendental style in film: Ozu, Bresson, Dreyer.Berkeley: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Skoller, D. (Ed.). (1973). Dreyer in double reflection. New York: Dutton</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Tarkovsky, A. (1987). Sculpting in time: Reflections on the cinema.New York: Alfred A. Knopf</w:t>
      </w:r>
      <w:r>
        <w:rPr>
          <w:rFonts w:eastAsia="Times New Roman" w:cs="Times New Roman" w:ascii="Times New Roman" w:hAnsi="Times New Roman"/>
          <w:color w:val="111111"/>
          <w:sz w:val="28"/>
          <w:szCs w:val="28"/>
          <w:rtl w:val="true"/>
          <w:lang w:val="en-US" w:bidi="en-US"/>
        </w:rPr>
        <w:t xml:space="preserve">. </w:t>
      </w:r>
      <w:bookmarkStart w:id="768" w:name="pg3881_28074"/>
    </w:p>
    <w:p>
      <w:pPr>
        <w:pStyle w:val="Heading2"/>
        <w:numPr>
          <w:ilvl w:val="1"/>
          <w:numId w:val="1"/>
        </w:numPr>
        <w:rPr/>
      </w:pPr>
      <w:bookmarkStart w:id="769" w:name="__RefHeading___Toc1656534_2281741623"/>
      <w:bookmarkStart w:id="770" w:name="_Toc273"/>
      <w:bookmarkEnd w:id="768"/>
      <w:bookmarkEnd w:id="769"/>
      <w:r>
        <w:rPr>
          <w:rtl w:val="true"/>
        </w:rPr>
        <w:t>مجسمه سازی</w:t>
      </w:r>
      <w:bookmarkEnd w:id="770"/>
    </w:p>
    <w:p>
      <w:pPr>
        <w:pStyle w:val="Heading3"/>
        <w:numPr>
          <w:ilvl w:val="2"/>
          <w:numId w:val="1"/>
        </w:numPr>
        <w:rPr/>
      </w:pPr>
      <w:bookmarkStart w:id="771" w:name="__RefHeading___Toc1656536_2281741623"/>
      <w:bookmarkStart w:id="772" w:name="_Toc274"/>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مجسمه سازی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تمدن های بزرگ اولیه تا دوران معاصر، مجسمه سازی به عنوان وسیله ای برای برقراری ارتباط مذهبی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مجسمه ساز این است که ماده را به شیء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سازان به دو شیوه کار می کنند؛ یا به شیوۀ کاهشی که بر چوب یا سنگ، کنده کاری می کنند و یا گِل یا موم را به طریق افزایشی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در حالت گرداگرد از دورتادور تکمیل می شود و به عنوان یک شیءِ بدون تکیه گاه، از نقاط گوناگون بسیاری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مجسمۀ نقش برجسته به نقاشی دو بعدی ای شباهت دارد که در آن پیکر ها و اَشکال با پس زمینه و طرح کلی به هم پیوسته اند هم چون نقش کم برجسته یا کوتاه برجسته و یا هم چون نقشِ تمام برجسته به طور چشمگیری </w:t>
      </w:r>
      <w:bookmarkStart w:id="773" w:name="pg3881_28075"/>
    </w:p>
    <w:p>
      <w:pPr>
        <w:pStyle w:val="BookText"/>
        <w:rPr/>
      </w:pPr>
      <w:bookmarkEnd w:id="773"/>
      <w:r>
        <w:rPr>
          <w:rFonts w:ascii="IRNazanin" w:hAnsi="IRNazanin" w:eastAsia="IRNazanin"/>
          <w:color w:val="111111"/>
          <w:sz w:val="28"/>
          <w:sz w:val="28"/>
          <w:szCs w:val="28"/>
          <w:rtl w:val="true"/>
          <w:lang w:bidi="fa-IR"/>
        </w:rPr>
        <w:t>برجستگی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انواع متفاوت مجسمه سازی، نیاز های بیان گر انۀ مذاهب دنیا را برآورده ساخته اند</w:t>
      </w:r>
      <w:r>
        <w:rPr>
          <w:rFonts w:eastAsia="IRNazanin" w:cs="IRNazanin"/>
          <w:color w:val="111111"/>
          <w:sz w:val="28"/>
          <w:szCs w:val="28"/>
          <w:rtl w:val="true"/>
          <w:lang w:bidi="fa-IR"/>
        </w:rPr>
        <w:t>.</w:t>
      </w:r>
    </w:p>
    <w:p>
      <w:pPr>
        <w:pStyle w:val="Heading3"/>
        <w:numPr>
          <w:ilvl w:val="2"/>
          <w:numId w:val="1"/>
        </w:numPr>
        <w:rPr/>
      </w:pPr>
      <w:bookmarkStart w:id="774" w:name="__RefHeading___Toc1656538_2281741623"/>
      <w:bookmarkStart w:id="775" w:name="_Toc275"/>
      <w:bookmarkEnd w:id="774"/>
      <w:r>
        <w:rPr>
          <w:rtl w:val="true"/>
        </w:rPr>
        <w:t>تاریخ اولیه</w:t>
      </w:r>
      <w:bookmarkEnd w:id="775"/>
    </w:p>
    <w:p>
      <w:pPr>
        <w:pStyle w:val="BookText"/>
        <w:rPr/>
      </w:pPr>
      <w:r>
        <w:rPr>
          <w:rFonts w:ascii="IRNazanin" w:hAnsi="IRNazanin" w:eastAsia="IRNazanin"/>
          <w:color w:val="111111"/>
          <w:sz w:val="28"/>
          <w:sz w:val="28"/>
          <w:szCs w:val="28"/>
          <w:rtl w:val="true"/>
          <w:lang w:bidi="fa-IR"/>
        </w:rPr>
        <w:t>تاریخ اولیه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مجسمه ای، داستانی را به تصویر می کشند، خدا یا عابدی را نمایش می دهند یا در زمینه یا مراسم عبادی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محل قرار گیری اثر مجسمه ای در کار کرد مذهبی اش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پیکر های استوانه ای مردان و زنان کشف شده در معبد چهار گوش اشنونا</w:t>
      </w:r>
      <w:r>
        <w:rPr>
          <w:rStyle w:val="FootnoteAnchor"/>
          <w:rtl w:val="true"/>
        </w:rPr>
        <w:footnoteReference w:id="314"/>
      </w:r>
      <w:r>
        <w:rPr>
          <w:rFonts w:ascii="IRNazanin" w:hAnsi="IRNazanin" w:eastAsia="IRNazanin"/>
          <w:color w:val="111111"/>
          <w:sz w:val="28"/>
          <w:sz w:val="28"/>
          <w:szCs w:val="28"/>
          <w:rtl w:val="true"/>
          <w:lang w:bidi="fa-IR"/>
        </w:rPr>
        <w:t xml:space="preserve">در تِل اَسمر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ظروفی را در آغوش دارند یا دعا می کنند، در حالی که چشمانشان در عملِ عبادت برای یک خدا، شاید اَبو،</w:t>
      </w:r>
      <w:r>
        <w:rPr>
          <w:rStyle w:val="FootnoteAnchor"/>
          <w:rtl w:val="true"/>
        </w:rPr>
        <w:footnoteReference w:id="315"/>
      </w:r>
      <w:r>
        <w:rPr>
          <w:rFonts w:ascii="IRNazanin" w:hAnsi="IRNazanin" w:eastAsia="IRNazanin"/>
          <w:color w:val="111111"/>
          <w:sz w:val="28"/>
          <w:sz w:val="28"/>
          <w:szCs w:val="28"/>
          <w:rtl w:val="true"/>
          <w:lang w:bidi="fa-IR"/>
        </w:rPr>
        <w:t>خدای گیاهان، کاملاً باز و خیره به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تندیس های نذری سومری،</w:t>
      </w:r>
      <w:r>
        <w:rPr>
          <w:rStyle w:val="FootnoteAnchor"/>
          <w:rtl w:val="true"/>
        </w:rPr>
        <w:footnoteReference w:id="316"/>
      </w:r>
      <w:r>
        <w:rPr>
          <w:rFonts w:ascii="IRNazanin" w:hAnsi="IRNazanin" w:eastAsia="IRNazanin"/>
          <w:color w:val="111111"/>
          <w:sz w:val="28"/>
          <w:sz w:val="28"/>
          <w:szCs w:val="28"/>
          <w:rtl w:val="true"/>
          <w:lang w:bidi="fa-IR"/>
        </w:rPr>
        <w:t>مجسمۀ تدفینی مصری برای اهرام تولید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های مکعبی خُشک و جدی پادشاهان و ملکه های مصر به منزلة خانه های ابدی برای کا</w:t>
      </w:r>
      <w:r>
        <w:rPr>
          <w:rStyle w:val="FootnoteAnchor"/>
          <w:rtl w:val="true"/>
        </w:rPr>
        <w:footnoteReference w:id="317"/>
      </w:r>
      <w:r>
        <w:rPr>
          <w:rFonts w:ascii="IRNazanin" w:hAnsi="IRNazanin" w:eastAsia="IRNazanin"/>
          <w:color w:val="111111"/>
          <w:sz w:val="28"/>
          <w:sz w:val="28"/>
          <w:szCs w:val="28"/>
          <w:rtl w:val="true"/>
          <w:lang w:bidi="fa-IR"/>
        </w:rPr>
        <w:t>یا روح به کار می رفتند که بنابر اعتقادات مذهبی مردم مصر، پس از مرگ به زندگی اش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سنگِ فنا ناپذیر جای انسان های جاندار را می گیرد، مجسمۀ مذهبی بین النهرینی و مصری، این جهان را با جهان پس از مرگ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سازان این آثار اولیه نا شناخته اند ولی هنرمندان بعدی با خلق آثاری با کارکرد مذهبی، به شهرت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قدیمی ترین مجسمه سازان نامدار، فیدیاس، پولیکلیتوس و پراکسیتلِس پیکره های عظیم مجسمۀ مذهبی باستان را در طول دورۀ کلاسیک یونانی، یعنی قرون پنجم و چهارم پیش از میلاد مسیح،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قسمت عمدۀ فضای داخل معابد، مختص مجسمه های آیینی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bookmarkStart w:id="776" w:name="pg3881_28076"/>
    </w:p>
    <w:p>
      <w:pPr>
        <w:pStyle w:val="BookText"/>
        <w:rPr/>
      </w:pPr>
      <w:bookmarkEnd w:id="776"/>
      <w:r>
        <w:rPr>
          <w:rFonts w:ascii="IRNazanin" w:hAnsi="IRNazanin" w:eastAsia="IRNazanin"/>
          <w:color w:val="111111"/>
          <w:sz w:val="28"/>
          <w:sz w:val="28"/>
          <w:szCs w:val="28"/>
          <w:rtl w:val="true"/>
          <w:lang w:bidi="fa-IR"/>
        </w:rPr>
        <w:t xml:space="preserve">عبادت کنندگان در اُلمپیا می توانستند برای دیدن پیکرۀ سیزده متری زئوس از جنس سنگ، مفرغ و کریسِلِفانتین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اندوده از عاج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عمدۀ فضای داخل سِلا</w:t>
      </w:r>
      <w:r>
        <w:rPr>
          <w:rStyle w:val="FootnoteAnchor"/>
          <w:rtl w:val="true"/>
        </w:rPr>
        <w:footnoteReference w:id="318"/>
      </w:r>
      <w:r>
        <w:rPr>
          <w:rFonts w:ascii="IRNazanin" w:hAnsi="IRNazanin" w:eastAsia="IRNazanin"/>
          <w:color w:val="111111"/>
          <w:sz w:val="28"/>
          <w:sz w:val="28"/>
          <w:szCs w:val="28"/>
          <w:rtl w:val="true"/>
          <w:lang w:bidi="fa-IR"/>
        </w:rPr>
        <w:t>را پُر کرده بود، از راه پله ای مار پیچ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بیرون معبد یونانی که محل مراسم قربانی کردن حیوانات بود، پیکره ها در ستون ها و در کتیبه های تزیینی و سر ستون ها که چهار سوی ساختمان های معبد کلاسیک را احاطه می کنند، نمایان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این آثارِ کمال یافته و بی نقص، اَعمال حماسی خدایان و الهه هایی را روایت می کردند که معابد به آنان اختصاص داشت؛ برای نمونه، ستون شرقی در پارتنون</w:t>
      </w:r>
      <w:r>
        <w:rPr>
          <w:rStyle w:val="FootnoteAnchor"/>
          <w:rtl w:val="true"/>
        </w:rPr>
        <w:footnoteReference w:id="319"/>
      </w:r>
      <w:r>
        <w:rPr>
          <w:rFonts w:ascii="IRNazanin" w:hAnsi="IRNazanin" w:eastAsia="IRNazanin"/>
          <w:color w:val="111111"/>
          <w:sz w:val="28"/>
          <w:sz w:val="28"/>
          <w:szCs w:val="28"/>
          <w:rtl w:val="true"/>
          <w:lang w:bidi="fa-IR"/>
        </w:rPr>
        <w:t>تولد آتنا</w:t>
      </w:r>
      <w:r>
        <w:rPr>
          <w:rStyle w:val="FootnoteAnchor"/>
          <w:rtl w:val="true"/>
        </w:rPr>
        <w:footnoteReference w:id="320"/>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پیکر ه های کلاسیکی که امروزه موجود است سفیدِ مطلق اند ولی آن ها در زمان ساخته شدن، رنگی بسیار غلیظ با اجرای درخشان قرمز، آبی و زرد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فلز زر اندود نیز در آراستن خدایان حجاری شدۀ یونان باستان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با شکوه این نگاره ها، تأکید بر قدر دانی عبادت کنندگان یونانی در قبال موهبت های خدایان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نقش برجسته ها ی روایی، هزاران پیکرۀ متناسب عریان مذکر و پیکر های ملبس مؤنث از آن دوره نیز به عنوان پیکر های نذری در معابد و پرستشگاه ها قرار داشتند یا به عنوان نشان گر های قبر استفاده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های نذری، تجلیات جسمی سپاسگذاری از جانب عبادت کنندگان انفرادی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های نذری یونان هم چون نمونه های سومری و مصری، امر جاندار را به امر بی جان و الهی متصل می ساختند</w:t>
      </w:r>
      <w:r>
        <w:rPr>
          <w:rFonts w:eastAsia="IRNazanin" w:cs="IRNazanin"/>
          <w:color w:val="111111"/>
          <w:sz w:val="28"/>
          <w:szCs w:val="28"/>
          <w:rtl w:val="true"/>
          <w:lang w:bidi="fa-IR"/>
        </w:rPr>
        <w:t>.</w:t>
      </w:r>
    </w:p>
    <w:p>
      <w:pPr>
        <w:pStyle w:val="Heading3"/>
        <w:numPr>
          <w:ilvl w:val="2"/>
          <w:numId w:val="1"/>
        </w:numPr>
        <w:rPr/>
      </w:pPr>
      <w:bookmarkStart w:id="777" w:name="__RefHeading___Toc1656540_2281741623"/>
      <w:bookmarkStart w:id="778" w:name="_Toc276"/>
      <w:bookmarkEnd w:id="777"/>
      <w:r>
        <w:rPr>
          <w:rtl w:val="true"/>
        </w:rPr>
        <w:t>استفاده های یهودی ـ مسیحی از مجسمه</w:t>
      </w:r>
      <w:bookmarkEnd w:id="7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های یهودی ـ مسیحی از مجسمه </w:t>
      </w:r>
    </w:p>
    <w:p>
      <w:pPr>
        <w:pStyle w:val="BookText"/>
        <w:rPr/>
      </w:pPr>
      <w:r>
        <w:rPr>
          <w:rFonts w:ascii="IRNazanin" w:hAnsi="IRNazanin" w:eastAsia="IRNazanin"/>
          <w:color w:val="111111"/>
          <w:sz w:val="28"/>
          <w:sz w:val="28"/>
          <w:szCs w:val="28"/>
          <w:rtl w:val="true"/>
          <w:lang w:bidi="fa-IR"/>
        </w:rPr>
        <w:t>در سنت یهودی ـ مسیحی، ارتباط بین انسان ها و خدایی واحد به وسیلۀ عملِ مجسمه سازی آن گونه که در کتاب پیدایش ذکر گردیده، با ذکر نمونه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انسان را از غبار زمین صورت بخشید و نیروی زندگی را در منخرین او دمید؛ و انسان نفسی جاندار گردید</w:t>
      </w:r>
      <w:r>
        <w:rPr>
          <w:rFonts w:eastAsia="IRNazanin" w:cs="IRNazanin"/>
          <w:color w:val="111111"/>
          <w:sz w:val="28"/>
          <w:szCs w:val="28"/>
          <w:rtl w:val="true"/>
          <w:lang w:bidi="fa-IR"/>
        </w:rPr>
        <w:t>.</w:t>
      </w:r>
      <w:r>
        <w:rPr>
          <w:rStyle w:val="FootnoteAnchor"/>
          <w:rtl w:val="true"/>
        </w:rPr>
        <w:footnoteReference w:id="32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دامنۀ توحید، به ویژه مسیحیت و هم چنین یهودیت، به تدریج در دنیای مدیترانه ای بیشتر می شد، بحث و جدل بر سر جایگاه مجسمه به عنوان وسیله ای برای ارتباط مذهبی شدت بیشتری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نقاشی توانست خیلی زود به عنوان یک وسیلۀ انتقال اصول اساسی مسیحیت جایگاه خود را محکم کند ولی مجسمۀ نمایان هم چنان در پیوند بسیار نزدیک با بت های کفر آمیز، از جمله مجسمه های آیینی زئوس و آتنا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شمایل شکنی یا تصویر زدایی، در اوایل عصر مسیحی و در دوره های بعدی فوران کرد؛ یعنی زمانی که اخطار علیه ساختن اشیاء کنده کاری از کتاب مهاجرت بنی اسرائیل شبهه هایی را دربارۀ صحت مجسمۀ مذهبی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تصویر سازی غیر جاندار در ابتدا هنر مجسمه ای را محدود کرد ولی از قرن چهارم به بعد، مجسمۀ نقش برجستۀ نمادین و بازنمایانه خود را بر تابوت سنگی مسیحی ظاهر ساخت و شاید بتوان گفت که این امر در ادامۀ رسومات رومی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کای ـ رو</w:t>
      </w:r>
      <w:r>
        <w:rPr>
          <w:rStyle w:val="FootnoteAnchor"/>
          <w:rtl w:val="true"/>
        </w:rPr>
        <w:footnoteReference w:id="322"/>
      </w:r>
      <w:r>
        <w:rPr>
          <w:rFonts w:ascii="IRNazanin" w:hAnsi="IRNazanin" w:eastAsia="IRNazanin"/>
          <w:color w:val="111111"/>
          <w:sz w:val="28"/>
          <w:sz w:val="28"/>
          <w:szCs w:val="28"/>
          <w:rtl w:val="true"/>
          <w:lang w:bidi="fa-IR"/>
        </w:rPr>
        <w:t xml:space="preserve">علامتی شخصی متشکل از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 حروف اول واژۀ یونانی مسیح، گاه به گاه تابوت سنگی اولیۀ مسیحی را زینت می بخشد و کمی بعد حکایت هایی برای جلوه گر ساختن زندگی عیسی مسیح به ظهور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و قصۀ کنده کاری شده در کنار هم، اعتقادات </w:t>
      </w:r>
      <w:bookmarkStart w:id="779" w:name="pg3881_28078"/>
    </w:p>
    <w:p>
      <w:pPr>
        <w:pStyle w:val="BookText"/>
        <w:rPr/>
      </w:pPr>
      <w:bookmarkEnd w:id="779"/>
      <w:r>
        <w:rPr>
          <w:rFonts w:ascii="IRNazanin" w:hAnsi="IRNazanin" w:eastAsia="IRNazanin"/>
          <w:color w:val="111111"/>
          <w:sz w:val="28"/>
          <w:sz w:val="28"/>
          <w:szCs w:val="28"/>
          <w:rtl w:val="true"/>
          <w:lang w:bidi="fa-IR"/>
        </w:rPr>
        <w:t>مسیحی فرد متوفی را بر یادبودی زوال ناپذیر از سنگ بیان می کنند که جسد انسان در آن، جا گرفته است</w:t>
      </w:r>
      <w:r>
        <w:rPr>
          <w:rFonts w:eastAsia="IRNazanin" w:cs="IRNazanin"/>
          <w:color w:val="111111"/>
          <w:sz w:val="28"/>
          <w:szCs w:val="28"/>
          <w:rtl w:val="true"/>
          <w:lang w:bidi="fa-IR"/>
        </w:rPr>
        <w:t>.</w:t>
      </w:r>
    </w:p>
    <w:p>
      <w:pPr>
        <w:pStyle w:val="Heading3"/>
        <w:numPr>
          <w:ilvl w:val="2"/>
          <w:numId w:val="1"/>
        </w:numPr>
        <w:rPr/>
      </w:pPr>
      <w:bookmarkStart w:id="780" w:name="__RefHeading___Toc1656542_2281741623"/>
      <w:bookmarkStart w:id="781" w:name="_Toc277"/>
      <w:bookmarkEnd w:id="780"/>
      <w:r>
        <w:rPr>
          <w:rtl w:val="true"/>
        </w:rPr>
        <w:t>اثرات رشد مسیحیت بر استفاده از مجسمه</w:t>
      </w:r>
      <w:bookmarkEnd w:id="781"/>
    </w:p>
    <w:p>
      <w:pPr>
        <w:pStyle w:val="BookText"/>
        <w:rPr/>
      </w:pPr>
      <w:r>
        <w:rPr>
          <w:rFonts w:ascii="IRNazanin" w:hAnsi="IRNazanin" w:eastAsia="IRNazanin"/>
          <w:color w:val="111111"/>
          <w:sz w:val="28"/>
          <w:sz w:val="28"/>
          <w:szCs w:val="28"/>
          <w:rtl w:val="true"/>
          <w:lang w:bidi="fa-IR"/>
        </w:rPr>
        <w:t>اثرات رشد مسیحیت بر استفاده از مجسمه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و گسترش مسیحیت، استفاده از مجسمه نیز تغییر کرد و متحول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w:t>
      </w:r>
      <w:r>
        <w:rPr>
          <w:rStyle w:val="FootnoteAnchor"/>
          <w:rtl w:val="true"/>
        </w:rPr>
        <w:footnoteReference w:id="323"/>
      </w:r>
      <w:r>
        <w:rPr>
          <w:rFonts w:ascii="IRNazanin" w:hAnsi="IRNazanin" w:eastAsia="IRNazanin"/>
          <w:color w:val="111111"/>
          <w:sz w:val="28"/>
          <w:sz w:val="28"/>
          <w:szCs w:val="28"/>
          <w:rtl w:val="true"/>
          <w:lang w:bidi="fa-IR"/>
        </w:rPr>
        <w:t>و مجسمۀ بدون تکیه گاه در ایوان های ورودی و روی سر ستون ها ی داخل کلیسا ها، به شکل تخته نگاره های محراب و اشیاء عبادی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های کنده کاری شدۀ اشیاء متبرکه، آثار به جا مانده از مسیح، مریم و قدیسین را در خود جا می دهند و برای دین داران مسیحی هم چون اشیاء مورد پرستش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های اشیاء متبرکه روی محراب ها گذاشته می شدند و در اجتماعات خود نمایی می کردند یا در هنگام اعیاد مهم مورد پرستش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مقدس که در جعبه های کنده کاری شدۀ مزین نگهداری می شدند، نسبت قدرت های معجزه گر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ی بزرگ قدیسه فوآ متعلق به اواخر قرن دهم در کانکووِه</w:t>
      </w:r>
      <w:r>
        <w:rPr>
          <w:rStyle w:val="FootnoteAnchor"/>
          <w:rtl w:val="true"/>
        </w:rPr>
        <w:footnoteReference w:id="324"/>
      </w:r>
      <w:r>
        <w:rPr>
          <w:rFonts w:ascii="IRNazanin" w:hAnsi="IRNazanin" w:eastAsia="IRNazanin"/>
          <w:color w:val="111111"/>
          <w:sz w:val="28"/>
          <w:sz w:val="28"/>
          <w:szCs w:val="28"/>
          <w:rtl w:val="true"/>
          <w:lang w:bidi="fa-IR"/>
        </w:rPr>
        <w:t>از اولین پیکره هایی است که از عهد عتیق باستانی به این سو به صورت دورتادور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کنده کاری شده با طلا و سنگ جواهر روکش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های بزرگِ کنده کاری شده از جنس چوب و تجهیز شده با جاهایی برای آثار مقدس نیز متعلق به همین دورۀ تاریخی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دو متری اسقف اعظم ژِرو، که از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بلوط کنده کاری گردید و با رنگ های درخشان رنگ آمیزی شد، پیکر رنجور واقع نمای عیسی را بر صلیب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ژرو نان متبرک را در ناحیۀ پشت سر ذخیره داشت و بالای محراب، یعنی محل برگزاری مراسم عشاء ربانی،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با ایمان وقایع را مطابق زندگی مسیح، مریم مقدس یا قدیسین مورد مداقه قرار دادند، طوری که انگار در وقایعی این چنین حضور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مجسمه ای این صحنه ها را به شکل وقایعی ملموس برای عبادت کنندگان در مراسم عشاء ربانی در کلیسا یا در جریان نماز شخصی در خانه،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هایی از مریم و بچه</w:t>
      </w:r>
      <w:r>
        <w:rPr>
          <w:rStyle w:val="FootnoteAnchor"/>
          <w:rtl w:val="true"/>
        </w:rPr>
        <w:footnoteReference w:id="325"/>
      </w:r>
      <w:r>
        <w:rPr>
          <w:rFonts w:ascii="IRNazanin" w:hAnsi="IRNazanin" w:eastAsia="IRNazanin"/>
          <w:color w:val="111111"/>
          <w:sz w:val="28"/>
          <w:sz w:val="28"/>
          <w:szCs w:val="28"/>
          <w:rtl w:val="true"/>
          <w:lang w:bidi="fa-IR"/>
        </w:rPr>
        <w:t>و صحنه هایی از مصائب مسیح از جمله معروف ترین تصاویر برای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وسپر بیلد یا پیه تا،</w:t>
      </w:r>
      <w:r>
        <w:rPr>
          <w:rStyle w:val="FootnoteAnchor"/>
          <w:rtl w:val="true"/>
        </w:rPr>
        <w:footnoteReference w:id="326"/>
      </w:r>
      <w:r>
        <w:rPr>
          <w:rFonts w:ascii="IRNazanin" w:hAnsi="IRNazanin" w:eastAsia="IRNazanin"/>
          <w:color w:val="111111"/>
          <w:sz w:val="28"/>
          <w:sz w:val="28"/>
          <w:szCs w:val="28"/>
          <w:rtl w:val="true"/>
          <w:lang w:bidi="fa-IR"/>
        </w:rPr>
        <w:t>شکلی مرسوم از مجسمۀ عبادی است که در طول دورۀ قرون وسطی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بازنمایی های پیه تا در آلمانِ قرن سیزدهم، اغلب به شکل مجسمۀ چوبی چند رنگ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عبادی که نامشان آنداختس بیلدر</w:t>
      </w:r>
      <w:r>
        <w:rPr>
          <w:rStyle w:val="FootnoteAnchor"/>
          <w:rtl w:val="true"/>
        </w:rPr>
        <w:footnoteReference w:id="327"/>
      </w:r>
      <w:r>
        <w:rPr>
          <w:rFonts w:ascii="IRNazanin" w:hAnsi="IRNazanin" w:eastAsia="IRNazanin"/>
          <w:color w:val="111111"/>
          <w:sz w:val="28"/>
          <w:sz w:val="28"/>
          <w:szCs w:val="28"/>
          <w:rtl w:val="true"/>
          <w:lang w:bidi="fa-IR"/>
        </w:rPr>
        <w:t>بود، تأکید بر نگاره های تأثیر گذار از رنج های مسیح و غم و اندوه مادرش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عبادت کننده در جریان نگریستن به پیه تای کنده کاری شده، تمام توجهش را بر ایثار مسیح و پذیرش مرگ او از سوی مریم در جهت رستگاری نوع بشر، متمرکز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های بزرگ و در بیشتر مواقع به اندازۀ واقعی، عموماً کنار محراب کلیسا ها گذاشته می شدند؛ جایی که فرد نماز گزار به طور مستقیم با ناجی و مادرش ارتباط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 توان گفت که مشهورترین اثر مجسمه ای مسیحی، پیه تایی ساختۀ مجسمه ساز ایتالیایی میکل آنجلو در سال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مجسمۀ مرمرین بزرگ که شاهکاری نو رسته تلقی می گردید، برای کلیسای تدفینی یک کاردینال فرانسوی در کلیسای جامع پیتر قدیس در رُم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مجسمۀ مرمرین فوق العاده صیقلی میکل آنجلو در برابر نگاره های چوبی چند رنگ شمال اروپا، تضاد بسیار آشکاری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میکل آنجلو </w:t>
      </w:r>
      <w:bookmarkStart w:id="782" w:name="pg3881_28080"/>
    </w:p>
    <w:p>
      <w:pPr>
        <w:pStyle w:val="BookText"/>
        <w:rPr/>
      </w:pPr>
      <w:bookmarkEnd w:id="782"/>
      <w:r>
        <w:rPr>
          <w:rFonts w:ascii="IRNazanin" w:hAnsi="IRNazanin" w:eastAsia="IRNazanin"/>
          <w:color w:val="111111"/>
          <w:sz w:val="28"/>
          <w:sz w:val="28"/>
          <w:szCs w:val="28"/>
          <w:rtl w:val="true"/>
          <w:lang w:bidi="fa-IR"/>
        </w:rPr>
        <w:t>مسیح و مریم را به شکل پیکره هایی متناسب و ملهم از سنت کلاسیک یونان، در ترکیبی متوازن و هرمی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خانوادۀ مجسمه ای تنها اثری است که به وسیلۀ میکل آنجلو امضا شد؛ زیرا او با افتخار تمام، ابتکار خود را از به ظهور رساندن بصری جایگاه مریم در مقام مادرِ پسرِ خدا، به طور علنی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سازی که خواسته های مسیحیت را برآورده ساخت، در جریان دورۀ اصلاحات متقابل کلیسای کاتولیک به یک نقطۀ اوج رسید و این زمانی بود که کلیسای کاتولیک روم از هنر به عنوان شیوه ای از تبلیغ علیه پروتستان های شمال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جیان لورنزو برنینی معروف، شاهکار هایی از هنر باروک را حجاری کرد که از طریق گرامی داشت زندگی شهدای مسیحی اولیه و قدیسین عارف مسلک متأخر، اصول نوسازی شدۀ کلیسای کاتولیک روم را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قدیسه ترزا در خلسه</w:t>
      </w:r>
      <w:r>
        <w:rPr>
          <w:rStyle w:val="FootnoteAnchor"/>
          <w:rtl w:val="true"/>
        </w:rPr>
        <w:footnoteReference w:id="328"/>
      </w:r>
      <w:r>
        <w:rPr>
          <w:rFonts w:ascii="IRNazanin" w:hAnsi="IRNazanin" w:eastAsia="IRNazanin"/>
          <w:color w:val="111111"/>
          <w:sz w:val="28"/>
          <w:sz w:val="28"/>
          <w:szCs w:val="28"/>
          <w:rtl w:val="true"/>
          <w:lang w:bidi="fa-IR"/>
        </w:rPr>
        <w:t>اثر برنینی که خانوادۀ کورنارو سفارش ساخت آن را برای کلیسایی کوچکی در سانتا ماریا دلا ویتوریا در رُم دادند، نمونۀ بارزی از موفقیت مرمرِ کنده کاری شده برای انتقال قدرت جسمی عشق مسیح است؛ همان گونه که به وسیلۀ قدیسه ترزا، راهبۀ کارملی</w:t>
      </w:r>
      <w:r>
        <w:rPr>
          <w:rStyle w:val="FootnoteAnchor"/>
          <w:rtl w:val="true"/>
        </w:rPr>
        <w:footnoteReference w:id="329"/>
      </w:r>
      <w:r>
        <w:rPr>
          <w:rFonts w:ascii="IRNazanin" w:hAnsi="IRNazanin" w:eastAsia="IRNazanin"/>
          <w:color w:val="111111"/>
          <w:sz w:val="28"/>
          <w:sz w:val="28"/>
          <w:szCs w:val="28"/>
          <w:rtl w:val="true"/>
          <w:lang w:bidi="fa-IR"/>
        </w:rPr>
        <w:t>پا برهنه، تجربه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قدیسه در سال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پاپ گرگوری پانزدهم در زمرۀ قدیسین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استفانو مادرنو نگاره ای متحرک از قدیسه سیسیلیا، شهید مسیحی اولیه، بر اساس مشاهدۀ عینی بدن پاک و فاسد نشدۀ او که در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گردید، کنده 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نگارۀ تأثر انگیز قدیس شهیدِ خوابیده، از خود گذشتگی و ایثار مؤمنان اولیه را در خاطر عبادت کنندگان آن دوره زنده می کرد</w:t>
      </w:r>
      <w:r>
        <w:rPr>
          <w:rFonts w:eastAsia="IRNazanin" w:cs="IRNazanin"/>
          <w:color w:val="111111"/>
          <w:sz w:val="28"/>
          <w:szCs w:val="28"/>
          <w:rtl w:val="true"/>
          <w:lang w:bidi="fa-IR"/>
        </w:rPr>
        <w:t>.</w:t>
      </w:r>
    </w:p>
    <w:p>
      <w:pPr>
        <w:pStyle w:val="Heading3"/>
        <w:numPr>
          <w:ilvl w:val="2"/>
          <w:numId w:val="1"/>
        </w:numPr>
        <w:rPr/>
      </w:pPr>
      <w:bookmarkStart w:id="783" w:name="__RefHeading___Toc1656544_2281741623"/>
      <w:bookmarkStart w:id="784" w:name="_Toc278"/>
      <w:bookmarkEnd w:id="783"/>
      <w:r>
        <w:rPr>
          <w:rtl w:val="true"/>
        </w:rPr>
        <w:t>استفاده های مذاهب دیگر از مجسمه</w:t>
      </w:r>
      <w:bookmarkEnd w:id="78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های مذاهب دیگر از مجسمه </w:t>
      </w:r>
    </w:p>
    <w:p>
      <w:pPr>
        <w:pStyle w:val="BookText"/>
        <w:rPr/>
      </w:pPr>
      <w:r>
        <w:rPr>
          <w:rFonts w:ascii="IRNazanin" w:hAnsi="IRNazanin" w:eastAsia="IRNazanin"/>
          <w:color w:val="111111"/>
          <w:sz w:val="28"/>
          <w:sz w:val="28"/>
          <w:szCs w:val="28"/>
          <w:rtl w:val="true"/>
          <w:lang w:bidi="fa-IR"/>
        </w:rPr>
        <w:t>مجسمه در دیگر مذاهب دنیا نیز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که زادگاه آیین هندو و بودایی است، بازنمایی های مجسمه ای از خدایان بی شمار در معابد و پرستش گاه ها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ها به طور انفرادی عبادت می کنند و پیکر های مجسمه ای خدایان و الهه ها را موجوداتی بشری می دانند که قاعدتاً باید آبتنی شان بدهند، لباس به تنشان بپوشانند و به آن ها غذا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مجسمه ایِ با روح، خدایان را به شکلی واقعی جلوی عبادت کننده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پیکره های اصلی معبد خدایان هندو، الهۀ بلند مرتبه، براهمای خالق، ویشنوی محافظت کننده، و شیوای ویرانگر خود 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ها با ویژگی های خاص خودشان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نگاره های رایج شیوا، این خدا به رقص در دایره ا ی شعله ور مشغول است در حالی که ادا های ثابت دارد و اشیایی نمادین از جمله طبلِ آفرینش و آتش ویرانی را که معرف جایگاه او در معبد خدایان هندو هستند، به نمایش می گذارد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مجسمۀ بودایی اولیه در هند به بازنمایی نماد ها و روایاتی می پرداخت که اعتقادات مذهبی نوین را اشاعه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بودایی این دوره غیر شمایلی بود؛ یعنی بودا بازنمایی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زائران به پرستش گاه بزرگ در سانچی می رسیدند، از میان در گاه های بزرگی می گذشتند که به وفور با نماد هایی چون چرخِ قانون،</w:t>
      </w:r>
      <w:r>
        <w:rPr>
          <w:rStyle w:val="FootnoteAnchor"/>
          <w:rtl w:val="true"/>
        </w:rPr>
        <w:footnoteReference w:id="330"/>
      </w:r>
      <w:r>
        <w:rPr>
          <w:rFonts w:ascii="IRNazanin" w:hAnsi="IRNazanin" w:eastAsia="IRNazanin"/>
          <w:color w:val="111111"/>
          <w:sz w:val="28"/>
          <w:sz w:val="28"/>
          <w:szCs w:val="28"/>
          <w:rtl w:val="true"/>
          <w:lang w:bidi="fa-IR"/>
        </w:rPr>
        <w:t>شیر ها و درختان، کنده کاری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ها به زندگی بودا و میل به بصیرت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عابد در هنگام گشتن مداوم دور معبد خدایان یا تپۀ برآمده، به دور نمادی جسمی و بزرگ از نیروانا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کل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بصیرت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شمایلی بودا به شکل پیکری ساکن، تمام رخ نشسته یا ایستاده از مراقبۀ آرام او خیلی زود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وضعیت های نمادین دست یا مودراس،</w:t>
      </w:r>
      <w:r>
        <w:rPr>
          <w:rStyle w:val="FootnoteAnchor"/>
          <w:rtl w:val="true"/>
        </w:rPr>
        <w:footnoteReference w:id="331"/>
      </w:r>
      <w:r>
        <w:rPr>
          <w:rFonts w:ascii="IRNazanin" w:hAnsi="IRNazanin" w:eastAsia="IRNazanin"/>
          <w:color w:val="111111"/>
          <w:sz w:val="28"/>
          <w:sz w:val="28"/>
          <w:szCs w:val="28"/>
          <w:rtl w:val="true"/>
          <w:lang w:bidi="fa-IR"/>
        </w:rPr>
        <w:t xml:space="preserve">حالت ذهنی </w:t>
      </w:r>
    </w:p>
    <w:p>
      <w:pPr>
        <w:pStyle w:val="BookText"/>
        <w:rPr/>
      </w:pPr>
      <w:r>
        <w:rPr>
          <w:rFonts w:ascii="IRNazanin" w:hAnsi="IRNazanin" w:eastAsia="IRNazanin"/>
          <w:color w:val="111111"/>
          <w:sz w:val="28"/>
          <w:sz w:val="28"/>
          <w:szCs w:val="28"/>
          <w:rtl w:val="true"/>
          <w:lang w:bidi="fa-IR"/>
        </w:rPr>
        <w:t>بودا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بودا ممکن است بتواند با حالت کف دست بالا آمده تا شانه اش به ناظر دلگرمی بدهد یا ممکن است بودا حالت تفکری اش را با راحت گذاشتن هر دو دست بر ران هایش، یا کف دست های چسبیدۀ رو به بالا با سر انگشتان محبت آمیز،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لباس رُهبانی ساده ای به تن می کند؛ لاله های بلند گوش او نشان می دهند که دیگر گوشواره های پُر زرق و برق سلطنتی را نمی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از مواقع یک خال، اورنا،</w:t>
      </w:r>
      <w:r>
        <w:rPr>
          <w:rStyle w:val="FootnoteAnchor"/>
          <w:rtl w:val="true"/>
        </w:rPr>
        <w:footnoteReference w:id="332"/>
      </w:r>
      <w:r>
        <w:rPr>
          <w:rFonts w:ascii="IRNazanin" w:hAnsi="IRNazanin" w:eastAsia="IRNazanin"/>
          <w:color w:val="111111"/>
          <w:sz w:val="28"/>
          <w:sz w:val="28"/>
          <w:szCs w:val="28"/>
          <w:rtl w:val="true"/>
          <w:lang w:bidi="fa-IR"/>
        </w:rPr>
        <w:t>روی پیشانی اش و کپه ای از مو، یوشینشا،</w:t>
      </w:r>
      <w:r>
        <w:rPr>
          <w:rStyle w:val="FootnoteAnchor"/>
          <w:rtl w:val="true"/>
        </w:rPr>
        <w:footnoteReference w:id="33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بودا هاله ای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دورۀ گوپتا</w:t>
      </w:r>
      <w:r>
        <w:rPr>
          <w:rStyle w:val="FootnoteAnchor"/>
          <w:rtl w:val="true"/>
        </w:rPr>
        <w:footnoteReference w:id="334"/>
      </w:r>
      <w:r>
        <w:rPr>
          <w:rFonts w:ascii="IRNazanin" w:hAnsi="IRNazanin" w:eastAsia="IRNazanin"/>
          <w:color w:val="111111"/>
          <w:sz w:val="28"/>
          <w:sz w:val="28"/>
          <w:szCs w:val="28"/>
          <w:rtl w:val="true"/>
          <w:lang w:bidi="fa-IR"/>
        </w:rPr>
        <w:t>در قرون چهارم و پنجم پیش از میلاد مسیح به بعد، بازنمایی های مجسمه ای بودا کاملاً فراگیر شد و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 نشسته، به پیکری نشسته و با وقار، خندان با چشمان بسته در نمایی جاودانی از آرامش و صلح تبدیل می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فراگیر شدن آیین بودا، بازنمایی های مجسمه ای، نیاز های پیروان جدید را برآورده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جزیرۀ جاوه، در معبد بُرُبودور،</w:t>
      </w:r>
      <w:r>
        <w:rPr>
          <w:rStyle w:val="FootnoteAnchor"/>
          <w:rtl w:val="true"/>
        </w:rPr>
        <w:footnoteReference w:id="335"/>
      </w:r>
      <w:r>
        <w:rPr>
          <w:rFonts w:ascii="IRNazanin" w:hAnsi="IRNazanin" w:eastAsia="IRNazanin"/>
          <w:color w:val="111111"/>
          <w:sz w:val="28"/>
          <w:sz w:val="28"/>
          <w:szCs w:val="28"/>
          <w:rtl w:val="true"/>
          <w:lang w:bidi="fa-IR"/>
        </w:rPr>
        <w:t xml:space="preserve">زائران می توانند در حال طی کردن مسیری به سمت بالا، یعنی با دنبال کردن رد قدم های بودیساتوا که بصیرت را با گذشتن موفقیت آمیز از تمام ده مرحلۀ وجود به دست آورد، در امتداد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نقش برجستۀ کنده کاری شده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کیلومتر نقش برجسته ها ی سنگی و بیش از چهارصد مجسمۀ بودای بدون تکیه گاه، زائر را در میان صفی از تصویر سازی ها و توقف گاه های تفکربرانگیز به سمت پرستش گاهی در نوک تپه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مجسمه ای بودا در ژاپن و چین، بسیار گوناگون اند و با نیاز فرهنگی هر محل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در تالار طلایی یا کوندو که قسمتی از مجتمع هُریوجی</w:t>
      </w:r>
      <w:r>
        <w:rPr>
          <w:rStyle w:val="FootnoteAnchor"/>
          <w:rtl w:val="true"/>
        </w:rPr>
        <w:footnoteReference w:id="336"/>
      </w:r>
      <w:r>
        <w:rPr>
          <w:rFonts w:ascii="IRNazanin" w:hAnsi="IRNazanin" w:eastAsia="IRNazanin"/>
          <w:color w:val="111111"/>
          <w:sz w:val="28"/>
          <w:sz w:val="28"/>
          <w:szCs w:val="28"/>
          <w:rtl w:val="true"/>
          <w:lang w:bidi="fa-IR"/>
        </w:rPr>
        <w:t xml:space="preserve">متعلق به قرن هفتم است، مجسمۀ زر اندود شدۀ بزرگ، </w:t>
      </w:r>
      <w:bookmarkStart w:id="785" w:name="pg3881_28083"/>
    </w:p>
    <w:p>
      <w:pPr>
        <w:pStyle w:val="BookText"/>
        <w:rPr/>
      </w:pPr>
      <w:bookmarkEnd w:id="785"/>
      <w:r>
        <w:rPr>
          <w:rFonts w:ascii="IRNazanin" w:hAnsi="IRNazanin" w:eastAsia="IRNazanin"/>
          <w:color w:val="111111"/>
          <w:sz w:val="28"/>
          <w:sz w:val="28"/>
          <w:szCs w:val="28"/>
          <w:rtl w:val="true"/>
          <w:lang w:bidi="fa-IR"/>
        </w:rPr>
        <w:t>بودا را با حالت مودرای آبهایا</w:t>
      </w:r>
      <w:r>
        <w:rPr>
          <w:rStyle w:val="FootnoteAnchor"/>
          <w:rtl w:val="true"/>
        </w:rPr>
        <w:footnoteReference w:id="337"/>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بودای نشسته بر تخت نیلوفری، بخشی از مجموعه ای با شکوه از مجسمه ها و نقاشی ها است که عیناً ساحت معنوی بصیرت را در زمین شبیه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حجاری این پیکره را توری بوشی</w:t>
      </w:r>
      <w:r>
        <w:rPr>
          <w:rStyle w:val="FootnoteAnchor"/>
          <w:rtl w:val="true"/>
        </w:rPr>
        <w:footnoteReference w:id="338"/>
      </w:r>
      <w:r>
        <w:rPr>
          <w:rFonts w:ascii="IRNazanin" w:hAnsi="IRNazanin" w:eastAsia="IRNazanin"/>
          <w:color w:val="111111"/>
          <w:sz w:val="28"/>
          <w:sz w:val="28"/>
          <w:szCs w:val="28"/>
          <w:rtl w:val="true"/>
          <w:lang w:bidi="fa-IR"/>
        </w:rPr>
        <w:t>به انجام رساند که خانواده اش از کُره و چین به ژاپن مهاجرت کرده بودند</w:t>
      </w:r>
      <w:r>
        <w:rPr>
          <w:rFonts w:eastAsia="IRNazanin" w:cs="IRNazanin"/>
          <w:color w:val="111111"/>
          <w:sz w:val="28"/>
          <w:szCs w:val="28"/>
          <w:rtl w:val="true"/>
          <w:lang w:bidi="fa-IR"/>
        </w:rPr>
        <w:t>.</w:t>
      </w:r>
    </w:p>
    <w:p>
      <w:pPr>
        <w:pStyle w:val="Heading3"/>
        <w:numPr>
          <w:ilvl w:val="2"/>
          <w:numId w:val="1"/>
        </w:numPr>
        <w:rPr/>
      </w:pPr>
      <w:bookmarkStart w:id="786" w:name="__RefHeading___Toc1656546_2281741623"/>
      <w:bookmarkStart w:id="787" w:name="_Toc279"/>
      <w:bookmarkEnd w:id="786"/>
      <w:r>
        <w:rPr>
          <w:rtl w:val="true"/>
        </w:rPr>
        <w:t>اثرات شمایل شکنی</w:t>
      </w:r>
      <w:bookmarkEnd w:id="787"/>
    </w:p>
    <w:p>
      <w:pPr>
        <w:pStyle w:val="BookText"/>
        <w:rPr/>
      </w:pPr>
      <w:r>
        <w:rPr>
          <w:rFonts w:ascii="IRNazanin" w:hAnsi="IRNazanin" w:eastAsia="IRNazanin"/>
          <w:color w:val="111111"/>
          <w:sz w:val="28"/>
          <w:sz w:val="28"/>
          <w:szCs w:val="28"/>
          <w:rtl w:val="true"/>
          <w:lang w:bidi="fa-IR"/>
        </w:rPr>
        <w:t>اثرات شمایل شکنی</w:t>
      </w:r>
    </w:p>
    <w:p>
      <w:pPr>
        <w:pStyle w:val="BookText"/>
        <w:rPr/>
      </w:pPr>
      <w:r>
        <w:rPr>
          <w:rFonts w:ascii="IRNazanin" w:hAnsi="IRNazanin" w:eastAsia="IRNazanin"/>
          <w:color w:val="111111"/>
          <w:sz w:val="28"/>
          <w:sz w:val="28"/>
          <w:szCs w:val="28"/>
          <w:rtl w:val="true"/>
          <w:lang w:bidi="fa-IR"/>
        </w:rPr>
        <w:t>شاید هیچ نمونه ای از لحاظ اقتدار مجسمۀ مذهبی، بهتر از تخریب بودا های بامیان</w:t>
      </w:r>
      <w:r>
        <w:rPr>
          <w:rStyle w:val="FootnoteAnchor"/>
          <w:rtl w:val="true"/>
        </w:rPr>
        <w:footnoteReference w:id="339"/>
      </w:r>
      <w:r>
        <w:rPr>
          <w:rFonts w:ascii="IRNazanin" w:hAnsi="IRNazanin" w:eastAsia="IRNazanin"/>
          <w:color w:val="111111"/>
          <w:sz w:val="28"/>
          <w:sz w:val="28"/>
          <w:szCs w:val="28"/>
          <w:rtl w:val="true"/>
          <w:lang w:bidi="fa-IR"/>
        </w:rPr>
        <w:t>به دست طالبان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مجسمۀ تاریخی بودا های ایستاده، در طول قرون پنجم و ششم و مستقیماً درون ضلعی از دیواره ای سنگی، واقع در مرکز افغانستان حجاری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شکنان مسلمان تخریب پیکره ها را از چند صد سال پیش تر شروع کرده بودند، ولی در مارس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طالبان حکم بر کفر آمیز بودن مجسمه ها صادر نمود و آن ها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بودا ها پس از تقریباً یک ماه گلوله باران شدید، کاملاً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اطلاعات طالبان در هنگام تخریب، با اظهار تأسف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تخریب آن قدر هم که مردم فکر می کنند،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 را نمی توان با گلوله باران سرنگون کرد، چون هر دو در دل صخره کنده شده اند و سفت به کوه چسبیده 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آثار مجسمه ای، ویرانگری های نهضت شمایل شکنی را نشان می دهند ولی مخالفت با مجسمه سازیِ سه بُعدی از سوی اصول گرایان مسلمان، شیوۀ نوینی از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تعداد زیادی مجسمۀ سنگی، مفرغی و چوبی که بازنمای مذاهب جهانند، در این گیر و دار جان سالم به در برده اند و </w:t>
      </w:r>
      <w:bookmarkStart w:id="788" w:name="pg3881_28084"/>
    </w:p>
    <w:p>
      <w:pPr>
        <w:pStyle w:val="BookText"/>
        <w:rPr/>
      </w:pPr>
      <w:bookmarkEnd w:id="788"/>
      <w:r>
        <w:rPr>
          <w:rFonts w:ascii="IRNazanin" w:hAnsi="IRNazanin" w:eastAsia="IRNazanin"/>
          <w:color w:val="111111"/>
          <w:sz w:val="28"/>
          <w:sz w:val="28"/>
          <w:szCs w:val="28"/>
          <w:rtl w:val="true"/>
          <w:lang w:bidi="fa-IR"/>
        </w:rPr>
        <w:t>این امر قدرت تصاویر را در انتقال عمیق ترین اعتقادات مربوط به ارتباط انسان با خدا،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والری هِدکوییست</w:t>
      </w:r>
    </w:p>
    <w:p>
      <w:pPr>
        <w:pStyle w:val="BookText"/>
        <w:rPr/>
      </w:pPr>
      <w:r>
        <w:rPr>
          <w:rFonts w:ascii="IRNazanin" w:hAnsi="IRNazanin" w:eastAsia="IRNazanin"/>
          <w:color w:val="111111"/>
          <w:sz w:val="28"/>
          <w:sz w:val="28"/>
          <w:szCs w:val="28"/>
          <w:rtl w:val="true"/>
          <w:lang w:bidi="fa-IR"/>
        </w:rPr>
        <w:t>ترجمۀ فرهاد صادقی</w:t>
      </w:r>
    </w:p>
    <w:p>
      <w:pPr>
        <w:pStyle w:val="Heading3"/>
        <w:numPr>
          <w:ilvl w:val="2"/>
          <w:numId w:val="1"/>
        </w:numPr>
        <w:rPr/>
      </w:pPr>
      <w:bookmarkStart w:id="789" w:name="__RefHeading___Toc1656548_2281741623"/>
      <w:bookmarkStart w:id="790" w:name="_Toc280"/>
      <w:bookmarkEnd w:id="789"/>
      <w:r>
        <w:rPr>
          <w:rtl w:val="true"/>
        </w:rPr>
        <w:t>برای مطالعۀ بیشتر</w:t>
      </w:r>
      <w:bookmarkEnd w:id="790"/>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Apostolos-Cappadona, D. (2005). Religion and art. Grove Art Online: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Bazin, G. (1968). The history of world sculpture. Greenwich, CT: New York Graphic Society,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Elgood, H. (1999). Hinduism and the religious arts. New York: Cassell PLC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Hibbard, H. (1966). Masterpieces of Western sculpture: From Medieval to Modern. New York: HarperCollins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 S. E. (1998). China, 5000 years: Innovation and transformation in the arts. New York: Solomon R. Guggenheim Museum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Menzies, J. (Ed.). (2003). Buddha: Radiant awakening. New Haven, CT: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Snyder, J. (1989). Medieval art: Painting, sculpture, architecture, 4th-14th century. New York: Prentice Hall</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Weston-Lewis, A. &amp; Clifford, T. (1998). Effigies &amp; ecstasies: Roman baroque sculpture and design in the age of Bernini. Edinburgh: National Galleries of Scotland</w:t>
      </w:r>
      <w:r>
        <w:rPr>
          <w:rFonts w:eastAsia="Times New Roman" w:cs="Times New Roman" w:ascii="Times New Roman" w:hAnsi="Times New Roman"/>
          <w:color w:val="111111"/>
          <w:sz w:val="28"/>
          <w:szCs w:val="28"/>
          <w:rtl w:val="true"/>
          <w:lang w:val="en-US" w:bidi="en-US"/>
        </w:rPr>
        <w:t xml:space="preserve">. </w:t>
      </w:r>
      <w:bookmarkStart w:id="791" w:name="pg3881_28085"/>
    </w:p>
    <w:p>
      <w:pPr>
        <w:pStyle w:val="Heading2"/>
        <w:numPr>
          <w:ilvl w:val="1"/>
          <w:numId w:val="1"/>
        </w:numPr>
        <w:rPr/>
      </w:pPr>
      <w:bookmarkStart w:id="792" w:name="__RefHeading___Toc1656550_2281741623"/>
      <w:bookmarkStart w:id="793" w:name="_Toc281"/>
      <w:bookmarkEnd w:id="791"/>
      <w:bookmarkEnd w:id="792"/>
      <w:r>
        <w:rPr>
          <w:rtl w:val="true"/>
        </w:rPr>
        <w:t>مجلات</w:t>
      </w:r>
      <w:bookmarkEnd w:id="793"/>
    </w:p>
    <w:p>
      <w:pPr>
        <w:pStyle w:val="Heading3"/>
        <w:numPr>
          <w:ilvl w:val="2"/>
          <w:numId w:val="1"/>
        </w:numPr>
        <w:rPr/>
      </w:pPr>
      <w:bookmarkStart w:id="794" w:name="__RefHeading___Toc1656552_2281741623"/>
      <w:bookmarkStart w:id="795" w:name="_Toc282"/>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مجلات</w:t>
      </w:r>
    </w:p>
    <w:p>
      <w:pPr>
        <w:pStyle w:val="BookText"/>
        <w:rPr/>
      </w:pPr>
      <w:r>
        <w:rPr>
          <w:rFonts w:ascii="IRNazanin" w:hAnsi="IRNazanin" w:eastAsia="IRNazanin"/>
          <w:color w:val="111111"/>
          <w:sz w:val="28"/>
          <w:sz w:val="28"/>
          <w:szCs w:val="28"/>
          <w:rtl w:val="true"/>
          <w:lang w:bidi="fa-IR"/>
        </w:rPr>
        <w:t>قرن های متمادی است که مجلات توسط سازمان ها و فرقه های مذهبی به عنوان ابزاری برای تقویت اعتقادات کسانی که آیین خاصی دارند یا دارای عقایدی به خصوص هستند، چاپ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مذهبیِ جلدنازک مانند مجلات سکولار، حضور جدی ای در شبکۀ جهانی دارند</w:t>
      </w:r>
      <w:r>
        <w:rPr>
          <w:rFonts w:eastAsia="IRNazanin" w:cs="IRNazanin"/>
          <w:color w:val="111111"/>
          <w:sz w:val="28"/>
          <w:szCs w:val="28"/>
          <w:rtl w:val="true"/>
          <w:lang w:bidi="fa-IR"/>
        </w:rPr>
        <w:t>.</w:t>
      </w:r>
    </w:p>
    <w:p>
      <w:pPr>
        <w:pStyle w:val="Heading3"/>
        <w:numPr>
          <w:ilvl w:val="2"/>
          <w:numId w:val="1"/>
        </w:numPr>
        <w:rPr/>
      </w:pPr>
      <w:bookmarkStart w:id="796" w:name="__RefHeading___Toc1656554_2281741623"/>
      <w:bookmarkStart w:id="797" w:name="_Toc283"/>
      <w:bookmarkEnd w:id="796"/>
      <w:r>
        <w:rPr>
          <w:rtl w:val="true"/>
        </w:rPr>
        <w:t>مجلات مذهبی بین المللی</w:t>
      </w:r>
      <w:bookmarkEnd w:id="797"/>
    </w:p>
    <w:p>
      <w:pPr>
        <w:pStyle w:val="BookText"/>
        <w:rPr/>
      </w:pPr>
      <w:r>
        <w:rPr>
          <w:rFonts w:ascii="IRNazanin" w:hAnsi="IRNazanin" w:eastAsia="IRNazanin"/>
          <w:color w:val="111111"/>
          <w:sz w:val="28"/>
          <w:sz w:val="28"/>
          <w:szCs w:val="28"/>
          <w:rtl w:val="true"/>
          <w:lang w:bidi="fa-IR"/>
        </w:rPr>
        <w:t>مجلات مذهبی بین المللی</w:t>
      </w:r>
    </w:p>
    <w:p>
      <w:pPr>
        <w:pStyle w:val="BookText"/>
        <w:rPr/>
      </w:pPr>
      <w:r>
        <w:rPr>
          <w:rFonts w:ascii="IRNazanin" w:hAnsi="IRNazanin" w:eastAsia="IRNazanin"/>
          <w:color w:val="111111"/>
          <w:sz w:val="28"/>
          <w:sz w:val="28"/>
          <w:szCs w:val="28"/>
          <w:rtl w:val="true"/>
          <w:lang w:bidi="fa-IR"/>
        </w:rPr>
        <w:t xml:space="preserve">محقق ارتباطات داگ آندروود اذعان می دارد که جرج فاکس، کواکرِ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فرقه ای مسیحی به نام انجمن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روز نامه نگاران مذهبی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اواسط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جزواتی، از کواکریسم در برابر سانسور، اتهام زدن به دولت انگلستان و روحانیون رقیب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بود که جان میلتِنِ شاعر با نوشتن رسالۀ معروفش </w:t>
      </w:r>
      <w:r>
        <w:rPr>
          <w:rFonts w:eastAsia="Times New Roman" w:cs="Times New Roman" w:ascii="Times New Roman" w:hAnsi="Times New Roman"/>
          <w:color w:val="111111"/>
          <w:sz w:val="28"/>
          <w:szCs w:val="28"/>
          <w:lang w:val="en-US" w:bidi="en-US"/>
        </w:rPr>
        <w:t>Areopagitica (1644)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آزادی بیان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 مینِکا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اوّلین پیشگام مجموعه های تأثیرگذار متنوع قرون هجده و نوزده، ماه نامۀ پست آنجل بود که طی سال های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جان دانتون 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مینکا، </w:t>
      </w:r>
      <w:r>
        <w:rPr>
          <w:rFonts w:eastAsia="IRNazanin" w:cs="IRNazanin"/>
          <w:color w:val="111111"/>
          <w:sz w:val="28"/>
          <w:szCs w:val="28"/>
          <w:lang w:bidi="fa-IR"/>
        </w:rPr>
        <w:t>1972</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مجلات مذهبی، نوع غالبِ نشریات ادواری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بودند که مطالبی از قبیل شعر، مقالات اخلاقی، اخبار عمومی، آگهی فوت، زندگی نامه و </w:t>
      </w:r>
      <w:bookmarkStart w:id="798" w:name="pg3881_28086"/>
    </w:p>
    <w:p>
      <w:pPr>
        <w:pStyle w:val="BookText"/>
        <w:rPr/>
      </w:pPr>
      <w:bookmarkEnd w:id="798"/>
      <w:r>
        <w:rPr>
          <w:rFonts w:ascii="IRNazanin" w:hAnsi="IRNazanin" w:eastAsia="IRNazanin"/>
          <w:color w:val="111111"/>
          <w:sz w:val="28"/>
          <w:sz w:val="28"/>
          <w:szCs w:val="28"/>
          <w:rtl w:val="true"/>
          <w:lang w:bidi="fa-IR"/>
        </w:rPr>
        <w:t>خطابه ها را در 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مذهبی معاصر در لندن عبارتند از چِرچ تایمز، انتشارات کلیسای انگلستان؛ فصل نامۀ یهود و کیو 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قدیمی ترین مجلات خبری مسیحی در فرانسه با نام </w:t>
      </w:r>
      <w:r>
        <w:rPr>
          <w:rFonts w:eastAsia="Times New Roman" w:cs="Times New Roman" w:ascii="Times New Roman" w:hAnsi="Times New Roman"/>
          <w:color w:val="111111"/>
          <w:sz w:val="28"/>
          <w:szCs w:val="28"/>
          <w:lang w:val="en-US" w:bidi="en-US"/>
        </w:rPr>
        <w:t>Dimanche en Paroisse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کشیش نشین 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دارای مجلات مذهبی فراوانی از جمله نشریۀ کاتولیکی با تیراژی حدود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 با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fur das Bistum Augsburg Katholische sonntags zeitung</w:t>
      </w:r>
    </w:p>
    <w:p>
      <w:pPr>
        <w:pStyle w:val="Heading3"/>
        <w:numPr>
          <w:ilvl w:val="2"/>
          <w:numId w:val="1"/>
        </w:numPr>
        <w:rPr/>
      </w:pPr>
      <w:bookmarkStart w:id="799" w:name="__RefHeading___Toc1656556_2281741623"/>
      <w:bookmarkStart w:id="800" w:name="_Toc284"/>
      <w:bookmarkEnd w:id="799"/>
      <w:r>
        <w:rPr>
          <w:rtl w:val="true"/>
        </w:rPr>
        <w:t>اوّلین مجلات مذهبی در آمریکا</w:t>
      </w:r>
      <w:bookmarkEnd w:id="800"/>
    </w:p>
    <w:p>
      <w:pPr>
        <w:pStyle w:val="BookText"/>
        <w:rPr/>
      </w:pPr>
      <w:r>
        <w:rPr>
          <w:rFonts w:ascii="IRNazanin" w:hAnsi="IRNazanin" w:eastAsia="IRNazanin"/>
          <w:color w:val="111111"/>
          <w:sz w:val="28"/>
          <w:sz w:val="28"/>
          <w:szCs w:val="28"/>
          <w:rtl w:val="true"/>
          <w:lang w:bidi="fa-IR"/>
        </w:rPr>
        <w:t>اوّلین مجلات مذهبی در آمریکا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مجلات آمریکایی، نشریات سکولار و عمومی بودند که به سال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اندرو برادفورد و بنیامین فرانکلین پایه 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نشریۀ برادفورد با نام مجلۀ آمریکایی یا مرور ماهانۀ دولت سیاسی مستعمرات بریتانیا</w:t>
      </w:r>
      <w:r>
        <w:rPr>
          <w:rStyle w:val="FootnoteAnchor"/>
          <w:rtl w:val="true"/>
        </w:rPr>
        <w:footnoteReference w:id="340"/>
      </w:r>
      <w:r>
        <w:rPr>
          <w:rFonts w:ascii="IRNazanin" w:hAnsi="IRNazanin" w:eastAsia="IRNazanin"/>
          <w:color w:val="111111"/>
          <w:sz w:val="28"/>
          <w:sz w:val="28"/>
          <w:szCs w:val="28"/>
          <w:rtl w:val="true"/>
          <w:lang w:bidi="fa-IR"/>
        </w:rPr>
        <w:t>فقط سه شماره چاپ شد در حالی که مجلۀ عمومی و رویدادنامۀ تاریخی برای همۀ مزارع بریتانیا در آمریکا،</w:t>
      </w:r>
      <w:r>
        <w:rPr>
          <w:rStyle w:val="FootnoteAnchor"/>
          <w:rtl w:val="true"/>
        </w:rPr>
        <w:footnoteReference w:id="341"/>
      </w:r>
      <w:r>
        <w:rPr>
          <w:rFonts w:ascii="IRNazanin" w:hAnsi="IRNazanin" w:eastAsia="IRNazanin"/>
          <w:color w:val="111111"/>
          <w:sz w:val="28"/>
          <w:sz w:val="28"/>
          <w:szCs w:val="28"/>
          <w:rtl w:val="true"/>
          <w:lang w:bidi="fa-IR"/>
        </w:rPr>
        <w:t>چاپ فرانکلین، تا شش نسخه بیشتر 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مجلۀ صرفا مذهبی در مستعمرات بریتانیا با نام تاریخچۀ مسیحیت، مطالبی دربارۀ احیا و تبلیغ دین در بریتانیای کبیر و آمریکا</w:t>
      </w:r>
      <w:r>
        <w:rPr>
          <w:rStyle w:val="FootnoteAnchor"/>
          <w:rtl w:val="true"/>
        </w:rPr>
        <w:footnoteReference w:id="342"/>
      </w:r>
      <w:r>
        <w:rPr>
          <w:rFonts w:ascii="IRNazanin" w:hAnsi="IRNazanin" w:eastAsia="IRNazanin"/>
          <w:color w:val="111111"/>
          <w:sz w:val="28"/>
          <w:sz w:val="28"/>
          <w:szCs w:val="28"/>
          <w:rtl w:val="true"/>
          <w:lang w:bidi="fa-IR"/>
        </w:rPr>
        <w:t xml:space="preserve">بود که از سال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در طول بیدارسازی عظیم احیاگری مذهبی در انگلستان جدید متولد شد و با کیسای محافظه کار وارد چالش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مسیحیت تحت راهنمایی و حمایت مبلّغین انجیلی مردمی مانند جرج وایتفیلدِ آنگلیگان و گیلبرت تِننتِ پرزبیتری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توسط توماس پرینس، روحانی ای از کلیسای جنوبی در بوستِن به کمک پسرش نوشته و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خبرهای تاریخچۀ مسیحیت جزییاتی دربارۀ احیاگری مذهبی در ماساچوست، نیوجرسی و </w:t>
      </w:r>
      <w:bookmarkStart w:id="801" w:name="pg3881_28087"/>
    </w:p>
    <w:p>
      <w:pPr>
        <w:pStyle w:val="BookText"/>
        <w:rPr/>
      </w:pPr>
      <w:bookmarkEnd w:id="801"/>
      <w:r>
        <w:rPr>
          <w:rFonts w:ascii="IRNazanin" w:hAnsi="IRNazanin" w:eastAsia="IRNazanin"/>
          <w:color w:val="111111"/>
          <w:sz w:val="28"/>
          <w:sz w:val="28"/>
          <w:szCs w:val="28"/>
          <w:rtl w:val="true"/>
          <w:lang w:bidi="fa-IR"/>
        </w:rPr>
        <w:t>پنسیلوانیا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جزییات برای خوانندگان یکنواخت شدند و مجله در فوریۀ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فروکش کردن آتش بیدارسازی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مجلات، آلگرنون تاسین، اذعان دارد که دوّمین مجلۀ مذهبی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جِرمن تاونِ پنسیلوانیا، بسیت سال بعد، یعنی دهۀ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بیست سال بعد اسقفان مِتُدیست، تامس کُک و فرانسیس آزبری، مجلۀ آرمینیا</w:t>
      </w:r>
      <w:r>
        <w:rPr>
          <w:rStyle w:val="FootnoteAnchor"/>
          <w:rtl w:val="true"/>
        </w:rPr>
        <w:footnoteReference w:id="343"/>
      </w:r>
      <w:r>
        <w:rPr>
          <w:rFonts w:ascii="IRNazanin" w:hAnsi="IRNazanin" w:eastAsia="IRNazanin"/>
          <w:color w:val="111111"/>
          <w:sz w:val="28"/>
          <w:sz w:val="28"/>
          <w:szCs w:val="28"/>
          <w:rtl w:val="true"/>
          <w:lang w:bidi="fa-IR"/>
        </w:rPr>
        <w:t xml:space="preserve">را در فیلادلفیا به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آن ها چاپ خطابه های بنیانگذار فرقه، جان وِزلی بود که نوشته های اش کمتر در آمریکای تازه شکل گرفته یافت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 و آزبری به ایجاد اتحاد میان جوامع مِتُدیستِ فراوان و روبه گسترش پراکنده در سطح آمریکا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محتوای محدود و مخاطب پراکنده افول سریع مجلات را باعث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نشریۀ تاثیرگذار حامی مسیحیت</w:t>
      </w:r>
      <w:r>
        <w:rPr>
          <w:rStyle w:val="FootnoteAnchor"/>
          <w:rtl w:val="true"/>
        </w:rPr>
        <w:footnoteReference w:id="34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کلیسای مِتُدیست شکل گرفت و تا قرن بیستم فعالیت خود را به خوبی ادامه داد تا این که پس از ادغام با نشریۀ مِتُدیستِ</w:t>
      </w:r>
      <w:r>
        <w:rPr>
          <w:rFonts w:eastAsia="Times New Roman" w:cs="Times New Roman" w:ascii="Times New Roman" w:hAnsi="Times New Roman"/>
          <w:color w:val="111111"/>
          <w:sz w:val="28"/>
          <w:szCs w:val="28"/>
          <w:lang w:val="en-US" w:bidi="en-US"/>
        </w:rPr>
        <w:t>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منتشره از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نشریۀ متدیست متحد امروز</w:t>
      </w:r>
      <w:r>
        <w:rPr>
          <w:rStyle w:val="FootnoteAnchor"/>
          <w:rtl w:val="true"/>
        </w:rPr>
        <w:footnoteReference w:id="345"/>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 و اوایل قرن بیست، محتوای دینی دیگر مجلات را هم فراگرفت؛ محتواهایی شامل زندگی نامه های روحانیون مسیحی، اشعار مذهبی و داستان نوکیشان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لایپی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ژورنالیسم مجله در این دوره به طور کلی در پی سرگرم کردن یا بالابردن دانش در زمینه ای تخصصی نبود و بیشتر به فراهم آوردن ابزارهای لازم برای رشد اخلاقی 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لایپی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Heading3"/>
        <w:numPr>
          <w:ilvl w:val="2"/>
          <w:numId w:val="1"/>
        </w:numPr>
        <w:rPr/>
      </w:pPr>
      <w:bookmarkStart w:id="802" w:name="__RefHeading___Toc1656558_2281741623"/>
      <w:bookmarkStart w:id="803" w:name="_Toc285"/>
      <w:bookmarkEnd w:id="802"/>
      <w:r>
        <w:rPr>
          <w:rtl w:val="true"/>
        </w:rPr>
        <w:t>نشریات اقلیت</w:t>
      </w:r>
      <w:bookmarkEnd w:id="80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نشریات اقلیت </w:t>
      </w:r>
      <w:bookmarkStart w:id="804" w:name="pg3881_28088"/>
    </w:p>
    <w:p>
      <w:pPr>
        <w:pStyle w:val="BookText"/>
        <w:rPr/>
      </w:pPr>
      <w:bookmarkEnd w:id="804"/>
      <w:r>
        <w:rPr>
          <w:rFonts w:ascii="IRNazanin" w:hAnsi="IRNazanin" w:eastAsia="IRNazanin"/>
          <w:color w:val="111111"/>
          <w:sz w:val="28"/>
          <w:sz w:val="28"/>
          <w:szCs w:val="28"/>
          <w:rtl w:val="true"/>
          <w:lang w:bidi="fa-IR"/>
        </w:rPr>
        <w:t>مجلات مذهبیِ اقلیت اوایل قرن نوزده شکل گرفتند ولی یکی از نشریات فرقه ای از بقیه متمایز بود؛ تنها نشریۀ سیاه پوستانِ پیش از جنگ داخلی آمریکا تا قرن بیستم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مورخ رسانه، جان تِبِل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Christian Recorder</w:t>
      </w:r>
      <w:r>
        <w:rPr>
          <w:rFonts w:ascii="IRNazanin" w:hAnsi="IRNazanin" w:eastAsia="IRNazanin"/>
          <w:color w:val="111111"/>
          <w:sz w:val="28"/>
          <w:sz w:val="28"/>
          <w:szCs w:val="28"/>
          <w:rtl w:val="true"/>
          <w:lang w:bidi="fa-IR"/>
        </w:rPr>
        <w:t>، از نگاه بنیانگذارش یعنی کلیسای متدیست آفریقا، بیشتر مجله ای دربارۀ اخبار کلیسا و بحث و نظر بود تا ابزاری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با شروع کارش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بی سوادی در میان مخاطبانی پرداخت که اکثرشان در ایالات برده دار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با شروع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یک فصل نامه تحت حمایت کنفرانس نیویورک و گروهی از سیاه پوستانِ باسواد در شمال ادامۀ فعالیت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داران جنوبی، خواندن مجله را در ایالات برده دار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داخلی، مسیحیت در میان سیاه پوستان همانند مجلات برجستۀ اقلیت رونق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این مجلات</w:t>
      </w:r>
      <w:r>
        <w:rPr>
          <w:rFonts w:eastAsia="Times New Roman" w:cs="Times New Roman" w:ascii="Times New Roman" w:hAnsi="Times New Roman"/>
          <w:color w:val="111111"/>
          <w:sz w:val="28"/>
          <w:szCs w:val="28"/>
          <w:lang w:val="en-US" w:bidi="en-US"/>
        </w:rPr>
        <w:t>A.M.E Zion Review</w:t>
      </w:r>
      <w:r>
        <w:rPr>
          <w:rFonts w:ascii="IRNazanin" w:hAnsi="IRNazanin" w:eastAsia="IRNazanin"/>
          <w:color w:val="111111"/>
          <w:sz w:val="28"/>
          <w:sz w:val="28"/>
          <w:szCs w:val="28"/>
          <w:rtl w:val="true"/>
          <w:lang w:bidi="fa-IR"/>
        </w:rPr>
        <w:t>، فصل نامۀ کلیسای اسقفی متدیست های آفریقایی و ستارۀ صهیون</w:t>
      </w:r>
      <w:r>
        <w:rPr>
          <w:rStyle w:val="FootnoteAnchor"/>
          <w:rtl w:val="true"/>
        </w:rPr>
        <w:footnoteReference w:id="346"/>
      </w:r>
      <w:r>
        <w:rPr>
          <w:rFonts w:ascii="IRNazanin" w:hAnsi="IRNazanin" w:eastAsia="IRNazanin"/>
          <w:color w:val="111111"/>
          <w:sz w:val="28"/>
          <w:sz w:val="28"/>
          <w:szCs w:val="28"/>
          <w:rtl w:val="true"/>
          <w:lang w:bidi="fa-IR"/>
        </w:rPr>
        <w:t>اثر متدیست های صهیونِ کارولینای شمالی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پروتستان ها غالب بودند ولی اقلیت های مذهبی مجلات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مسیحی نشریه ای با نام</w:t>
      </w:r>
      <w:r>
        <w:rPr>
          <w:rFonts w:eastAsia="Times New Roman" w:cs="Times New Roman" w:ascii="Times New Roman" w:hAnsi="Times New Roman"/>
          <w:color w:val="111111"/>
          <w:sz w:val="28"/>
          <w:szCs w:val="28"/>
          <w:lang w:val="en-US" w:bidi="en-US"/>
        </w:rPr>
        <w:t>Christian Examiner (1824)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کاتولیسیسم رومی از طریق نشریه ای با نام </w:t>
      </w:r>
      <w:r>
        <w:rPr>
          <w:rFonts w:eastAsia="Times New Roman" w:cs="Times New Roman" w:ascii="Times New Roman" w:hAnsi="Times New Roman"/>
          <w:color w:val="111111"/>
          <w:sz w:val="28"/>
          <w:szCs w:val="28"/>
          <w:lang w:val="en-US" w:bidi="en-US"/>
        </w:rPr>
        <w:t>U.S .Catholic Miscellany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چارلستِنِ کارولینای جنوبی از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فراوانی از ژورنال های یهودی از اواسط قرن نوزده آغاز به کار کردند که مهم ترین آن ها</w:t>
      </w:r>
      <w:r>
        <w:rPr>
          <w:rFonts w:eastAsia="Times New Roman" w:cs="Times New Roman" w:ascii="Times New Roman" w:hAnsi="Times New Roman"/>
          <w:color w:val="111111"/>
          <w:sz w:val="28"/>
          <w:szCs w:val="28"/>
          <w:lang w:val="en-US" w:bidi="en-US"/>
        </w:rPr>
        <w:t>American Israelite (1854)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805" w:name="__RefHeading___Toc1656560_2281741623"/>
      <w:bookmarkStart w:id="806" w:name="_Toc286"/>
      <w:bookmarkEnd w:id="805"/>
      <w:r>
        <w:rPr>
          <w:rtl w:val="true"/>
        </w:rPr>
        <w:t>دیگر مجلاتِ پیش از جنگ داخلی</w:t>
      </w:r>
      <w:bookmarkEnd w:id="8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مجلاتِ پیش از جنگ داخلی </w:t>
      </w:r>
      <w:bookmarkStart w:id="807" w:name="pg3881_28089"/>
    </w:p>
    <w:p>
      <w:pPr>
        <w:pStyle w:val="BookText"/>
        <w:rPr/>
      </w:pPr>
      <w:bookmarkEnd w:id="807"/>
      <w:r>
        <w:rPr>
          <w:rFonts w:eastAsia="Times New Roman" w:cs="Times New Roman" w:ascii="Times New Roman" w:hAnsi="Times New Roman"/>
          <w:color w:val="111111"/>
          <w:sz w:val="28"/>
          <w:szCs w:val="28"/>
          <w:lang w:val="en-US" w:bidi="en-US"/>
        </w:rPr>
        <w:t>Biblical Repertory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و جزو اوّلین نشریات جنبش ضداحیاگری مذهبی بود که مخاطبانی حرفه ای به ویژه روحانیون پرزبیتری را خطاب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الغای برده داری در اواسط قرن نوزده در جامعۀ آمریکا ثبات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نشریات مذهبی این دوره به تعمیددهندگان، متدیست ها، پرزبیتری ها و کلیساهای مستقل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مذهبی در کنار روزنامه ها و رساله های فراوانِ ضدبرده داری، تعدادی مقالات اصلاح طلبانه چاپ کردند؛ برای نمونه مجلۀ </w:t>
      </w:r>
      <w:r>
        <w:rPr>
          <w:rFonts w:eastAsia="Times New Roman" w:cs="Times New Roman" w:ascii="Times New Roman" w:hAnsi="Times New Roman"/>
          <w:color w:val="111111"/>
          <w:sz w:val="28"/>
          <w:szCs w:val="28"/>
          <w:lang w:val="en-US" w:bidi="en-US"/>
        </w:rPr>
        <w:t>Independent</w:t>
      </w:r>
      <w:r>
        <w:rPr>
          <w:rFonts w:ascii="IRNazanin" w:hAnsi="IRNazanin" w:eastAsia="IRNazanin"/>
          <w:color w:val="111111"/>
          <w:sz w:val="28"/>
          <w:sz w:val="28"/>
          <w:szCs w:val="28"/>
          <w:rtl w:val="true"/>
          <w:lang w:bidi="fa-IR"/>
        </w:rPr>
        <w:t>، وابسته به کلیسایی پروتستان، متن کامل رمان کلبۀ عمو تُم را چاپ کرد</w:t>
      </w:r>
      <w:r>
        <w:rPr>
          <w:rFonts w:eastAsia="IRNazanin" w:cs="IRNazanin"/>
          <w:color w:val="111111"/>
          <w:sz w:val="28"/>
          <w:szCs w:val="28"/>
          <w:rtl w:val="true"/>
          <w:lang w:bidi="fa-IR"/>
        </w:rPr>
        <w:t>.</w:t>
      </w:r>
    </w:p>
    <w:p>
      <w:pPr>
        <w:pStyle w:val="Heading3"/>
        <w:numPr>
          <w:ilvl w:val="2"/>
          <w:numId w:val="1"/>
        </w:numPr>
        <w:rPr/>
      </w:pPr>
      <w:bookmarkStart w:id="808" w:name="__RefHeading___Toc1656562_2281741623"/>
      <w:bookmarkStart w:id="809" w:name="_Toc287"/>
      <w:bookmarkEnd w:id="808"/>
      <w:r>
        <w:rPr>
          <w:rtl w:val="true"/>
        </w:rPr>
        <w:t>مجلات مذهبیِ پس از جنگ داخلی</w:t>
      </w:r>
      <w:bookmarkEnd w:id="809"/>
    </w:p>
    <w:p>
      <w:pPr>
        <w:pStyle w:val="BookText"/>
        <w:rPr/>
      </w:pPr>
      <w:r>
        <w:rPr>
          <w:rFonts w:ascii="IRNazanin" w:hAnsi="IRNazanin" w:eastAsia="IRNazanin"/>
          <w:color w:val="111111"/>
          <w:sz w:val="28"/>
          <w:sz w:val="28"/>
          <w:szCs w:val="28"/>
          <w:rtl w:val="true"/>
          <w:lang w:bidi="fa-IR"/>
        </w:rPr>
        <w:t>مجلات مذهبیِ پس از جنگ داخلی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جنگ داخلی در سال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مجلات مذهبی در آمریکا رشد سریعی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لوترمات در مطالعۀ تاریخی مشهور خود دربارۀ مجلات آمریکایی، تعداد نشریات آن سال را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تخمین می زند که تا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مدارس تعلیمات دینی بیش از نیمی از عناوین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نقد مذهبی در هر شماره به فروش می رسید و این در حالی بود که تیراژ برخی هفته نامه ها به صد هزار نیز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محتوای این هفته نامه ها مبهم بودند و موضوعات عمیق کلامی را می کاویدند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هم با یکدیگر به مناظره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ترس پروتستان از رشد و قدرت یافتن کاتولیک ها، اکثر نشریات فرقه ای کاتولیسیسم را محکوم می کردند تا انتشارات کلیسای خود را رونق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تِبِل در همین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کاتولیک 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یعنی یکی بیشتر از متدیست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نوزده، تعمیددهندگان، مجلات زیادی چاپ کردند ولی عمرشان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انشارات پرزبیتری ها و یکتاپرستان </w:t>
      </w:r>
      <w:bookmarkStart w:id="810" w:name="pg3881_28090"/>
    </w:p>
    <w:p>
      <w:pPr>
        <w:pStyle w:val="BookText"/>
        <w:rPr/>
      </w:pPr>
      <w:bookmarkEnd w:id="810"/>
      <w:r>
        <w:rPr>
          <w:rFonts w:ascii="IRNazanin" w:hAnsi="IRNazanin" w:eastAsia="IRNazanin"/>
          <w:color w:val="111111"/>
          <w:sz w:val="28"/>
          <w:sz w:val="28"/>
          <w:szCs w:val="28"/>
          <w:rtl w:val="true"/>
          <w:lang w:bidi="fa-IR"/>
        </w:rPr>
        <w:t>بین شمال و جنوب، لیبرال و محافظه کار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 های غیر فرقه ای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Christian Herald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شماره های جنبی مجلۀ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war cry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انتشارات ارتش رستگاری</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مسیحی ای که در سال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در لندن بنا شد و هدفش تبلیغ دینی و کمک به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که هنوز هم چاپ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مذهبی در اواخر قرن نوزده آن قدر متنوع شدند که مات آن ها را به بیش از سیزده نوع تقسیم کرده است؛ برای نمونه نشریاتی که دربارۀ امور داخلی و خارجی، هم چنین پیشرفت ادبی از دید مذهب نظر می دادند؛ ژورنال های فرقه ای با نگاهی لیبرال؛ نشریات فرقه ای که مخاطبانش مردم عادی بودند؛ نقد و بررسی های فصلی یا ماهانه که مورد حمایت فرقه های مذهبی بودند</w:t>
      </w:r>
      <w:r>
        <w:rPr>
          <w:rFonts w:eastAsia="IRNazanin" w:cs="IRNazanin"/>
          <w:color w:val="111111"/>
          <w:sz w:val="28"/>
          <w:szCs w:val="28"/>
          <w:rtl w:val="true"/>
          <w:lang w:bidi="fa-IR"/>
        </w:rPr>
        <w:t>.</w:t>
      </w:r>
    </w:p>
    <w:p>
      <w:pPr>
        <w:pStyle w:val="Heading3"/>
        <w:numPr>
          <w:ilvl w:val="2"/>
          <w:numId w:val="1"/>
        </w:numPr>
        <w:rPr/>
      </w:pPr>
      <w:bookmarkStart w:id="811" w:name="__RefHeading___Toc1656564_2281741623"/>
      <w:bookmarkStart w:id="812" w:name="_Toc288"/>
      <w:bookmarkEnd w:id="811"/>
      <w:r>
        <w:rPr>
          <w:rtl w:val="true"/>
        </w:rPr>
        <w:t>خلاقیت در انتشارات مذهبی</w:t>
      </w:r>
      <w:bookmarkEnd w:id="812"/>
    </w:p>
    <w:p>
      <w:pPr>
        <w:pStyle w:val="BookText"/>
        <w:rPr/>
      </w:pPr>
      <w:r>
        <w:rPr>
          <w:rFonts w:ascii="IRNazanin" w:hAnsi="IRNazanin" w:eastAsia="IRNazanin"/>
          <w:color w:val="111111"/>
          <w:sz w:val="28"/>
          <w:sz w:val="28"/>
          <w:szCs w:val="28"/>
          <w:rtl w:val="true"/>
          <w:lang w:bidi="fa-IR"/>
        </w:rPr>
        <w:t>خلاقیت در انتشارات مذهبی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مجلات، ابزاری تأثیرگذار در روند آموزش و توزیع اطلاعات مذهبی در میان مخاطبان تلقی می شدند و برای اوّلین بار مسیحیان پروستان از آن برای تغییر آیین و رسیدن به اهداف انجیلی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انجیلی مسیحی از قدیم، سرآمد فن آوری چاپ بوده و خلاقیت های فراوانی در انتشار و توزیع از خود نشان داده اند؛ برای نمونه طبق گفتۀ دیوید پُل نورد، اونجلیست های آمریکایی از طریق ایجاد جوامع انجیلی و رساله ای بین سال های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ارائۀ مفاهیم جدید در رسانه های جمعی مذهبی پیشگام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گروه های متنوع، دو سازمان ملّی اصلی با نام های </w:t>
      </w:r>
      <w:r>
        <w:rPr>
          <w:rFonts w:eastAsia="Times New Roman" w:cs="Times New Roman" w:ascii="Times New Roman" w:hAnsi="Times New Roman"/>
          <w:color w:val="111111"/>
          <w:sz w:val="28"/>
          <w:szCs w:val="28"/>
          <w:lang w:val="en-US" w:bidi="en-US"/>
        </w:rPr>
        <w:t>The American Bible Society (1816)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The American Tract Society (1825)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سازمان مسئول استفادۀ گسترده از قدرت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بخار و دیگر روش های سریع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کلیشه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w:t>
      </w:r>
      <w:bookmarkStart w:id="813" w:name="pg3881_28091"/>
    </w:p>
    <w:p>
      <w:pPr>
        <w:pStyle w:val="BookText"/>
        <w:rPr/>
      </w:pPr>
      <w:bookmarkEnd w:id="813"/>
      <w:r>
        <w:rPr>
          <w:rFonts w:ascii="IRNazanin" w:hAnsi="IRNazanin" w:eastAsia="IRNazanin"/>
          <w:color w:val="111111"/>
          <w:sz w:val="28"/>
          <w:sz w:val="28"/>
          <w:szCs w:val="28"/>
          <w:rtl w:val="true"/>
          <w:lang w:bidi="fa-IR"/>
        </w:rPr>
        <w:t>قالب هایی فلزی برای استفادۀ مجدد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کاغذ ارزان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خلاقیت ها منجر به نتایج شگفت انگیزی شدند؛ برای نمونه </w:t>
      </w:r>
      <w:r>
        <w:rPr>
          <w:rFonts w:eastAsia="Times New Roman" w:cs="Times New Roman" w:ascii="Times New Roman" w:hAnsi="Times New Roman"/>
          <w:color w:val="111111"/>
          <w:sz w:val="28"/>
          <w:szCs w:val="28"/>
          <w:lang w:val="en-US" w:bidi="en-US"/>
        </w:rPr>
        <w:t>The American Tract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عرض چهار سال، از هفتصد هزار رسالۀ چاپ شده در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شش میلیون رسید</w:t>
      </w:r>
      <w:r>
        <w:rPr>
          <w:rFonts w:eastAsia="IRNazanin" w:cs="IRNazanin"/>
          <w:color w:val="111111"/>
          <w:sz w:val="28"/>
          <w:szCs w:val="28"/>
          <w:rtl w:val="true"/>
          <w:lang w:bidi="fa-IR"/>
        </w:rPr>
        <w:t>.</w:t>
      </w:r>
    </w:p>
    <w:p>
      <w:pPr>
        <w:pStyle w:val="Heading3"/>
        <w:numPr>
          <w:ilvl w:val="2"/>
          <w:numId w:val="1"/>
        </w:numPr>
        <w:rPr/>
      </w:pPr>
      <w:bookmarkStart w:id="814" w:name="__RefHeading___Toc1656566_2281741623"/>
      <w:bookmarkStart w:id="815" w:name="_Toc289"/>
      <w:bookmarkEnd w:id="814"/>
      <w:r>
        <w:rPr>
          <w:rtl w:val="true"/>
        </w:rPr>
        <w:t>مجلات مذهبی مدرن</w:t>
      </w:r>
      <w:bookmarkEnd w:id="815"/>
    </w:p>
    <w:p>
      <w:pPr>
        <w:pStyle w:val="BookText"/>
        <w:rPr/>
      </w:pPr>
      <w:r>
        <w:rPr>
          <w:rFonts w:ascii="IRNazanin" w:hAnsi="IRNazanin" w:eastAsia="IRNazanin"/>
          <w:color w:val="111111"/>
          <w:sz w:val="28"/>
          <w:sz w:val="28"/>
          <w:szCs w:val="28"/>
          <w:rtl w:val="true"/>
          <w:lang w:bidi="fa-IR"/>
        </w:rPr>
        <w:t>مجلات مذهبی مدرن</w:t>
      </w:r>
    </w:p>
    <w:p>
      <w:pPr>
        <w:pStyle w:val="BookText"/>
        <w:rPr/>
      </w:pPr>
      <w:r>
        <w:rPr>
          <w:rFonts w:ascii="IRNazanin" w:hAnsi="IRNazanin" w:eastAsia="IRNazanin"/>
          <w:color w:val="111111"/>
          <w:sz w:val="28"/>
          <w:sz w:val="28"/>
          <w:szCs w:val="28"/>
          <w:rtl w:val="true"/>
          <w:lang w:bidi="fa-IR"/>
        </w:rPr>
        <w:t>همان طور که لایپی می گوید، مطالعات آکادمیک مذهب از مدارس دینی قرن بیست پا فراتر گذاشته و به محیط های غیر مذهبی مانند کالج و دانشگاه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جهش به سمت ایجاد گروه های مذهبی در مؤسسات سکولار تحت تقد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مطالعۀ دین بسیار تخصصی شده و باعث ایجاد نشریاتی با رویکردهای متنوع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نشریات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باستان شناسی انجیلی</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ژورنال کلیسا و دولت</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انجیلی کاتولیک</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نامۀ یهود</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 تفکر مورمون</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محبوب و کمتر تحقیقی دیگر، معمولا دربارۀ وقایع روز و جامعۀ مدرن برای مخاطبانی تحصیل کرده و دارای سواد مذهبی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عبارتند از</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Christian Century (1884)</w:t>
      </w:r>
      <w:r>
        <w:rPr>
          <w:rFonts w:ascii="IRNazanin" w:hAnsi="IRNazanin" w:eastAsia="IRNazanin"/>
          <w:color w:val="111111"/>
          <w:sz w:val="28"/>
          <w:sz w:val="28"/>
          <w:szCs w:val="28"/>
          <w:rtl w:val="true"/>
          <w:lang w:bidi="fa-IR"/>
        </w:rPr>
        <w:t>، مجله ای لیبرال و معتدل و مجلۀ محافظه کارِ</w:t>
      </w:r>
      <w:r>
        <w:rPr>
          <w:rFonts w:eastAsia="Times New Roman" w:cs="Times New Roman" w:ascii="Times New Roman" w:hAnsi="Times New Roman"/>
          <w:color w:val="111111"/>
          <w:sz w:val="28"/>
          <w:szCs w:val="28"/>
          <w:lang w:val="en-US" w:bidi="en-US"/>
        </w:rPr>
        <w:t>Christianity Today (1965)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انتشاریافته توسط انجمن انجیلی بیلی گراهام؛ </w:t>
      </w:r>
      <w:r>
        <w:rPr>
          <w:rFonts w:eastAsia="Times New Roman" w:cs="Times New Roman" w:ascii="Times New Roman" w:hAnsi="Times New Roman"/>
          <w:color w:val="111111"/>
          <w:sz w:val="28"/>
          <w:szCs w:val="28"/>
          <w:lang w:val="en-US" w:bidi="en-US"/>
        </w:rPr>
        <w:t>Christianity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تیراژی حدود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دارد و دیگر عناوینی چون تاریخچۀ مسیحیت و کتاب و فرهنگ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w:t>
      </w:r>
      <w:r>
        <w:rPr>
          <w:rFonts w:eastAsia="Times New Roman" w:cs="Times New Roman" w:ascii="Times New Roman" w:hAnsi="Times New Roman"/>
          <w:color w:val="111111"/>
          <w:sz w:val="28"/>
          <w:szCs w:val="28"/>
          <w:lang w:val="en-US" w:bidi="en-US"/>
        </w:rPr>
        <w:t>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سردبیری روزنامه نگار و استاد مذهبی ماروین اولاسکی ظاهر و سبک مجلات جدیدی مانند تایم و نیوزویک را دارد ولی حاوی رویدادهای </w:t>
      </w:r>
      <w:bookmarkStart w:id="816" w:name="pg3881_28092"/>
    </w:p>
    <w:p>
      <w:pPr>
        <w:pStyle w:val="BookText"/>
        <w:rPr/>
      </w:pPr>
      <w:bookmarkEnd w:id="816"/>
      <w:r>
        <w:rPr>
          <w:rFonts w:ascii="IRNazanin" w:hAnsi="IRNazanin" w:eastAsia="IRNazanin"/>
          <w:color w:val="111111"/>
          <w:sz w:val="28"/>
          <w:sz w:val="28"/>
          <w:szCs w:val="28"/>
          <w:rtl w:val="true"/>
          <w:lang w:bidi="fa-IR"/>
        </w:rPr>
        <w:t>داخلی و خارجی از نقطه نظر مسیحی بنیادگرا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w:t>
      </w:r>
      <w:r>
        <w:rPr>
          <w:rFonts w:eastAsia="Times New Roman" w:cs="Times New Roman" w:ascii="Times New Roman" w:hAnsi="Times New Roman"/>
          <w:color w:val="111111"/>
          <w:sz w:val="28"/>
          <w:szCs w:val="28"/>
          <w:lang w:val="en-US" w:bidi="en-US"/>
        </w:rPr>
        <w:t>Bodhi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نشریه ای برای بودایی ها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Common weal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دهندۀ دیدگاه های کاتولیک های محافظه کار است و نشریۀ</w:t>
      </w:r>
      <w:r>
        <w:rPr>
          <w:rFonts w:eastAsia="Times New Roman" w:cs="Times New Roman" w:ascii="Times New Roman" w:hAnsi="Times New Roman"/>
          <w:color w:val="111111"/>
          <w:sz w:val="28"/>
          <w:szCs w:val="28"/>
          <w:lang w:val="en-US" w:bidi="en-US"/>
        </w:rPr>
        <w:t>Commentary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دیدگاه های یهودیت محافظه کار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w:t>
      </w:r>
      <w:r>
        <w:rPr>
          <w:rFonts w:eastAsia="Times New Roman" w:cs="Times New Roman" w:ascii="Times New Roman" w:hAnsi="Times New Roman"/>
          <w:color w:val="111111"/>
          <w:sz w:val="28"/>
          <w:szCs w:val="28"/>
          <w:lang w:val="en-US" w:bidi="en-US"/>
        </w:rPr>
        <w:t>Hadassah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یهودی خشایارشا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نامه ای برای خوانندگان یهودی و آمریکایی معاصر با تیراژی حدود سیصد و نه هزار است</w:t>
      </w:r>
      <w:r>
        <w:rPr>
          <w:rFonts w:eastAsia="IRNazanin" w:cs="IRNazanin"/>
          <w:color w:val="111111"/>
          <w:sz w:val="28"/>
          <w:szCs w:val="28"/>
          <w:rtl w:val="true"/>
          <w:lang w:bidi="fa-IR"/>
        </w:rPr>
        <w:t>.</w:t>
      </w:r>
    </w:p>
    <w:p>
      <w:pPr>
        <w:pStyle w:val="Heading3"/>
        <w:numPr>
          <w:ilvl w:val="2"/>
          <w:numId w:val="1"/>
        </w:numPr>
        <w:rPr/>
      </w:pPr>
      <w:bookmarkStart w:id="817" w:name="__RefHeading___Toc1656568_2281741623"/>
      <w:bookmarkStart w:id="818" w:name="_Toc290"/>
      <w:bookmarkEnd w:id="817"/>
      <w:r>
        <w:rPr>
          <w:rtl w:val="true"/>
        </w:rPr>
        <w:t>کانون انتشارات مذهبی</w:t>
      </w:r>
      <w:bookmarkEnd w:id="818"/>
    </w:p>
    <w:p>
      <w:pPr>
        <w:pStyle w:val="BookText"/>
        <w:rPr/>
      </w:pPr>
      <w:r>
        <w:rPr>
          <w:rFonts w:ascii="IRNazanin" w:hAnsi="IRNazanin" w:eastAsia="IRNazanin"/>
          <w:color w:val="111111"/>
          <w:sz w:val="28"/>
          <w:sz w:val="28"/>
          <w:szCs w:val="28"/>
          <w:rtl w:val="true"/>
          <w:lang w:bidi="fa-IR"/>
        </w:rPr>
        <w:t>کانون انتشارات مذهبی</w:t>
      </w:r>
    </w:p>
    <w:p>
      <w:pPr>
        <w:pStyle w:val="BookText"/>
        <w:rPr/>
      </w:pPr>
      <w:r>
        <w:rPr>
          <w:rFonts w:ascii="IRNazanin" w:hAnsi="IRNazanin" w:eastAsia="IRNazanin"/>
          <w:color w:val="111111"/>
          <w:sz w:val="28"/>
          <w:sz w:val="28"/>
          <w:szCs w:val="28"/>
          <w:rtl w:val="true"/>
          <w:lang w:bidi="fa-IR"/>
        </w:rPr>
        <w:t>دو کانون نشر مذهبی داخلی و جود دارند که اکثر نشریات از طریق آن ها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انتشار کلیسا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گروهی شکل گرفت که بعدها تبدیل به انجمن ملّی کلیساها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کانون انتشارات انجیلی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وسیلۀ ادبای انجیلی به عنوان جایگزینی برای کانون انتشارات کلیسا ولی به شکل لیبرال تر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کِن واترز </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کرد و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پیشی گرفتن از </w:t>
      </w:r>
      <w:r>
        <w:rPr>
          <w:rFonts w:eastAsia="Times New Roman" w:cs="Times New Roman" w:ascii="Times New Roman" w:hAnsi="Times New Roman"/>
          <w:color w:val="111111"/>
          <w:sz w:val="28"/>
          <w:szCs w:val="28"/>
          <w:lang w:val="en-US" w:bidi="en-US"/>
        </w:rPr>
        <w:t>ACD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اعضای خود را به چهار برابر افزایش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واترز،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Heading3"/>
        <w:numPr>
          <w:ilvl w:val="2"/>
          <w:numId w:val="1"/>
        </w:numPr>
        <w:rPr/>
      </w:pPr>
      <w:bookmarkStart w:id="819" w:name="__RefHeading___Toc1656570_2281741623"/>
      <w:bookmarkStart w:id="820" w:name="_Toc291"/>
      <w:bookmarkEnd w:id="819"/>
      <w:r>
        <w:rPr>
          <w:rtl w:val="true"/>
        </w:rPr>
        <w:t>مجلات خاص</w:t>
      </w:r>
      <w:bookmarkEnd w:id="820"/>
    </w:p>
    <w:p>
      <w:pPr>
        <w:pStyle w:val="BookText"/>
        <w:rPr/>
      </w:pPr>
      <w:r>
        <w:rPr>
          <w:rFonts w:ascii="IRNazanin" w:hAnsi="IRNazanin" w:eastAsia="IRNazanin"/>
          <w:color w:val="111111"/>
          <w:sz w:val="28"/>
          <w:sz w:val="28"/>
          <w:szCs w:val="28"/>
          <w:rtl w:val="true"/>
          <w:lang w:bidi="fa-IR"/>
        </w:rPr>
        <w:t>مجلات خاص</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مجلات مذهبی به رشد خود ادامه دادند و در حال حاضر شاهد عناوین به خصوصی به صورت چاپی و آن لاین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مجلات سلایق خاصی حتی طنز مذهبی را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مجلات</w:t>
      </w:r>
      <w:r>
        <w:rPr>
          <w:rFonts w:eastAsia="Times New Roman" w:cs="Times New Roman" w:ascii="Times New Roman" w:hAnsi="Times New Roman"/>
          <w:color w:val="111111"/>
          <w:sz w:val="28"/>
          <w:szCs w:val="28"/>
          <w:lang w:val="en-US" w:bidi="en-US"/>
        </w:rPr>
        <w:t>The Door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مجلۀ طنز مذهبی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Door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یک گروه مسیحی با نام بنیاد تثلیث در دالاسِ تگزاس چاپ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معنوی و عدالت اجتماعی اهداف اصلی ایجاد مجلۀ انجیلی</w:t>
      </w:r>
      <w:r>
        <w:rPr>
          <w:rFonts w:eastAsia="Times New Roman" w:cs="Times New Roman" w:ascii="Times New Roman" w:hAnsi="Times New Roman"/>
          <w:color w:val="111111"/>
          <w:sz w:val="28"/>
          <w:szCs w:val="28"/>
          <w:lang w:val="en-US" w:bidi="en-US"/>
        </w:rPr>
        <w:t>Sojourners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واشنگتن بودند که کار خود را با </w:t>
      </w:r>
      <w:bookmarkStart w:id="821" w:name="pg3881_28093"/>
    </w:p>
    <w:p>
      <w:pPr>
        <w:pStyle w:val="BookText"/>
        <w:rPr/>
      </w:pPr>
      <w:bookmarkEnd w:id="821"/>
      <w:r>
        <w:rPr>
          <w:rFonts w:ascii="IRNazanin" w:hAnsi="IRNazanin" w:eastAsia="IRNazanin"/>
          <w:color w:val="111111"/>
          <w:sz w:val="28"/>
          <w:sz w:val="28"/>
          <w:szCs w:val="28"/>
          <w:rtl w:val="true"/>
          <w:lang w:bidi="fa-IR"/>
        </w:rPr>
        <w:t>نام</w:t>
      </w:r>
      <w:r>
        <w:rPr>
          <w:rFonts w:eastAsia="Times New Roman" w:cs="Times New Roman" w:ascii="Times New Roman" w:hAnsi="Times New Roman"/>
          <w:color w:val="111111"/>
          <w:sz w:val="28"/>
          <w:szCs w:val="28"/>
          <w:lang w:val="en-US" w:bidi="en-US"/>
        </w:rPr>
        <w:t>Post – American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Killing the Buddha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قتل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گفتۀ وب سایت مجله ای مذهبی برای مردمانی است که از کلیساها نگرانند یا از گرفتارشدن در غرفۀ کتاب های معنوی کتاب فروشی ها خجالت زده اند؛ افرادی که هم تندخویند و هم علاقه مند به محبت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مناسب افرادی است که می خواهند به گونه ای مذهبی باشند و بدانند الوهیت چیست ولی به دلایلی نه هستند و نه این گونه عمل می کنند</w:t>
      </w:r>
      <w:r>
        <w:rPr>
          <w:rFonts w:eastAsia="IRNazanin" w:cs="IRNazanin"/>
          <w:color w:val="111111"/>
          <w:sz w:val="28"/>
          <w:szCs w:val="28"/>
          <w:rtl w:val="true"/>
          <w:lang w:bidi="fa-IR"/>
        </w:rPr>
        <w:t>.</w:t>
      </w:r>
    </w:p>
    <w:p>
      <w:pPr>
        <w:pStyle w:val="Heading3"/>
        <w:numPr>
          <w:ilvl w:val="2"/>
          <w:numId w:val="1"/>
        </w:numPr>
        <w:rPr/>
      </w:pPr>
      <w:bookmarkStart w:id="822" w:name="__RefHeading___Toc1656572_2281741623"/>
      <w:bookmarkStart w:id="823" w:name="_Toc292"/>
      <w:bookmarkEnd w:id="822"/>
      <w:r>
        <w:rPr>
          <w:rtl w:val="true"/>
        </w:rPr>
        <w:t>آیندۀ مجلات مذهبی</w:t>
      </w:r>
      <w:bookmarkEnd w:id="823"/>
    </w:p>
    <w:p>
      <w:pPr>
        <w:pStyle w:val="BookText"/>
        <w:rPr/>
      </w:pPr>
      <w:r>
        <w:rPr>
          <w:rFonts w:ascii="IRNazanin" w:hAnsi="IRNazanin" w:eastAsia="IRNazanin"/>
          <w:color w:val="111111"/>
          <w:sz w:val="28"/>
          <w:sz w:val="28"/>
          <w:szCs w:val="28"/>
          <w:rtl w:val="true"/>
          <w:lang w:bidi="fa-IR"/>
        </w:rPr>
        <w:t>آیندۀ مجلات مذهبی</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رویدادهایی چون انتخاب رییس جمهور محافظه کار رونالد ریگان، رشد اکثریت اخلاقی، گرایش اکثر مدارس دینی پروتستان به راست گرایی و روی کار آمدن محافظه کاران مذهبی در سیاست، رسانه های خبری در آمریکا توجه بیشتری به مذهب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تأثیر رقابت ریاست جمهوری آمریکا بر مذهب در سال 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 های خبری نیز توجه خود را معطوف مذهب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سکولاری چون نیوزویک، تایم و</w:t>
      </w:r>
      <w:r>
        <w:rPr>
          <w:rFonts w:eastAsia="Times New Roman" w:cs="Times New Roman" w:ascii="Times New Roman" w:hAnsi="Times New Roman"/>
          <w:color w:val="111111"/>
          <w:sz w:val="28"/>
          <w:szCs w:val="28"/>
          <w:lang w:val="en-US" w:bidi="en-US"/>
        </w:rPr>
        <w:t>U.S. News &amp; world Report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داستان هایی مذهبی دربارۀ عید پاک و کریسمس چاپ می کنند و حاوی موضوعات فرهنگی سالانه مانند بررسی کتاب ها و فیلم های مذهبی و گرایشاتی مانند کلیساهای اعظم و جنبش های معنوی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عناوین تخصصی مجلات مذهبی را روی دکۀ روزنامه فروشی ها می توان یافت که مهم ترین آن ها </w:t>
      </w:r>
      <w:r>
        <w:rPr>
          <w:rFonts w:eastAsia="Times New Roman" w:cs="Times New Roman" w:ascii="Times New Roman" w:hAnsi="Times New Roman"/>
          <w:color w:val="111111"/>
          <w:sz w:val="28"/>
          <w:szCs w:val="28"/>
          <w:lang w:val="en-US" w:bidi="en-US"/>
        </w:rPr>
        <w:t>CCM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Relevance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مخاطبانی جوان هستند که موسیقی مسیحی معاصر گوش می دهند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پیگیری نسل های جدید برای یافتن راهی جدید برای ابراز مذهبیت خود، مجلّاتی با این سیاق به رشد خود ادامه داده و شاید پیش از چاپ </w:t>
      </w:r>
    </w:p>
    <w:p>
      <w:pPr>
        <w:pStyle w:val="BookText"/>
        <w:rPr/>
      </w:pPr>
      <w:r>
        <w:rPr>
          <w:rFonts w:ascii="IRNazanin" w:hAnsi="IRNazanin" w:eastAsia="IRNazanin"/>
          <w:color w:val="111111"/>
          <w:sz w:val="28"/>
          <w:sz w:val="28"/>
          <w:szCs w:val="28"/>
          <w:rtl w:val="true"/>
          <w:lang w:bidi="fa-IR"/>
        </w:rPr>
        <w:t>در اینترنت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ناشرین مذهبی همیشه خلاق بوده اند و آمادۀ به کارگیری فن آوری های جدید به منظور گسترش کتاب مقدّس خود در آینده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آنتونی هچر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824" w:name="pg3881_28095"/>
    </w:p>
    <w:p>
      <w:pPr>
        <w:pStyle w:val="Heading3"/>
        <w:numPr>
          <w:ilvl w:val="2"/>
          <w:numId w:val="1"/>
        </w:numPr>
        <w:rPr/>
      </w:pPr>
      <w:bookmarkStart w:id="825" w:name="__RefHeading___Toc1656574_2281741623"/>
      <w:bookmarkStart w:id="826" w:name="_Toc293"/>
      <w:bookmarkEnd w:id="824"/>
      <w:bookmarkEnd w:id="825"/>
      <w:r>
        <w:rPr>
          <w:rtl w:val="true"/>
        </w:rPr>
        <w:t>برای مطالعۀ بیشتر</w:t>
      </w:r>
      <w:bookmarkEnd w:id="826"/>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Blanchard, M. A. (Ed.). (1998). History of the mass media in the United States. Chicago: Fitzroy Dearborn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Emery, M., &amp; Emery, E. (1988). The press and America: An interpretive history of the mass media (6th ed.). Englewood Cliffs, NJ: Prentice 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Fackler, P., &amp; Lippy, C. (Eds.). (1995). Popular religious magazines of the United States. Westport, CT: Greenwood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Lippy, C. (Ed.). (1986). Religious periodicals of the United States: Academic and scholarly journals. Westport, CT: Greenwood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Mineka, F. E. (1972). The dissidence of dissent: The monthly repository, 1806-1838. New York: Octagon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Mott, F. L. (1930). A history of American magazines, 1741–1850.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Mott, F. L. (1971). American journalism, a history: 1690–1960 (3rd ed.). New York: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Nord, D. P. (1984). The evangelical origins of mass media in America, 1815–1835. Journalism Monographs, 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Richardson, L. N. (1931). A history of early American magazines, 1741–1789. New York: Thomas Nelson and 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Schultze, Q. J. (1990). American Evangelicals and the mass media. Grand Rapids, MI: Academie/Zondervan</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Tassin, A. (1916). The magazine in America. New York: Dodd, Mead, and Company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Tebbel, J. (1969). The American magazine: A compact history. New York: Hawthorn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Underwood, D. (2002). From Yahweh to Yahoo!: The religious roots of the secular press. Urbana: University of Illinois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Waters, K. (2001). Vibrant, but invisible: Astudy of contemporary religious periodicals. Journalism &amp; Mass Communication Quarterly, 78(2), 307–320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Willings Press Guide Vol. I. (2003). Chesham, Bucks, UK: Waymaker Ltd</w:t>
      </w:r>
      <w:r>
        <w:rPr>
          <w:rFonts w:eastAsia="Times New Roman" w:cs="Times New Roman" w:ascii="Times New Roman" w:hAnsi="Times New Roman"/>
          <w:color w:val="111111"/>
          <w:sz w:val="28"/>
          <w:szCs w:val="28"/>
          <w:rtl w:val="true"/>
          <w:lang w:val="en-US" w:bidi="en-US"/>
        </w:rPr>
        <w:t xml:space="preserve">. </w:t>
      </w:r>
      <w:bookmarkStart w:id="827" w:name="pg3881_28097"/>
    </w:p>
    <w:p>
      <w:pPr>
        <w:pStyle w:val="Heading2"/>
        <w:numPr>
          <w:ilvl w:val="1"/>
          <w:numId w:val="1"/>
        </w:numPr>
        <w:rPr/>
      </w:pPr>
      <w:bookmarkStart w:id="828" w:name="__RefHeading___Toc1656576_2281741623"/>
      <w:bookmarkStart w:id="829" w:name="_Toc294"/>
      <w:bookmarkEnd w:id="827"/>
      <w:bookmarkEnd w:id="828"/>
      <w:r>
        <w:rPr>
          <w:rtl w:val="true"/>
        </w:rPr>
        <w:t>مخاطب</w:t>
      </w:r>
      <w:bookmarkEnd w:id="829"/>
    </w:p>
    <w:p>
      <w:pPr>
        <w:pStyle w:val="Heading3"/>
        <w:numPr>
          <w:ilvl w:val="2"/>
          <w:numId w:val="1"/>
        </w:numPr>
        <w:rPr/>
      </w:pPr>
      <w:bookmarkStart w:id="830" w:name="__RefHeading___Toc1656578_2281741623"/>
      <w:bookmarkStart w:id="831" w:name="_Toc295"/>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مخاطب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کلیسا برای انجام نیایش های مذهبی مانند خطابه ها، نمازهای دسته جمعی یا احکام، در گروه هایی با عنوان اجتماعات</w:t>
      </w:r>
      <w:r>
        <w:rPr>
          <w:rStyle w:val="FootnoteAnchor"/>
          <w:rtl w:val="true"/>
        </w:rPr>
        <w:footnoteReference w:id="348"/>
      </w:r>
      <w:r>
        <w:rPr>
          <w:rFonts w:ascii="IRNazanin" w:hAnsi="IRNazanin" w:eastAsia="IRNazanin"/>
          <w:color w:val="111111"/>
          <w:sz w:val="28"/>
          <w:sz w:val="28"/>
          <w:szCs w:val="28"/>
          <w:rtl w:val="true"/>
          <w:lang w:bidi="fa-IR"/>
        </w:rPr>
        <w:t>دور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هنگامی که از رسانه های سکولار مانند تلویزیون یا فیلم استفاده می کنند، مخاطبانی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مخاطبان مذهبی چگونه فرهنگ عامه را تجربه می کنند، در مطالعات رسانه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درک بیشتر تعامل اعضای کلیسا با دنیای سکولار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مخاطبان در میان فرقه های مختلف متفاوت است؛ از آمیش ها</w:t>
      </w:r>
      <w:r>
        <w:rPr>
          <w:rStyle w:val="FootnoteAnchor"/>
          <w:rtl w:val="true"/>
        </w:rPr>
        <w:footnoteReference w:id="349"/>
      </w:r>
      <w:r>
        <w:rPr>
          <w:rFonts w:ascii="IRNazanin" w:hAnsi="IRNazanin" w:eastAsia="IRNazanin"/>
          <w:color w:val="111111"/>
          <w:sz w:val="28"/>
          <w:sz w:val="28"/>
          <w:szCs w:val="28"/>
          <w:rtl w:val="true"/>
          <w:lang w:bidi="fa-IR"/>
        </w:rPr>
        <w:t xml:space="preserve">که از </w:t>
      </w:r>
      <w:bookmarkStart w:id="832" w:name="pg3881_28098"/>
    </w:p>
    <w:p>
      <w:pPr>
        <w:pStyle w:val="BookText"/>
        <w:rPr/>
      </w:pPr>
      <w:bookmarkEnd w:id="832"/>
      <w:r>
        <w:rPr>
          <w:rFonts w:ascii="IRNazanin" w:hAnsi="IRNazanin" w:eastAsia="IRNazanin"/>
          <w:color w:val="111111"/>
          <w:sz w:val="28"/>
          <w:sz w:val="28"/>
          <w:szCs w:val="28"/>
          <w:rtl w:val="true"/>
          <w:lang w:bidi="fa-IR"/>
        </w:rPr>
        <w:t>تلویزیون دوری می کنند تا یکتاپرستان مسیحی که معمولا برنامه های خاصی را در عبادات می 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مخاطبان اهل مبارزه هستند؛ مانند تعمیددهندگان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باپتیست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محصولات دیزنی را تحریم کرده یا مسلمانانی که با چاپ رمان آیات شیطانی اثر سلمان رشدی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روحانیت، مشوق سواد رسانۀ مذهبی یا کاربرد رسانۀ جمعی در متن اهداف و ارزش های معنوی بوده است</w:t>
      </w:r>
      <w:r>
        <w:rPr>
          <w:rFonts w:eastAsia="IRNazanin" w:cs="IRNazanin"/>
          <w:color w:val="111111"/>
          <w:sz w:val="28"/>
          <w:szCs w:val="28"/>
          <w:rtl w:val="true"/>
          <w:lang w:bidi="fa-IR"/>
        </w:rPr>
        <w:t>.</w:t>
      </w:r>
    </w:p>
    <w:p>
      <w:pPr>
        <w:pStyle w:val="Heading3"/>
        <w:numPr>
          <w:ilvl w:val="2"/>
          <w:numId w:val="1"/>
        </w:numPr>
        <w:rPr/>
      </w:pPr>
      <w:bookmarkStart w:id="833" w:name="__RefHeading___Toc1656580_2281741623"/>
      <w:bookmarkStart w:id="834" w:name="_Toc296"/>
      <w:bookmarkEnd w:id="833"/>
      <w:r>
        <w:rPr>
          <w:rtl w:val="true"/>
        </w:rPr>
        <w:t>تاریخچۀ مخاطبان مذهبی</w:t>
      </w:r>
      <w:bookmarkEnd w:id="834"/>
    </w:p>
    <w:p>
      <w:pPr>
        <w:pStyle w:val="BookText"/>
        <w:rPr/>
      </w:pPr>
      <w:r>
        <w:rPr>
          <w:rFonts w:ascii="IRNazanin" w:hAnsi="IRNazanin" w:eastAsia="IRNazanin"/>
          <w:color w:val="111111"/>
          <w:sz w:val="28"/>
          <w:sz w:val="28"/>
          <w:szCs w:val="28"/>
          <w:rtl w:val="true"/>
          <w:lang w:bidi="fa-IR"/>
        </w:rPr>
        <w:t>تاریخچۀ مخاطبان مذهبی</w:t>
      </w:r>
    </w:p>
    <w:p>
      <w:pPr>
        <w:pStyle w:val="BookText"/>
        <w:rPr/>
      </w:pPr>
      <w:r>
        <w:rPr>
          <w:rFonts w:ascii="IRNazanin" w:hAnsi="IRNazanin" w:eastAsia="IRNazanin"/>
          <w:color w:val="111111"/>
          <w:sz w:val="28"/>
          <w:sz w:val="28"/>
          <w:szCs w:val="28"/>
          <w:rtl w:val="true"/>
          <w:lang w:bidi="fa-IR"/>
        </w:rPr>
        <w:t>مخاطب مذهبی پدیدۀ جدیدی نیست و به دورۀ رمانتیک باز می گردد که در طول آن، حامیان مسیحی از مضامین معنوی در آثار سکولار شکسپیر و نمایش نامه های الهام بخش ویکتور هوگو و فردریش شیلر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انجمن های ادبی و جنبش های آموزشِ بزرگسالان چاتاکو</w:t>
      </w:r>
      <w:r>
        <w:rPr>
          <w:rStyle w:val="FootnoteAnchor"/>
          <w:rtl w:val="true"/>
        </w:rPr>
        <w:footnoteReference w:id="350"/>
      </w:r>
      <w:r>
        <w:rPr>
          <w:rFonts w:ascii="IRNazanin" w:hAnsi="IRNazanin" w:eastAsia="IRNazanin"/>
          <w:color w:val="111111"/>
          <w:sz w:val="28"/>
          <w:sz w:val="28"/>
          <w:szCs w:val="28"/>
          <w:rtl w:val="true"/>
          <w:lang w:bidi="fa-IR"/>
        </w:rPr>
        <w:t>در آمریکا اعضای کلیسا را جذب نمایش نامه های سکولار، شعرخوانی و سخنرانی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گذار از اجتماعات به مخاطب کار چندان آسانی نبود و اعضای کلیسا دربارۀ درستی سرگرمی مطلق مردد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انجمن های ادبیِ اواخر قرن نوزده در کنار تفریحات سکولار در کلیساها، آموزش دینی نیز می دادند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با پیدایش رادیو و تلویزیون، مخاطبان مذهبی هم بیشتر شدند و هم پیچیده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اطلاعاتی اخیر، اینترنت، تلویزیون تعاملی</w:t>
      </w:r>
      <w:r>
        <w:rPr>
          <w:rStyle w:val="FootnoteAnchor"/>
          <w:rtl w:val="true"/>
        </w:rPr>
        <w:footnoteReference w:id="352"/>
      </w:r>
      <w:r>
        <w:rPr>
          <w:rFonts w:ascii="IRNazanin" w:hAnsi="IRNazanin" w:eastAsia="IRNazanin"/>
          <w:color w:val="111111"/>
          <w:sz w:val="28"/>
          <w:sz w:val="28"/>
          <w:szCs w:val="28"/>
          <w:rtl w:val="true"/>
          <w:lang w:bidi="fa-IR"/>
        </w:rPr>
        <w:t>و ارتباطات ماهواره ای فرصت ها و چالش های جدیدی را برای جوامع مذهبی ایجاد کرده اند</w:t>
      </w:r>
      <w:r>
        <w:rPr>
          <w:rFonts w:eastAsia="IRNazanin" w:cs="IRNazanin"/>
          <w:color w:val="111111"/>
          <w:sz w:val="28"/>
          <w:szCs w:val="28"/>
          <w:rtl w:val="true"/>
          <w:lang w:bidi="fa-IR"/>
        </w:rPr>
        <w:t>.</w:t>
      </w:r>
    </w:p>
    <w:p>
      <w:pPr>
        <w:pStyle w:val="Heading3"/>
        <w:numPr>
          <w:ilvl w:val="2"/>
          <w:numId w:val="1"/>
        </w:numPr>
        <w:rPr/>
      </w:pPr>
      <w:bookmarkStart w:id="835" w:name="__RefHeading___Toc1656582_2281741623"/>
      <w:bookmarkStart w:id="836" w:name="_Toc297"/>
      <w:bookmarkEnd w:id="835"/>
      <w:r>
        <w:rPr>
          <w:rtl w:val="true"/>
        </w:rPr>
        <w:t>تنوع مخاطب</w:t>
      </w:r>
      <w:bookmarkEnd w:id="83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مخاطب </w:t>
      </w:r>
    </w:p>
    <w:p>
      <w:pPr>
        <w:pStyle w:val="BookText"/>
        <w:rPr/>
      </w:pPr>
      <w:r>
        <w:rPr>
          <w:rFonts w:ascii="IRNazanin" w:hAnsi="IRNazanin" w:eastAsia="IRNazanin"/>
          <w:color w:val="111111"/>
          <w:sz w:val="28"/>
          <w:sz w:val="28"/>
          <w:szCs w:val="28"/>
          <w:rtl w:val="true"/>
          <w:lang w:bidi="fa-IR"/>
        </w:rPr>
        <w:t>مخاطبان مذهبی متشکل از جوامع تفسیرگر کوچکی هستند که از نظر کاربرد رسانه و تفسیر، همگن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لیندلوف،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فرهنگ فرهیختۀ یهود، حَرِدی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ارتودکس های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سکولار را ممنوع کرده اند و این در حالی است که اکثر خانواده های یهودیِ مهذب از نمایش های تلویزیون و فیلم ها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تنوع را در اسلام هم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بدبینی مشترک نسبت به برخی ارزش های غربی، مسلمان آمریکایی تولیدات هالیوود را بیش از مسلمانان شیعۀ خاورمیانه می بیند که نفرت بیشتری از رسانه های سکولار غرب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مسلمانان در برابر رسانه های غربی را می توان در موسیقی راک یوسف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استیونس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آلات موسیقایی خود را فروخت و بسیاری از آهنگ هایش را دیگر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لوترا با مقایسۀ یک گروه مطالعاتیِ عبادیِ کوچک هندو، ساتسانگ، با گروه بزرگتری از کاربران گروه خبری اینترنت، یافت که مخاطبان در نگرش خود به رسانه دارای تفاوت های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کوچکتر از رسانه های سرگرم کننده کمتر استفاده می کرد و بیشتر سعی در رشد معنوی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اعضای گروه خبری هندو بیشتر با رسانه های غالب آمریکا آشنا بودند و هنگام نمایش چهره ای منفی از هندوها به اقدامات ضدافترا و تهمت دست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میان مخاطبان مسیحی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مخاطب در مسیحیت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 های محافظه کار انجیلی مانند تعمیددهندگان جنوبی، اعضای عید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پِنتاکوستالیست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نصرانی ها، رسانه های سکولار را نقطۀ مقابل ارزش های مسیحی تلقی می کنند </w:t>
      </w:r>
      <w:bookmarkStart w:id="837" w:name="pg3881_28100"/>
    </w:p>
    <w:p>
      <w:pPr>
        <w:pStyle w:val="BookText"/>
        <w:rPr/>
      </w:pPr>
      <w:bookmarkEnd w:id="837"/>
      <w:r>
        <w:rPr>
          <w:rFonts w:ascii="IRNazanin" w:hAnsi="IRNazanin" w:eastAsia="IRNazanin"/>
          <w:color w:val="111111"/>
          <w:sz w:val="28"/>
          <w:sz w:val="28"/>
          <w:szCs w:val="28"/>
          <w:rtl w:val="true"/>
          <w:lang w:bidi="fa-IR"/>
        </w:rPr>
        <w:t xml:space="preserve">در حالی که پروتستان های اصیل مانند متدیست ها، پرزبیتری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لوتری ها از اخبار تلویزیونی و برنامه های آموزشی در جهت آگاهی درباره مواد مخدر، فقر و دیگر موضوعات اجتماعی حمایت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بودنباوم،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مخاطب اغلب در حال تغییر است؛ مانند نصرانی ها که مدّتی از رفتن به سینما خودداری می کردند ولی در حال حاضر به طور گسترده از انواع رسانه ها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کاتولیک ها به رسانه نیز تحولات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ها برای انتخاب رسانه از انجمن ملّی شایستگی و دفتر ملی ادبیات فاخر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زمان چاپ نوشته های پاپ ژان پل دوّم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 به صورت آگاهی فردی تلقی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جامعۀ مورمون ها را می توان از تماشا نکردن فیلم های مورد دار و اختلاف نظر دربارۀ نقش مثبت تلویزیون در زندگی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والنتی و استوت،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Heading3"/>
        <w:numPr>
          <w:ilvl w:val="2"/>
          <w:numId w:val="1"/>
        </w:numPr>
        <w:rPr/>
      </w:pPr>
      <w:bookmarkStart w:id="838" w:name="__RefHeading___Toc1656584_2281741623"/>
      <w:bookmarkStart w:id="839" w:name="_Toc298"/>
      <w:bookmarkEnd w:id="838"/>
      <w:r>
        <w:rPr>
          <w:rtl w:val="true"/>
        </w:rPr>
        <w:t>استفاده از رسانۀ سکولار در عبادات مذهبی</w:t>
      </w:r>
      <w:bookmarkEnd w:id="839"/>
    </w:p>
    <w:p>
      <w:pPr>
        <w:pStyle w:val="BookText"/>
        <w:rPr/>
      </w:pPr>
      <w:r>
        <w:rPr>
          <w:rFonts w:ascii="IRNazanin" w:hAnsi="IRNazanin" w:eastAsia="IRNazanin"/>
          <w:color w:val="111111"/>
          <w:sz w:val="28"/>
          <w:sz w:val="28"/>
          <w:szCs w:val="28"/>
          <w:rtl w:val="true"/>
          <w:lang w:bidi="fa-IR"/>
        </w:rPr>
        <w:t>استفاده از رسانۀ سکولار در عبادات مذهبی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تردید مخاطبان مذهبی، مقاومت کردن یا پذیرفتن رسانه هایی با فرهنگ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فرهنگی دو گانه نیز قادر به دریافت روش های پیچیدۀ مذاهب در رویارویی با رسانه های دارای فرهنگ عامه نیست؛ ژانرهایی که زمانی محکوم می شدند، اکنون در راستای اهدافی معنوی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پروتستان های محافظه کار، رسانه هایی مانند رمان های مذهبی، میزگردهای تلویزیونی و موسیقی راک، ژانرهای ترکیبی جدید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مانند 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لحظۀ قدرت، ترکیبی از اخبار تلویزیون و برنامه های سرگرم کننده با عناصری از جلسات سنتی کلیسایی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bookmarkStart w:id="840" w:name="pg3881_28101"/>
    </w:p>
    <w:p>
      <w:pPr>
        <w:pStyle w:val="BookText"/>
        <w:rPr/>
      </w:pPr>
      <w:bookmarkEnd w:id="840"/>
      <w:r>
        <w:rPr>
          <w:rFonts w:ascii="IRNazanin" w:hAnsi="IRNazanin" w:eastAsia="IRNazanin"/>
          <w:color w:val="111111"/>
          <w:sz w:val="28"/>
          <w:sz w:val="28"/>
          <w:szCs w:val="28"/>
          <w:rtl w:val="true"/>
          <w:lang w:bidi="fa-IR"/>
        </w:rPr>
        <w:t>از تعمیددهندگان جنوبی مخالف فیلم آخرین وسوسۀ مسیح بودند ولی با نمایش مصائب مسیح در کلیساها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کلیساهای تعمیددهنده نیز با استفاده از نمایش کمدی اندی گریفیث در دهۀ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اصول اخلاقی را در کلاس های تعلیمات دینی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 پروتستانتیسم محافظه کار، نظریه ای عمومی دربارۀ تأثیر کاربرد رسانه بر رشد نهادهای مذهبی،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ووتناو</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پیمایشی متشکل از چهارصد مصاحبه به این نتیجه رسید که علاقه به هنر و موسیقی، جانی تازه به برخی فرقه های مذهبی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مخاطب مذهبی با حمایت از نمایشگاه های هنری، کنسرت ها، نمایش ها و هنرمندان، در حال بازگرداندن هنر سکولار و سرگرمی به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داده ها، اعضای کلیسا رسانه را ابزاری برای تحکیم بخشیدن به عقاید مذهبی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آرزوی رسیدن به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پیدایش مخاطبانی شد که در کلیساها، محافل رقص، جشنواره های هنری و گروه های مطالعاتی به راه انداختند</w:t>
      </w:r>
      <w:r>
        <w:rPr>
          <w:rFonts w:eastAsia="IRNazanin" w:cs="IRNazanin"/>
          <w:color w:val="111111"/>
          <w:sz w:val="28"/>
          <w:szCs w:val="28"/>
          <w:rtl w:val="true"/>
          <w:lang w:bidi="fa-IR"/>
        </w:rPr>
        <w:t>.</w:t>
      </w:r>
    </w:p>
    <w:p>
      <w:pPr>
        <w:pStyle w:val="Heading3"/>
        <w:numPr>
          <w:ilvl w:val="2"/>
          <w:numId w:val="1"/>
        </w:numPr>
        <w:rPr/>
      </w:pPr>
      <w:bookmarkStart w:id="841" w:name="__RefHeading___Toc1656586_2281741623"/>
      <w:bookmarkStart w:id="842" w:name="_Toc299"/>
      <w:bookmarkEnd w:id="841"/>
      <w:r>
        <w:rPr>
          <w:rtl w:val="true"/>
        </w:rPr>
        <w:t>سکولارسازی</w:t>
      </w:r>
      <w:bookmarkEnd w:id="842"/>
    </w:p>
    <w:p>
      <w:pPr>
        <w:pStyle w:val="BookText"/>
        <w:rPr/>
      </w:pPr>
      <w:r>
        <w:rPr>
          <w:rFonts w:ascii="IRNazanin" w:hAnsi="IRNazanin" w:eastAsia="IRNazanin"/>
          <w:color w:val="111111"/>
          <w:sz w:val="28"/>
          <w:sz w:val="28"/>
          <w:szCs w:val="28"/>
          <w:rtl w:val="true"/>
          <w:lang w:bidi="fa-IR"/>
        </w:rPr>
        <w:t>سکولارسازی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دربارۀ سکولارسازی یا تضعیف تعهد مذهبی توسط رسانه های جمعی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سکولارسازی نظریه ای بحث بر انگیز است که در تمامی موارد صدق نمی کند؛ برای نمونه دنیل استوت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تعدادی از مورمون های شهر تفریحی لاس وگاس، با وجود تأثیرات زیانبار رسانه ها به اعتقادات خود پایبند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لپتر و لیندلوف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که اعضای کلیسای نصرانی هم زمان با فزایش استفاده از رسانه، تعهد بیشتری نسبت به اعتقادات خود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هیلاری وارن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43" w:name="pg3881_28102"/>
    </w:p>
    <w:p>
      <w:pPr>
        <w:pStyle w:val="BookText"/>
        <w:rPr/>
      </w:pPr>
      <w:bookmarkEnd w:id="843"/>
      <w:r>
        <w:rPr>
          <w:rFonts w:ascii="IRNazanin" w:hAnsi="IRNazanin" w:eastAsia="IRNazanin"/>
          <w:color w:val="111111"/>
          <w:sz w:val="28"/>
          <w:sz w:val="28"/>
          <w:szCs w:val="28"/>
          <w:rtl w:val="true"/>
          <w:lang w:bidi="fa-IR"/>
        </w:rPr>
        <w:t>این نتیجه رسید که تحریم تولیدات دیزنی به وسیلۀ تعمیددهندگان جنوبی منجر به اتحاد گروهی قوی تر شد و این حاکی از آن است که پیش بینی تأثیر نهایی رسانۀ سکولار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معتقدند که کم شدن تعهدات مذهبی، فرآیند پیچیده ای است و فقط مربوط به یک عامل خاص مانند رسانه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تشخیص عوامل سکولاره سازی در میان مخاطبان مختلف به مطالعات بیشتری احتیاج است</w:t>
      </w:r>
      <w:r>
        <w:rPr>
          <w:rFonts w:eastAsia="IRNazanin" w:cs="IRNazanin"/>
          <w:color w:val="111111"/>
          <w:sz w:val="28"/>
          <w:szCs w:val="28"/>
          <w:rtl w:val="true"/>
          <w:lang w:bidi="fa-IR"/>
        </w:rPr>
        <w:t>.</w:t>
      </w:r>
    </w:p>
    <w:p>
      <w:pPr>
        <w:pStyle w:val="Heading3"/>
        <w:numPr>
          <w:ilvl w:val="2"/>
          <w:numId w:val="1"/>
        </w:numPr>
        <w:rPr/>
      </w:pPr>
      <w:bookmarkStart w:id="844" w:name="__RefHeading___Toc1656588_2281741623"/>
      <w:bookmarkStart w:id="845" w:name="_Toc300"/>
      <w:bookmarkEnd w:id="844"/>
      <w:r>
        <w:rPr>
          <w:rtl w:val="true"/>
        </w:rPr>
        <w:t>در آینده</w:t>
      </w:r>
      <w:bookmarkEnd w:id="845"/>
    </w:p>
    <w:p>
      <w:pPr>
        <w:pStyle w:val="BookText"/>
        <w:rPr/>
      </w:pPr>
      <w:r>
        <w:rPr>
          <w:rFonts w:ascii="IRNazanin" w:hAnsi="IRNazanin" w:eastAsia="IRNazanin"/>
          <w:color w:val="111111"/>
          <w:sz w:val="28"/>
          <w:sz w:val="28"/>
          <w:szCs w:val="28"/>
          <w:rtl w:val="true"/>
          <w:lang w:bidi="fa-IR"/>
        </w:rPr>
        <w:t>در آینده</w:t>
      </w:r>
    </w:p>
    <w:p>
      <w:pPr>
        <w:pStyle w:val="BookText"/>
        <w:rPr/>
      </w:pPr>
      <w:r>
        <w:rPr>
          <w:rFonts w:ascii="IRNazanin" w:hAnsi="IRNazanin" w:eastAsia="IRNazanin"/>
          <w:color w:val="111111"/>
          <w:sz w:val="28"/>
          <w:sz w:val="28"/>
          <w:szCs w:val="28"/>
          <w:rtl w:val="true"/>
          <w:lang w:bidi="fa-IR"/>
        </w:rPr>
        <w:t>تحقیقات جدیدی دربارۀ مخاطب مذهبی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بررسی سواد رسانۀ مذهبی و میزان آموزش ارزش ها از طریق رسانه های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جذاب دیگر، مخاطب مصرف کنندۀ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 وایت و کانینگهام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که مخاطبان بر اساس چگونگی استفاده از ارتباطات برای توسعۀ مارک های مذهبی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جواهرات یا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کمپبل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مطالعۀ این مسئله است که آیا رفتار مخاطبان در استفاده از اینترنت موجب تقویت یا تضعیف جوامع مذهبی می شود؟</w:t>
      </w:r>
    </w:p>
    <w:p>
      <w:pPr>
        <w:pStyle w:val="BookText"/>
        <w:rPr/>
      </w:pPr>
      <w:r>
        <w:rPr>
          <w:rFonts w:ascii="IRNazanin" w:hAnsi="IRNazanin" w:eastAsia="IRNazanin"/>
          <w:color w:val="111111"/>
          <w:sz w:val="28"/>
          <w:sz w:val="28"/>
          <w:szCs w:val="28"/>
          <w:rtl w:val="true"/>
          <w:lang w:bidi="fa-IR"/>
        </w:rPr>
        <w:t>نوشتۀ دَنیل استوت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846" w:name="pg3881_28103"/>
    </w:p>
    <w:p>
      <w:pPr>
        <w:pStyle w:val="Heading3"/>
        <w:numPr>
          <w:ilvl w:val="2"/>
          <w:numId w:val="1"/>
        </w:numPr>
        <w:rPr/>
      </w:pPr>
      <w:bookmarkStart w:id="847" w:name="__RefHeading___Toc1656590_2281741623"/>
      <w:bookmarkStart w:id="848" w:name="_Toc301"/>
      <w:bookmarkEnd w:id="846"/>
      <w:bookmarkEnd w:id="847"/>
      <w:r>
        <w:rPr>
          <w:rtl w:val="true"/>
        </w:rPr>
        <w:t>برای مطالعۀ بیشتر</w:t>
      </w:r>
      <w:bookmarkEnd w:id="84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Buddenbaum, J. M. (1996). Christian perspectives on mass media. In D. A. Stout &amp; J. M. Buddenbaum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and mass media: Audiences and adaptations (pp.81–94).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H. (2004). Challenges created by online religious networks. Journal of Media and Religion, 3(2), 81–99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Cravens, M. (2005). Lyceum, Chautauqua, and magic. Retrieved February 19, 2005 from: http://www.floraco.com/lyceum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Haley, E., White, C., &amp; Cunningham, A. (2001). Branding religion: Christian consumers’ understandings of Christian products. In D. A. Stout &amp; J. M. Buddenbaum (Eds.), Religion and popular culture: Studies on the interaction of worldviews (pp. 269–288).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Hess, M. (2001). Media literacy as a support for the development of a responsible imagination in religious community. In D. A. Stout &amp; J. M. Buddenbaum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and popular culture: Studies on the interaction of worldviews (pp. 289–311).Ames: Iowa State University Press</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Jelen, T. (1996). Catholicism, conscience, and censorship. In D. A. Stout &amp; J. M. Buddenbaum (Eds.), Religion and mass media: Audiences and adaptations (pp. 39–50). Thousand Oaks, CA: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Lepter, J., &amp; Lindlof, T. (2001). Coming out of abstinence: Aroot-metaphor study of Nazarenes’ relation to movies and media. In D. A. Stout &amp; J. M. Buddenbaum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 and popular culture: Studies on the interaction of worldviews (pp. 217–234).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Lindlof, T. (2002). Interpretive community: An approach to media and religion. Journal of Media and Religion 1(1), 61–74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Luthra, R. (2001). The formation of interpretive communities in the Hindu diaspora. In D. A. Stout &amp; J. M. Buddenbaum (Eds.), Religion and popular culture: Studies on the interaction of worldviews (pp. 125–139).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Palmer, A., &amp; Gallab, A. (2001). Islam and Western culture: Navigating terra incognita. In D. A. Stout &amp; J. M. Buddenbaum (Eds.), Religion and popular culture: Studies on the interaction of worldviews (pp. 109–124). Ames: 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Schement, J., &amp; Stephenson, H. (1996). Religion and the information society. In D. A. Stout &amp; J. M. Buddenbaum (Eds.), Religion and mass media: Audiences and adaptations (pp.261–289).Thousand Oaks, CA: Sage</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Schultze, Q. (1996). Evangelicals’ uneasy alliance with the media. In D. A. Stout &amp; J. M. Buddenbaum (Eds.)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Religion and mass media: Audiences and adaptations (pp.61–73).Thousand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Stout, D. A. (2004). Secularization and the religious audience: Astudy of Mormons and Las Vegas media. Mass communication and society 7(1),61–75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Valenti, J., &amp; Stout, D. (1996). Diversity from within: An analysis of the impact of religious culture on media use and effective communication to women. In D. A. Stout &amp; J.M.Buddenbaum (Eds.), Religion and mass media: Audiences and adaptations(pp. 183–196). Thousand Oaks, CA:Sage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Warren, H. (2001). Southern Baptists as audience and public: Acultural analysis of the Disney boycott. In D.A. Stout &amp; J. M. Buddenbaum (Eds.), Religion and popular culture: Studies on the interaction of worldviews (pp.169–186). Ames: Iowa State University Press</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Wuthnow, R. (2003). All in sync: How music and art are revitalizing American religion. Berkeley: University of California Press</w:t>
      </w:r>
      <w:r>
        <w:rPr>
          <w:rFonts w:eastAsia="Times New Roman" w:cs="Times New Roman" w:ascii="Times New Roman" w:hAnsi="Times New Roman"/>
          <w:color w:val="111111"/>
          <w:sz w:val="28"/>
          <w:szCs w:val="28"/>
          <w:rtl w:val="true"/>
          <w:lang w:val="en-US" w:bidi="en-US"/>
        </w:rPr>
        <w:t xml:space="preserve">. </w:t>
      </w:r>
      <w:bookmarkStart w:id="849" w:name="pg3881_28106"/>
    </w:p>
    <w:p>
      <w:pPr>
        <w:pStyle w:val="Heading2"/>
        <w:numPr>
          <w:ilvl w:val="1"/>
          <w:numId w:val="1"/>
        </w:numPr>
        <w:rPr/>
      </w:pPr>
      <w:bookmarkStart w:id="850" w:name="__RefHeading___Toc1656592_2281741623"/>
      <w:bookmarkStart w:id="851" w:name="_Toc302"/>
      <w:bookmarkEnd w:id="849"/>
      <w:bookmarkEnd w:id="850"/>
      <w:r>
        <w:rPr>
          <w:rtl w:val="true"/>
        </w:rPr>
        <w:t>مذاهب بومیان آمریکا</w:t>
      </w:r>
      <w:bookmarkEnd w:id="851"/>
    </w:p>
    <w:p>
      <w:pPr>
        <w:pStyle w:val="Heading3"/>
        <w:numPr>
          <w:ilvl w:val="2"/>
          <w:numId w:val="1"/>
        </w:numPr>
        <w:rPr/>
      </w:pPr>
      <w:bookmarkStart w:id="852" w:name="__RefHeading___Toc1656594_2281741623"/>
      <w:bookmarkStart w:id="853" w:name="_Toc303"/>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مذاهب بومیان آمریکا</w:t>
      </w:r>
    </w:p>
    <w:p>
      <w:pPr>
        <w:pStyle w:val="BookText"/>
        <w:rPr/>
      </w:pPr>
      <w:r>
        <w:rPr>
          <w:rFonts w:ascii="IRNazanin" w:hAnsi="IRNazanin" w:eastAsia="IRNazanin"/>
          <w:color w:val="111111"/>
          <w:sz w:val="28"/>
          <w:sz w:val="28"/>
          <w:szCs w:val="28"/>
          <w:rtl w:val="true"/>
          <w:lang w:bidi="fa-IR"/>
        </w:rPr>
        <w:t>خدا تصمیم گرفت انسان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 خمیرهایی که در تنور گذاشت، زیادی در آتش ماندند و رنگشان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سیاهپوستان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دوم را زودتر از تنور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نپخته ماندند و شدند سفیدپوست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نوبت سوم، گلوله های خمیر را به اندازه در تنور نگه داشت، همین قدر که برشته شوند و این ها سرخپوست 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افسانۀ سرخپوستی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چشم، آینة روح است ؛ مذهب، آینة فرهنگ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مذاهب بومیان آمریکا، شکل دهندة زندگی و هویت مردم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مطالعة وقایع گوناگون تاریخی، مذاهب بومیان آمریکا را بازتاب دقیق حساسیت های روحی، تحولات سیاسی و دگرگونی های فرهنگی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بومیان آمریکا که نخستین ساکنان آمریکا را تشکیل هستند، احتمالاًً نه هزار سال پیش از میلاد در </w:t>
      </w:r>
    </w:p>
    <w:p>
      <w:pPr>
        <w:pStyle w:val="BookText"/>
        <w:rPr/>
      </w:pPr>
      <w:r>
        <w:rPr>
          <w:rFonts w:ascii="IRNazanin" w:hAnsi="IRNazanin" w:eastAsia="IRNazanin"/>
          <w:color w:val="111111"/>
          <w:sz w:val="28"/>
          <w:sz w:val="28"/>
          <w:szCs w:val="28"/>
          <w:rtl w:val="true"/>
          <w:lang w:bidi="fa-IR"/>
        </w:rPr>
        <w:t xml:space="preserve">قسمت هایی از این سرزمین ساکن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علمی و انسان شناسی حاکی از آن است که این مردم، مسیری طولانی از آسیا تا شمالی ترین نقاط آمریکا را در عصر یخ بندان درنوردیده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که در حال حاضر با نام </w:t>
      </w:r>
      <w:r>
        <w:rPr>
          <w:rFonts w:eastAsia="Times New Roman" w:cs="Times New Roman" w:ascii="Times New Roman" w:hAnsi="Times New Roman"/>
          <w:color w:val="111111"/>
          <w:sz w:val="28"/>
          <w:szCs w:val="28"/>
          <w:lang w:val="en-US" w:bidi="en-US"/>
        </w:rPr>
        <w:t>Bering Strait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ای که آلاسکا را از سیبری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سفر مهاجران را برای اسکان همیشگی در طول مناطق ساحلی یا غیر ساحلی، چه از جنوب و چه از شرق، ممکن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نخستین ساکنان امریکا به اقتضای زندگی کوچ نشینی در پی شکار ماهی و حیوانات دیگر به این سرزمین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هزار سال پیش از میلاد، برخی از این مردم آموختند که چگونه از زمین، محصول بردارند و برای زمستان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 ها توانستند حیوانات را اهلی کنند و این نشان دهندة توانایی بومیان آمریکا در یافتن جای گزینی مناسب برای زندگی کوچ نشینی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یک جا ساکن شدند، طبیعتأ رشد یافتند و جوامع و تشکیلات گسترده تری را بنیان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بر خلاف گسترش روزافزون بومیان آمریکایی، آداب و رسوم و شعایر مذهبی قبایل، دیرینة خود را حفظ می کردند و همین، هویت بومیان آمریکا را تثبیت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کریستف کلمب به این خیال که به هند رسیده است، از کشتی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بومی آن ناحیه را به اشتباه</w:t>
      </w:r>
      <w:r>
        <w:rPr>
          <w:rFonts w:eastAsia="Times New Roman" w:cs="Times New Roman" w:ascii="Times New Roman" w:hAnsi="Times New Roman"/>
          <w:color w:val="111111"/>
          <w:sz w:val="28"/>
          <w:szCs w:val="28"/>
          <w:lang w:val="en-US" w:bidi="en-US"/>
        </w:rPr>
        <w:t>Indians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اشتباه، سبب شد که کاشفان اروپایی ناخود آگاه مردم بومی آمریکا را</w:t>
      </w:r>
      <w:r>
        <w:rPr>
          <w:rFonts w:eastAsia="Times New Roman" w:cs="Times New Roman" w:ascii="Times New Roman" w:hAnsi="Times New Roman"/>
          <w:color w:val="111111"/>
          <w:sz w:val="28"/>
          <w:szCs w:val="28"/>
          <w:lang w:val="en-US" w:bidi="en-US"/>
        </w:rPr>
        <w:t>Indians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آیین ها و مراسم عبادی ـ مذهبی بومی های آمریکا به چشم آن ها موهوم، وحشیانه و فاقد ارزش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نخستین در گیری بین اروپایی ها و بومیان آمریکا، حدود پانصد قبیلة گوناگون شناسایی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بومی این قبایل به اندازة زبان آن ها متنوع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854" w:name="pg3881_28108"/>
    </w:p>
    <w:p>
      <w:pPr>
        <w:pStyle w:val="BookText"/>
        <w:rPr/>
      </w:pPr>
      <w:bookmarkEnd w:id="854"/>
      <w:r>
        <w:rPr>
          <w:rFonts w:ascii="IRNazanin" w:hAnsi="IRNazanin" w:eastAsia="IRNazanin"/>
          <w:color w:val="111111"/>
          <w:sz w:val="28"/>
          <w:sz w:val="28"/>
          <w:szCs w:val="28"/>
          <w:rtl w:val="true"/>
          <w:lang w:bidi="fa-IR"/>
        </w:rPr>
        <w:t xml:space="preserve">راه های طبقه بندی و شناختن ویژگی های این مذاهب، مطالعة مراسم مذهبی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شامل موارد بسیاری مانند رقص گندم، رقص آفتاب و مراسم شکرگزاری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برای شناسایی این مذاهب، مطالعة روایت ها و حدیث های مذهبی آن ها دربارة پیدایی جهان و زندگی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تفاوت میان این مذاهب و مسحییت، هم چنین فاصله ای را که میان دو دیدگاه هست، آشکار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محقق ادیان، واین دلوریا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جدیدی ارائه داد، مبنی بر این که تنها زمانی توان فهم دقیق مذاهب بومی را داریم که آن ها را با توجه به مکان و زمان بسنجیم </w:t>
      </w:r>
      <w:r>
        <w:rPr>
          <w:rFonts w:eastAsia="IRNazanin" w:cs="IRNazanin"/>
          <w:color w:val="111111"/>
          <w:sz w:val="28"/>
          <w:szCs w:val="28"/>
          <w:rtl w:val="true"/>
          <w:lang w:bidi="fa-IR"/>
        </w:rPr>
        <w:t>.</w:t>
      </w:r>
    </w:p>
    <w:p>
      <w:pPr>
        <w:pStyle w:val="Heading3"/>
        <w:numPr>
          <w:ilvl w:val="2"/>
          <w:numId w:val="1"/>
        </w:numPr>
        <w:rPr/>
      </w:pPr>
      <w:bookmarkStart w:id="855" w:name="__RefHeading___Toc1656596_2281741623"/>
      <w:bookmarkStart w:id="856" w:name="_Toc304"/>
      <w:bookmarkEnd w:id="855"/>
      <w:r>
        <w:rPr>
          <w:rtl w:val="true"/>
        </w:rPr>
        <w:t>مناسک مذهبی</w:t>
      </w:r>
      <w:bookmarkEnd w:id="856"/>
    </w:p>
    <w:p>
      <w:pPr>
        <w:pStyle w:val="BookText"/>
        <w:rPr/>
      </w:pPr>
      <w:r>
        <w:rPr>
          <w:rFonts w:ascii="IRNazanin" w:hAnsi="IRNazanin" w:eastAsia="IRNazanin"/>
          <w:color w:val="111111"/>
          <w:sz w:val="28"/>
          <w:sz w:val="28"/>
          <w:szCs w:val="28"/>
          <w:rtl w:val="true"/>
          <w:lang w:bidi="fa-IR"/>
        </w:rPr>
        <w:t>مناسک مذهبی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مذاهب بومیان آمریکایی با بررسی مناسک مهم آن ها می تواند تا اندازه ای ما را در درک باورهای سرنوشت ساز آن ها یاری دهد؛ برای نمونه در رقص ذرت مردم زونی،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دوشیزه انگاشته می شود و این رقص را رقص دوشیزگان ذرت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الهگان معصوم با حضور در میان مردم، در عوامل وفور یا قحطی تأثیر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رقص ذرت، آیینی است برای سپاس از نزول برکت و رحمت به امید این که سایة آن ها همیشه بر سر مردم زونی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آفتاب به گونة سنتی میان اقوام گوناگون سرخ پوست مانند قوم آراپاهو اجرا می شود و مراسم مقدسی برای نوگرایی</w:t>
      </w:r>
      <w:r>
        <w:rPr>
          <w:rStyle w:val="FootnoteAnchor"/>
          <w:rtl w:val="true"/>
        </w:rPr>
        <w:footnoteReference w:id="35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آفتاب، اوایل بهار یا تابستان برگزار می شود و شامل چهار روز رقصیدن و عرق ریختن زیر آفتاب و بیان حکایات مربوط به آفرینش ستارگان، زمین و خورشید با بیان جزییات است </w:t>
      </w:r>
      <w:r>
        <w:rPr>
          <w:rFonts w:eastAsia="IRNazanin" w:cs="IRNazanin"/>
          <w:color w:val="111111"/>
          <w:sz w:val="28"/>
          <w:szCs w:val="28"/>
          <w:rtl w:val="true"/>
          <w:lang w:bidi="fa-IR"/>
        </w:rPr>
        <w:t xml:space="preserve">. </w:t>
      </w:r>
      <w:bookmarkStart w:id="857" w:name="pg3881_28109"/>
    </w:p>
    <w:p>
      <w:pPr>
        <w:pStyle w:val="BookText"/>
        <w:rPr/>
      </w:pPr>
      <w:bookmarkEnd w:id="857"/>
      <w:r>
        <w:rPr>
          <w:rFonts w:ascii="IRNazanin" w:hAnsi="IRNazanin" w:eastAsia="IRNazanin"/>
          <w:color w:val="111111"/>
          <w:sz w:val="28"/>
          <w:sz w:val="28"/>
          <w:szCs w:val="28"/>
          <w:rtl w:val="true"/>
          <w:lang w:bidi="fa-IR"/>
        </w:rPr>
        <w:t xml:space="preserve">مراسم مشابه دیگری هم به امید برکت و سلامت، مانند رقص آفتاب لاکوتا برای اهالی انجام می شود تا دل های مردم از امید به زندگی سرشار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قبیلة ناواهو، شکرگزاری و درخواست برکت و رحمت، شامل مجموعه ای متنوع از اساطیر و شعایر، مبنی بر پیدایی نوع بشر بر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مذهبی در زمان های خاصی از زندگی مانند تولد، ازدواج و ساختن خانه، برای حمایت نیروهای آسمانی و دوری از بلایا انجام می شود </w:t>
      </w:r>
      <w:r>
        <w:rPr>
          <w:rFonts w:eastAsia="IRNazanin" w:cs="IRNazanin"/>
          <w:color w:val="111111"/>
          <w:sz w:val="28"/>
          <w:szCs w:val="28"/>
          <w:rtl w:val="true"/>
          <w:lang w:bidi="fa-IR"/>
        </w:rPr>
        <w:t>.</w:t>
      </w:r>
    </w:p>
    <w:p>
      <w:pPr>
        <w:pStyle w:val="Heading3"/>
        <w:numPr>
          <w:ilvl w:val="2"/>
          <w:numId w:val="1"/>
        </w:numPr>
        <w:rPr/>
      </w:pPr>
      <w:bookmarkStart w:id="858" w:name="__RefHeading___Toc1656598_2281741623"/>
      <w:bookmarkStart w:id="859" w:name="_Toc305"/>
      <w:bookmarkEnd w:id="858"/>
      <w:r>
        <w:rPr>
          <w:rtl w:val="true"/>
        </w:rPr>
        <w:t>حکایات</w:t>
      </w:r>
      <w:bookmarkEnd w:id="859"/>
    </w:p>
    <w:p>
      <w:pPr>
        <w:pStyle w:val="BookText"/>
        <w:rPr/>
      </w:pPr>
      <w:r>
        <w:rPr>
          <w:rFonts w:ascii="IRNazanin" w:hAnsi="IRNazanin" w:eastAsia="IRNazanin"/>
          <w:color w:val="111111"/>
          <w:sz w:val="28"/>
          <w:sz w:val="28"/>
          <w:szCs w:val="28"/>
          <w:rtl w:val="true"/>
          <w:lang w:bidi="fa-IR"/>
        </w:rPr>
        <w:t>حکایات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گویی و روایت، شالودة مذاهب بومیان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گوناگونی قصه ها و احادیث مذهبی، حساسیت مشترک آن ها، زمان است که بازتابی دوگانه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زمان را از جنبة تاریخی در نظر می گیرند و آن را از گذشته تا امروز عینیت 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نگاهی والا به آن دارند و گذشته، حال و آینده را برآیند یکدیگر می دانند؛ برای نمونه این برداشت اساطیری از زمان که روح مشترکی برای همة موجودات قائل است، ارتباط ناپذیری ِ ناگزیر میان انسان ها، حیوانات و گیاهان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تغییر ناپذیرِ مذاهب بومیان آمریکایی، توانایی دیدن ِ وحدت</w:t>
      </w:r>
      <w:r>
        <w:rPr>
          <w:rStyle w:val="FootnoteAnchor"/>
          <w:rtl w:val="true"/>
        </w:rPr>
        <w:footnoteReference w:id="354"/>
      </w:r>
      <w:r>
        <w:rPr>
          <w:rFonts w:ascii="IRNazanin" w:hAnsi="IRNazanin" w:eastAsia="IRNazanin"/>
          <w:color w:val="111111"/>
          <w:sz w:val="28"/>
          <w:sz w:val="28"/>
          <w:szCs w:val="28"/>
          <w:rtl w:val="true"/>
          <w:lang w:bidi="fa-IR"/>
        </w:rPr>
        <w:t xml:space="preserve">در همه چیز و یافتن ارتباط و اشتراک روحی میان خالق و مخلوق ـ چه انسان، حیوان، گیاه و طبیعت بی جان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از اعتقاد مشترکِ متقابل که خدا آفرینندة همه چیز است، ـ چه جاندار، چه بی جان و دمندة روح در آن چه آفریده ـ سرچشمه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مناسک مذهبی بومیان آمریکا، برای تقویت احترام متقابل و یگانگی مشترک میان همه چیز ـ مریی یا نا مریی ـ است </w:t>
      </w:r>
      <w:r>
        <w:rPr>
          <w:rFonts w:eastAsia="IRNazanin" w:cs="IRNazanin"/>
          <w:color w:val="111111"/>
          <w:sz w:val="28"/>
          <w:szCs w:val="28"/>
          <w:rtl w:val="true"/>
          <w:lang w:bidi="fa-IR"/>
        </w:rPr>
        <w:t xml:space="preserve">. </w:t>
      </w:r>
      <w:bookmarkStart w:id="860" w:name="pg3881_28110"/>
    </w:p>
    <w:p>
      <w:pPr>
        <w:pStyle w:val="Heading3"/>
        <w:numPr>
          <w:ilvl w:val="2"/>
          <w:numId w:val="1"/>
        </w:numPr>
        <w:rPr/>
      </w:pPr>
      <w:bookmarkStart w:id="861" w:name="__RefHeading___Toc1656600_2281741623"/>
      <w:bookmarkStart w:id="862" w:name="_Toc306"/>
      <w:bookmarkEnd w:id="860"/>
      <w:bookmarkEnd w:id="861"/>
      <w:r>
        <w:rPr>
          <w:rtl w:val="true"/>
        </w:rPr>
        <w:t>مسیحیت</w:t>
      </w:r>
      <w:bookmarkEnd w:id="862"/>
    </w:p>
    <w:p>
      <w:pPr>
        <w:pStyle w:val="BookText"/>
        <w:rPr/>
      </w:pPr>
      <w:r>
        <w:rPr>
          <w:rFonts w:ascii="IRNazanin" w:hAnsi="IRNazanin" w:eastAsia="IRNazanin"/>
          <w:color w:val="111111"/>
          <w:sz w:val="28"/>
          <w:sz w:val="28"/>
          <w:szCs w:val="28"/>
          <w:rtl w:val="true"/>
          <w:lang w:bidi="fa-IR"/>
        </w:rPr>
        <w:t>مسیحیت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مبلغان مسیحی، عملاً همراه با نخستین کاشفان نواحی گوناگون آمریکا، وارد این سرزمین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هدف ارشاد، اصلاح افراد گمراه و نادان و ترویج مسیحیت، کمک مهمی به عوامل استعمار و استثمار در این سرزمین 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فعالیت های کلیسای کاتولیک و پروتستان، نوعی تعدیل و تسکین روش های نظامی و سیاسی استعمارگران بود؛ برای نمونه، کشیشی به نام بارتولومه دلاس کازاز به سبب هم دردی با سرخ پوست ها شهرت و محبوبیت بسیاری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هموطن اسپانیایی اش در کاراییب، مکزیکو و آمریکای لاتین، از خشونت و قساوت مهاجران سفید پوست انتقاد می کرد و در برابر آن 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خیرخواهانۀ او در درازمدت مخرب بودند و لطمات اساسی به فرهنگ بومی آمریکایی زدند؛ زیرا مبلغین مسیحی دیگر در آمریکا و آفریقا به تبعیت از روش مسالمت آمیز این کشیش، موفق به جذب بسیاری از بومی های آمریکایی شدند و با انتقال آن ها به میسیون هایی که قصدشان صرفأ بی هویت کردن ِاین مردم و جدایی افکندن میان آن ها و سنن ملی خود بود، توانستند آن ها را وادار به پذیرفتن زبان، فرهنگ و ارزش های اروپایی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مذهبی، پس از ساکن شدن در مناطق سرخ پوست نشین، با جدیت در پی دگرگونی مذهب آن ها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میسیونرها شهر های عبادی</w:t>
      </w:r>
      <w:r>
        <w:rPr>
          <w:rStyle w:val="FootnoteAnchor"/>
          <w:rtl w:val="true"/>
        </w:rPr>
        <w:footnoteReference w:id="355"/>
      </w:r>
      <w:r>
        <w:rPr>
          <w:rFonts w:ascii="IRNazanin" w:hAnsi="IRNazanin" w:eastAsia="IRNazanin"/>
          <w:color w:val="111111"/>
          <w:sz w:val="28"/>
          <w:sz w:val="28"/>
          <w:szCs w:val="28"/>
          <w:rtl w:val="true"/>
          <w:lang w:bidi="fa-IR"/>
        </w:rPr>
        <w:t xml:space="preserve">و مکان های مشابه را با هدف به وجود آوردن محیطی تازه و کاملاً دور از فضای زندگی سرخ پوستان، کانون اصلی فعالیت های نو کیشی یا تغییر مذهب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مذاهب بومیان، مسیحیت برای مقابله با مذاهب بومی با چهره ای ستیزه جو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مسیحیت و پیام آوران آن، با حضور سربازان و سیطرة نظامی آغاز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شعار مسیحیت که رهایی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رنج بود با آن چه بومیان در عمل تجربه می کردند، تفاوت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فلسفی، خدای مسیحیت و روح بزرگ با هم سرِ ناسازگاری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مسیحی بر مبنای پیام آوری بود که منجی شناخته می شد ولی به سرزمین و فرهنگ دیگری تعلق داشت که با اعتقادات بومیان دربارة آخرت بیگانه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مقدس مسیحی به زبانی بیگانه در کتابی گردآوری شده بودند، حال آن که اعتقادات بومیان، شفاهی و از گذشتگان و اجداد آن ها، سینه به سینه نقل شده و به آن ها رسیده بود و بدتر از همه گرویدن به کیش مسیحی نیازمندِ پشت کردن آن ها به قرن ها تاریخ، عادات و سنن قبیله ای، دل کندن از باور های گذشته و ایمان آوردن به خدایی نامریی و نا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بومیانی که به مسیحیت گرویده بودند با تشکیل گروه های گوناگون، فرهنگ بومی آمریکایی را دگرگون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مسیحیت و مذاهب بومی تأثیرات متقابلی بر یکدیگر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درآمیختن باورها، آداب و رسوم فرهنگی سرخ پوستان با مسیحیت، آن ها را کم رنگ کرد ولی به مرور فرهنگ جدیدی را شکل داد که نشأت گرفته از همان باورها، آداب و سنن و شعایر سنتی، خود را با تحولات زمانه و دگر گونی های معاصر تطبیق داده، چهره ای مدرن و امروزی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میان بومیان آمریکایی به وفور یافت می شوند کسانی که در زندگی خود آموخته اند هم از ره آوردهای مسیحیت و هم از باورهای بومی قبایل قدیمی استفاده کنند؛ برای نمونه در برخی از فرهنگ های </w:t>
      </w:r>
      <w:r>
        <w:rPr>
          <w:rFonts w:eastAsia="Times New Roman" w:cs="Times New Roman" w:ascii="Times New Roman" w:hAnsi="Times New Roman"/>
          <w:color w:val="111111"/>
          <w:sz w:val="28"/>
          <w:szCs w:val="28"/>
          <w:lang w:val="en-US" w:bidi="en-US"/>
        </w:rPr>
        <w:t>Pueblo</w:t>
      </w:r>
      <w:r>
        <w:rPr>
          <w:rFonts w:ascii="IRNazanin" w:hAnsi="IRNazanin" w:eastAsia="IRNazanin"/>
          <w:color w:val="111111"/>
          <w:sz w:val="28"/>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هم آیین های کاتولیکی و هم مراسم سنتی اجرا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بسیاری از بومیان آمریکایی، مسیحی شده، بنابر احکام مسیحیت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واقع، مسیحیت، نمایانگر باورها و اعتقادات مذهبی بومیان آمریکاست </w:t>
      </w:r>
      <w:r>
        <w:rPr>
          <w:rFonts w:eastAsia="IRNazanin" w:cs="IRNazanin"/>
          <w:color w:val="111111"/>
          <w:sz w:val="28"/>
          <w:szCs w:val="28"/>
          <w:rtl w:val="true"/>
          <w:lang w:bidi="fa-IR"/>
        </w:rPr>
        <w:t xml:space="preserve">. </w:t>
      </w:r>
      <w:bookmarkStart w:id="863" w:name="pg3881_28112"/>
    </w:p>
    <w:p>
      <w:pPr>
        <w:pStyle w:val="Heading3"/>
        <w:numPr>
          <w:ilvl w:val="2"/>
          <w:numId w:val="1"/>
        </w:numPr>
        <w:rPr/>
      </w:pPr>
      <w:bookmarkStart w:id="864" w:name="__RefHeading___Toc1656602_2281741623"/>
      <w:bookmarkStart w:id="865" w:name="_Toc307"/>
      <w:bookmarkEnd w:id="863"/>
      <w:bookmarkEnd w:id="864"/>
      <w:r>
        <w:rPr>
          <w:rtl w:val="true"/>
        </w:rPr>
        <w:t>کلیسای بومیان آمریکا</w:t>
      </w:r>
      <w:bookmarkEnd w:id="865"/>
    </w:p>
    <w:p>
      <w:pPr>
        <w:pStyle w:val="BookText"/>
        <w:rPr/>
      </w:pPr>
      <w:r>
        <w:rPr>
          <w:rFonts w:ascii="IRNazanin" w:hAnsi="IRNazanin" w:eastAsia="IRNazanin"/>
          <w:color w:val="111111"/>
          <w:sz w:val="28"/>
          <w:sz w:val="28"/>
          <w:szCs w:val="28"/>
          <w:rtl w:val="true"/>
          <w:lang w:bidi="fa-IR"/>
        </w:rPr>
        <w:t>کلیسای بومیان آمریکا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مظاهر سازگاری آیین ها و شعایر مذهبی بومیان آمریکا با مسیحیت، کلیساهایی است که اقوام سرخ پوست در دهه های اخیر ساخته اند و به نام کلیسای </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کاکتوسِ </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یکی از نماد های مذهبی سرخ پوستان کلمبیا، پیش از آشنایی با مسیحیت شناسایی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استفاده از </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مراسم مذهبی برای مؤمنان، نشانی از باورهای اساطیری آن ها به خدا یا همان روح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مراسم </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کلیساهای مسیحی در واقع، تلفیق باور های سنتی و مسیحیت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مسیحیت مراسم </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قرن ها میان قبایل بومی اجرا می شد، مانند دیگر مراسم سرخ پوست ها قبول نداشتند ولی این انگیزه را به مبلغان داد تا کلیساهای ویژۀ بومیان را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بومی آمریکایی در اُکلاهاما به منظور اشاعة اخلاق و باورهای مسیحی و با استفاده از آیین بومی</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مذهبی کلیساهای بومیان آمریکا، معمولاً به دو روش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هلال ماه</w:t>
      </w:r>
      <w:r>
        <w:rPr>
          <w:rStyle w:val="FootnoteAnchor"/>
          <w:rtl w:val="true"/>
        </w:rPr>
        <w:footnoteReference w:id="357"/>
      </w:r>
      <w:r>
        <w:rPr>
          <w:rFonts w:ascii="IRNazanin" w:hAnsi="IRNazanin" w:eastAsia="IRNazanin"/>
          <w:color w:val="111111"/>
          <w:sz w:val="28"/>
          <w:sz w:val="28"/>
          <w:szCs w:val="28"/>
          <w:rtl w:val="true"/>
          <w:lang w:bidi="fa-IR"/>
        </w:rPr>
        <w:t>و روش آتش متقاطع؛</w:t>
      </w:r>
      <w:r>
        <w:rPr>
          <w:rStyle w:val="FootnoteAnchor"/>
          <w:rtl w:val="true"/>
        </w:rPr>
        <w:footnoteReference w:id="358"/>
      </w:r>
      <w:r>
        <w:rPr>
          <w:rFonts w:ascii="IRNazanin" w:hAnsi="IRNazanin" w:eastAsia="IRNazanin"/>
          <w:color w:val="111111"/>
          <w:sz w:val="28"/>
          <w:sz w:val="28"/>
          <w:szCs w:val="28"/>
          <w:rtl w:val="true"/>
          <w:lang w:bidi="fa-IR"/>
        </w:rPr>
        <w:t xml:space="preserve">شکل محراب و نوع مراسم مذهبی در کلیسای بومیان آمریکا با کلیسای مسیحیان متفاوت است ولی مراجعان هر دو نوع کلیسا در اصول کلی و اساسی مسیحیت با یکدیگر مشترک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کلیسا، مبتنی بر نهی از شهوت رانی، می خوارگی، دعوت به کار و کوشش، تشکیل خانواده و تک همسری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کلیسا شامل نیایش، مراسم عروسی، ترحیم، شکرگزاری و دعای طلب ِشفا برای بیماران است </w:t>
      </w:r>
      <w:r>
        <w:rPr>
          <w:rFonts w:eastAsia="IRNazanin" w:cs="IRNazanin"/>
          <w:color w:val="111111"/>
          <w:sz w:val="28"/>
          <w:szCs w:val="28"/>
          <w:rtl w:val="true"/>
          <w:lang w:bidi="fa-IR"/>
        </w:rPr>
        <w:t xml:space="preserve">. </w:t>
      </w:r>
      <w:bookmarkStart w:id="866" w:name="pg3881_28113"/>
    </w:p>
    <w:p>
      <w:pPr>
        <w:pStyle w:val="BookText"/>
        <w:rPr/>
      </w:pPr>
      <w:bookmarkEnd w:id="866"/>
      <w:r>
        <w:rPr>
          <w:rFonts w:ascii="IRNazanin" w:hAnsi="IRNazanin" w:eastAsia="IRNazanin"/>
          <w:color w:val="111111"/>
          <w:sz w:val="28"/>
          <w:sz w:val="28"/>
          <w:szCs w:val="28"/>
          <w:rtl w:val="true"/>
          <w:lang w:bidi="fa-IR"/>
        </w:rPr>
        <w:t xml:space="preserve">کشیشان کلیساهای بومیان آمریکایی از میان افرادِ روحانی یا دارای سیر و سلوک های عرفانی انتخاب می شوند در حالی که در مراسمِ مذهبی، طبل زن ها و مردان مشعل به دست، آن ها را همراهی می کنند </w:t>
      </w:r>
      <w:r>
        <w:rPr>
          <w:rFonts w:eastAsia="IRNazanin" w:cs="IRNazanin"/>
          <w:color w:val="111111"/>
          <w:sz w:val="28"/>
          <w:szCs w:val="28"/>
          <w:rtl w:val="true"/>
          <w:lang w:bidi="fa-IR"/>
        </w:rPr>
        <w:t>.</w:t>
      </w:r>
    </w:p>
    <w:p>
      <w:pPr>
        <w:pStyle w:val="Heading3"/>
        <w:numPr>
          <w:ilvl w:val="2"/>
          <w:numId w:val="1"/>
        </w:numPr>
        <w:rPr/>
      </w:pPr>
      <w:bookmarkStart w:id="867" w:name="__RefHeading___Toc1656604_2281741623"/>
      <w:bookmarkStart w:id="868" w:name="_Toc308"/>
      <w:bookmarkEnd w:id="867"/>
      <w:r>
        <w:rPr>
          <w:rtl w:val="true"/>
        </w:rPr>
        <w:t>آزادی مذهبی</w:t>
      </w:r>
      <w:bookmarkEnd w:id="868"/>
    </w:p>
    <w:p>
      <w:pPr>
        <w:pStyle w:val="BookText"/>
        <w:rPr/>
      </w:pPr>
      <w:r>
        <w:rPr>
          <w:rFonts w:ascii="IRNazanin" w:hAnsi="IRNazanin" w:eastAsia="IRNazanin"/>
          <w:color w:val="111111"/>
          <w:sz w:val="28"/>
          <w:sz w:val="28"/>
          <w:szCs w:val="28"/>
          <w:rtl w:val="true"/>
          <w:lang w:bidi="fa-IR"/>
        </w:rPr>
        <w:t>آزادی مذهبی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رسمیت یافتن کلیسای بومیان آمریکا، مبارزه با شعایر و باورهای مذهبی بومیان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امور سرخ پوستان، انجام دادن </w:t>
      </w:r>
      <w:bookmarkStart w:id="869" w:name="pg3881_28114"/>
    </w:p>
    <w:p>
      <w:pPr>
        <w:pStyle w:val="BookText"/>
        <w:rPr/>
      </w:pPr>
      <w:bookmarkEnd w:id="869"/>
      <w:r>
        <w:rPr>
          <w:rFonts w:ascii="IRNazanin" w:hAnsi="IRNazanin" w:eastAsia="IRNazanin"/>
          <w:color w:val="111111"/>
          <w:sz w:val="28"/>
          <w:sz w:val="28"/>
          <w:szCs w:val="28"/>
          <w:rtl w:val="true"/>
          <w:lang w:bidi="fa-IR"/>
        </w:rPr>
        <w:t xml:space="preserve">مراسم قومی و آیین های سنتی را تحریم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تجدید سازمان سرخ پوستان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پایانی بر محدودیت های اعمال شده، برای مذاهب بومی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مقاومت و نارضایتی عمومی، بار دیگر پس از پایان جنگ جهانی دوم ادامه یافت، دولت آمریکا سیاست های جدید خود را برای انتقال و جابه جایی سرخ پوستان اعمال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که جهت سلب تملک زمین های مقدس سرخ پوستان از آنان اعمال می شد، برای ادغامِ سرخ پوستان در جامعة آمریکایی از راه انتقال آن ها از قرارگاه های سرخ پوستی به نواحی شهری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پس از دستگیری بومی های آمریکا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کنگره جلساتی برای دادن آزادیِ مذهبی به سرخ پوستان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قانون آزادی مذاهب بومیان آمریکا </w:t>
      </w:r>
      <w:r>
        <w:rPr>
          <w:rFonts w:eastAsia="Times New Roman" w:cs="Times New Roman" w:ascii="Times New Roman" w:hAnsi="Times New Roman"/>
          <w:color w:val="111111"/>
          <w:sz w:val="28"/>
          <w:szCs w:val="28"/>
          <w:lang w:val="en-US" w:bidi="en-US"/>
        </w:rPr>
        <w:t>AIRFA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تصویب شد ولی از زمان تصویب این قانون، به سبب موارد مبهم و نبود قدرت اجرایی، بسیار از آن انتقاد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کنگرة آمریکا قانون احیای مذاهب بومی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تصویب کرد که با نظارت اجرایی بسیاری از گروه های مذهبی پشتیبانی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جایی هم برای حمایت از اجرای مراسم و شعائر مذهبی بومیان آمریکا، تنها برای مدت کوتاهی در نظر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عالی آمریکا، قانون </w:t>
      </w:r>
      <w:r>
        <w:rPr>
          <w:rFonts w:eastAsia="Times New Roman" w:cs="Times New Roman" w:ascii="Times New Roman" w:hAnsi="Times New Roman"/>
          <w:color w:val="111111"/>
          <w:sz w:val="28"/>
          <w:szCs w:val="28"/>
          <w:lang w:val="en-US" w:bidi="en-US"/>
        </w:rPr>
        <w:t>RERA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ملغی اعلام کرد و همة آداب و رسوم مذهبی مانند اجتماع در چادر های سرخ پوست، استفاده از گیاهانی چون مریم گلی، سِدر، تنباکو و نیز بلندکردن مو ممنوع شد </w:t>
      </w:r>
      <w:r>
        <w:rPr>
          <w:rFonts w:eastAsia="IRNazanin" w:cs="IRNazanin"/>
          <w:color w:val="111111"/>
          <w:sz w:val="28"/>
          <w:szCs w:val="28"/>
          <w:rtl w:val="true"/>
          <w:lang w:bidi="fa-IR"/>
        </w:rPr>
        <w:t>.</w:t>
      </w:r>
    </w:p>
    <w:p>
      <w:pPr>
        <w:pStyle w:val="Heading3"/>
        <w:numPr>
          <w:ilvl w:val="2"/>
          <w:numId w:val="1"/>
        </w:numPr>
        <w:rPr/>
      </w:pPr>
      <w:bookmarkStart w:id="870" w:name="__RefHeading___Toc1656606_2281741623"/>
      <w:bookmarkStart w:id="871" w:name="_Toc309"/>
      <w:bookmarkEnd w:id="870"/>
      <w:r>
        <w:rPr>
          <w:rtl w:val="true"/>
        </w:rPr>
        <w:t>تأثیرات متقابل همیشگی</w:t>
      </w:r>
      <w:bookmarkEnd w:id="871"/>
    </w:p>
    <w:p>
      <w:pPr>
        <w:pStyle w:val="BookText"/>
        <w:rPr/>
      </w:pPr>
      <w:r>
        <w:rPr>
          <w:rFonts w:ascii="IRNazanin" w:hAnsi="IRNazanin" w:eastAsia="IRNazanin"/>
          <w:color w:val="111111"/>
          <w:sz w:val="28"/>
          <w:sz w:val="28"/>
          <w:szCs w:val="28"/>
          <w:rtl w:val="true"/>
          <w:lang w:bidi="fa-IR"/>
        </w:rPr>
        <w:t>تأثیرات متقابل همیشگی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اعتقادات مذاهب بومیان آمریکایی، بافت ساده و یک پارچه ای ندارند به درستی درک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راه برای درک جوهر این </w:t>
      </w:r>
    </w:p>
    <w:p>
      <w:pPr>
        <w:pStyle w:val="BookText"/>
        <w:rPr/>
      </w:pPr>
      <w:r>
        <w:rPr>
          <w:rFonts w:ascii="IRNazanin" w:hAnsi="IRNazanin" w:eastAsia="IRNazanin"/>
          <w:color w:val="111111"/>
          <w:sz w:val="28"/>
          <w:sz w:val="28"/>
          <w:szCs w:val="28"/>
          <w:rtl w:val="true"/>
          <w:lang w:bidi="fa-IR"/>
        </w:rPr>
        <w:t>اعتقادات، به یاد آوردن چهارچوب واین دلوریا، محقق ادیان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اهمیت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مفاهیم مربوط به مذاهب بومیان آمریکا مانند تقدس طبیعت و تعدد مراسم، زادة موقعیت های خاص و مکان های معنا داری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می شود بهتر فهمید که چگونه مهاجرت های اجباری و پراکندگی های خانوادگی و قومی، تأثیری عمیق و جدی بر باورهای سنتی و مراسم مذهبی شان گذاشته است و از دامنه و شدت وابستگی های خانوادگی، اهمیت اعیاد قومی و تنوع رقص های آیینی متنوع شان کم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همان گونه که دربارة کلیسا های سرخ پوستی شاهد بوده ایم، سرخ پوست ها نیز در آیین و اعتقادات مسیحی دخل و تصرف هایی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فلسفیِ مذاهب بومیان در دیدگاه شهروندان امروز جامعة آمریکا تأثیراتی داشته، موجب وسعت بخشیدن به دیدِ آن ها دربارة طبیعت، حفظ محیط زیست و آزادی مذاهب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 و داستان های سرخپوستان اهل قلم از محبوبیت خاصی در میان خوانندگان آثار ادبی در آمریکا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شاعران و نویسندگان مطرح آمریکا در سال های اخیر، می توان از جوی هاریو نام برد که نسل هفتم جد پدری معروف خود، سرخپوست قهرمان</w:t>
      </w:r>
      <w:r>
        <w:rPr>
          <w:rStyle w:val="FootnoteAnchor"/>
          <w:rtl w:val="true"/>
        </w:rPr>
        <w:footnoteReference w:id="3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معروفش به نام اسراری از مرکز جهان می نویسد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زمین را که میان ما می زید میازارید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کار بر روی داستانی است؛ ولی داستانِ او، داستانی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 آورید زمین لرزه ها، رعد و برق ها، مرگِ عزیزانتان و زیبایی ِکورکننده را</w:t>
      </w:r>
      <w:r>
        <w:rPr>
          <w:rFonts w:eastAsia="IRNazanin" w:cs="IRNazanin"/>
          <w:color w:val="111111"/>
          <w:sz w:val="28"/>
          <w:szCs w:val="28"/>
          <w:rtl w:val="true"/>
          <w:lang w:bidi="fa-IR"/>
        </w:rPr>
        <w:t xml:space="preserve">. </w:t>
      </w:r>
      <w:bookmarkStart w:id="872" w:name="pg3881_28116"/>
    </w:p>
    <w:p>
      <w:pPr>
        <w:pStyle w:val="BookText"/>
        <w:rPr/>
      </w:pPr>
      <w:bookmarkEnd w:id="872"/>
      <w:r>
        <w:rPr>
          <w:rFonts w:ascii="IRNazanin" w:hAnsi="IRNazanin" w:eastAsia="IRNazanin"/>
          <w:color w:val="111111"/>
          <w:sz w:val="28"/>
          <w:sz w:val="28"/>
          <w:szCs w:val="28"/>
          <w:rtl w:val="true"/>
          <w:lang w:bidi="fa-IR"/>
        </w:rPr>
        <w:t>این کتابی بود که جایزۀ بهترین کتاب سال آمریکا را از آنِ خود کرد و نشان دهندۀ تأثیرپذیری ادبیات آمریکای سفیدپوست از فرهنگ اقوام اصلی آن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نوشتۀ 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 تارفِن</w:t>
      </w:r>
    </w:p>
    <w:p>
      <w:pPr>
        <w:pStyle w:val="BookText"/>
        <w:rPr/>
      </w:pPr>
      <w:r>
        <w:rPr>
          <w:rFonts w:ascii="IRNazanin" w:hAnsi="IRNazanin" w:eastAsia="IRNazanin"/>
          <w:color w:val="111111"/>
          <w:sz w:val="28"/>
          <w:sz w:val="28"/>
          <w:szCs w:val="28"/>
          <w:rtl w:val="true"/>
          <w:lang w:bidi="fa-IR"/>
        </w:rPr>
        <w:t>ترجمۀ فریده حسن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Heading3"/>
        <w:numPr>
          <w:ilvl w:val="2"/>
          <w:numId w:val="1"/>
        </w:numPr>
        <w:rPr/>
      </w:pPr>
      <w:bookmarkStart w:id="873" w:name="__RefHeading___Toc1656608_2281741623"/>
      <w:bookmarkStart w:id="874" w:name="_Toc310"/>
      <w:bookmarkEnd w:id="873"/>
      <w:r>
        <w:rPr>
          <w:rtl w:val="true"/>
        </w:rPr>
        <w:t>برای مطالعۀ بیشتر</w:t>
      </w:r>
      <w:bookmarkEnd w:id="874"/>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Deloria, V. Jr. (2003). God is red: A native view of religion. Golden, CO: Fulcrum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Hampton, C. (2004). Missions and missionaries. Encyclopedia of North American Indians, 1–2. Retrieved December 21,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http://college.hmco.com/history/readerscomp/naind/html/na_022700_missionsandm.htm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Hirschfelder, A. B. (2000). Encyclopedia of Native American religions: An introduction.New York: Facts on File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Kidwell, C. S., Noley, H., &amp; Tinker, G.E. (2001). A Native American theology.Maryknoll, NY: Orbis Books</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Martin, J. W. (1999). Native American religion.New York: Oxford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Native american spirituality. (n.d.). Retrieved December 14,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http://religiousmovements.lib.virginia.edu/nrms/naspirit.html, 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Tinker, G. E. (2004). Native American Church. Encyclopedia of North American Indians, 1–4. Retrieved December 21,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http://college.hmco.com/history/readerscomp/naind/html/na_025000_natamch.htm</w:t>
      </w:r>
    </w:p>
    <w:p>
      <w:pPr>
        <w:pStyle w:val="BookText"/>
        <w:rPr/>
      </w:pPr>
      <w:r>
        <w:rPr>
          <w:rFonts w:eastAsia="Times New Roman" w:cs="Times New Roman" w:ascii="Times New Roman" w:hAnsi="Times New Roman"/>
          <w:color w:val="111111"/>
          <w:sz w:val="28"/>
          <w:szCs w:val="28"/>
          <w:lang w:val="en-US" w:bidi="en-US"/>
        </w:rPr>
        <w:t>Tinker, G. E. (2004). Religion. Encyclopedia of North American Indians, 1–3.Retrieved December 21, 2004,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http://college.hmco.com/history/readerscomp/naind/html/na_032600_religion.htm</w:t>
      </w:r>
    </w:p>
    <w:p>
      <w:pPr>
        <w:pStyle w:val="BookText"/>
        <w:rPr/>
      </w:pPr>
      <w:r>
        <w:rPr>
          <w:rFonts w:eastAsia="Times New Roman" w:cs="Times New Roman" w:ascii="Times New Roman" w:hAnsi="Times New Roman"/>
          <w:color w:val="111111"/>
          <w:sz w:val="28"/>
          <w:szCs w:val="28"/>
          <w:lang w:val="en-US" w:bidi="en-US"/>
        </w:rPr>
        <w:t>Vernon, I. S. (2004).Religious rights. Encyclopedia of North American Indians, 1–3. Retrieved December 21, 2004, from</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http://college.hmco.com/history/readerscomp/naind/html/na_032700_religiousrig.htm</w:t>
      </w:r>
      <w:r>
        <w:rPr>
          <w:rFonts w:eastAsia="Times New Roman" w:cs="Times New Roman" w:ascii="Times New Roman" w:hAnsi="Times New Roman"/>
          <w:color w:val="111111"/>
          <w:sz w:val="28"/>
          <w:szCs w:val="28"/>
          <w:rtl w:val="true"/>
          <w:lang w:val="en-US" w:bidi="en-US"/>
        </w:rPr>
        <w:t xml:space="preserve"> </w:t>
      </w:r>
      <w:bookmarkStart w:id="875" w:name="pg3881_28118"/>
    </w:p>
    <w:p>
      <w:pPr>
        <w:pStyle w:val="Heading2"/>
        <w:numPr>
          <w:ilvl w:val="1"/>
          <w:numId w:val="1"/>
        </w:numPr>
        <w:rPr/>
      </w:pPr>
      <w:bookmarkStart w:id="876" w:name="__RefHeading___Toc1656610_2281741623"/>
      <w:bookmarkStart w:id="877" w:name="_Toc311"/>
      <w:bookmarkEnd w:id="875"/>
      <w:bookmarkEnd w:id="876"/>
      <w:r>
        <w:rPr>
          <w:rtl w:val="true"/>
        </w:rPr>
        <w:t>مردگان</w:t>
      </w:r>
      <w:bookmarkEnd w:id="877"/>
    </w:p>
    <w:p>
      <w:pPr>
        <w:pStyle w:val="Heading3"/>
        <w:numPr>
          <w:ilvl w:val="2"/>
          <w:numId w:val="1"/>
        </w:numPr>
        <w:rPr/>
      </w:pPr>
      <w:bookmarkStart w:id="878" w:name="__RefHeading___Toc1656612_2281741623"/>
      <w:bookmarkStart w:id="879" w:name="_Toc312"/>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مردگان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ادامه دار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زندگان به عنوان ابزاری میان فرهنگی در خدمت حفظ پیوندهای عاطفی در دو سوی فضای مرگ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شیوه ای بوده است که به زندگان اجازۀ مشورت با مردگان دربارۀ شرایط زندگیِ پس از مرگ و نیز بهترین شیوۀ رفتار و کردار در این جهان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چه اسلاف بلافصل ما باشند و چه چهره های تاریخی مشهور، عموماً از زندگان، خردمندتر فرض می شوند و در اغلب موارد با رفتاری خیراندیشانه،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می کنند یا سوگ و اندوه شان را تسلی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چه به صورت فردی صورت بگیرد و چه از طریق آیین های خاصی که طی زمانی محدود و برای بزرگداشت درگذشتگان برگزار می شود، مهم نفسِ ارتباطی است که مردگان از ورای قبورشان برقرار می کنند و به این ترتیب موجب اطمینان زندگان دربارۀ وجود و حضور مستدام </w:t>
      </w:r>
      <w:bookmarkStart w:id="880" w:name="pg3881_28119"/>
    </w:p>
    <w:p>
      <w:pPr>
        <w:pStyle w:val="BookText"/>
        <w:rPr/>
      </w:pPr>
      <w:bookmarkEnd w:id="880"/>
      <w:r>
        <w:rPr>
          <w:rFonts w:ascii="IRNazanin" w:hAnsi="IRNazanin" w:eastAsia="IRNazanin"/>
          <w:color w:val="111111"/>
          <w:sz w:val="28"/>
          <w:sz w:val="28"/>
          <w:szCs w:val="28"/>
          <w:rtl w:val="true"/>
          <w:lang w:bidi="fa-IR"/>
        </w:rPr>
        <w:t>عزیزان شان و نیز علاقۀ دوجانبه ای می شوند که میان دوستان و اقوام زندۀ فرد درگذشته و 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عالم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گوناگونی را در برمی گیرد و از کنش های شفاهی مانند دعا و گفت و گو تا اَعمالی مانند عرضۀ غذا و خوراک به مردگان و نیز انواع و اقسام مراسم یادبود و بزرگداشت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قاعده ای کلی، ارتباط با مردگان به آن دسته از روابطی اطلاق می شود که با حضور واقعی فرد درگذشته و نه یادآوری خاطره ای برانگیزاننده، همراه باشد؛ هر چند که بسیاری از یادآوری ها و خاطرات نیز می توانند به عنوان ابزاری در جهت انتقال نگرانی و توجهی مداوم به فرد درگذشته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برقراری ارتباط می تواند به گونه ای بی واسطه صورت بگیرد و مردگان خاصی می توانند با استفاده از مدیوم ها، تسخیر وجود</w:t>
      </w:r>
      <w:r>
        <w:rPr>
          <w:rStyle w:val="FootnoteAnchor"/>
          <w:rtl w:val="true"/>
        </w:rPr>
        <w:footnoteReference w:id="361"/>
      </w:r>
      <w:r>
        <w:rPr>
          <w:rFonts w:ascii="IRNazanin" w:hAnsi="IRNazanin" w:eastAsia="IRNazanin"/>
          <w:color w:val="111111"/>
          <w:sz w:val="28"/>
          <w:sz w:val="28"/>
          <w:szCs w:val="28"/>
          <w:rtl w:val="true"/>
          <w:lang w:bidi="fa-IR"/>
        </w:rPr>
        <w:t>و دیگر حالات خلسه و هیپنوتیزم به قلمروی زندگان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هایی که در مقیاس های بزرگ تر صورت می گیرند، مانند روز مردگان</w:t>
      </w:r>
      <w:r>
        <w:rPr>
          <w:rStyle w:val="FootnoteAnchor"/>
          <w:rtl w:val="true"/>
        </w:rPr>
        <w:footnoteReference w:id="362"/>
      </w:r>
      <w:r>
        <w:rPr>
          <w:rFonts w:ascii="IRNazanin" w:hAnsi="IRNazanin" w:eastAsia="IRNazanin"/>
          <w:color w:val="111111"/>
          <w:sz w:val="28"/>
          <w:sz w:val="28"/>
          <w:szCs w:val="28"/>
          <w:rtl w:val="true"/>
          <w:lang w:bidi="fa-IR"/>
        </w:rPr>
        <w:t>در آمریکای لاتین، اغلب با دعوت از مردگان به بازگشت به خانه های اقوام شان برای مدتی محدود همراه هستند تا به این ترتیب هم مردگان نسبت به وجود مهر و محبت ابدی و جاودان نسبت به خود اطمینان یابند و هم احتمال تسخیر وجود زندگان از سوی اقوام که احتمالاً مورد بی مهری و بی اعتنایی قرار گرفته اند،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جوامع این اعتقاد وجود دارد که قصور و بی توجهی به برقراری ارتباط صحیح با مردگان موجب ایجاد ارواح مداخله گر و حتی خطرناک می شود</w:t>
      </w:r>
      <w:r>
        <w:rPr>
          <w:rFonts w:eastAsia="IRNazanin" w:cs="IRNazanin"/>
          <w:color w:val="111111"/>
          <w:sz w:val="28"/>
          <w:szCs w:val="28"/>
          <w:rtl w:val="true"/>
          <w:lang w:bidi="fa-IR"/>
        </w:rPr>
        <w:t>.</w:t>
      </w:r>
    </w:p>
    <w:p>
      <w:pPr>
        <w:pStyle w:val="Heading3"/>
        <w:numPr>
          <w:ilvl w:val="2"/>
          <w:numId w:val="1"/>
        </w:numPr>
        <w:rPr/>
      </w:pPr>
      <w:bookmarkStart w:id="881" w:name="__RefHeading___Toc1656614_2281741623"/>
      <w:bookmarkStart w:id="882" w:name="_Toc313"/>
      <w:bookmarkEnd w:id="881"/>
      <w:r>
        <w:rPr>
          <w:rtl w:val="true"/>
        </w:rPr>
        <w:t>مدیوم ها</w:t>
      </w:r>
      <w:r>
        <w:rPr/>
        <w:t>1</w:t>
      </w:r>
      <w:bookmarkEnd w:id="88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مدیوم ها</w:t>
      </w:r>
      <w:r>
        <w:rPr>
          <w:rStyle w:val="FootnoteAnchor"/>
          <w:rtl w:val="true"/>
        </w:rPr>
        <w:footnoteReference w:id="36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زیاد محبوب ترین محمل برای برقراری ارتباط با مردگان هم چنان صدای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شخصی که از نوعی اعتبار رسمی و قانونی برخوردار است ــ کشیش، شفادهنده یا ارتباط دهنده ــ وارد حالتی خلسه مانند می شود و به مثابه واسطه ای برای جهان ارواح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اجازه می دهد تا ارواح مردگان از طریق او صحبت کنند و به این ترتیب زندگان شانس این را پیدا می کنند تا به طور مستقیم با کسانی صحبت کنند که در جهان باقی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فرد مراجعه کننده در اغلب موارد خواهان برقراری ارتباط با افراد خانواده یا دوستانش است ولی در بسیاری از موارد هم مراجعه کنندگان به مدیوم ها خواهان برقراری ارتباط با مردگان مشهوری چون سیاستمداران، چهره های ادبی و مراجع مذهبی می شوند تا توصیه و نصایح آن 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می توانند به خاطر دانش شان در مورد جهان پس از مرگ یا مشکلات خاصی مانند هجوم بخت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دیدگاه های شان دربارۀ امور اجتماعی و سیاسی مورد مشورت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گری منبعی غنی برای تحقیق، مطالعه و نیز جنجال هستند؛ چرا که اغلب، زنان یا کودکان ابزار اصلی برقراری ارتباط با مردگان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مسئله گاه اجازه می دهد آن دسته از گروه های اجتماعی که در حاشیه قرار دارند از جایگاه و موقعیتی شبه روحانی برخوردار شوند ولی در همان حال به این نکته هم اشاره شده است که زنان اغلب جایگاهی برای ظهور فَوَران ها و طغیان هایی شگفت انگیز و مخرب از قلمروی مردگان بوده اند که گاه خود را به شکل تسخیر وجود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ارزش درمانی و روانی این گونه حالات روحی که گاه وجهی نمایشی، آموزشی و حتی جعلی پیدا </w:t>
      </w:r>
      <w:bookmarkStart w:id="883" w:name="pg3881_28121"/>
    </w:p>
    <w:p>
      <w:pPr>
        <w:pStyle w:val="BookText"/>
        <w:rPr/>
      </w:pPr>
      <w:bookmarkEnd w:id="883"/>
      <w:r>
        <w:rPr>
          <w:rFonts w:ascii="IRNazanin" w:hAnsi="IRNazanin" w:eastAsia="IRNazanin"/>
          <w:color w:val="111111"/>
          <w:sz w:val="28"/>
          <w:sz w:val="28"/>
          <w:szCs w:val="28"/>
          <w:rtl w:val="true"/>
          <w:lang w:bidi="fa-IR"/>
        </w:rPr>
        <w:t xml:space="preserve">می کنند به شدت محل بحث و جدل است، ارزش مذهبی برقراری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عالم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زنده نیز به همین ترتیب محل بحث و جدل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واسطۀ کاربرد حالات خلسه، ممکن است بدون هیچ ترسی از واکنش و سرکوب، نارضایتی و مخالفت خود را با جامعه بازگو کنند ولی این شرایط تنها تا جایی وجود دارد که این خودِ زن نباشد که از این مسائل صحبت کند، بلکه فرد مرده ای باشد که صدایش را از طریق او به گوش 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متناقض نمای توانایی، به طور توامان نارضایتی های اجتماعی را بروز می دهد و در همان حال به طور بالقوه نقابی بر چهرۀ گویندۀ کلمات می کشد</w:t>
      </w:r>
      <w:r>
        <w:rPr>
          <w:rFonts w:eastAsia="IRNazanin" w:cs="IRNazanin"/>
          <w:color w:val="111111"/>
          <w:sz w:val="28"/>
          <w:szCs w:val="28"/>
          <w:rtl w:val="true"/>
          <w:lang w:bidi="fa-IR"/>
        </w:rPr>
        <w:t>.</w:t>
      </w:r>
    </w:p>
    <w:p>
      <w:pPr>
        <w:pStyle w:val="Heading3"/>
        <w:numPr>
          <w:ilvl w:val="2"/>
          <w:numId w:val="1"/>
        </w:numPr>
        <w:rPr/>
      </w:pPr>
      <w:bookmarkStart w:id="884" w:name="__RefHeading___Toc1656616_2281741623"/>
      <w:bookmarkStart w:id="885" w:name="_Toc314"/>
      <w:bookmarkEnd w:id="884"/>
      <w:r>
        <w:rPr>
          <w:rtl w:val="true"/>
        </w:rPr>
        <w:t>توجه و علاقۀ مستدام به مردگان</w:t>
      </w:r>
      <w:bookmarkEnd w:id="885"/>
    </w:p>
    <w:p>
      <w:pPr>
        <w:pStyle w:val="BookText"/>
        <w:rPr/>
      </w:pPr>
      <w:r>
        <w:rPr>
          <w:rFonts w:ascii="IRNazanin" w:hAnsi="IRNazanin" w:eastAsia="IRNazanin"/>
          <w:color w:val="111111"/>
          <w:sz w:val="28"/>
          <w:sz w:val="28"/>
          <w:szCs w:val="28"/>
          <w:rtl w:val="true"/>
          <w:lang w:bidi="fa-IR"/>
        </w:rPr>
        <w:t>توجه و علاقۀ مستدام به مردگان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برقراری ارتباط با مردگان به عنوان ابزاری برای دست نخورده نگاه داشتن خانواده ها در دو سوی قبر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و سوزاندن و پختن غذاهای مقدس، از مدت های پیش به عنوان شکلی سنتی از برقراری ارتباط با خدایان و مردگان در بسیاری از فرهنگ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غذا و خوراک در مقبره های کوچک و حتی محراب های خانگی</w:t>
      </w:r>
      <w:r>
        <w:rPr>
          <w:rStyle w:val="FootnoteAnchor"/>
          <w:rtl w:val="true"/>
        </w:rPr>
        <w:footnoteReference w:id="364"/>
      </w:r>
      <w:r>
        <w:rPr>
          <w:rFonts w:ascii="IRNazanin" w:hAnsi="IRNazanin" w:eastAsia="IRNazanin"/>
          <w:color w:val="111111"/>
          <w:sz w:val="28"/>
          <w:sz w:val="28"/>
          <w:szCs w:val="28"/>
          <w:rtl w:val="true"/>
          <w:lang w:bidi="fa-IR"/>
        </w:rPr>
        <w:t>متداول هستند و حتی این اعتقاد وجود دارد که بو و دود ناشی از آتش نیز به راستی موجب تغذیۀ اجدادمان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معمولاً هر سال برای دوره ای خاص که با برگزاری مراسمی آیینی همراه است، به خانه های خود دعوت می شوند و طی این دوره علاوه بر تغذیه، مورد استمالت و دلجویی نیز قرار می گیرند و از توجه و علاقۀ مستدام خانواده شان اطمینان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مذاهب، مانند مذهب وودو</w:t>
      </w:r>
      <w:r>
        <w:rPr>
          <w:rStyle w:val="FootnoteAnchor"/>
          <w:rtl w:val="true"/>
        </w:rPr>
        <w:footnoteReference w:id="365"/>
      </w:r>
      <w:r>
        <w:rPr>
          <w:rFonts w:ascii="IRNazanin" w:hAnsi="IRNazanin" w:eastAsia="IRNazanin"/>
          <w:color w:val="111111"/>
          <w:sz w:val="28"/>
          <w:sz w:val="28"/>
          <w:szCs w:val="28"/>
          <w:rtl w:val="true"/>
          <w:lang w:bidi="fa-IR"/>
        </w:rPr>
        <w:t xml:space="preserve">آیین های پیچیده ای وجود دارند که با هدف بازیابی مردگان از مکانی نامشخص و قرار دادن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دوبارۀ آن ها در اقتصاد خانواده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رابطه ای دوطرفه است و خانواده با راضی نگاه داشتن روح فرد درگذشته، در مقابل از مشاورۀ او و کمک های معنوی و جادویی اش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ناخواسته با مردگان که در اشکال اشباح و ارواح خبیث ظاهر می شوند، اغلب ناشی از عدم توجه شایسته به مرده ــ مانند تدفین نامناسب و عدم نمایش علاقه و توجه پیگیر به فرد درگذشته ـ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گونه ارواح خبیث ممکن است گونه ای تنبیه شخصی و یا ناشی از نیروهایی غیرشخصی و متعلق به مردگانی ناشناس باشد که نادیده گرفته شده اند و به همین خاطر در پی جلب توجه یا انتقام از افراد غریبه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تسخیرهای خصمانه ای که بر خلاف ارادۀ مدیوم صورت می گیرد یا اشباحی که صداهای اسرارآمیز تولید می کنند نیز درصد کوچکی از ارتباطات </w:t>
      </w:r>
      <w:bookmarkStart w:id="886" w:name="pg3881_28123"/>
    </w:p>
    <w:p>
      <w:pPr>
        <w:pStyle w:val="BookText"/>
        <w:rPr/>
      </w:pPr>
      <w:bookmarkEnd w:id="886"/>
      <w:r>
        <w:rPr>
          <w:rFonts w:ascii="IRNazanin" w:hAnsi="IRNazanin" w:eastAsia="IRNazanin"/>
          <w:color w:val="111111"/>
          <w:sz w:val="28"/>
          <w:sz w:val="28"/>
          <w:szCs w:val="28"/>
          <w:rtl w:val="true"/>
          <w:lang w:bidi="fa-IR"/>
        </w:rPr>
        <w:t>ما با جهان مردگان را تشکیل می دهند؛ در واکنش به اغلب این پیام ها که از جهانِ پس از مرگ به ما می رسند، فرد زنده باید با تصحیح لغزش های اخلاقی و جنایی اش، راه را برای بازگشت مرده به وضعیت مناسبش فراهم کند</w:t>
      </w:r>
      <w:r>
        <w:rPr>
          <w:rFonts w:eastAsia="IRNazanin" w:cs="IRNazanin"/>
          <w:color w:val="111111"/>
          <w:sz w:val="28"/>
          <w:szCs w:val="28"/>
          <w:rtl w:val="true"/>
          <w:lang w:bidi="fa-IR"/>
        </w:rPr>
        <w:t>.</w:t>
      </w:r>
    </w:p>
    <w:p>
      <w:pPr>
        <w:pStyle w:val="Heading3"/>
        <w:numPr>
          <w:ilvl w:val="2"/>
          <w:numId w:val="1"/>
        </w:numPr>
        <w:rPr/>
      </w:pPr>
      <w:bookmarkStart w:id="887" w:name="__RefHeading___Toc1656618_2281741623"/>
      <w:bookmarkStart w:id="888" w:name="_Toc315"/>
      <w:bookmarkEnd w:id="887"/>
      <w:r>
        <w:rPr>
          <w:rtl w:val="true"/>
        </w:rPr>
        <w:t>دستورالعمل های تحقیقاتی</w:t>
      </w:r>
      <w:bookmarkEnd w:id="888"/>
    </w:p>
    <w:p>
      <w:pPr>
        <w:pStyle w:val="BookText"/>
        <w:rPr/>
      </w:pPr>
      <w:r>
        <w:rPr>
          <w:rFonts w:ascii="IRNazanin" w:hAnsi="IRNazanin" w:eastAsia="IRNazanin"/>
          <w:color w:val="111111"/>
          <w:sz w:val="28"/>
          <w:sz w:val="28"/>
          <w:szCs w:val="28"/>
          <w:rtl w:val="true"/>
          <w:lang w:bidi="fa-IR"/>
        </w:rPr>
        <w:t>دستورالعمل های تحقیقاتی</w:t>
      </w:r>
    </w:p>
    <w:p>
      <w:pPr>
        <w:pStyle w:val="BookText"/>
        <w:rPr/>
      </w:pPr>
      <w:r>
        <w:rPr>
          <w:rFonts w:ascii="IRNazanin" w:hAnsi="IRNazanin" w:eastAsia="IRNazanin"/>
          <w:color w:val="111111"/>
          <w:sz w:val="28"/>
          <w:sz w:val="28"/>
          <w:szCs w:val="28"/>
          <w:rtl w:val="true"/>
          <w:lang w:bidi="fa-IR"/>
        </w:rPr>
        <w:t>وجود و حضور مستدام مردگان و ادامۀ نیاز ما برای برقراری ارتباط با مردگان یکی از درون مایه های مذهبی ماندگار و تکرارشونده در دوره ها و فرهنگ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 این ارتباط از حضور بی واسطۀ مردگان تا تلاش هایی که از طریق انواع مدیوم ها و برای حصول اطمینان از بی طرفی و صداقت آن ها صورت می گیرد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نیز اغلب برای برقراری ارتباط با مردگان مورد استفاده قرار گرفته است و برای این منظور ابزارهایی مانند تلگراف، تلفن و عکاسی به خدمت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مانند پلانشت و تخته های اوجا</w:t>
      </w:r>
      <w:r>
        <w:rPr>
          <w:rStyle w:val="FootnoteAnchor"/>
          <w:rtl w:val="true"/>
        </w:rPr>
        <w:footnoteReference w:id="366"/>
      </w:r>
      <w:r>
        <w:rPr>
          <w:rFonts w:ascii="IRNazanin" w:hAnsi="IRNazanin" w:eastAsia="IRNazanin"/>
          <w:color w:val="111111"/>
          <w:sz w:val="28"/>
          <w:sz w:val="28"/>
          <w:szCs w:val="28"/>
          <w:rtl w:val="true"/>
          <w:lang w:bidi="fa-IR"/>
        </w:rPr>
        <w:t>به طور خاص به همین منظور طراحی و ساخته شده اند و به تازگی نیز در عکاسی دیجیتال، نمونه هایی از ثبت تصویر ارواح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روش ها و تکنیک های برقراری ارتباط با مردگان با تغییر مکان و زمان تغییر کرده است ولی محتوای اکثریت ارتباطاتی که با مردگان برقرار شده نسبتاً ثابت باقی مانده است؛ مرگ دیواری غیرقابل نفوذ در برابر برقراری ارتباط نیست، بلکه بیشتر به خلیجی شباهت دارد که زندگان با پل زدن روی آن می توانند برای همیشه با مردگان شان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کتی گوتیه رز</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نیما ملک محمدی </w:t>
      </w:r>
      <w:bookmarkStart w:id="889" w:name="pg3881_28124"/>
    </w:p>
    <w:p>
      <w:pPr>
        <w:pStyle w:val="Heading3"/>
        <w:numPr>
          <w:ilvl w:val="2"/>
          <w:numId w:val="1"/>
        </w:numPr>
        <w:rPr/>
      </w:pPr>
      <w:bookmarkStart w:id="890" w:name="__RefHeading___Toc1656620_2281741623"/>
      <w:bookmarkStart w:id="891" w:name="_Toc316"/>
      <w:bookmarkEnd w:id="889"/>
      <w:bookmarkEnd w:id="890"/>
      <w:r>
        <w:rPr>
          <w:rtl w:val="true"/>
        </w:rPr>
        <w:t>برای مطالعۀ بیشتر</w:t>
      </w:r>
      <w:bookmarkEnd w:id="891"/>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Ashforth, A. (2000). Madumo, a man bewitched.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Braude, A. (1989). Radical spirits: Spiritualism and women’s rights in nineteenth-century America. Boston: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Bremmer, J. N. (2002). The rise and fall of the afterlife. London: Routledge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Carrasco, D. (1998). Religions of Mesoamerica: Cosmovision and ceremonial centers. Prospect Heights, IL: Waveland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Chambert-Loir, H., &amp; Reid, A. (2002). The potent dead: Ancestors, saints, and heroes in contemporary Indonesia. Honolulu: University of Hawaii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Deren, M. (1983). Divine horsemen: The living gods of Haiti. Kingston, NY: McPherson &amp;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Keller, M. (2002). The hammer and the flute: Women, power, and spirit possession. Baltimore: The Johns Hopkins University Press</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McIlwain, C. (2003). Death in black and white: Death, ritual, and family ecology. Cresskill, NJ: Hampton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Morris, I. (1992). Death-ritual and social structure in classical antiquity. Cambridge, UK: Cambridge University Press</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Spanos, N. P. (1996). Multiple identities and false memories: A sociocognitive perspective. Washington, DC: American Psychological Association</w:t>
      </w:r>
      <w:r>
        <w:rPr>
          <w:rFonts w:eastAsia="Times New Roman" w:cs="Times New Roman" w:ascii="Times New Roman" w:hAnsi="Times New Roman"/>
          <w:color w:val="111111"/>
          <w:sz w:val="28"/>
          <w:szCs w:val="28"/>
          <w:rtl w:val="true"/>
          <w:lang w:val="en-US" w:bidi="en-US"/>
        </w:rPr>
        <w:t xml:space="preserve">. </w:t>
      </w:r>
      <w:bookmarkStart w:id="892" w:name="pg3881_28126"/>
    </w:p>
    <w:p>
      <w:pPr>
        <w:pStyle w:val="Heading2"/>
        <w:numPr>
          <w:ilvl w:val="1"/>
          <w:numId w:val="1"/>
        </w:numPr>
        <w:rPr/>
      </w:pPr>
      <w:bookmarkStart w:id="893" w:name="__RefHeading___Toc1656622_2281741623"/>
      <w:bookmarkStart w:id="894" w:name="_Toc317"/>
      <w:bookmarkEnd w:id="892"/>
      <w:bookmarkEnd w:id="893"/>
      <w:r>
        <w:rPr>
          <w:rtl w:val="true"/>
        </w:rPr>
        <w:t>مساجد</w:t>
      </w:r>
      <w:bookmarkEnd w:id="894"/>
    </w:p>
    <w:p>
      <w:pPr>
        <w:pStyle w:val="Heading3"/>
        <w:numPr>
          <w:ilvl w:val="2"/>
          <w:numId w:val="1"/>
        </w:numPr>
        <w:rPr/>
      </w:pPr>
      <w:bookmarkStart w:id="895" w:name="__RefHeading___Toc1656624_2281741623"/>
      <w:bookmarkStart w:id="896" w:name="_Toc318"/>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مساجد</w:t>
      </w:r>
    </w:p>
    <w:p>
      <w:pPr>
        <w:pStyle w:val="BookText"/>
        <w:rPr/>
      </w:pPr>
      <w:r>
        <w:rPr>
          <w:rFonts w:ascii="IRNazanin" w:hAnsi="IRNazanin" w:eastAsia="IRNazanin"/>
          <w:color w:val="111111"/>
          <w:sz w:val="28"/>
          <w:sz w:val="28"/>
          <w:szCs w:val="28"/>
          <w:rtl w:val="true"/>
          <w:lang w:bidi="fa-IR"/>
        </w:rPr>
        <w:t>مسجد ریشه در پیش از اسلام دارد و چیزی بیش از یک نوع بنای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مسجد در زبان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 چنین در کتیبه های نبطی به معنای محل عبادت یافته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اسلام از واژۀ سجده به معنای پیشانی بر خاک سودن مشتق شده است ولی در حال حاضر مشخصاً به محلی برای عبادت اشاره دارد</w:t>
      </w:r>
      <w:r>
        <w:rPr>
          <w:rFonts w:eastAsia="IRNazanin" w:cs="IRNazanin"/>
          <w:color w:val="111111"/>
          <w:sz w:val="28"/>
          <w:szCs w:val="28"/>
          <w:rtl w:val="true"/>
          <w:lang w:bidi="fa-IR"/>
        </w:rPr>
        <w:t>.</w:t>
      </w:r>
    </w:p>
    <w:p>
      <w:pPr>
        <w:pStyle w:val="Heading3"/>
        <w:numPr>
          <w:ilvl w:val="2"/>
          <w:numId w:val="1"/>
        </w:numPr>
        <w:rPr/>
      </w:pPr>
      <w:bookmarkStart w:id="897" w:name="__RefHeading___Toc1656626_2281741623"/>
      <w:bookmarkStart w:id="898" w:name="_Toc319"/>
      <w:bookmarkEnd w:id="897"/>
      <w:r>
        <w:rPr>
          <w:rtl w:val="true"/>
        </w:rPr>
        <w:t>مساجد به منزلۀ عبادتگاه</w:t>
      </w:r>
      <w:bookmarkEnd w:id="898"/>
    </w:p>
    <w:p>
      <w:pPr>
        <w:pStyle w:val="BookText"/>
        <w:rPr/>
      </w:pPr>
      <w:r>
        <w:rPr>
          <w:rFonts w:ascii="IRNazanin" w:hAnsi="IRNazanin" w:eastAsia="IRNazanin"/>
          <w:color w:val="111111"/>
          <w:sz w:val="28"/>
          <w:sz w:val="28"/>
          <w:szCs w:val="28"/>
          <w:rtl w:val="true"/>
          <w:lang w:bidi="fa-IR"/>
        </w:rPr>
        <w:t>مساجد به منزلۀ عبادتگاه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قرآن هم آمده است، دو مسجد از اعتبار ویژه ای نزد محمد صلی الله علیه و آله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مسجدالاقصی به معنای عبادتگاه اورشلیم است</w:t>
      </w:r>
      <w:r>
        <w:rPr>
          <w:rFonts w:eastAsia="IRNazanin" w:cs="IRNazanin"/>
          <w:color w:val="111111"/>
          <w:sz w:val="28"/>
          <w:szCs w:val="28"/>
          <w:rtl w:val="true"/>
          <w:lang w:bidi="fa-IR"/>
        </w:rPr>
        <w:t xml:space="preserve">. </w:t>
      </w:r>
      <w:bookmarkStart w:id="899" w:name="pg3881_28127"/>
    </w:p>
    <w:p>
      <w:pPr>
        <w:pStyle w:val="BookText"/>
        <w:rPr/>
      </w:pPr>
      <w:bookmarkEnd w:id="899"/>
      <w:r>
        <w:rPr>
          <w:rFonts w:ascii="IRNazanin" w:hAnsi="IRNazanin" w:eastAsia="IRNazanin"/>
          <w:color w:val="111111"/>
          <w:sz w:val="28"/>
          <w:sz w:val="28"/>
          <w:szCs w:val="28"/>
          <w:rtl w:val="true"/>
          <w:lang w:bidi="fa-IR"/>
        </w:rPr>
        <w:t>مسجدالحرام را حتی پیش از پیامبر به عنوان مهم ترین مسجد و با نام بیت الله 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و قداست کعبه در مکه باعث شد محمد صلی الله علیه و آله آن را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محلی برای عبادت مسلمانان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محمد صلی الله علیه و آله پیش از هجرت به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طور مخفیانه همراه اصحاب خود در کوچه های تنگ مکه، کنار کعبه یا خانۀ خودش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محمد صلی الله علیه و آله اعتقاد داشت که تمامی سطح زمین همانند مسجد است و محدود کردن آن به محلی خاص لازم و ضروری نیست</w:t>
      </w:r>
      <w:r>
        <w:rPr>
          <w:rFonts w:eastAsia="IRNazanin" w:cs="IRNazanin"/>
          <w:color w:val="111111"/>
          <w:sz w:val="28"/>
          <w:szCs w:val="28"/>
          <w:rtl w:val="true"/>
          <w:lang w:bidi="fa-IR"/>
        </w:rPr>
        <w:t>.</w:t>
      </w:r>
    </w:p>
    <w:p>
      <w:pPr>
        <w:pStyle w:val="Heading3"/>
        <w:numPr>
          <w:ilvl w:val="2"/>
          <w:numId w:val="1"/>
        </w:numPr>
        <w:rPr/>
      </w:pPr>
      <w:bookmarkStart w:id="900" w:name="__RefHeading___Toc1656628_2281741623"/>
      <w:bookmarkStart w:id="901" w:name="_Toc320"/>
      <w:bookmarkEnd w:id="900"/>
      <w:r>
        <w:rPr>
          <w:rtl w:val="true"/>
        </w:rPr>
        <w:t>مساجد به منزلۀ محلی برای راز و نیاز</w:t>
      </w:r>
      <w:bookmarkEnd w:id="901"/>
    </w:p>
    <w:p>
      <w:pPr>
        <w:pStyle w:val="BookText"/>
        <w:rPr/>
      </w:pPr>
      <w:r>
        <w:rPr>
          <w:rFonts w:ascii="IRNazanin" w:hAnsi="IRNazanin" w:eastAsia="IRNazanin"/>
          <w:color w:val="111111"/>
          <w:sz w:val="28"/>
          <w:sz w:val="28"/>
          <w:szCs w:val="28"/>
          <w:rtl w:val="true"/>
          <w:lang w:bidi="fa-IR"/>
        </w:rPr>
        <w:t>مساجد به منزلۀ محلی برای راز و نیاز</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محمد صلی الله علیه و آله و یارانش در مدینه، نیاز جدّی به محلی مشخص برای عبادت و گوش سپردن به پیام های محمد صلی الله علیه و آله و هم چنین استفاده از آموزه های سیاسی و اقتصادی ایشان برای حفظ و گسترش اسلام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اولیۀ این مسجد در شکل گیری مساجد بعدی 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اسلامی تأثیر بنای این مسجد بر تکامل و توسعۀ دیگر مساجد و هم چنین شکل ظاهری آن ها بسیار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ظاهری برگرفته از خانۀ پیامبر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محققان معتقدند که فارغ از ایده های وام گرفته شده از سرزمین های فتح شده، شکل ظاهری خانۀ پیامبر در مدینه انگیزۀ اصلی برای ساخت مساجد بعدی و شکل گیری معماری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اُمبرتو سراتو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را بسیار معمولی با زمینی مربع شکل به اندازۀ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در هر طرف با دیواره ای از خشت و گل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خانۀ خشتی تنها مأمن همسران پیامبر و یارانی بود که از مکه همراه وی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لئون کائتانی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اولیۀ مساجد هیچ کدام از ویژگی های یک بنای مقدس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زمان حیات پیامبر به سال </w:t>
      </w:r>
      <w:bookmarkStart w:id="902" w:name="pg3881_28128"/>
    </w:p>
    <w:p>
      <w:pPr>
        <w:pStyle w:val="BookText"/>
        <w:rPr/>
      </w:pPr>
      <w:bookmarkEnd w:id="902"/>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سپس توسط عمر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یک بار توسط عثمان بین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کائتانی معتقد است که خانۀ پیامبر تدریجاً به مکانی عمومی و مقدس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اساسی پس از نشستن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کرسی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جزیرۀ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اتفاق افتاد که مدینه به شهری کوچک و فقط محل خاطرات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پایتخت بزرگ جهان اسلام از جنب و جوش افتاد و جای خود را به زندگی یکنواخت داد، مردم آن منطقه دیگر در پی جایگاه، ثروت و افتخار به آن شهر نمی آمدند بلکه می آمدند تا به نوعی ارادت خود را به خاطرات گذشته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بود که به دلیل پیوند اعتقادات مذهبی مردمان غیر عرب، مفهوم قداست خانۀ محمد صلی الله علیه و آله و تبدیل آن به مکانی عمومی و مقدس شکل گرفت</w:t>
      </w:r>
      <w:r>
        <w:rPr>
          <w:rFonts w:eastAsia="IRNazanin" w:cs="IRNazanin"/>
          <w:color w:val="111111"/>
          <w:sz w:val="28"/>
          <w:szCs w:val="28"/>
          <w:rtl w:val="true"/>
          <w:lang w:bidi="fa-IR"/>
        </w:rPr>
        <w:t>.</w:t>
      </w:r>
    </w:p>
    <w:p>
      <w:pPr>
        <w:pStyle w:val="Heading3"/>
        <w:numPr>
          <w:ilvl w:val="2"/>
          <w:numId w:val="1"/>
        </w:numPr>
        <w:rPr/>
      </w:pPr>
      <w:bookmarkStart w:id="903" w:name="__RefHeading___Toc1656630_2281741623"/>
      <w:bookmarkStart w:id="904" w:name="_Toc321"/>
      <w:bookmarkEnd w:id="903"/>
      <w:r>
        <w:rPr>
          <w:rtl w:val="true"/>
        </w:rPr>
        <w:t>عبادت در مسجد</w:t>
      </w:r>
      <w:bookmarkEnd w:id="904"/>
    </w:p>
    <w:p>
      <w:pPr>
        <w:pStyle w:val="BookText"/>
        <w:rPr/>
      </w:pPr>
      <w:r>
        <w:rPr>
          <w:rFonts w:ascii="IRNazanin" w:hAnsi="IRNazanin" w:eastAsia="IRNazanin"/>
          <w:color w:val="111111"/>
          <w:sz w:val="28"/>
          <w:sz w:val="28"/>
          <w:szCs w:val="28"/>
          <w:rtl w:val="true"/>
          <w:lang w:bidi="fa-IR"/>
        </w:rPr>
        <w:t>عبادت در مسجد</w:t>
      </w:r>
    </w:p>
    <w:p>
      <w:pPr>
        <w:pStyle w:val="BookText"/>
        <w:rPr/>
      </w:pPr>
      <w:r>
        <w:rPr>
          <w:rFonts w:ascii="IRNazanin" w:hAnsi="IRNazanin" w:eastAsia="IRNazanin"/>
          <w:color w:val="111111"/>
          <w:sz w:val="28"/>
          <w:sz w:val="28"/>
          <w:szCs w:val="28"/>
          <w:rtl w:val="true"/>
          <w:lang w:bidi="fa-IR"/>
        </w:rPr>
        <w:t>مسجد به عنوان محلی برای عبادت و اجتماع تعریف شده است ولی عبادت و نماز انجام شده در آن چهار نوع است؛ نمازهای واجب و برخی از انواع خاص نمازها در مساجد صورت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نماز فرادا، جماعت و دیگر نمازهای دسته جمعی در مساجد انجام می گیرند که جرج میشل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جامعی از آن ها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از این نمازها قواعد مخصوص به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به منزلۀ مکان هایی برای برگزاری انواع نمازها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بنا، یعنی مسجد، برای نمازهای یومیه ای که توسط مومنان به صورت فرادا یا جماعت اقامه می شد،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در مساجد معمولی نماز جمعه برپا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مساجد، محراب دارند و نه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مساجد هم چنین سجاده</w:t>
      </w:r>
      <w:r>
        <w:rPr>
          <w:rStyle w:val="FootnoteAnchor"/>
          <w:rtl w:val="true"/>
        </w:rPr>
        <w:footnoteReference w:id="367"/>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مساجد، </w:t>
      </w:r>
      <w:bookmarkStart w:id="905" w:name="pg3881_28129"/>
    </w:p>
    <w:p>
      <w:pPr>
        <w:pStyle w:val="BookText"/>
        <w:rPr/>
      </w:pPr>
      <w:bookmarkEnd w:id="905"/>
      <w:r>
        <w:rPr>
          <w:rFonts w:ascii="IRNazanin" w:hAnsi="IRNazanin" w:eastAsia="IRNazanin"/>
          <w:color w:val="111111"/>
          <w:sz w:val="28"/>
          <w:sz w:val="28"/>
          <w:szCs w:val="28"/>
          <w:rtl w:val="true"/>
          <w:lang w:bidi="fa-IR"/>
        </w:rPr>
        <w:t xml:space="preserve">مسجدجامع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معمولاً بزرگ تر از مساجد معمولی و مناسب برای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منبر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محوطه ای باز همراه با محراب است که در آن قبله، سمت نمازگذاردن را نشان داده و معمولاً در جشن های اسلامی کاربرد فراوانی دارد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ولی نوع بعدی مخصوص آیین سالانۀ حج است که در آن مسلمانان از سرتاسر جهان در مکه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تفاوت های معماری نیز دیده می شود</w:t>
      </w:r>
      <w:r>
        <w:rPr>
          <w:rFonts w:eastAsia="IRNazanin" w:cs="IRNazanin"/>
          <w:color w:val="111111"/>
          <w:sz w:val="28"/>
          <w:szCs w:val="28"/>
          <w:rtl w:val="true"/>
          <w:lang w:bidi="fa-IR"/>
        </w:rPr>
        <w:t>.</w:t>
      </w:r>
    </w:p>
    <w:p>
      <w:pPr>
        <w:pStyle w:val="Heading3"/>
        <w:numPr>
          <w:ilvl w:val="2"/>
          <w:numId w:val="1"/>
        </w:numPr>
        <w:rPr/>
      </w:pPr>
      <w:bookmarkStart w:id="906" w:name="__RefHeading___Toc1656632_2281741623"/>
      <w:bookmarkStart w:id="907" w:name="_Toc322"/>
      <w:bookmarkEnd w:id="906"/>
      <w:r>
        <w:rPr>
          <w:rtl w:val="true"/>
        </w:rPr>
        <w:t>نمادها و مشخصه ها</w:t>
      </w:r>
      <w:bookmarkEnd w:id="907"/>
    </w:p>
    <w:p>
      <w:pPr>
        <w:pStyle w:val="BookText"/>
        <w:rPr/>
      </w:pPr>
      <w:r>
        <w:rPr>
          <w:rFonts w:ascii="IRNazanin" w:hAnsi="IRNazanin" w:eastAsia="IRNazanin"/>
          <w:color w:val="111111"/>
          <w:sz w:val="28"/>
          <w:sz w:val="28"/>
          <w:szCs w:val="28"/>
          <w:rtl w:val="true"/>
          <w:lang w:bidi="fa-IR"/>
        </w:rPr>
        <w:t>نمادها و مشخصه ها</w:t>
      </w:r>
    </w:p>
    <w:p>
      <w:pPr>
        <w:pStyle w:val="BookText"/>
        <w:rPr/>
      </w:pPr>
      <w:r>
        <w:rPr>
          <w:rFonts w:ascii="IRNazanin" w:hAnsi="IRNazanin" w:eastAsia="IRNazanin"/>
          <w:color w:val="111111"/>
          <w:sz w:val="28"/>
          <w:sz w:val="28"/>
          <w:szCs w:val="28"/>
          <w:rtl w:val="true"/>
          <w:lang w:bidi="fa-IR"/>
        </w:rPr>
        <w:t>با توسعۀ مساجد، بنای آن ها مشخصه هایی را دارا شد که از پیش نیازهای ایمان هستند؛ در بیرون مساجد، وضوخانه وجود دارد تا مسلمانان با پاکیزگی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مناره برای دعوت مسلمانان به نماز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به تبع آن قبله، سمت و سوی نماز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جمعه، برای خطیب منبری در سمت راست محراب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مشخصه های این مساجد فضایی سرپوشیده مخصوص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سکوی پرسشگر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اغلب بر روی آن قرآن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اکثر این مشخصه ها در قرن اول اسلام شکل گرفته اند</w:t>
      </w:r>
      <w:r>
        <w:rPr>
          <w:rFonts w:eastAsia="IRNazanin" w:cs="IRNazanin"/>
          <w:color w:val="111111"/>
          <w:sz w:val="28"/>
          <w:szCs w:val="28"/>
          <w:rtl w:val="true"/>
          <w:lang w:bidi="fa-IR"/>
        </w:rPr>
        <w:t>.</w:t>
      </w:r>
    </w:p>
    <w:p>
      <w:pPr>
        <w:pStyle w:val="Heading3"/>
        <w:numPr>
          <w:ilvl w:val="2"/>
          <w:numId w:val="1"/>
        </w:numPr>
        <w:rPr/>
      </w:pPr>
      <w:bookmarkStart w:id="908" w:name="__RefHeading___Toc1656634_2281741623"/>
      <w:bookmarkStart w:id="909" w:name="_Toc323"/>
      <w:bookmarkEnd w:id="908"/>
      <w:r>
        <w:rPr>
          <w:rtl w:val="true"/>
        </w:rPr>
        <w:t>اولین مساجد</w:t>
      </w:r>
      <w:bookmarkEnd w:id="909"/>
    </w:p>
    <w:p>
      <w:pPr>
        <w:pStyle w:val="Heading4"/>
        <w:numPr>
          <w:ilvl w:val="3"/>
          <w:numId w:val="1"/>
        </w:numPr>
        <w:rPr/>
      </w:pPr>
      <w:bookmarkStart w:id="910" w:name="__RefHeading___Toc1656636_2281741623"/>
      <w:bookmarkStart w:id="911" w:name="_Toc324"/>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اولین مساجد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مساجد در مکان های مختلفی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کلیسایی را تبدیل به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کلیساها را به سمت شرق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کِرِسوِل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تبدیل کلیساها به مساجد، فقط کافی بود ورودی های غربی را بسته و ورودی های جدید در دیوار شمالی ایجاد کرد تا نماز را به سمت جنوب یعنی مکه،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کنیسۀ العُظمی </w:t>
      </w:r>
      <w:bookmarkStart w:id="912" w:name="pg3881_28130"/>
    </w:p>
    <w:p>
      <w:pPr>
        <w:pStyle w:val="BookText"/>
        <w:rPr/>
      </w:pPr>
      <w:bookmarkEnd w:id="912"/>
      <w:r>
        <w:rPr>
          <w:rFonts w:ascii="IRNazanin" w:hAnsi="IRNazanin" w:eastAsia="IRNazanin"/>
          <w:color w:val="111111"/>
          <w:sz w:val="28"/>
          <w:sz w:val="28"/>
          <w:szCs w:val="28"/>
          <w:rtl w:val="true"/>
          <w:lang w:bidi="fa-IR"/>
        </w:rPr>
        <w:t xml:space="preserve">در سوریه تبدیل به مسجد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غربی تبدیل به خروجی غربی عبادتگاه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اورشلیم از بقایای سرسرای هیرود به عنوان مسجد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و پرسپولیس و قزوین از آپادانا و سرسراهای ستون دار شاهان ایرانی با سرستون هایی به شکل کلۀ گاو، به عنوان مسجد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اوضاع فرق داشت؛ زیرا اعراب شهرهای جدید ساختند و بنابراین از بناهای قبلی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مساجد جمعۀ بزرگ اُمویان به استثنای دمشق و اورشلیم، با ساختاری ابتدایی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اوضاع را در دیگر مناطق فتح شده به وسیله مسلمانان به دلیل ساخت بناهای جدید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توسعۀ ساختمان مساجد کمک فراوانی به معماری، علی الخصوص فن آوری بناسازی مذهبی کرد</w:t>
      </w:r>
      <w:r>
        <w:rPr>
          <w:rFonts w:eastAsia="IRNazanin" w:cs="IRNazanin"/>
          <w:color w:val="111111"/>
          <w:sz w:val="28"/>
          <w:szCs w:val="28"/>
          <w:rtl w:val="true"/>
          <w:lang w:bidi="fa-IR"/>
        </w:rPr>
        <w:t>.</w:t>
      </w:r>
    </w:p>
    <w:p>
      <w:pPr>
        <w:pStyle w:val="Heading4"/>
        <w:numPr>
          <w:ilvl w:val="3"/>
          <w:numId w:val="1"/>
        </w:numPr>
        <w:rPr/>
      </w:pPr>
      <w:bookmarkStart w:id="913" w:name="__RefHeading___Toc1656638_2281741623"/>
      <w:bookmarkStart w:id="914" w:name="_Toc325"/>
      <w:bookmarkEnd w:id="913"/>
      <w:r>
        <w:rPr>
          <w:rtl w:val="true"/>
        </w:rPr>
        <w:t>ترکیب داخلی مساجد اولیه</w:t>
      </w:r>
      <w:bookmarkEnd w:id="914"/>
    </w:p>
    <w:p>
      <w:pPr>
        <w:pStyle w:val="BookText"/>
        <w:rPr/>
      </w:pPr>
      <w:r>
        <w:rPr>
          <w:rFonts w:ascii="IRNazanin" w:hAnsi="IRNazanin" w:eastAsia="IRNazanin"/>
          <w:color w:val="111111"/>
          <w:sz w:val="28"/>
          <w:sz w:val="28"/>
          <w:szCs w:val="28"/>
          <w:rtl w:val="true"/>
          <w:lang w:bidi="fa-IR"/>
        </w:rPr>
        <w:t>ترکیب داخلی مساجد اولیه</w:t>
      </w:r>
    </w:p>
    <w:p>
      <w:pPr>
        <w:pStyle w:val="BookText"/>
        <w:rPr/>
      </w:pPr>
      <w:r>
        <w:rPr>
          <w:rFonts w:ascii="IRNazanin" w:hAnsi="IRNazanin" w:eastAsia="IRNazanin"/>
          <w:color w:val="111111"/>
          <w:sz w:val="28"/>
          <w:sz w:val="28"/>
          <w:szCs w:val="28"/>
          <w:rtl w:val="true"/>
          <w:lang w:bidi="fa-IR"/>
        </w:rPr>
        <w:t>با گسترش اسلام، ترکیب داخلی مساجد اولیه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مساجد دارای ارزش معماری خاصی با مشخصه های ویژه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پیشرفت جوامع اولیۀ مسلمان، یک سلسله مشخصاتی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تغییر در خود مسجد صورت گرفت که از فضایی متمایز، مسقف و در جاهایی باز به روی آسمان، همراه با محل استقرار نمازگذاران جماعت، تبدیل به بنایی با اهمیت از لحاظ تاریخی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اصلی تأثیرگذار بر اندازۀ مساجد، تعداد نمازگذاران و طبیعت اقلیم شایع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سرسرای نماز معمولاً به شکل مستطیل یا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داخلی شامل محراب، منبر، کرسی، مقصوره، فرش، چراغ و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مشخصه ها با تکامل ساختار مساجد به وجود آمدند</w:t>
      </w:r>
      <w:r>
        <w:rPr>
          <w:rFonts w:eastAsia="IRNazanin" w:cs="IRNazanin"/>
          <w:color w:val="111111"/>
          <w:sz w:val="28"/>
          <w:szCs w:val="28"/>
          <w:rtl w:val="true"/>
          <w:lang w:bidi="fa-IR"/>
        </w:rPr>
        <w:t>.</w:t>
      </w:r>
    </w:p>
    <w:p>
      <w:pPr>
        <w:pStyle w:val="Heading4"/>
        <w:numPr>
          <w:ilvl w:val="3"/>
          <w:numId w:val="1"/>
        </w:numPr>
        <w:rPr/>
      </w:pPr>
      <w:bookmarkStart w:id="915" w:name="__RefHeading___Toc1656640_2281741623"/>
      <w:bookmarkStart w:id="916" w:name="_Toc326"/>
      <w:bookmarkEnd w:id="915"/>
      <w:r>
        <w:rPr>
          <w:rtl w:val="true"/>
        </w:rPr>
        <w:t>ترکیب بیرونی مساجد اولیه</w:t>
      </w:r>
      <w:bookmarkEnd w:id="91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بیرونی مساجد اولیه </w:t>
      </w:r>
      <w:bookmarkStart w:id="917" w:name="pg3881_28131"/>
    </w:p>
    <w:p>
      <w:pPr>
        <w:pStyle w:val="BookText"/>
        <w:rPr/>
      </w:pPr>
      <w:bookmarkEnd w:id="917"/>
      <w:r>
        <w:rPr>
          <w:rFonts w:ascii="IRNazanin" w:hAnsi="IRNazanin" w:eastAsia="IRNazanin"/>
          <w:color w:val="111111"/>
          <w:sz w:val="28"/>
          <w:sz w:val="28"/>
          <w:szCs w:val="28"/>
          <w:rtl w:val="true"/>
          <w:lang w:bidi="fa-IR"/>
        </w:rPr>
        <w:t>ترکیب بیرونی مساجد اولیه که ارزشی مشابه ترکیب داخلی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 گنبد، وضوخانه، ورودی مسجد، معبر و 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برجسته ترین مشخصه های بیرونی مسجد،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مناره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ترکی به انگلیسی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احتمالاً ریشه ای فرانسه یا اسپانیایی دارد؛ هم چنین در زبان های پرتغالی و ایتالیایی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ابتدا از کلمۀ عربی منار به عضای برجک مشتق شده است و در حال حاضر به برج مانندهای مساجد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میشل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ساخت مناره، دعوت مومنین توسط مؤذن به نماز از بلندی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هر چه بلندتر باشد، با صدای خود مناطق بیشتری را می تواند تحت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کرسول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چگونه مناره از برج های کناری کلیسای یحیی قدیس در دمشق در هنگام ساخت مسجد بزرگ امویان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امویان، مناره همواره قسمتی از ساختار مسجد بوده است تا با اتفاق نظر جامعۀ مذهبی مکانی برای مؤذنین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محمد صلی الله علیه و آله دعوت به نماز از پشت بام منزل ایشان در مدینه صورت می گرفت و تا قرن چهارده و پانزده ساخت مناره جهانی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معمولاً یکی بود با این حال در امپراطوری عثمانی و مغول دو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نشانۀ حمایت شاهانه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سلطان در استانبول چهار مناره، مسجد احمد شش مناره و کعبه در مکه استثنائاً هفت مناره دارد</w:t>
      </w:r>
      <w:r>
        <w:rPr>
          <w:rFonts w:eastAsia="IRNazanin" w:cs="IRNazanin"/>
          <w:color w:val="111111"/>
          <w:sz w:val="28"/>
          <w:szCs w:val="28"/>
          <w:rtl w:val="true"/>
          <w:lang w:bidi="fa-IR"/>
        </w:rPr>
        <w:t>.</w:t>
      </w:r>
    </w:p>
    <w:p>
      <w:pPr>
        <w:pStyle w:val="Heading3"/>
        <w:numPr>
          <w:ilvl w:val="2"/>
          <w:numId w:val="1"/>
        </w:numPr>
        <w:rPr/>
      </w:pPr>
      <w:bookmarkStart w:id="918" w:name="__RefHeading___Toc1656642_2281741623"/>
      <w:bookmarkStart w:id="919" w:name="_Toc327"/>
      <w:bookmarkEnd w:id="918"/>
      <w:r>
        <w:rPr>
          <w:rtl w:val="true"/>
        </w:rPr>
        <w:t>فعالیت های مساجد در صدر اسلام</w:t>
      </w:r>
      <w:bookmarkEnd w:id="919"/>
    </w:p>
    <w:p>
      <w:pPr>
        <w:pStyle w:val="Heading4"/>
        <w:numPr>
          <w:ilvl w:val="3"/>
          <w:numId w:val="1"/>
        </w:numPr>
        <w:rPr/>
      </w:pPr>
      <w:bookmarkStart w:id="920" w:name="__RefHeading___Toc1656644_2281741623"/>
      <w:bookmarkStart w:id="921" w:name="_Toc328"/>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فعالیت های مساجد در صدر اسلام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نماد بناهای اسلامی و قسمت عمدۀ معماری اسلامی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مساجد را می توان تحت سه عنوان اصلی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مرکزی مذهبی، مرکزی اجتماعی و مسجد فرقه ای</w:t>
      </w:r>
      <w:r>
        <w:rPr>
          <w:rFonts w:eastAsia="IRNazanin" w:cs="IRNazanin"/>
          <w:color w:val="111111"/>
          <w:sz w:val="28"/>
          <w:szCs w:val="28"/>
          <w:rtl w:val="true"/>
          <w:lang w:bidi="fa-IR"/>
        </w:rPr>
        <w:t xml:space="preserve">. </w:t>
      </w:r>
      <w:bookmarkStart w:id="922" w:name="pg3881_28132"/>
    </w:p>
    <w:p>
      <w:pPr>
        <w:pStyle w:val="Heading4"/>
        <w:numPr>
          <w:ilvl w:val="3"/>
          <w:numId w:val="1"/>
        </w:numPr>
        <w:rPr/>
      </w:pPr>
      <w:bookmarkStart w:id="923" w:name="__RefHeading___Toc1656646_2281741623"/>
      <w:bookmarkStart w:id="924" w:name="_Toc329"/>
      <w:bookmarkEnd w:id="922"/>
      <w:bookmarkEnd w:id="923"/>
      <w:r>
        <w:rPr>
          <w:rtl w:val="true"/>
        </w:rPr>
        <w:t>مساجد به منزلۀ مراکزی برای عبادت الهی</w:t>
      </w:r>
      <w:bookmarkEnd w:id="924"/>
    </w:p>
    <w:p>
      <w:pPr>
        <w:pStyle w:val="BookText"/>
        <w:rPr/>
      </w:pPr>
      <w:r>
        <w:rPr>
          <w:rFonts w:ascii="IRNazanin" w:hAnsi="IRNazanin" w:eastAsia="IRNazanin"/>
          <w:color w:val="111111"/>
          <w:sz w:val="28"/>
          <w:sz w:val="28"/>
          <w:szCs w:val="28"/>
          <w:rtl w:val="true"/>
          <w:lang w:bidi="fa-IR"/>
        </w:rPr>
        <w:t>مساجد به منزلۀ مراکزی برای عبادت الهی</w:t>
      </w:r>
    </w:p>
    <w:p>
      <w:pPr>
        <w:pStyle w:val="BookText"/>
        <w:rPr/>
      </w:pPr>
      <w:r>
        <w:rPr>
          <w:rFonts w:ascii="IRNazanin" w:hAnsi="IRNazanin" w:eastAsia="IRNazanin"/>
          <w:color w:val="111111"/>
          <w:sz w:val="28"/>
          <w:sz w:val="28"/>
          <w:szCs w:val="28"/>
          <w:rtl w:val="true"/>
          <w:lang w:bidi="fa-IR"/>
        </w:rPr>
        <w:t>همان طور که پیش تر گفته شد، چهار نوع مسجد مذهبی وجود دارد؛ اولین نوع، خود مسجد است که مخصوص نمازهای یومیه به صورت فرادا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چنین مسجدی به شکلی است که یک نفر بتواند به راحتی سجده رفته و از نور آفتاب و باران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این ساختار معمولی بدان معناست که مسلمانان و جوامع مسلمانان هیچ وقت بدون مسجد نباید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مسجدجامع از صدر اسلام از اهمیت و فعالیت ویژه ای، مطابق با کاربردهای مهمش،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دینی هر مرد یا زن بالغ آزاد مسلمانی این است که در روز جمعه جهت برپایی نیایشی همگانی به مسجد جمعه بیاید؛ نماز جمعه و سرویس دهی عمومی به مصلین، نیاز به جایی بزرگ تر از مسجد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جامع در عربی به معنای جمع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اسلام نمازجمعه در شهر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عید برای جشن ها و مراسم ویژۀ مسلمانان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یک مصلی با فضایی باز و تنها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محراب برای نشان دادن قبله و سمت نماز و دیگری منبر برای ارائۀ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محوطۀ مسجد عید برای نمازهای اعیاد و نماز آیات در هنگام خشکسالی،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یا مسجد طواف مرکزی ترین عبادتگاه اسلام و بیانگر مفهوم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در مکه پس از فتح آن توسط محمد صلی الله علیه و آله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مرکز عبادت و حج گذاری مسلمانان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مراکز عبارتند از مسجد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الاقصی در اورشلیم که به ترتیب دارای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ایوبی اولین کسی بود که مسجد راهبان در مصر را باب کرد؛ اولین خانقاه این کشور در خانه ای شخصی به نام دارالسعید السعودا </w:t>
      </w:r>
      <w:bookmarkStart w:id="925" w:name="pg3881_28133"/>
    </w:p>
    <w:p>
      <w:pPr>
        <w:pStyle w:val="BookText"/>
        <w:rPr/>
      </w:pPr>
      <w:bookmarkEnd w:id="925"/>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راهبان مراکزی برای اعتکاف یا تفکر و عبادت هستند و امکانات لازم را در اختیار معتکفین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صورت راهبان به سنت پیامبر بازمی گردد که عادت داشت ده روز را در اعتکاف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با اعمال مختلف جذب خداوند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زندگی مقدسی از طریق واژگان، گفت وگوها و از طریق عالم مثال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زمان ها از مساجد راهبان به عنوان مراکز آموزش و آشنایی با اصول عرفانی استفاده شده و محل سکنای فرهیختگان خانه به دوش است</w:t>
      </w:r>
      <w:r>
        <w:rPr>
          <w:rFonts w:eastAsia="IRNazanin" w:cs="IRNazanin"/>
          <w:color w:val="111111"/>
          <w:sz w:val="28"/>
          <w:szCs w:val="28"/>
          <w:rtl w:val="true"/>
          <w:lang w:bidi="fa-IR"/>
        </w:rPr>
        <w:t>.</w:t>
      </w:r>
    </w:p>
    <w:p>
      <w:pPr>
        <w:pStyle w:val="Heading4"/>
        <w:numPr>
          <w:ilvl w:val="3"/>
          <w:numId w:val="1"/>
        </w:numPr>
        <w:rPr/>
      </w:pPr>
      <w:bookmarkStart w:id="926" w:name="__RefHeading___Toc1656648_2281741623"/>
      <w:bookmarkStart w:id="927" w:name="_Toc330"/>
      <w:bookmarkEnd w:id="926"/>
      <w:r>
        <w:rPr>
          <w:rtl w:val="true"/>
        </w:rPr>
        <w:t>مساجد به منزلۀ مراکز اجتماعی</w:t>
      </w:r>
      <w:bookmarkEnd w:id="927"/>
    </w:p>
    <w:p>
      <w:pPr>
        <w:pStyle w:val="BookText"/>
        <w:rPr/>
      </w:pPr>
      <w:r>
        <w:rPr>
          <w:rFonts w:ascii="IRNazanin" w:hAnsi="IRNazanin" w:eastAsia="IRNazanin"/>
          <w:color w:val="111111"/>
          <w:sz w:val="28"/>
          <w:sz w:val="28"/>
          <w:szCs w:val="28"/>
          <w:rtl w:val="true"/>
          <w:lang w:bidi="fa-IR"/>
        </w:rPr>
        <w:t>مساجد به منزلۀ مراکز اجتماعی</w:t>
      </w:r>
    </w:p>
    <w:p>
      <w:pPr>
        <w:pStyle w:val="BookText"/>
        <w:rPr/>
      </w:pPr>
      <w:r>
        <w:rPr>
          <w:rFonts w:ascii="IRNazanin" w:hAnsi="IRNazanin" w:eastAsia="IRNazanin"/>
          <w:color w:val="111111"/>
          <w:sz w:val="28"/>
          <w:sz w:val="28"/>
          <w:szCs w:val="28"/>
          <w:rtl w:val="true"/>
          <w:lang w:bidi="fa-IR"/>
        </w:rPr>
        <w:t>مساجد مراکزی برای آموزش و امور خیریه هستند؛ برای نمونه دادن زکات، اجرای عدالت و بسیج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انواع مساجد اجتماعی، مسجد دارای مقبره و مسجد آموزشی است؛ مسجد دارای مقبره یا امام زاده مکانی برای عبادت است که قبر بنیانگذارش را در برگرفته است؛ مساجدی مانند الجویوشی در صخره های کوهستان موغاتام در قاهره از این دسته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شکل ساده و اولیۀ خود را حفظ کرده است ولی طبق گفتۀ میشل اولین مسجدی است که مقبره یکی از قسمت های اصلی آن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آموزشی، مرکزی اجتماعی است که وظیفۀ رسیدگی به رشد فکری اسلام دوستان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آموزش ابتدایی و عالی بر پایۀ علوم دینی و دیگر رشته های مربوط به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 حجره های اطراف کرسی نزدیک به ستون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مساجد راهبان و آموزشی امکانات لازم برای سکنی دادن است</w:t>
      </w:r>
      <w:r>
        <w:rPr>
          <w:rFonts w:eastAsia="IRNazanin" w:cs="IRNazanin"/>
          <w:color w:val="111111"/>
          <w:sz w:val="28"/>
          <w:szCs w:val="28"/>
          <w:rtl w:val="true"/>
          <w:lang w:bidi="fa-IR"/>
        </w:rPr>
        <w:t>.</w:t>
      </w:r>
      <w:r>
        <w:rPr>
          <w:rStyle w:val="FootnoteAnchor"/>
          <w:rtl w:val="true"/>
        </w:rPr>
        <w:footnoteReference w:id="369"/>
      </w:r>
      <w:bookmarkStart w:id="928" w:name="pg3881_28134"/>
    </w:p>
    <w:p>
      <w:pPr>
        <w:pStyle w:val="Heading4"/>
        <w:numPr>
          <w:ilvl w:val="3"/>
          <w:numId w:val="1"/>
        </w:numPr>
        <w:rPr/>
      </w:pPr>
      <w:bookmarkStart w:id="929" w:name="__RefHeading___Toc1656650_2281741623"/>
      <w:bookmarkStart w:id="930" w:name="_Toc331"/>
      <w:bookmarkEnd w:id="928"/>
      <w:bookmarkEnd w:id="929"/>
      <w:r>
        <w:rPr>
          <w:rtl w:val="true"/>
        </w:rPr>
        <w:t>مساجد فرقه ای</w:t>
      </w:r>
      <w:bookmarkEnd w:id="930"/>
    </w:p>
    <w:p>
      <w:pPr>
        <w:pStyle w:val="BookText"/>
        <w:rPr/>
      </w:pPr>
      <w:r>
        <w:rPr>
          <w:rFonts w:ascii="IRNazanin" w:hAnsi="IRNazanin" w:eastAsia="IRNazanin"/>
          <w:color w:val="111111"/>
          <w:sz w:val="28"/>
          <w:sz w:val="28"/>
          <w:szCs w:val="28"/>
          <w:rtl w:val="true"/>
          <w:lang w:bidi="fa-IR"/>
        </w:rPr>
        <w:t>مساجد فرقه ای</w:t>
      </w:r>
    </w:p>
    <w:p>
      <w:pPr>
        <w:pStyle w:val="BookText"/>
        <w:rPr/>
      </w:pPr>
      <w:r>
        <w:rPr>
          <w:rFonts w:ascii="IRNazanin" w:hAnsi="IRNazanin" w:eastAsia="IRNazanin"/>
          <w:color w:val="111111"/>
          <w:sz w:val="28"/>
          <w:sz w:val="28"/>
          <w:szCs w:val="28"/>
          <w:rtl w:val="true"/>
          <w:lang w:bidi="fa-IR"/>
        </w:rPr>
        <w:t>مساجدی که بر اساس نیازهای خاص گروه هایی ویژه از مردم ساخته شده اند، فرقه ای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مساجد برخی مخصوص قبایلی ویژه هستند که در قرن اول اسلام در عربستان رشد کرده و نیرویی بالقوه برای ایجاد تفرقه تلقی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مساجد در شهرهای کوچک مخصوص افرادی با مهارت ها و شغل های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مساجد بیانگر تفاوت های فکری هستند که نه فقط در میان سنی و شیعه، بلکه دیگر مذاهب کم اهمیت 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مساجد مانند مسجد جامع می مانند در حالی که بقیۀ آن ها مسجد معمولی یا محلی برای ملاقات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قبیله ای نشانه ای از استقلال یک قبیلۀ خاص تحت لوای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مساجد فرقه ای مخصوص قبایل خاص و مجزا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مساجد در طول زندگی پیامبر در مکه و مدینه بسیار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مساجد در سراسر جهان اسلام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ها طبق گفتۀ پِدرسِن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قبیله ای محل های اصلی برای گردهم آیی قبایل مختلف بودند؛ برای نمونه مسجد حکم مجلس را داشت که در آن شور می کردند</w:t>
      </w:r>
      <w:r>
        <w:rPr>
          <w:rFonts w:eastAsia="IRNazanin" w:cs="IRNazanin"/>
          <w:color w:val="111111"/>
          <w:sz w:val="28"/>
          <w:szCs w:val="28"/>
          <w:rtl w:val="true"/>
          <w:lang w:bidi="fa-IR"/>
        </w:rPr>
        <w:t>.</w:t>
      </w:r>
    </w:p>
    <w:p>
      <w:pPr>
        <w:pStyle w:val="Heading3"/>
        <w:numPr>
          <w:ilvl w:val="2"/>
          <w:numId w:val="1"/>
        </w:numPr>
        <w:rPr/>
      </w:pPr>
      <w:bookmarkStart w:id="931" w:name="__RefHeading___Toc1656652_2281741623"/>
      <w:bookmarkStart w:id="932" w:name="_Toc332"/>
      <w:bookmarkEnd w:id="931"/>
      <w:r>
        <w:rPr>
          <w:rtl w:val="true"/>
        </w:rPr>
        <w:t>مساجد در فرهنگ غرب</w:t>
      </w:r>
      <w:bookmarkEnd w:id="932"/>
    </w:p>
    <w:p>
      <w:pPr>
        <w:pStyle w:val="BookText"/>
        <w:rPr/>
      </w:pPr>
      <w:r>
        <w:rPr>
          <w:rFonts w:ascii="IRNazanin" w:hAnsi="IRNazanin" w:eastAsia="IRNazanin"/>
          <w:color w:val="111111"/>
          <w:sz w:val="28"/>
          <w:sz w:val="28"/>
          <w:szCs w:val="28"/>
          <w:rtl w:val="true"/>
          <w:lang w:bidi="fa-IR"/>
        </w:rPr>
        <w:t>مساجد در فرهنگ غرب</w:t>
      </w:r>
    </w:p>
    <w:p>
      <w:pPr>
        <w:pStyle w:val="BookText"/>
        <w:rPr/>
      </w:pPr>
      <w:r>
        <w:rPr>
          <w:rFonts w:ascii="IRNazanin" w:hAnsi="IRNazanin" w:eastAsia="IRNazanin"/>
          <w:color w:val="111111"/>
          <w:sz w:val="28"/>
          <w:sz w:val="28"/>
          <w:szCs w:val="28"/>
          <w:rtl w:val="true"/>
          <w:lang w:bidi="fa-IR"/>
        </w:rPr>
        <w:t xml:space="preserve">از زمان حملۀ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جوامع مسلمانِ خارج از کشورهای اسلامی برخی اوقات از ساخت مسجد در کشورهای غربی به ویژه آمریکا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مهاجرت روبه رشد مسلمانان به جوامع غربی، شاهد ساخت مساجد بیشتری در آمریکای شمالی و اروپا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نوشتۀ فُلا لاتِجو</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روح الله عطایی </w:t>
      </w:r>
      <w:bookmarkStart w:id="933" w:name="pg3881_28135"/>
    </w:p>
    <w:p>
      <w:pPr>
        <w:pStyle w:val="Heading3"/>
        <w:numPr>
          <w:ilvl w:val="2"/>
          <w:numId w:val="1"/>
        </w:numPr>
        <w:rPr/>
      </w:pPr>
      <w:bookmarkStart w:id="934" w:name="__RefHeading___Toc1656654_2281741623"/>
      <w:bookmarkStart w:id="935" w:name="_Toc333"/>
      <w:bookmarkEnd w:id="933"/>
      <w:bookmarkEnd w:id="934"/>
      <w:r>
        <w:rPr>
          <w:rtl w:val="true"/>
        </w:rPr>
        <w:t>برای مطالعۀ بیشتر</w:t>
      </w:r>
      <w:bookmarkEnd w:id="93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Caetani, L. (1915). ’Uthman and the recension of the Koran. N.p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Creswell, K. A. C. (1989). A short account of early Muslim architecture. Aldershot, UK: Scholar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Hillenbrand, R. (1994). Islamic architecture: Form, function,and meaning.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Michell, G. (Ed.). (1978). Architecture of the Islamic world: Its history and social meaning, New York: Thames and Hudson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Pedersen, J. (1991). Masdjid. In Bosworth, C. E., et. al. (Eds.), Encyclopaedia of Islam. Leiden, Netherlands: E. J.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Rivoira, J. T. (1975). Moslem architecture: Its origin and development. New York: Backer Art Books</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Scerrato, U. (1972). Monuments of civilization: Islam. London: Cassell &amp; Company</w:t>
      </w:r>
      <w:r>
        <w:rPr>
          <w:rFonts w:eastAsia="Times New Roman" w:cs="Times New Roman" w:ascii="Times New Roman" w:hAnsi="Times New Roman"/>
          <w:color w:val="111111"/>
          <w:sz w:val="28"/>
          <w:szCs w:val="28"/>
          <w:rtl w:val="true"/>
          <w:lang w:val="en-US" w:bidi="en-US"/>
        </w:rPr>
        <w:t xml:space="preserve">. </w:t>
      </w:r>
      <w:bookmarkStart w:id="936" w:name="pg3881_28136"/>
    </w:p>
    <w:p>
      <w:pPr>
        <w:pStyle w:val="Heading2"/>
        <w:numPr>
          <w:ilvl w:val="1"/>
          <w:numId w:val="1"/>
        </w:numPr>
        <w:rPr/>
      </w:pPr>
      <w:bookmarkStart w:id="937" w:name="__RefHeading___Toc1656656_2281741623"/>
      <w:bookmarkStart w:id="938" w:name="_Toc334"/>
      <w:bookmarkEnd w:id="936"/>
      <w:bookmarkEnd w:id="937"/>
      <w:r>
        <w:rPr>
          <w:rtl w:val="true"/>
        </w:rPr>
        <w:t>معجزه ها</w:t>
      </w:r>
      <w:bookmarkEnd w:id="938"/>
    </w:p>
    <w:p>
      <w:pPr>
        <w:pStyle w:val="Heading3"/>
        <w:numPr>
          <w:ilvl w:val="2"/>
          <w:numId w:val="1"/>
        </w:numPr>
        <w:rPr/>
      </w:pPr>
      <w:bookmarkStart w:id="939" w:name="__RefHeading___Toc1656658_2281741623"/>
      <w:bookmarkStart w:id="940" w:name="_Toc335"/>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معجزه ها</w:t>
      </w:r>
    </w:p>
    <w:p>
      <w:pPr>
        <w:pStyle w:val="BookText"/>
        <w:rPr/>
      </w:pPr>
      <w:r>
        <w:rPr>
          <w:rFonts w:ascii="IRNazanin" w:hAnsi="IRNazanin" w:eastAsia="IRNazanin"/>
          <w:color w:val="111111"/>
          <w:sz w:val="28"/>
          <w:sz w:val="28"/>
          <w:szCs w:val="28"/>
          <w:rtl w:val="true"/>
          <w:lang w:bidi="fa-IR"/>
        </w:rPr>
        <w:t>معجزه ها،</w:t>
      </w:r>
      <w:r>
        <w:rPr>
          <w:rStyle w:val="FootnoteAnchor"/>
          <w:rtl w:val="true"/>
        </w:rPr>
        <w:footnoteReference w:id="370"/>
      </w:r>
      <w:r>
        <w:rPr>
          <w:rFonts w:ascii="IRNazanin" w:hAnsi="IRNazanin" w:eastAsia="IRNazanin"/>
          <w:color w:val="111111"/>
          <w:sz w:val="28"/>
          <w:sz w:val="28"/>
          <w:szCs w:val="28"/>
          <w:rtl w:val="true"/>
          <w:lang w:bidi="fa-IR"/>
        </w:rPr>
        <w:t>اتفاقات غیرطبیعی ای هستند که شاهدین،</w:t>
      </w:r>
      <w:r>
        <w:rPr>
          <w:rStyle w:val="FootnoteAnchor"/>
          <w:rtl w:val="true"/>
        </w:rPr>
        <w:footnoteReference w:id="371"/>
      </w:r>
      <w:r>
        <w:rPr>
          <w:rFonts w:ascii="IRNazanin" w:hAnsi="IRNazanin" w:eastAsia="IRNazanin"/>
          <w:color w:val="111111"/>
          <w:sz w:val="28"/>
          <w:sz w:val="28"/>
          <w:szCs w:val="28"/>
          <w:rtl w:val="true"/>
          <w:lang w:bidi="fa-IR"/>
        </w:rPr>
        <w:t>آن ها را به علل ماوراء الطبیعه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به اندازه ای غیر عادی هستند که برای آن ها استدلال یا توضیح علمی وجود ندارد؛ در نتیجه شاهدین از آن ها به عنوان نشانه ای از هنر الهی در عالم طبیعت یا در یک فرد 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معجزه ها می توانند هر نوع دگرگونی را در یک پدیدۀ طبیعی موجب شوند ولی بیشتر مواردی از قبیل شفای بدنی یا پدیدۀ جن گیری را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معجزه ها، نشانۀ ارتباط میان عالم روحانی و جهان مادی شمرده می شوند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طرفداران معجزه آن را یک علامت از سوی عالَم روحانی می دانند که به آن ها می گوید چه کاری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معجزه ها توسط افرادی که به نظر می رسد با عالم ماوراء الطبیعه در ارتباط هستند، توجیه می گردند</w:t>
      </w:r>
      <w:r>
        <w:rPr>
          <w:rFonts w:eastAsia="IRNazanin" w:cs="IRNazanin"/>
          <w:color w:val="111111"/>
          <w:sz w:val="28"/>
          <w:szCs w:val="28"/>
          <w:rtl w:val="true"/>
          <w:lang w:bidi="fa-IR"/>
        </w:rPr>
        <w:t xml:space="preserve">. </w:t>
      </w:r>
      <w:bookmarkStart w:id="941" w:name="pg3881_28137"/>
    </w:p>
    <w:p>
      <w:pPr>
        <w:pStyle w:val="BookText"/>
        <w:rPr/>
      </w:pPr>
      <w:bookmarkEnd w:id="941"/>
      <w:r>
        <w:rPr>
          <w:rFonts w:ascii="IRNazanin" w:hAnsi="IRNazanin" w:eastAsia="IRNazanin"/>
          <w:color w:val="111111"/>
          <w:sz w:val="28"/>
          <w:sz w:val="28"/>
          <w:szCs w:val="28"/>
          <w:rtl w:val="true"/>
          <w:lang w:bidi="fa-IR"/>
        </w:rPr>
        <w:t>در حقیقت، معجزه ها گاهی اوقات به منظور متقاعد کردن شاهدینِ آن به کار گرفته می شود تا به آن ها اثبات شود شخص معجزه گر با عالم روحانی در ارتباط است</w:t>
      </w:r>
      <w:r>
        <w:rPr>
          <w:rFonts w:eastAsia="IRNazanin" w:cs="IRNazanin"/>
          <w:color w:val="111111"/>
          <w:sz w:val="28"/>
          <w:szCs w:val="28"/>
          <w:rtl w:val="true"/>
          <w:lang w:bidi="fa-IR"/>
        </w:rPr>
        <w:t>.</w:t>
      </w:r>
    </w:p>
    <w:p>
      <w:pPr>
        <w:pStyle w:val="Heading3"/>
        <w:numPr>
          <w:ilvl w:val="2"/>
          <w:numId w:val="1"/>
        </w:numPr>
        <w:rPr/>
      </w:pPr>
      <w:bookmarkStart w:id="942" w:name="__RefHeading___Toc1656660_2281741623"/>
      <w:bookmarkStart w:id="943" w:name="_Toc336"/>
      <w:bookmarkEnd w:id="942"/>
      <w:r>
        <w:rPr>
          <w:rtl w:val="true"/>
        </w:rPr>
        <w:t>پیشینه ای از پیدایش معجزه ها</w:t>
      </w:r>
      <w:bookmarkEnd w:id="943"/>
    </w:p>
    <w:p>
      <w:pPr>
        <w:pStyle w:val="BookText"/>
        <w:rPr/>
      </w:pPr>
      <w:r>
        <w:rPr>
          <w:rFonts w:ascii="IRNazanin" w:hAnsi="IRNazanin" w:eastAsia="IRNazanin"/>
          <w:color w:val="111111"/>
          <w:sz w:val="28"/>
          <w:sz w:val="28"/>
          <w:szCs w:val="28"/>
          <w:rtl w:val="true"/>
          <w:lang w:bidi="fa-IR"/>
        </w:rPr>
        <w:t>پیشینه ای از پیدایش معجزه 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ها همیشه بخشی از سنت های مذهبی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بومی باستان جادوگران، کشیشان جادوگر یا پیامبران به اجرای معجزه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ها عبارت بودند از شفا دادن، پیش گویی و برخی اوقات تغییر شکل در اشیاء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در انجام معجزه برای اعضای آن اجتماع نشانه ای بود از این که یک فرد دارای ارتباط با عالَم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 یک جادوگر در سنت های بومی، چه در دایری استرالیا، قبیله سرخپوست چروکی آمریکا یا قبیله یوروبانِ غرب آفریقا یا دیگران، عبارت بود از تفسیر اطلاعاتِ بین قلمرو روحانی و قلمرو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اغلب با تعبیر خواب ها یا تکنیک های گوناگون غیب گویی انجام می گرفت؛ روش های تفسیر از روی استخوان یا چوب، پیگیری ستارگان یا تفسیر دیگر علائم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جامعه معتقد بودند که اطلاعات ارائه شده توسط جادوگر موثق است؛ زیرا توانایی انجام معجزه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مصر باستان، به طوری که شایع است الهۀ باروری، آیسیس به بسیاری از افراد نعمت سلامتی را عطا می کرد ولی گفته می شود او هر کس را که به معابد او پناه می آورد،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ایسیس و اوسیریس، که زن و شوهر بودند، نماد تجدیدکنندۀ انرژیِ قابل رویت در طبیعت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ایسیس اهداکنندۀ زندگی و حافظ بزرگ بشریت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کشیشان و راهبه های او دارای نیروی شفادهی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دادن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هر کدام از این افراد، نشانه ای از توجه ایسیس به بشریت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نمونۀ دیگری از ارتباط ربانی با استفاده از معجزه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مرتاض های هندو و راهبه های بودایی دارای نیروهای معجزه آسا بوده اند؛ در حالی که توانایی اجرای معجزه، نشانه ای بر دستیابی شخص معجزه گر به سطح بالایی از حالات روحی است، استفاده از این نیروها 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 یا راهبه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مرتاض های هندو، در جایی که ممکن است نیروی ایجاد تغییر در اشیاء یا شفای دیگران را داشته باشند، استفاده از این موهبت، آن ها را به این دنیا وابسته می سازد و در نتیجه نمی تواند به مُشکا یا رهایی از این زندگی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راهبه های بودایی، در حالی که ممکن است به بینشی عمیق دست پیدا کنند، افکار دیگران را پیش گویی کنند، حس شنوایی ویژه ای داشته باشند یا در یک زمان در دو مکان حضور داشته باشند، استفاده از این موهبت ها برای آن ها مایوس کننده است؛ چرا که آن ها را در راه رسیدن به رستگاری سردرگم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ذکر شده، لزوما ارتباط بین عالَم روحانی و دنیای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ارتباط نشانه ای است برای شاهدین که می گویند تعالی در زندگی روحی شان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صحیح تر ارتباطی است در بین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اسراییل باستان، پیامبران به عنوان فرستاده های پروردگار، بیشتر دارای نیروی انجام معجزه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نشانه هایی از طرف خداوند به شمار می آمد که نخست دستورات خود را به بشر منتقل کند و دوم نشان دهد که پیامبر فرستادۀ اوست و گفته های او را به بشر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آن ها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منظور آزادی یهودیان از مصر و نیز هنگام خروج آن ها از آن دیار دست به معجزه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ها ایجاد تغییر در اشیاء را در برمی گیرند؛ تغییر چوب دستی به یک افعی، </w:t>
      </w:r>
    </w:p>
    <w:p>
      <w:pPr>
        <w:pStyle w:val="BookText"/>
        <w:rPr/>
      </w:pPr>
      <w:r>
        <w:rPr>
          <w:rFonts w:ascii="IRNazanin" w:hAnsi="IRNazanin" w:eastAsia="IRNazanin"/>
          <w:color w:val="111111"/>
          <w:sz w:val="28"/>
          <w:sz w:val="28"/>
          <w:szCs w:val="28"/>
          <w:rtl w:val="true"/>
          <w:lang w:bidi="fa-IR"/>
        </w:rPr>
        <w:t>تغییر آب به خون، بارش ملخ از آسمان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معجزه ها علامتی از خشم خداوند برای مجازات فرعون مصر به دلیل امتناع او از آزادسازی یهودیان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ربانیت</w:t>
      </w:r>
      <w:r>
        <w:rPr>
          <w:rStyle w:val="FootnoteAnchor"/>
          <w:rtl w:val="true"/>
        </w:rPr>
        <w:footnoteReference w:id="372"/>
      </w:r>
      <w:r>
        <w:rPr>
          <w:rFonts w:ascii="IRNazanin" w:hAnsi="IRNazanin" w:eastAsia="IRNazanin"/>
          <w:color w:val="111111"/>
          <w:sz w:val="28"/>
          <w:sz w:val="28"/>
          <w:szCs w:val="28"/>
          <w:rtl w:val="true"/>
          <w:lang w:bidi="fa-IR"/>
        </w:rPr>
        <w:t>عبارت است از انتقال خواسته های خداوند از طریق معجزه های فرستاده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اولیۀ مسیحیت، بخشی از دوران نبوت عیسی مسیح به اجرای معجزه ها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قادر به تغییر دادن اشیاء از قبیل تغییر آب به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آرام کردن دریا بود، معجزۀ شفا دادن و راندن ارواح، از معجزات برجستۀ او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برای اثر کردن معجزات حضرت عیسی ضروری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نیایش</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شفا دادن، بیشتر در نتیجۀ دعا و نیایش برای خود یا برای شخص بیمار رخ می داد، در حالی که وی اغلب به شخصی که شفا پیدا می کرد،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خود او باعث شفا گرفتنش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انتقال خواسته های آنان به خداوند، شخص بیمار شفا پیدا می کرد و پروردگار خواستۀ آنان را از طریق معجزه اجابت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شاهدین باور می کردند که نیروی عیسی مسیح در شفا دادن، نشانۀ پیامبری اوست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اسلام، معجزه رایج نبوده است؛ زیرا حضرت محمد صلی الله علیه و آله تقاضاهایی که برای آوردن معجزه عنوان می شد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معجزه ها بخشی از سنت عارف مسلمان و اسلام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کریم بر حضرت محمد صلی الله علیه و آله تنها معجزۀ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پیروانش از </w:t>
      </w:r>
      <w:bookmarkStart w:id="944" w:name="pg3881_28141"/>
    </w:p>
    <w:p>
      <w:pPr>
        <w:pStyle w:val="BookText"/>
        <w:rPr/>
      </w:pPr>
      <w:bookmarkEnd w:id="944"/>
      <w:r>
        <w:rPr>
          <w:rFonts w:ascii="IRNazanin" w:hAnsi="IRNazanin" w:eastAsia="IRNazanin"/>
          <w:color w:val="111111"/>
          <w:sz w:val="28"/>
          <w:sz w:val="28"/>
          <w:szCs w:val="28"/>
          <w:rtl w:val="true"/>
          <w:lang w:bidi="fa-IR"/>
        </w:rPr>
        <w:t>او می خواستند معجزه ای برای آن ها بیاورد وی خواستۀ آن ها را اجابت نمی کرد و می فرمود این ها نشانه هایی از سوی پروردگار است و او تنها انسانی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بعدها در آیین عرفانی احترام به افراد مقدس یا والی</w:t>
      </w:r>
      <w:r>
        <w:rPr>
          <w:rStyle w:val="FootnoteAnchor"/>
          <w:rtl w:val="true"/>
        </w:rPr>
        <w:footnoteReference w:id="373"/>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عرفایی بودند که در طول زندگی شان زیر سیطرۀ خداوند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به خداوند و این دلبستگی، اثر خود را بر روی والی بر جای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بود که پس از به کنترل در آمدن آن ها، توانایی انجام معجزه هایی مانند راه رفتن بر روی آب، پرواز در آسمان، زنده کردن مرده و حضور در دو مکان در یک زمان مشخص را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چنین قربی به خداوند، این افراد معتقد بودند که شخص مقدس، حتی پس از ترک دنیا، قادر به برقراری ارتباط بین عالم روحانی و دنیای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افراد از طریق دعا و خیرات با فرد مقدس ارتباط برقرار می کنند و فرد مقدس از جانب فرد استغاثه کننده با پروردگار ارتباط برقرار می نماید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945" w:name="__RefHeading___Toc1656662_2281741623"/>
      <w:bookmarkStart w:id="946" w:name="_Toc337"/>
      <w:bookmarkEnd w:id="945"/>
      <w:r>
        <w:rPr>
          <w:rtl w:val="true"/>
        </w:rPr>
        <w:t>معجزات در دنیای مدرن</w:t>
      </w:r>
      <w:bookmarkEnd w:id="946"/>
    </w:p>
    <w:p>
      <w:pPr>
        <w:pStyle w:val="BookText"/>
        <w:rPr/>
      </w:pPr>
      <w:r>
        <w:rPr>
          <w:rFonts w:ascii="IRNazanin" w:hAnsi="IRNazanin" w:eastAsia="IRNazanin"/>
          <w:color w:val="111111"/>
          <w:sz w:val="28"/>
          <w:sz w:val="28"/>
          <w:szCs w:val="28"/>
          <w:rtl w:val="true"/>
          <w:lang w:bidi="fa-IR"/>
        </w:rPr>
        <w:t>معجزات در دنیای مدرن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سنت های جهان هنوز بر این باورند که معجزه ها راهی برای برقراری ارتباط عالم روحانی با عالم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جادوگر</w:t>
      </w:r>
      <w:r>
        <w:rPr>
          <w:rStyle w:val="FootnoteAnchor"/>
          <w:rtl w:val="true"/>
        </w:rPr>
        <w:footnoteReference w:id="375"/>
      </w:r>
      <w:r>
        <w:rPr>
          <w:rFonts w:ascii="IRNazanin" w:hAnsi="IRNazanin" w:eastAsia="IRNazanin"/>
          <w:color w:val="111111"/>
          <w:sz w:val="28"/>
          <w:sz w:val="28"/>
          <w:szCs w:val="28"/>
          <w:rtl w:val="true"/>
          <w:lang w:bidi="fa-IR"/>
        </w:rPr>
        <w:t>سنت های بومی هنوز هم بین عالم روحانی و دنیای بشری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های هندو و راهبه های بودایی توانایی این را دارند که اشیاء را به صورت غیرقابل تفسیر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خاخامی یهودیت گاهی به نظر می رسد خاخام ها دارای قدرت خاصی هستند که از سوی پروردگار به آن ها عطاء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خاخامی، اغلب شاهکارهای معجزه مانندی توسط </w:t>
      </w:r>
    </w:p>
    <w:p>
      <w:pPr>
        <w:pStyle w:val="BookText"/>
        <w:rPr/>
      </w:pPr>
      <w:r>
        <w:rPr>
          <w:rFonts w:ascii="IRNazanin" w:hAnsi="IRNazanin" w:eastAsia="IRNazanin"/>
          <w:color w:val="111111"/>
          <w:sz w:val="28"/>
          <w:sz w:val="28"/>
          <w:szCs w:val="28"/>
          <w:rtl w:val="true"/>
          <w:lang w:bidi="fa-IR"/>
        </w:rPr>
        <w:t xml:space="preserve">خاخام ها اجرا می شود؛ بیشتر فصل سوم کتاب </w:t>
      </w:r>
      <w:r>
        <w:rPr>
          <w:rFonts w:eastAsia="Times New Roman" w:cs="Times New Roman" w:ascii="Times New Roman" w:hAnsi="Times New Roman"/>
          <w:color w:val="111111"/>
          <w:sz w:val="28"/>
          <w:szCs w:val="28"/>
          <w:lang w:val="en-US" w:bidi="en-US"/>
        </w:rPr>
        <w:t>Taanit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کتاب مقدس به توضیح معجزه های خاخامی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مسیحیت انواع سخت و دشواری از معجزه ها وجود دارند که در حال حاضر پذیرفته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 به ویژه امراض مزمن و علاج ناپذیر، اغلب کاری معجزه گونه محسوب شده و معمولاً به تاثیر نیروی دعا و نیایش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مذهب کاتولیک، عقیده بر این است که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توهمات دیداری بسیاری دربارۀ حضرت مریم وجود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ها نیز توسط مسئولین کلیسا قدغن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توهمات دیداری، حضرت مریم اغلب از حاضرین می خواهد که در آن محل زیارتگاهی بنا کنند و پس از ترک محل، اجسامی معجزه گونه مانند آب شفادهنده</w:t>
      </w:r>
      <w:r>
        <w:rPr>
          <w:rStyle w:val="FootnoteAnchor"/>
          <w:rtl w:val="true"/>
        </w:rPr>
        <w:footnoteReference w:id="376"/>
      </w:r>
      <w:r>
        <w:rPr>
          <w:rFonts w:ascii="IRNazanin" w:hAnsi="IRNazanin" w:eastAsia="IRNazanin"/>
          <w:color w:val="111111"/>
          <w:sz w:val="28"/>
          <w:sz w:val="28"/>
          <w:szCs w:val="28"/>
          <w:rtl w:val="true"/>
          <w:lang w:bidi="fa-IR"/>
        </w:rPr>
        <w:t>از خود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عقیده بر این است که حضرت مریم، میانجی عالم بشریت و عالم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به دلیل نقش وی به عنوان یک ناجی است؛ او به دلیل درک معجزه مانندش از حضرت عیسی در رستگاری بشریت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است که در آن بایستی یک یا چندین شاهد وجود داشته باشند تا یک معجزه اثر مطلوب خود را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معجزه های نسبت داده شده به حضرت مریم به عنوان میانجی دو عالم، وجود شاهدین برای تصدیق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ارتباط بین عالم ماوراءالطبیعه و عالم بشری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یهودیت، مسیحیت و اسلام شاهدین معجزات اعتقاد دارند که آن ها نشانه های طبیعی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که معجزات، علائم یا ارتباطاتی بین عالم ماوراءالطبیعه و عالم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معجزه ای می آورد، آن گاه آن شخص به عنوان فردی در نظر گرفته می شود که خدا در </w:t>
      </w:r>
      <w:bookmarkStart w:id="947" w:name="pg3881_28143"/>
    </w:p>
    <w:p>
      <w:pPr>
        <w:pStyle w:val="BookText"/>
        <w:rPr/>
      </w:pPr>
      <w:bookmarkEnd w:id="947"/>
      <w:r>
        <w:rPr>
          <w:rFonts w:ascii="IRNazanin" w:hAnsi="IRNazanin" w:eastAsia="IRNazanin"/>
          <w:color w:val="111111"/>
          <w:sz w:val="28"/>
          <w:sz w:val="28"/>
          <w:szCs w:val="28"/>
          <w:rtl w:val="true"/>
          <w:lang w:bidi="fa-IR"/>
        </w:rPr>
        <w:t>وجودش قرار داشته و باعث انجام چنین اعمالی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آیین های دیگر مانند هندو، بودا یا مسیحیت و یا دیگر سنت های نواندیش، معجزه ها به عنوان نشانه هایی هستند که می گویند جهان مادی خیال باطلی بیش نیست؛ برای نمونه، از نظر علم مسیحیت، جسم مادی یک خیال باطل است؛ آن چه حقیقی و واقعی است جسم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همگی امراض یا بیماری های روحی به این باور نادرست که جسم مادی، حقیقی است و نیز به نادیده گرفتن و انکار ذات الهیِ درون انسان ها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هنگامی به دست می آید که فرد، ذات باطل بیماری جسمی و روحی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علم مسیحیت، مَری بیکر اِدی معتقد است، این همان پیامی است که عیسی مسیح سعی داشت تا با نیروی شفادهی خود برای ما بفرستد؛ او بر این باور بود که کلیسای مسیحیت درک نادرستی از این پیام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این آیین ها معجزه ها چندان هم نشانه ای از ارتباط بین عالم الهی و مادی نیستند؛ چنان چه درکی از ذات واقعی حقیقت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ها به هر صورت وسیله ای ارتباطی باشند، ممکن است نشانه ای از ذات واهی جهانی باشند که یک فرد می تواند به فرد دیگر نشان دهد</w:t>
      </w:r>
      <w:r>
        <w:rPr>
          <w:rFonts w:eastAsia="IRNazanin" w:cs="IRNazanin"/>
          <w:color w:val="111111"/>
          <w:sz w:val="28"/>
          <w:szCs w:val="28"/>
          <w:rtl w:val="true"/>
          <w:lang w:bidi="fa-IR"/>
        </w:rPr>
        <w:t>.</w:t>
      </w:r>
    </w:p>
    <w:p>
      <w:pPr>
        <w:pStyle w:val="Heading3"/>
        <w:numPr>
          <w:ilvl w:val="2"/>
          <w:numId w:val="1"/>
        </w:numPr>
        <w:rPr/>
      </w:pPr>
      <w:bookmarkStart w:id="948" w:name="__RefHeading___Toc1656664_2281741623"/>
      <w:bookmarkStart w:id="949" w:name="_Toc338"/>
      <w:bookmarkEnd w:id="948"/>
      <w:r>
        <w:rPr>
          <w:rtl w:val="true"/>
        </w:rPr>
        <w:t>رابطۀ بین معجزه ها و رسانه</w:t>
      </w:r>
      <w:bookmarkEnd w:id="949"/>
    </w:p>
    <w:p>
      <w:pPr>
        <w:pStyle w:val="BookText"/>
        <w:rPr/>
      </w:pPr>
      <w:r>
        <w:rPr>
          <w:rFonts w:ascii="IRNazanin" w:hAnsi="IRNazanin" w:eastAsia="IRNazanin"/>
          <w:color w:val="111111"/>
          <w:sz w:val="28"/>
          <w:sz w:val="28"/>
          <w:szCs w:val="28"/>
          <w:rtl w:val="true"/>
          <w:lang w:bidi="fa-IR"/>
        </w:rPr>
        <w:t>رابطۀ بین معجزه ها و رسانه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امروزی، از رسانه ها برای نشان دادن اعجاز به تعداد بیشتری از مردم استفاده می شود؛ به گونه ای که تعداد بیشتری شاهد دنیای ماوراء الطبیعه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اینترنت به طور گسترده ای برای رسیدن به این هدف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آیین های مسیحیِ انجیلی از تلویزیون برای نشان دادن معجزۀ شفادهی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شخص بیمار در پخش </w:t>
      </w:r>
    </w:p>
    <w:p>
      <w:pPr>
        <w:pStyle w:val="BookText"/>
        <w:rPr/>
      </w:pPr>
      <w:r>
        <w:rPr>
          <w:rFonts w:ascii="IRNazanin" w:hAnsi="IRNazanin" w:eastAsia="IRNazanin"/>
          <w:color w:val="111111"/>
          <w:sz w:val="28"/>
          <w:sz w:val="28"/>
          <w:szCs w:val="28"/>
          <w:rtl w:val="true"/>
          <w:lang w:bidi="fa-IR"/>
        </w:rPr>
        <w:t>زندۀ تلویزیونی به روی صحنه می آید تا کشیش، او را به نام عیسی مسیح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روشی بود که توسط پیروان عیسی مسیح پس از عروج وی به عرش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تماشای برنامه می نشینند، می توانند شاهد تغییر و دگرگونی در شخص بیمار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شخصی که هنگام بالا رفتن از پله ها می لنگید ممکن است هنگام پایین آمدن از آن ها شفا یافته باشد و به معمولی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عمل شفا دادن را نمی توان در صفحۀ تلویزیون مشاهده کرد؛ ممکن است شخصی درخواست کرده باشد که عیسی مسیح دردهای معده یا دیگر امراض درونی وی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حساس در معجزه ها وجود شاهدین و حضار در هنگام اجرای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پخش تلویزیونی، سنتی مدرن برای دستیابی به شاهدین بیشتر است به نسبت آن چه در گذشته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اینترنت نیز تعداد شاهدین بیشتری را برای انجام معجزات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مذهبی اقدام به فرستادن پیام شاهد عینی</w:t>
      </w:r>
      <w:r>
        <w:rPr>
          <w:rStyle w:val="FootnoteAnchor"/>
          <w:rtl w:val="true"/>
        </w:rPr>
        <w:footnoteReference w:id="377"/>
      </w:r>
      <w:r>
        <w:rPr>
          <w:rFonts w:ascii="IRNazanin" w:hAnsi="IRNazanin" w:eastAsia="IRNazanin"/>
          <w:color w:val="111111"/>
          <w:sz w:val="28"/>
          <w:sz w:val="28"/>
          <w:szCs w:val="28"/>
          <w:rtl w:val="true"/>
          <w:lang w:bidi="fa-IR"/>
        </w:rPr>
        <w:t>کرده یا به افراد گوناگون پیشنهاد انجام نیایش برای معجزۀ شفادهی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w:t>
      </w:r>
      <w:r>
        <w:rPr>
          <w:rFonts w:eastAsia="Times New Roman" w:cs="Times New Roman" w:ascii="Times New Roman" w:hAnsi="Times New Roman"/>
          <w:color w:val="111111"/>
          <w:sz w:val="28"/>
          <w:szCs w:val="28"/>
          <w:lang w:val="en-US" w:bidi="en-US"/>
        </w:rPr>
        <w:t>Elk Transmission Mediation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وب سایتی با نام صفحۀ معجزه</w:t>
      </w:r>
      <w:r>
        <w:rPr>
          <w:rStyle w:val="FootnoteAnchor"/>
          <w:rtl w:val="true"/>
        </w:rPr>
        <w:footnoteReference w:id="37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 مقالات نوشته شده در مجلات و روزنامه های گوناگون دربارۀ معجزه جمع آوری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بر اساس نوع معجزه های مشاهده شده، طبقه بندی می شوند؛ برای نمونه صلیب های نورانی، آب های شفابخش، نشانه هایی از حضرت مریم، معجزه های بودا و مواردی مانند آن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Real Presence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وب سایتی دارد که در آن به تفسیر انواع معجزه های عشای ربانی در طول تاریخ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ها، مطابق با آیین های مذهبی کاتولیک، نشان می دهند که شخص عیسی مسیح در مبانی </w:t>
      </w:r>
      <w:bookmarkStart w:id="950" w:name="pg3881_28145"/>
    </w:p>
    <w:p>
      <w:pPr>
        <w:pStyle w:val="BookText"/>
        <w:rPr/>
      </w:pPr>
      <w:bookmarkEnd w:id="950"/>
      <w:r>
        <w:rPr>
          <w:rFonts w:ascii="IRNazanin" w:hAnsi="IRNazanin" w:eastAsia="IRNazanin"/>
          <w:color w:val="111111"/>
          <w:sz w:val="28"/>
          <w:sz w:val="28"/>
          <w:szCs w:val="28"/>
          <w:rtl w:val="true"/>
          <w:lang w:bidi="fa-IR"/>
        </w:rPr>
        <w:t>عشای ربانی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معجزات، تغییر دسته جمعی به گوشت انسان یا سالم ماندن میان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صفحات وب سایت، معجزه را به نمایش می گذارد؛ مانند تصویری از حضرت مریم به نام حضرت مریم در کِلیر واتر که نشان می دهد او در دفتر ساختمانی ای در شهر کِلیر واتر در ایالت فلوریدا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برای گروه های مذهبی که خواستار گسترش خبرهای مرتبط با معجزه ها هستند، ابزاری با ارزش بوده است</w:t>
      </w:r>
      <w:r>
        <w:rPr>
          <w:rFonts w:eastAsia="IRNazanin" w:cs="IRNazanin"/>
          <w:color w:val="111111"/>
          <w:sz w:val="28"/>
          <w:szCs w:val="28"/>
          <w:rtl w:val="true"/>
          <w:lang w:bidi="fa-IR"/>
        </w:rPr>
        <w:t>.</w:t>
      </w:r>
    </w:p>
    <w:p>
      <w:pPr>
        <w:pStyle w:val="Heading3"/>
        <w:numPr>
          <w:ilvl w:val="2"/>
          <w:numId w:val="1"/>
        </w:numPr>
        <w:rPr/>
      </w:pPr>
      <w:bookmarkStart w:id="951" w:name="__RefHeading___Toc1656666_2281741623"/>
      <w:bookmarkStart w:id="952" w:name="_Toc339"/>
      <w:bookmarkEnd w:id="951"/>
      <w:r>
        <w:rPr>
          <w:rtl w:val="true"/>
        </w:rPr>
        <w:t>نگاهی به آینده</w:t>
      </w:r>
      <w:bookmarkEnd w:id="952"/>
    </w:p>
    <w:p>
      <w:pPr>
        <w:pStyle w:val="BookText"/>
        <w:rPr/>
      </w:pPr>
      <w:r>
        <w:rPr>
          <w:rFonts w:ascii="IRNazanin" w:hAnsi="IRNazanin" w:eastAsia="IRNazanin"/>
          <w:color w:val="111111"/>
          <w:sz w:val="28"/>
          <w:sz w:val="28"/>
          <w:szCs w:val="28"/>
          <w:rtl w:val="true"/>
          <w:lang w:bidi="fa-IR"/>
        </w:rPr>
        <w:t>نگاهی به آینده</w:t>
      </w:r>
    </w:p>
    <w:p>
      <w:pPr>
        <w:pStyle w:val="BookText"/>
        <w:rPr/>
      </w:pPr>
      <w:r>
        <w:rPr>
          <w:rFonts w:ascii="IRNazanin" w:hAnsi="IRNazanin" w:eastAsia="IRNazanin"/>
          <w:color w:val="111111"/>
          <w:sz w:val="28"/>
          <w:sz w:val="28"/>
          <w:szCs w:val="28"/>
          <w:rtl w:val="true"/>
          <w:lang w:bidi="fa-IR"/>
        </w:rPr>
        <w:t>به طور حتم معجزه ها هم چنان مورد توجه بسیاری از مردم قرار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های انتشار یافته در نشریه های معتبر مانند مجلۀ تایم حاوی داستان هایی نقل شده از سوی افرادی است که شاهد معجزه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خبری مانند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بیشتر گزارش هایی دربارۀ پدیده های ماوراءالطبیعۀ غیرقابل تفسیر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های خبری معمولاً داستان نقل شده توسط فرد شاهد ماجرا را به عنوان یک اتفاق معجزه گونه، مستندسازی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مذهبی معجزه را به عنوان ارتباطی از سوی خداوند می دانند؛ به عنوان نشانه ای از وجود حوادث فوق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داون هاچینسِن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علی اصغر حداد </w:t>
      </w:r>
      <w:bookmarkStart w:id="953" w:name="pg3881_28146"/>
    </w:p>
    <w:p>
      <w:pPr>
        <w:pStyle w:val="Heading3"/>
        <w:numPr>
          <w:ilvl w:val="2"/>
          <w:numId w:val="1"/>
        </w:numPr>
        <w:rPr/>
      </w:pPr>
      <w:bookmarkStart w:id="954" w:name="__RefHeading___Toc1656668_2281741623"/>
      <w:bookmarkStart w:id="955" w:name="_Toc340"/>
      <w:bookmarkEnd w:id="953"/>
      <w:bookmarkEnd w:id="954"/>
      <w:r>
        <w:rPr>
          <w:rtl w:val="true"/>
        </w:rPr>
        <w:t>برای مطالعۀ بیشتر</w:t>
      </w:r>
      <w:bookmarkEnd w:id="95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Cavadini, J. C. (Ed.). (1999). Miracles in Jewish and Christian antiquity: Imagining truth.Notre Dame, IN: University of Notre Dame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Eliade, M. (Ed.). (1987). Encyclopedia of religion. New York: MacMillan</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Mullin, R. B. (1996). Miracles and the modern religious imagination.New Haven, CT: Yale University Press</w:t>
      </w:r>
      <w:r>
        <w:rPr>
          <w:rFonts w:eastAsia="Times New Roman" w:cs="Times New Roman" w:ascii="Times New Roman" w:hAnsi="Times New Roman"/>
          <w:color w:val="111111"/>
          <w:sz w:val="28"/>
          <w:szCs w:val="28"/>
          <w:rtl w:val="true"/>
          <w:lang w:val="en-US" w:bidi="en-US"/>
        </w:rPr>
        <w:t xml:space="preserve">. </w:t>
      </w:r>
      <w:bookmarkStart w:id="956" w:name="pg3881_28147"/>
    </w:p>
    <w:p>
      <w:pPr>
        <w:pStyle w:val="Heading2"/>
        <w:numPr>
          <w:ilvl w:val="1"/>
          <w:numId w:val="1"/>
        </w:numPr>
        <w:rPr/>
      </w:pPr>
      <w:bookmarkStart w:id="957" w:name="__RefHeading___Toc1656670_2281741623"/>
      <w:bookmarkStart w:id="958" w:name="_Toc341"/>
      <w:bookmarkEnd w:id="956"/>
      <w:bookmarkEnd w:id="957"/>
      <w:r>
        <w:rPr>
          <w:rtl w:val="true"/>
        </w:rPr>
        <w:t>معرفت شناسی</w:t>
      </w:r>
      <w:bookmarkEnd w:id="958"/>
    </w:p>
    <w:p>
      <w:pPr>
        <w:pStyle w:val="Heading3"/>
        <w:numPr>
          <w:ilvl w:val="2"/>
          <w:numId w:val="1"/>
        </w:numPr>
        <w:rPr/>
      </w:pPr>
      <w:bookmarkStart w:id="959" w:name="__RefHeading___Toc1656672_2281741623"/>
      <w:bookmarkStart w:id="960" w:name="_Toc342"/>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معرفت شناسی</w:t>
      </w:r>
    </w:p>
    <w:p>
      <w:pPr>
        <w:pStyle w:val="BookText"/>
        <w:rPr/>
      </w:pPr>
      <w:r>
        <w:rPr>
          <w:rFonts w:ascii="IRNazanin" w:hAnsi="IRNazanin" w:eastAsia="IRNazanin"/>
          <w:color w:val="111111"/>
          <w:sz w:val="28"/>
          <w:sz w:val="28"/>
          <w:szCs w:val="28"/>
          <w:rtl w:val="true"/>
          <w:lang w:bidi="fa-IR"/>
        </w:rPr>
        <w:t>شاخهای از فلسفه که به چگونگی معرفت انسان ها به اشیاء میپردازد، معرفت شناسی</w:t>
      </w:r>
      <w:r>
        <w:rPr>
          <w:rStyle w:val="FootnoteAnchor"/>
          <w:rtl w:val="true"/>
        </w:rPr>
        <w:footnoteReference w:id="379"/>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واژه کلمۀ یونانی </w:t>
      </w:r>
      <w:r>
        <w:rPr>
          <w:rFonts w:eastAsia="Times New Roman" w:cs="Times New Roman" w:ascii="Times New Roman" w:hAnsi="Times New Roman"/>
          <w:color w:val="111111"/>
          <w:sz w:val="28"/>
          <w:szCs w:val="28"/>
          <w:lang w:val="en-US" w:bidi="en-US"/>
        </w:rPr>
        <w:t>epistamai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به دنبال این است که بداند ما انسان ها چگونه به معرفت دست می یابیم و چگونه آن ها را ارزیابی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رشتهای تجویزی</w:t>
      </w:r>
      <w:r>
        <w:rPr>
          <w:rStyle w:val="FootnoteAnchor"/>
          <w:rtl w:val="true"/>
        </w:rPr>
        <w:footnoteReference w:id="380"/>
      </w:r>
      <w:r>
        <w:rPr>
          <w:rFonts w:ascii="IRNazanin" w:hAnsi="IRNazanin" w:eastAsia="IRNazanin"/>
          <w:color w:val="111111"/>
          <w:sz w:val="28"/>
          <w:sz w:val="28"/>
          <w:szCs w:val="28"/>
          <w:rtl w:val="true"/>
          <w:lang w:bidi="fa-IR"/>
        </w:rPr>
        <w:t>است؛ به این معنا که به دنبال تعیین استانداردهایی است تا با اِعمال آن ها بتوان فهمید که کدام معرفت و باور، مجاز</w:t>
      </w:r>
      <w:r>
        <w:rPr>
          <w:rStyle w:val="FootnoteAnchor"/>
          <w:rtl w:val="true"/>
        </w:rPr>
        <w:footnoteReference w:id="381"/>
      </w:r>
      <w:r>
        <w:rPr>
          <w:rFonts w:ascii="IRNazanin" w:hAnsi="IRNazanin" w:eastAsia="IRNazanin"/>
          <w:color w:val="111111"/>
          <w:sz w:val="28"/>
          <w:sz w:val="28"/>
          <w:szCs w:val="28"/>
          <w:rtl w:val="true"/>
          <w:lang w:bidi="fa-IR"/>
        </w:rPr>
        <w:t>و کدام یک از آن ها غیرمجازند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رشته کار می کند، معرفتشناس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با پدیدارشناسی فرق دارد؛ پدیدارشناسی رشتهای است که می واهد بفهمد انسان ها چگونه واقعیت را تجربه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پدیدارشناسی رشتهای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حلقههای دینی، مطالعۀ چگونگی معرفتِ انسان به خدا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معرفتِ الاهیانه، وحی است</w:t>
      </w:r>
      <w:r>
        <w:rPr>
          <w:rFonts w:eastAsia="IRNazanin" w:cs="IRNazanin"/>
          <w:color w:val="111111"/>
          <w:sz w:val="28"/>
          <w:szCs w:val="28"/>
          <w:rtl w:val="true"/>
          <w:lang w:bidi="fa-IR"/>
        </w:rPr>
        <w:t>.</w:t>
      </w:r>
    </w:p>
    <w:p>
      <w:pPr>
        <w:pStyle w:val="Heading3"/>
        <w:numPr>
          <w:ilvl w:val="2"/>
          <w:numId w:val="1"/>
        </w:numPr>
        <w:rPr/>
      </w:pPr>
      <w:bookmarkStart w:id="961" w:name="__RefHeading___Toc1656674_2281741623"/>
      <w:bookmarkStart w:id="962" w:name="_Toc343"/>
      <w:bookmarkEnd w:id="961"/>
      <w:r>
        <w:rPr>
          <w:rtl w:val="true"/>
        </w:rPr>
        <w:t>بنیان ها</w:t>
      </w:r>
      <w:r>
        <w:rPr>
          <w:rtl w:val="true"/>
        </w:rPr>
        <w:t xml:space="preserve">: </w:t>
      </w:r>
      <w:r>
        <w:rPr>
          <w:rtl w:val="true"/>
        </w:rPr>
        <w:t>تحلیل معرفت</w:t>
      </w:r>
      <w:bookmarkEnd w:id="96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معرفت </w:t>
      </w:r>
    </w:p>
    <w:p>
      <w:pPr>
        <w:pStyle w:val="BookText"/>
        <w:rPr/>
      </w:pPr>
      <w:r>
        <w:rPr>
          <w:rFonts w:ascii="IRNazanin" w:hAnsi="IRNazanin" w:eastAsia="IRNazanin"/>
          <w:color w:val="111111"/>
          <w:sz w:val="28"/>
          <w:sz w:val="28"/>
          <w:szCs w:val="28"/>
          <w:rtl w:val="true"/>
          <w:lang w:bidi="fa-IR"/>
        </w:rPr>
        <w:t>معرفتشناسی با یک پرسش بسیار اساسی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انسان معرفت صحیح به چیزی دارد؟ این پرسش همواره بر اندیشۀ تجربهباوران و عقلباوران غلبه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تجربهباوران بر این عقیدهاند که تمام معرفت از راه تجربۀ حسی به دست میآید و معرفت، امری درونی یا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گفت هیچ چیزی در ذهن وجود ندارد مگر آن که در ابتدا از راه حواس وارد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فیلسوف انگلیسی، جان لاک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 که ذهن، لوح سفیدی است که تجربه بر روی آن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عقلباوران مطرح می نند که معرفت از راه عقل به دست می آید و معمولا اهمیتی برای تجربه به عنوان یک منبع معرفتی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افلاطون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رنه دکارت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هنگامی که ذهن تشکیل می شود استدلالورزی به منزلة قابلیتی طبیعی ملازم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عقل و استدلال میتوان به یقین مطلق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ادموند گتیه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بدیع به نام آیا معرفت، باورِ صادقِ موجه است؟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صادق موجه باوری است که به لحاظ عقلی اعتقاد به آن مجاز و محق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آگاهیِ فرد به باورها، واقعیت ها یا حقیقت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صادقِ موجه را می توان به طریق زیر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گزارۀ الف صادق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به گزارۀ الف باور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فلانی در باورمندی به این گزاره دارای توجیه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نمونه، شما در صورتی می توانید بگویید که من، میدانم در جیبم ده سکه وجود دارد که حقیقتاً در جیبتان ده سکه وجود داشته باشد و شما به این حقیقت باورمند شوید و برای آن توجیه و دلیل هم داشته باشید</w:t>
      </w:r>
      <w:r>
        <w:rPr>
          <w:rFonts w:eastAsia="IRNazanin" w:cs="IRNazanin"/>
          <w:color w:val="111111"/>
          <w:sz w:val="28"/>
          <w:szCs w:val="28"/>
          <w:rtl w:val="true"/>
          <w:lang w:bidi="fa-IR"/>
        </w:rPr>
        <w:t xml:space="preserve">. </w:t>
      </w:r>
      <w:bookmarkStart w:id="963" w:name="pg3881_28149"/>
    </w:p>
    <w:p>
      <w:pPr>
        <w:pStyle w:val="BookText"/>
        <w:rPr/>
      </w:pPr>
      <w:bookmarkEnd w:id="963"/>
      <w:r>
        <w:rPr>
          <w:rFonts w:ascii="IRNazanin" w:hAnsi="IRNazanin" w:eastAsia="IRNazanin"/>
          <w:color w:val="111111"/>
          <w:sz w:val="28"/>
          <w:sz w:val="28"/>
          <w:szCs w:val="28"/>
          <w:rtl w:val="true"/>
          <w:lang w:bidi="fa-IR"/>
        </w:rPr>
        <w:t xml:space="preserve">ولی گتیه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مقالة معروفش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که حتی وقتی شما در باور به چیزی توجیه و دلیل دارید، مانند وجود خدا، این امکان وجود دارد که هم چنان در آزمون درستی و صدقِ معرفت مردود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نتوانید به طور قطع بگویید معرفت دارید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964" w:name="__RefHeading___Toc1656676_2281741623"/>
      <w:bookmarkStart w:id="965" w:name="_Toc344"/>
      <w:bookmarkEnd w:id="964"/>
      <w:r>
        <w:rPr>
          <w:rtl w:val="true"/>
        </w:rPr>
        <w:t>معرفتشناسیِ جهتمند</w:t>
      </w:r>
      <w:bookmarkEnd w:id="965"/>
    </w:p>
    <w:p>
      <w:pPr>
        <w:pStyle w:val="BookText"/>
        <w:rPr/>
      </w:pPr>
      <w:r>
        <w:rPr>
          <w:rFonts w:ascii="IRNazanin" w:hAnsi="IRNazanin" w:eastAsia="IRNazanin"/>
          <w:color w:val="111111"/>
          <w:sz w:val="28"/>
          <w:sz w:val="28"/>
          <w:szCs w:val="28"/>
          <w:rtl w:val="true"/>
          <w:lang w:bidi="fa-IR"/>
        </w:rPr>
        <w:t>معرفتشناسیِ جهتمند</w:t>
      </w:r>
      <w:r>
        <w:rPr>
          <w:rStyle w:val="FootnoteAnchor"/>
          <w:rtl w:val="true"/>
        </w:rPr>
        <w:footnoteReference w:id="38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معرفتشناسان را تقریباً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 و برونگرا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 درونگرا به این نظریۀ معرفتی معتقد است که از راه درون می توان به معرفت اشیاء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ضابطۀ توجیهکنندۀ معرفتِ صادق، اساساً در درون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برونگرای معرفتی بر این تصور است که ضابطهای که بر اساس آن میتوان دانست که فلان مطلب صادق است یا نه، از برون فرد ناشی میشود؛ برای نمونه، لیز، گُلی را میبیند و اعتقاد دارد که رنگ آن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او برای باورش دارد صرفا متکی بر استدلال شخصی و نگاه شخصی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نحو درونی به این باور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جیل نیز به زرد بودن رنگ گل معتقد است ولی به دلیل ضابطهای که گیاهشناسان برای تشخیص گل های زرد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او از راه بیرونی به دست میآید ولی در مورد دوم یک همپوشانی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 باور جیل را درونی دانست گرچه کانون اولیۀ استدلالش مبتنی بر عقیدۀ گیاه شناسان ماهر و در بیرون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را در مورد ادیان نیز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معرفت شناسان بر این باورند که هر کسی خداوند را از راه شهود درونی میتواند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معتقدند که خدا خودش را از راه بیرونی به افراد می شناساند</w:t>
      </w:r>
      <w:r>
        <w:rPr>
          <w:rFonts w:eastAsia="IRNazanin" w:cs="IRNazanin"/>
          <w:color w:val="111111"/>
          <w:sz w:val="28"/>
          <w:szCs w:val="28"/>
          <w:rtl w:val="true"/>
          <w:lang w:bidi="fa-IR"/>
        </w:rPr>
        <w:t xml:space="preserve">. </w:t>
      </w:r>
      <w:bookmarkStart w:id="966" w:name="pg3881_28150"/>
    </w:p>
    <w:p>
      <w:pPr>
        <w:pStyle w:val="Heading3"/>
        <w:numPr>
          <w:ilvl w:val="2"/>
          <w:numId w:val="1"/>
        </w:numPr>
        <w:rPr/>
      </w:pPr>
      <w:bookmarkStart w:id="967" w:name="__RefHeading___Toc1656678_2281741623"/>
      <w:bookmarkStart w:id="968" w:name="_Toc345"/>
      <w:bookmarkEnd w:id="966"/>
      <w:bookmarkEnd w:id="967"/>
      <w:r>
        <w:rPr>
          <w:rtl w:val="true"/>
        </w:rPr>
        <w:t>شکاکیت</w:t>
      </w:r>
      <w:bookmarkEnd w:id="968"/>
    </w:p>
    <w:p>
      <w:pPr>
        <w:pStyle w:val="BookText"/>
        <w:rPr/>
      </w:pPr>
      <w:r>
        <w:rPr>
          <w:rFonts w:ascii="IRNazanin" w:hAnsi="IRNazanin" w:eastAsia="IRNazanin"/>
          <w:color w:val="111111"/>
          <w:sz w:val="28"/>
          <w:sz w:val="28"/>
          <w:szCs w:val="28"/>
          <w:rtl w:val="true"/>
          <w:lang w:bidi="fa-IR"/>
        </w:rPr>
        <w:t>شکاکیت</w:t>
      </w:r>
    </w:p>
    <w:p>
      <w:pPr>
        <w:pStyle w:val="BookText"/>
        <w:rPr/>
      </w:pPr>
      <w:r>
        <w:rPr>
          <w:rFonts w:ascii="IRNazanin" w:hAnsi="IRNazanin" w:eastAsia="IRNazanin"/>
          <w:color w:val="111111"/>
          <w:sz w:val="28"/>
          <w:sz w:val="28"/>
          <w:szCs w:val="28"/>
          <w:rtl w:val="true"/>
          <w:lang w:bidi="fa-IR"/>
        </w:rPr>
        <w:t>پرسش دیگری که معرفتشناسان با آن سروکار دارند این است که آیا برای معرفت انسان محدودیت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نمونه، آیا میتوان به خداوند معرفت یافت یا این که او فراتر از محدودۀ معرفتی ما قرار میگیرد؟ شکاکان میگویند برای دستهای از باورها هیچ گاه نمیتوان منزلتی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غیرمجازند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نمی بایست باورهای دینی را به رسمیت شناخت چرا که آنها ذهنی و تحقیق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و شکاکان بخشی از زندگی روزمرۀ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لیز، رنگ این گل زرد است ولی جیل حرفش را تصحیح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دربارۀ چه چیزی صحبت میکنی، آن سبز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جیل نسبت به لیز موضع شکاکانهای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رنه دکارت و دیوید هیوم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فیلسوفیاند که با شکاکیت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کتابش با نام تأملات دربارۀ فلسفۀ اولی می گوید هر باوری که در معرض شک باشد، می بایست به عنوان باور غیرمجاز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باورها و روش به دست آوردن آن ها همواره در معرض نقد و انتقاد است مگر آن که کسی بتواند به یک باور تردیدناپذیر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ضابطۀ درونی و ذهنی شخص باورنده نیست که می توان باوری را تردیدناپذیر دانست بلکه برخی از باورها تردیدناپذیرند؛ زیرا دلایل عینیای وجود ندارد تا ما را نسبت به آن ها مشکوک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هیوم با زیر سوال بردن روش های دستیابی آدم ها به باورها، گامی فراتر از دکارت برداشت؛ روش هایی که عقلانی نیستند یا به محک ابزار علمیِ معتبر سنجیده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ناتوانی در اِعمال اصول علمی دربارۀ باورها، هیوم را از پرسش دربارۀ معجزات دینی بازنداشت؛ او در نهایت به این نتیجه </w:t>
      </w:r>
      <w:bookmarkStart w:id="969" w:name="pg3881_28151"/>
    </w:p>
    <w:p>
      <w:pPr>
        <w:pStyle w:val="BookText"/>
        <w:rPr/>
      </w:pPr>
      <w:bookmarkEnd w:id="969"/>
      <w:r>
        <w:rPr>
          <w:rFonts w:ascii="IRNazanin" w:hAnsi="IRNazanin" w:eastAsia="IRNazanin"/>
          <w:color w:val="111111"/>
          <w:sz w:val="28"/>
          <w:sz w:val="28"/>
          <w:szCs w:val="28"/>
          <w:rtl w:val="true"/>
          <w:lang w:bidi="fa-IR"/>
        </w:rPr>
        <w:t>رسید که معجزه در تناقض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برخی از فیلسوفان را به این استنباط سوق داد که دیدگاه هیوم به لحاظ منطقی ناسازگار است و او به طور کلی نسبت به همۀ ادعاهای معرفتی شکاک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او از عقلانیت برای بی اعتبار کردن ادعاهای عقلانی دیگران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هم چنین تصور علیت ـ این که چیزی بر چیز دیگری تاثیر میگذارد ـ را رد کرد، به این دلیل که کسی نمیتواند رابطۀ میان علت و معلول را به حس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هیوم موجب به وجود آمدن واکنشی فلسفی شد به نام واقع گراییِ عقل سلیم؛</w:t>
      </w:r>
      <w:r>
        <w:rPr>
          <w:rStyle w:val="FootnoteAnchor"/>
          <w:rtl w:val="true"/>
        </w:rPr>
        <w:footnoteReference w:id="384"/>
      </w:r>
      <w:r>
        <w:rPr>
          <w:rFonts w:ascii="IRNazanin" w:hAnsi="IRNazanin" w:eastAsia="IRNazanin"/>
          <w:color w:val="111111"/>
          <w:sz w:val="28"/>
          <w:sz w:val="28"/>
          <w:szCs w:val="28"/>
          <w:rtl w:val="true"/>
          <w:lang w:bidi="fa-IR"/>
        </w:rPr>
        <w:t xml:space="preserve">دیدگاهی که می پندارد این گونه نیست که ذهن تنها به بازنمودهای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معرفت داشته باشد بلکه به نحو بی واسطهای به جهان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رید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واقعگرایی عقل سلیمِ اسکاتلندی است</w:t>
      </w:r>
      <w:r>
        <w:rPr>
          <w:rFonts w:eastAsia="IRNazanin" w:cs="IRNazanin"/>
          <w:color w:val="111111"/>
          <w:sz w:val="28"/>
          <w:szCs w:val="28"/>
          <w:rtl w:val="true"/>
          <w:lang w:bidi="fa-IR"/>
        </w:rPr>
        <w:t>.</w:t>
      </w:r>
    </w:p>
    <w:p>
      <w:pPr>
        <w:pStyle w:val="Heading3"/>
        <w:numPr>
          <w:ilvl w:val="2"/>
          <w:numId w:val="1"/>
        </w:numPr>
        <w:rPr/>
      </w:pPr>
      <w:bookmarkStart w:id="970" w:name="__RefHeading___Toc1656680_2281741623"/>
      <w:bookmarkStart w:id="971" w:name="_Toc346"/>
      <w:bookmarkEnd w:id="970"/>
      <w:r>
        <w:rPr>
          <w:rtl w:val="true"/>
        </w:rPr>
        <w:t>مبناباوری و انسجامباوری</w:t>
      </w:r>
      <w:bookmarkEnd w:id="971"/>
    </w:p>
    <w:p>
      <w:pPr>
        <w:pStyle w:val="BookText"/>
        <w:rPr/>
      </w:pPr>
      <w:r>
        <w:rPr>
          <w:rFonts w:ascii="IRNazanin" w:hAnsi="IRNazanin" w:eastAsia="IRNazanin"/>
          <w:color w:val="111111"/>
          <w:sz w:val="28"/>
          <w:sz w:val="28"/>
          <w:szCs w:val="28"/>
          <w:rtl w:val="true"/>
          <w:lang w:bidi="fa-IR"/>
        </w:rPr>
        <w:t>مبناباوری</w:t>
      </w:r>
      <w:r>
        <w:rPr>
          <w:rStyle w:val="FootnoteAnchor"/>
          <w:rtl w:val="true"/>
        </w:rPr>
        <w:footnoteReference w:id="385"/>
      </w:r>
      <w:r>
        <w:rPr>
          <w:rFonts w:ascii="IRNazanin" w:hAnsi="IRNazanin" w:eastAsia="IRNazanin"/>
          <w:color w:val="111111"/>
          <w:sz w:val="28"/>
          <w:sz w:val="28"/>
          <w:szCs w:val="28"/>
          <w:rtl w:val="true"/>
          <w:lang w:bidi="fa-IR"/>
        </w:rPr>
        <w:t>و انسجامباوری</w:t>
      </w:r>
      <w:r>
        <w:rPr>
          <w:rStyle w:val="FootnoteAnchor"/>
          <w:rtl w:val="true"/>
        </w:rPr>
        <w:footnoteReference w:id="38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بسیار کم مید 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باورهای ما بر یک یا چند باور دیگرمان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باور که من فردا سر کار نمی وم بر این باور مبتنی است که برف سنگینی در حال باریدن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باور یک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ساختار معرفت</w:t>
      </w:r>
      <w:r>
        <w:rPr>
          <w:rStyle w:val="FootnoteAnchor"/>
          <w:rtl w:val="true"/>
        </w:rPr>
        <w:footnoteReference w:id="387"/>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شناسان تمایل دارند از این بحث کنند که آیا ساختارهای خاصی، موجهتر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ساختارهایند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نیاز، مبناباوری به وجود آمد که بر اساس آن برخی از باورها نیازی به توجیه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بنیادین خاصی وجود دارند که قائم به ذات خود و مستقل از دیگر باورهای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انسجام نیز با ساختارهای معرفت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میگوید توجیه باورها مبتنی بر </w:t>
      </w:r>
      <w:bookmarkStart w:id="972" w:name="pg3881_28152"/>
    </w:p>
    <w:p>
      <w:pPr>
        <w:pStyle w:val="BookText"/>
        <w:rPr/>
      </w:pPr>
      <w:bookmarkEnd w:id="972"/>
      <w:r>
        <w:rPr>
          <w:rFonts w:ascii="IRNazanin" w:hAnsi="IRNazanin" w:eastAsia="IRNazanin"/>
          <w:color w:val="111111"/>
          <w:sz w:val="28"/>
          <w:sz w:val="28"/>
          <w:szCs w:val="28"/>
          <w:rtl w:val="true"/>
          <w:lang w:bidi="fa-IR"/>
        </w:rPr>
        <w:t>انسجام و یکپارچگی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به هم مرتبطند و به ندرت مستقل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در ارتباط با یکدیگر وجود دارند و بنابراین منسجم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 ساختارِ باورهاست که به آن ها اعتبار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مبناباوری و انسجام باوری هر دو واکنشی در برابر برهان تسلسل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برهان این است که هر باوری میبایست مبتنی بر شاهد و دلیلی باشد که آن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باورها هیچ وقت توجیه نمیشوند؛ چرا که همواره برای آن ها طلب شاهد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مبناباور به این عدم قطعیت این گونه جواب می دهد که برخی از باورها باورِ پایه</w:t>
      </w:r>
      <w:r>
        <w:rPr>
          <w:rStyle w:val="FootnoteAnchor"/>
          <w:rtl w:val="true"/>
        </w:rPr>
        <w:footnoteReference w:id="388"/>
      </w:r>
      <w:r>
        <w:rPr>
          <w:rFonts w:ascii="IRNazanin" w:hAnsi="IRNazanin" w:eastAsia="IRNazanin"/>
          <w:color w:val="111111"/>
          <w:sz w:val="28"/>
          <w:sz w:val="28"/>
          <w:szCs w:val="28"/>
          <w:rtl w:val="true"/>
          <w:lang w:bidi="fa-IR"/>
        </w:rPr>
        <w:t>هستند و نیازی به شاهد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نظریۀ انسجام میگوید هیچ باور پایهای وجود ندارد بلکه باورها می توانند موجه باشند بدون این که شاهدی برای آن ها اقامه شود تا زمانی که بتوانند در یک باورنده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باور از ناحیۀ به هم پیوستگی با دیگر باورها کسب اعتبار می کند</w:t>
      </w:r>
      <w:r>
        <w:rPr>
          <w:rFonts w:eastAsia="IRNazanin" w:cs="IRNazanin"/>
          <w:color w:val="111111"/>
          <w:sz w:val="28"/>
          <w:szCs w:val="28"/>
          <w:rtl w:val="true"/>
          <w:lang w:bidi="fa-IR"/>
        </w:rPr>
        <w:t>.</w:t>
      </w:r>
    </w:p>
    <w:p>
      <w:pPr>
        <w:pStyle w:val="Heading3"/>
        <w:numPr>
          <w:ilvl w:val="2"/>
          <w:numId w:val="1"/>
        </w:numPr>
        <w:rPr/>
      </w:pPr>
      <w:bookmarkStart w:id="973" w:name="__RefHeading___Toc1656682_2281741623"/>
      <w:bookmarkStart w:id="974" w:name="_Toc347"/>
      <w:bookmarkEnd w:id="973"/>
      <w:r>
        <w:rPr>
          <w:rtl w:val="true"/>
        </w:rPr>
        <w:t>معرفت پیشین و پسین</w:t>
      </w:r>
      <w:bookmarkEnd w:id="974"/>
    </w:p>
    <w:p>
      <w:pPr>
        <w:pStyle w:val="BookText"/>
        <w:rPr/>
      </w:pPr>
      <w:r>
        <w:rPr>
          <w:rFonts w:ascii="IRNazanin" w:hAnsi="IRNazanin" w:eastAsia="IRNazanin"/>
          <w:color w:val="111111"/>
          <w:sz w:val="28"/>
          <w:sz w:val="28"/>
          <w:szCs w:val="28"/>
          <w:rtl w:val="true"/>
          <w:lang w:bidi="fa-IR"/>
        </w:rPr>
        <w:t>معرفت پیشین و پسین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باوری مستقل از تجربه، معرفت پیدا کنیم آن را معرفت پیشین</w:t>
      </w:r>
      <w:r>
        <w:rPr>
          <w:rStyle w:val="FootnoteAnchor"/>
          <w:rtl w:val="true"/>
        </w:rPr>
        <w:footnoteReference w:id="389"/>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شبیه مبناباوری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معرفت پسین</w:t>
      </w:r>
      <w:r>
        <w:rPr>
          <w:rStyle w:val="FootnoteAnchor"/>
          <w:rtl w:val="true"/>
        </w:rPr>
        <w:footnoteReference w:id="390"/>
      </w:r>
      <w:r>
        <w:rPr>
          <w:rFonts w:ascii="IRNazanin" w:hAnsi="IRNazanin" w:eastAsia="IRNazanin"/>
          <w:color w:val="111111"/>
          <w:sz w:val="28"/>
          <w:sz w:val="28"/>
          <w:szCs w:val="28"/>
          <w:rtl w:val="true"/>
          <w:lang w:bidi="fa-IR"/>
        </w:rPr>
        <w:t>باوری است که وابسته به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هر کسی میداند که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هرکسی می داند که بچۀ بز، بزغاله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درستی این چیزها نیازی به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این ها به نحو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دو نوع معرفت به چگونگی دستیابی به معرفت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اثبات این نوع معرفت آزمایش ترتیب دهیم یا اطلاعات پیچیدهای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طریقی به این باور و معرفت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کسی </w:t>
      </w:r>
      <w:bookmarkStart w:id="975" w:name="pg3881_28153"/>
    </w:p>
    <w:p>
      <w:pPr>
        <w:pStyle w:val="BookText"/>
        <w:rPr/>
      </w:pPr>
      <w:bookmarkEnd w:id="975"/>
      <w:r>
        <w:rPr>
          <w:rFonts w:ascii="IRNazanin" w:hAnsi="IRNazanin" w:eastAsia="IRNazanin"/>
          <w:color w:val="111111"/>
          <w:sz w:val="28"/>
          <w:sz w:val="28"/>
          <w:szCs w:val="28"/>
          <w:rtl w:val="true"/>
          <w:lang w:bidi="fa-IR"/>
        </w:rPr>
        <w:t xml:space="preserve">میآموزیم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بچۀ بز، بزغاله است ولی برای این که بدانیم آیا این باورها صادقاند یا نه، نیازی به توجیه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امانوئل کانت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نوع معرفت دقیقتر شد و بر حوزۀ معنایی معرفتِ پیشین 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پرسش را مطرح کرد که چگونه ارتباط میان معانی واژهها به بیان باورهای خاصی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او گزارۀ تحلیلی گزارهای است که مفهوم محمول در مفهوم موضوع مندرج باشد؛ برای نمونه این عبارت تحلیلی را در نظر بگیرید که همۀ عقاب ها پرندهاند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ها در درون موضوع عام ترِ پرندگان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هم چنین این را مطرح کرد که برخی از گزارهها ترکیبی هستند؛ زیرا موضوع آن ها چیزی به محمول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 بال عقاب ها هشتاد اینچ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گزارۀ ترکیبی است؛ زیرا هشتاد اینچ بر مفهوم عقاب چیزی می افزاید و آن را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فیلسوفان، گزارۀ تحلیلی را معادل با پیشین و ترکیبی را معادل با پسین می دانند ولی باید توجه داشته باشیم که تمایز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 به این نکتۀ عمده می پردازد که آیا یک گزاره نیازمند به تحقیق تجربی است یا این که روی پای خود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گزاره میتوانیم بفهمیم آیا ترکیبی است یا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ادعاهای دینی را با توجه به این تمایز مورد بررسی قرار دهیم با این پرسش مواجه میشویم که آیا معرفت ما به ادعاهای صادق دربارۀ خداوند از طریق تجربۀ ما از او به دست میآید یا مستقل از آن است</w:t>
      </w:r>
      <w:r>
        <w:rPr>
          <w:rFonts w:eastAsia="IRNazanin" w:cs="IRNazanin"/>
          <w:color w:val="111111"/>
          <w:sz w:val="28"/>
          <w:szCs w:val="28"/>
          <w:rtl w:val="true"/>
          <w:lang w:bidi="fa-IR"/>
        </w:rPr>
        <w:t>.</w:t>
      </w:r>
    </w:p>
    <w:p>
      <w:pPr>
        <w:pStyle w:val="Heading3"/>
        <w:numPr>
          <w:ilvl w:val="2"/>
          <w:numId w:val="1"/>
        </w:numPr>
        <w:rPr/>
      </w:pPr>
      <w:bookmarkStart w:id="976" w:name="__RefHeading___Toc1656684_2281741623"/>
      <w:bookmarkStart w:id="977" w:name="_Toc348"/>
      <w:bookmarkEnd w:id="976"/>
      <w:r>
        <w:rPr>
          <w:rtl w:val="true"/>
        </w:rPr>
        <w:t>دین و معرفت</w:t>
      </w:r>
      <w:bookmarkEnd w:id="977"/>
    </w:p>
    <w:p>
      <w:pPr>
        <w:pStyle w:val="BookText"/>
        <w:rPr/>
      </w:pPr>
      <w:r>
        <w:rPr>
          <w:rFonts w:ascii="IRNazanin" w:hAnsi="IRNazanin" w:eastAsia="IRNazanin"/>
          <w:color w:val="111111"/>
          <w:sz w:val="28"/>
          <w:sz w:val="28"/>
          <w:szCs w:val="28"/>
          <w:rtl w:val="true"/>
          <w:lang w:bidi="fa-IR"/>
        </w:rPr>
        <w:t>دین و معرفت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حامیانِ اعتقادات دینی خود را در برابر ملحدان و لاادریان مجبور به دفاع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معتقدان به خدا دارای باور صادق موجه دربارۀ او هستند؟ آیا </w:t>
      </w:r>
    </w:p>
    <w:p>
      <w:pPr>
        <w:pStyle w:val="BookText"/>
        <w:rPr/>
      </w:pPr>
      <w:r>
        <w:rPr>
          <w:rFonts w:ascii="IRNazanin" w:hAnsi="IRNazanin" w:eastAsia="IRNazanin"/>
          <w:color w:val="111111"/>
          <w:sz w:val="28"/>
          <w:sz w:val="28"/>
          <w:szCs w:val="28"/>
          <w:rtl w:val="true"/>
          <w:lang w:bidi="fa-IR"/>
        </w:rPr>
        <w:t>باور به خدا مستدلّ یا عقلانی است؟ البته شکاکان این پرسش را مطرح میکنند که آیا شاهدی برای توجیه باور به خدا وجود دارد؟ شاید متدینان مثل مبناباوران پاسخ دهند که برخی از باورها موجه نمیشوند و نمیتوانند بشوند ـ آن ها جزء باورهای پایه و غریزی همۀ انسان ها هستند ـ این نظریه نوعاً وحی عام</w:t>
      </w:r>
      <w:r>
        <w:rPr>
          <w:rStyle w:val="FootnoteAnchor"/>
          <w:rtl w:val="true"/>
        </w:rPr>
        <w:footnoteReference w:id="391"/>
      </w:r>
      <w:r>
        <w:rPr>
          <w:rFonts w:ascii="IRNazanin" w:hAnsi="IRNazanin" w:eastAsia="IRNazanin"/>
          <w:color w:val="111111"/>
          <w:sz w:val="28"/>
          <w:sz w:val="28"/>
          <w:szCs w:val="28"/>
          <w:rtl w:val="true"/>
          <w:lang w:bidi="fa-IR"/>
        </w:rPr>
        <w:t>یا الهیات طبیعی</w:t>
      </w:r>
      <w:r>
        <w:rPr>
          <w:rStyle w:val="FootnoteAnchor"/>
          <w:rtl w:val="true"/>
        </w:rPr>
        <w:footnoteReference w:id="392"/>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الهیات طبیعی یا شواهدی بر وجود خداوند و صفات او</w:t>
      </w:r>
      <w:r>
        <w:rPr>
          <w:rStyle w:val="FootnoteAnchor"/>
          <w:rtl w:val="true"/>
        </w:rPr>
        <w:footnoteReference w:id="393"/>
      </w:r>
      <w:r>
        <w:rPr>
          <w:rFonts w:ascii="IRNazanin" w:hAnsi="IRNazanin" w:eastAsia="IRNazanin"/>
          <w:color w:val="111111"/>
          <w:sz w:val="28"/>
          <w:sz w:val="28"/>
          <w:szCs w:val="28"/>
          <w:rtl w:val="true"/>
          <w:lang w:bidi="fa-IR"/>
        </w:rPr>
        <w:t>اثر ویلیام پالی</w:t>
      </w:r>
    </w:p>
    <w:p>
      <w:pPr>
        <w:pStyle w:val="BookText"/>
        <w:rPr/>
      </w:pPr>
      <w:r>
        <w:rPr>
          <w:rFonts w:ascii="IRNazanin" w:hAnsi="IRNazanin" w:eastAsia="IRNazanin"/>
          <w:color w:val="111111"/>
          <w:sz w:val="28"/>
          <w:sz w:val="28"/>
          <w:szCs w:val="28"/>
          <w:rtl w:val="true"/>
          <w:lang w:bidi="fa-IR"/>
        </w:rPr>
        <w:t xml:space="preserve">ویلیام پالیِ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دان، متنِ کلاسیک الهیات طبیعی یا شواهدی بر وجود خداوند و صفات او را در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قطعۀ زیر از فصل </w:t>
      </w:r>
      <w:r>
        <w:rPr>
          <w:rFonts w:eastAsia="Times New Roman" w:cs="Times New Roman" w:ascii="Times New Roman" w:hAnsi="Times New Roman"/>
          <w:color w:val="111111"/>
          <w:sz w:val="28"/>
          <w:szCs w:val="28"/>
          <w:lang w:val="en-US" w:bidi="en-US"/>
        </w:rPr>
        <w:t>XXIII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نام اندر باب هویت خداوند</w:t>
      </w:r>
      <w:r>
        <w:rPr>
          <w:rStyle w:val="FootnoteAnchor"/>
          <w:rtl w:val="true"/>
        </w:rPr>
        <w:footnoteReference w:id="394"/>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وجود تدبیر و طراح را نشان دهیم، آن گاه هر چیزی را که می خواهیم، می 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می توانیم اثبات کنیم، هویت خداوند چیزی است متمایز از آن چه گاه ذات و گاه اصل نامیده میشود؛ کسانی که این دو اصطلاح را به کار می برند به لحاظ فلسفی وجود یک خاصیت را می پذیرند ولی منکر وجود یک عامل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آن چیز میتواند تدبیر کند و طراحی داشته باشد، حتما باید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کَس یا چیز هویتمند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ها هویتسازند؛ چرا که مستلزم شعور و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تدبیر و طراحی نشان از آن دارد که آن چیز میتواند غایت و هدفی را درک کند؛ هم چنان که قدرتِ فراهم آوردن ابزار و وسائل و هدایت آن ها به سوی آن غایت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دیدگاه، خداوند خودش را برای همۀ انسان ها منکشف کرده است؛ یا به عبارتی دیگر، خدا این قابلیت را در همۀ انسان ها به ودیعت نهاده که او را بشناسند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الهی دان ها نظیر آگوستین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آنسلم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 دان معاصر، کارل بارت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را مقدم بر فهم از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ها ذهن و عقلانیت، معصوم و قابل اتکا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که خدا در محدودۀ زمانی و مکانیِ فرد نفوذ میکند و خود را مکشوف می سازد، می توان گفت او به خدا معرفت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خاص</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صفات و قابلیات، مستلزم وجود یک کانون و مرکزی است که در آن، همۀ ادراکات مجتمع شوند و اراده از آن جا به جریان بیفتد که در واقع همان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ذهنی، وجود ذهن را اثبات میکند و جایگاه ذهن نیز در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نداریم بر این که این صفات ذهنی را محدود به نوعی صورت جسمانی خاص یا نوعی محدودۀ مکانی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طبیعتِ مخلوق تحت اشکال ملموس و متنوعی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موجود زنده و متحرکی یک بهرۀ ویژۀ مکانی دارد که در درون آن حس و ارادهاش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می تواند به نحو نامحدودی گسترش یابد؛ به گونه ای که او میتواند جهان را درک کند؛ هم چنان که میتواند قابلیت شکل دادن به تصور ذات عظیم الهی را به وجود بیاورد؛ یعنی آن هستیِ نامحدود به لحاظ ماهیت و قدرت را که با همۀ این ها یک شخص است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خداوند را ندیده است و این به باور من مشکل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است که عمدتاً از وضعیت نه چندان قابل تخمین قابلیت های ما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خداوند متعلق هیچ </w:t>
      </w:r>
    </w:p>
    <w:p>
      <w:pPr>
        <w:pStyle w:val="BookText"/>
        <w:rPr/>
      </w:pPr>
      <w:r>
        <w:rPr>
          <w:rFonts w:ascii="IRNazanin" w:hAnsi="IRNazanin" w:eastAsia="IRNazanin"/>
          <w:color w:val="111111"/>
          <w:sz w:val="28"/>
          <w:sz w:val="28"/>
          <w:szCs w:val="28"/>
          <w:rtl w:val="true"/>
          <w:lang w:bidi="fa-IR"/>
        </w:rPr>
        <w:t>یک از حواس ما قرار نمیگیرد ولی می تواند محدودیت های حواس حیوانی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کتاب مقدس خداوند خودش را به موسی و بعد به بنی اسرائیل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وحی، معرفت عملی و مشروع به خداوند است؛ زیرا باورهای آن ها منجر به اعمالی شد که در سِفر خروج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تامس آکوییناس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هم الهیات و هم فلسفه میتوانند وجود خدا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از ایمان و وحی میآغازد و راهش را به سوی نظام آفرینش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 عقل شروع می کند و به دنبال فهم آفرینش و خدای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آکوییناس از پنج دلیل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امکان خاص، حرکت، علیت و خیر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آکوییناس معتقد است که هر صاحب عقلی چنین دلایلی بر وجود خدا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هیک میگوید حقیقت های دینی تحقیقپذیرند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بررسی تجربی صدق وکذب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را تحقیق پذیری معادشناسانه</w:t>
      </w:r>
      <w:r>
        <w:rPr>
          <w:rStyle w:val="FootnoteAnchor"/>
          <w:rtl w:val="true"/>
        </w:rPr>
        <w:footnoteReference w:id="396"/>
      </w:r>
      <w:r>
        <w:rPr>
          <w:rFonts w:ascii="IRNazanin" w:hAnsi="IRNazanin" w:eastAsia="IRNazanin"/>
          <w:color w:val="111111"/>
          <w:sz w:val="28"/>
          <w:sz w:val="28"/>
          <w:szCs w:val="28"/>
          <w:rtl w:val="true"/>
          <w:lang w:bidi="fa-IR"/>
        </w:rPr>
        <w:t>مینامند که به این معناست که ادعاهای معرفتی دربارۀ خدا را می توان در قیامت که خداوند به زمین باز میگردد مورد تحقیق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انتهایی قرن بیستم، تامس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تورنسِ الهی دان، ادعاهای اسحق نیوتن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مبنی بر این که انسان میتواند حقیقت را از طبیعت و جهان جدا کند،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برای زمان دو واقعیت قائل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ریاضیاتی مطلق</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باعث رویکرد دوآلیستی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معرفتشناسی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محقق انجیلی رودلف بولتمان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تاریخ را به دو مقولۀ متفاوت تقسیم کرد</w:t>
      </w:r>
      <w:r>
        <w:rPr>
          <w:rFonts w:eastAsia="IRNazanin" w:cs="IRNazanin"/>
          <w:color w:val="111111"/>
          <w:sz w:val="28"/>
          <w:szCs w:val="28"/>
          <w:rtl w:val="true"/>
          <w:lang w:bidi="fa-IR"/>
        </w:rPr>
        <w:t xml:space="preserve">: </w:t>
      </w:r>
      <w:bookmarkStart w:id="978" w:name="pg3881_28157"/>
    </w:p>
    <w:p>
      <w:pPr>
        <w:pStyle w:val="BookText"/>
        <w:rPr/>
      </w:pPr>
      <w:bookmarkEnd w:id="9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تاریخ به زمان بر اساس روابط علّی و معلولی نگاه میشود و ماجرا، نگاه به زمان بر حسب چگونگی ظهور آن برای هر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این راه های دوگانه که به زمان بنگریم، مجاز خواهیم بود باورهایی را که به لحاظ علمی اثبات پذیر نیستند، کنار بگذاریم و نتیجه این خواهد بود که باورهای دینی به اسطوره تقلیل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تورنس این دوگانگی معرفتشناختی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فقط یک زمان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آلبرت اینشتین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زمان را برای ناظران نسبی می داند و مهمتر از آن تورنس گمان می کند این نادرست است که موضوعات تحقیق را بر چهارچوب ذهنی اشخاص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علم و هم الهیات باید به شخص اجازه دهند توسط موضوعی که به دنبال دانستنش هست، کنترل شود، شکل بگیرد و پخته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معرفتشناسان دینی این را به این معنا میدانند که اگر آن ها واقعا میخواهند خدا را بفهمند، باید خود را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خدای تحمیل شده به صورت فهم پیشین و پیشدریافتی از خدا نمیتواند موجود باشد</w:t>
      </w:r>
      <w:r>
        <w:rPr>
          <w:rFonts w:eastAsia="IRNazanin" w:cs="IRNazanin"/>
          <w:color w:val="111111"/>
          <w:sz w:val="28"/>
          <w:szCs w:val="28"/>
          <w:rtl w:val="true"/>
          <w:lang w:bidi="fa-IR"/>
        </w:rPr>
        <w:t>.</w:t>
      </w:r>
    </w:p>
    <w:p>
      <w:pPr>
        <w:pStyle w:val="Heading3"/>
        <w:numPr>
          <w:ilvl w:val="2"/>
          <w:numId w:val="1"/>
        </w:numPr>
        <w:rPr/>
      </w:pPr>
      <w:bookmarkStart w:id="979" w:name="__RefHeading___Toc1656686_2281741623"/>
      <w:bookmarkStart w:id="980" w:name="_Toc349"/>
      <w:bookmarkEnd w:id="979"/>
      <w:r>
        <w:rPr>
          <w:rtl w:val="true"/>
        </w:rPr>
        <w:t>معرفت شناسی و پُستمدرنیسم</w:t>
      </w:r>
      <w:bookmarkEnd w:id="980"/>
    </w:p>
    <w:p>
      <w:pPr>
        <w:pStyle w:val="BookText"/>
        <w:rPr/>
      </w:pPr>
      <w:r>
        <w:rPr>
          <w:rFonts w:ascii="IRNazanin" w:hAnsi="IRNazanin" w:eastAsia="IRNazanin"/>
          <w:color w:val="111111"/>
          <w:sz w:val="28"/>
          <w:sz w:val="28"/>
          <w:szCs w:val="28"/>
          <w:rtl w:val="true"/>
          <w:lang w:bidi="fa-IR"/>
        </w:rPr>
        <w:t>معرفت شناسی و پُستمدرنیسم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مدرنیسم، ردیهای است بر پیش فرض ها و ایدهآل های مدرنیسم یا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شناساندن اصطلاحات مدرنیسم و پست مدرنیسم بسیار دشوار است؛ چرا که آن ها در برگیرندۀ تغییراتِ کندِ فرهنگی در طول دوره های زمانی طولانی هستند که شامل فلسفه، علم، هنر، موسیقی، معماری و ادبیات می شوند ولی تصور عمومی بر این است که تغییر از مدرنیسم به </w:t>
      </w:r>
    </w:p>
    <w:p>
      <w:pPr>
        <w:pStyle w:val="BookText"/>
        <w:rPr/>
      </w:pPr>
      <w:r>
        <w:rPr>
          <w:rFonts w:ascii="IRNazanin" w:hAnsi="IRNazanin" w:eastAsia="IRNazanin"/>
          <w:color w:val="111111"/>
          <w:sz w:val="28"/>
          <w:sz w:val="28"/>
          <w:szCs w:val="28"/>
          <w:rtl w:val="true"/>
          <w:lang w:bidi="fa-IR"/>
        </w:rPr>
        <w:t>پست مدرنیسم از دوران روشنگری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معتقد است که هیچ محدودیت معرفتیای وجود ندارد و حقیقت های کلیای وجود دارند که ریشه در طبیعت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مدرنیسم نسبت به این حقیقت های ادعاییِ کلی و جهانی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پستمدرنیسم معرفتِ معتبر را در سوژه مداری</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حقیقت عینی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نسبیباوری</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نسبت به افراد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نه تنها ماهیت حقیقت را به پرسش می گیرد بلکه هم چنین نسبت به ابزار تحقیقِ حقیقت نیز منتقد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میشل فوکو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همۀ ادعاهای مربوط به حقیقت، مشروط و مقید به قدرت و سلطه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قیدها و شرط ها روش های معرفتی را ذیل ساخت ها و بافت های اجتماعی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دربارۀ باورها مستقل از پیش فرض ها و موقعیت های اجتماعی، سیاسی و اقتصادی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رابرت لیچ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محمد کیوانفر </w:t>
      </w:r>
      <w:bookmarkStart w:id="981" w:name="pg3881_28159"/>
    </w:p>
    <w:p>
      <w:pPr>
        <w:pStyle w:val="Heading3"/>
        <w:numPr>
          <w:ilvl w:val="2"/>
          <w:numId w:val="1"/>
        </w:numPr>
        <w:rPr/>
      </w:pPr>
      <w:bookmarkStart w:id="982" w:name="__RefHeading___Toc1656688_2281741623"/>
      <w:bookmarkStart w:id="983" w:name="_Toc350"/>
      <w:bookmarkEnd w:id="981"/>
      <w:bookmarkEnd w:id="982"/>
      <w:r>
        <w:rPr>
          <w:rtl w:val="true"/>
        </w:rPr>
        <w:t>برای مطالعۀ بیشتر</w:t>
      </w:r>
      <w:bookmarkEnd w:id="983"/>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Allen, D., &amp; Springsted, E. O. (Eds.). (1992). Primary readings in philosophy for understanding theology. Louisville, KY: Westminster/John Knox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C. (1968). Philosophy and the Christian faith. Downers Grove, IL: InterVarsity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Crumley, J. S. (1999). An introduction to epistemology. Mountain View, CA: Mayfield Publishing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Crumley, J. S. (1999). Readings in epistemology. Mountain View, CA: Mayfield Publishing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Gettier, E. L. (1963). Is justified true belief knowledge? Analysis,23,121–123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Lehrer, K. (2000). Theory of knowledge. Boulder, CO: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Shope, R. (1983). An analysis of knowledge. Princeton, NJ: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Torrance, T. F. (1969). Theological science. London: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Torrance, T. F. (1971). God and rationality. London: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Tsanoff, R. A. (1964). The great philosophers (2nd ed.). New York: Harper &amp; Row Publishers</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Wolterstorff, N. (1976). Reason within the bounds of religion. Grand Rapids, MI: Eerdmans</w:t>
      </w:r>
      <w:r>
        <w:rPr>
          <w:rFonts w:eastAsia="Times New Roman" w:cs="Times New Roman" w:ascii="Times New Roman" w:hAnsi="Times New Roman"/>
          <w:color w:val="111111"/>
          <w:sz w:val="28"/>
          <w:szCs w:val="28"/>
          <w:rtl w:val="true"/>
          <w:lang w:val="en-US" w:bidi="en-US"/>
        </w:rPr>
        <w:t xml:space="preserve">. </w:t>
      </w:r>
      <w:bookmarkStart w:id="984" w:name="pg3881_28160"/>
    </w:p>
    <w:p>
      <w:pPr>
        <w:pStyle w:val="Heading2"/>
        <w:numPr>
          <w:ilvl w:val="1"/>
          <w:numId w:val="1"/>
        </w:numPr>
        <w:rPr/>
      </w:pPr>
      <w:bookmarkStart w:id="985" w:name="__RefHeading___Toc1656690_2281741623"/>
      <w:bookmarkStart w:id="986" w:name="_Toc351"/>
      <w:bookmarkEnd w:id="984"/>
      <w:bookmarkEnd w:id="985"/>
      <w:r>
        <w:rPr>
          <w:rtl w:val="true"/>
        </w:rPr>
        <w:t>نظریه تأثیرات رسانه</w:t>
      </w:r>
      <w:bookmarkEnd w:id="986"/>
    </w:p>
    <w:p>
      <w:pPr>
        <w:pStyle w:val="Heading3"/>
        <w:numPr>
          <w:ilvl w:val="2"/>
          <w:numId w:val="1"/>
        </w:numPr>
        <w:rPr/>
      </w:pPr>
      <w:bookmarkStart w:id="987" w:name="__RefHeading___Toc1656692_2281741623"/>
      <w:bookmarkStart w:id="988" w:name="_Toc352"/>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نظریه تأثیرات رسانه</w:t>
      </w:r>
    </w:p>
    <w:p>
      <w:pPr>
        <w:pStyle w:val="BookText"/>
        <w:rPr/>
      </w:pPr>
      <w:r>
        <w:rPr>
          <w:rFonts w:ascii="IRNazanin" w:hAnsi="IRNazanin" w:eastAsia="IRNazanin"/>
          <w:color w:val="111111"/>
          <w:sz w:val="28"/>
          <w:sz w:val="28"/>
          <w:szCs w:val="28"/>
          <w:rtl w:val="true"/>
          <w:lang w:bidi="fa-IR"/>
        </w:rPr>
        <w:t>با توجه به نظریة تأثیرات رسانه، سؤال اصلی این است که آیا رسانه ای که پیام ها از آن جا فرستاده می شوند، تأثیر خاص و چشم گیری بر رد و بدل کردن معنا میان منابع و دریافت کننده ها دارد یا نه؟ این موضوع برای سخن گویان مذهبی اهمیت خاصی دارد؛ زیرا باید تصمیم بگیرند پیام های خود را با محیط های رسانه ای گروهی ای که تا اندازۀ زیادی سکولاریزه شده،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موضوع نظرهای زیادی ارائه شده است که می شود به نمایندگی از آن ها، سه موضع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های مارشال مک لوهان، نیل پُستمن، نیکلاس نگروپونته که به ما درک جدیدی از موضوع خواهند داد</w:t>
      </w:r>
      <w:r>
        <w:rPr>
          <w:rFonts w:eastAsia="IRNazanin" w:cs="IRNazanin"/>
          <w:color w:val="111111"/>
          <w:sz w:val="28"/>
          <w:szCs w:val="28"/>
          <w:rtl w:val="true"/>
          <w:lang w:bidi="fa-IR"/>
        </w:rPr>
        <w:t>.</w:t>
      </w:r>
    </w:p>
    <w:p>
      <w:pPr>
        <w:pStyle w:val="Heading3"/>
        <w:numPr>
          <w:ilvl w:val="2"/>
          <w:numId w:val="1"/>
        </w:numPr>
        <w:rPr/>
      </w:pPr>
      <w:bookmarkStart w:id="989" w:name="__RefHeading___Toc1656694_2281741623"/>
      <w:bookmarkStart w:id="990" w:name="_Toc353"/>
      <w:bookmarkEnd w:id="989"/>
      <w:r>
        <w:rPr>
          <w:rtl w:val="true"/>
        </w:rPr>
        <w:t>تعریف رسانه</w:t>
      </w:r>
      <w:bookmarkEnd w:id="990"/>
    </w:p>
    <w:p>
      <w:pPr>
        <w:pStyle w:val="BookText"/>
        <w:rPr/>
      </w:pPr>
      <w:r>
        <w:rPr>
          <w:rFonts w:ascii="IRNazanin" w:hAnsi="IRNazanin" w:eastAsia="IRNazanin"/>
          <w:color w:val="111111"/>
          <w:sz w:val="28"/>
          <w:sz w:val="28"/>
          <w:szCs w:val="28"/>
          <w:rtl w:val="true"/>
          <w:lang w:bidi="fa-IR"/>
        </w:rPr>
        <w:t>تعریف رسانه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از اصطلاح رسانه می گوییم؛ همان طور که پستمن و دیگران عقیده دارند، اصطلاح رسانه بیشتر با کاربردهای رسانه ارتباط دارد، نه با فن آوری های </w:t>
      </w:r>
      <w:bookmarkStart w:id="991" w:name="pg3881_28161"/>
    </w:p>
    <w:p>
      <w:pPr>
        <w:pStyle w:val="BookText"/>
        <w:rPr/>
      </w:pPr>
      <w:bookmarkEnd w:id="991"/>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اصطلاح رسانه بیشتر به شیوه هایی که افرادِ مخاطبِ منابع ارتباطیِ با واسطه به کار می برند، اشاره دارد نه به انواع فرستنده ها و تمهیدات دریافتی به کار برده شده؛ برای نمونه تلویزیون غالباً رسانه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تلویزیون را رسانه می خوانیم، منظورمان چیزی بیش از پخش های شبکه ای یا کابلی است که با استفاده از فن آوری ای خاص منتقل شده، از طریق صفحة نمایش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رسانۀ تلویزیون تنها به این عامل های تکنیکی مربوط نیست؛ بلکه با راه های گوناگونی که مخاطبان تلویزیون آن را تجربه می کنند، نیز مرتبط است؛ به عبارت دیگر، بسیاری از مخاطبان، تلویزیون را منبعی اساسی برای تأمین اطلاعات خود از دنیا می دانند و محتوای تلویزیون را موضوعی برای گفت و گو های اجتماعی با دوستان و خویشاوندان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زندۀ تلویزیونی رفت و آمد کرده، یکدیگر را ملاقات می کنند و تماشای تلویزیون را در وعده های غذایی، مسافرت و دیگر مراسم اجتماعی دخالت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منظور خود را در بین گروه های گوناگون مخاطب ـ از لحاظ جمعیت شناختی ـ به یک شیوه بیان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رسانه ای معین به روشی خاص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کاربردهایی که رسانه ها برای آن ها در نظر گرفته اند به سمت ادغام شدن با گروه های جمعیتی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هایی از مردم که خصوصیت های مشابهی دارند و این خصوصیت های هم سان باعث می شوند به استفاده های مشابه از رسانه گرایش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روند</w:t>
      </w:r>
      <w:r>
        <w:rPr>
          <w:rFonts w:eastAsia="IRNazanin" w:cs="IRNazanin"/>
          <w:color w:val="111111"/>
          <w:sz w:val="28"/>
          <w:szCs w:val="28"/>
          <w:rtl w:val="true"/>
          <w:lang w:bidi="fa-IR"/>
        </w:rPr>
        <w:t>.</w:t>
      </w:r>
    </w:p>
    <w:p>
      <w:pPr>
        <w:pStyle w:val="Heading3"/>
        <w:numPr>
          <w:ilvl w:val="2"/>
          <w:numId w:val="1"/>
        </w:numPr>
        <w:rPr/>
      </w:pPr>
      <w:bookmarkStart w:id="992" w:name="__RefHeading___Toc1656696_2281741623"/>
      <w:bookmarkStart w:id="993" w:name="_Toc354"/>
      <w:bookmarkEnd w:id="992"/>
      <w:r>
        <w:rPr>
          <w:rtl w:val="true"/>
        </w:rPr>
        <w:t>مارشال مک لوهان و رسانه ها</w:t>
      </w:r>
      <w:r>
        <w:rPr>
          <w:rtl w:val="true"/>
        </w:rPr>
        <w:t xml:space="preserve">: </w:t>
      </w:r>
      <w:r>
        <w:rPr>
          <w:rtl w:val="true"/>
        </w:rPr>
        <w:t>رسانه، خود، پیام است</w:t>
      </w:r>
      <w:r>
        <w:rPr>
          <w:rtl w:val="true"/>
        </w:rPr>
        <w:t>.</w:t>
      </w:r>
      <w:bookmarkEnd w:id="99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مارشال مک لوهان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خود، پیام است</w:t>
      </w:r>
      <w:r>
        <w:rPr>
          <w:rFonts w:eastAsia="IRNazanin" w:cs="IRNazanin"/>
          <w:color w:val="111111"/>
          <w:sz w:val="28"/>
          <w:szCs w:val="28"/>
          <w:rtl w:val="true"/>
          <w:lang w:bidi="fa-IR"/>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مارشال مک لوهان از اولین کسانی بود که پرسش هایی دربارۀ تأثیرات رسانه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 شعار رسانه، خود، پیام است را وضع کرد؛ بدین معنا که ممکن نیست معنای واقعی پیام، با واسطة رسانه در محتوای منتقل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زبان شناختی و چه غیرکلامی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معتقد بود تأثیرات بسیار مهم فعالیت های ارتباطیِ با واسطه در خود رسانه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مک لوهان این بود که زیربنای فن آوری ای که تحویل اطلاعات را ممکن می سازد، نقشی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پس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فن آوری ممکن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او معتقد بود برخی رسانه ها قدرت حواس را بیشتر می کنند یا برعکس کاهش می دهند؛ برای نمونه نوشتة چاپ شده، در عمل به حس دیداری نیاز دارد ـ و در نتیجه آن را تقویت می کند ـ در حالی که فن آوری های الکتریکیِ مدرن بر صدا و حس لامسه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الکتریسیته به هنگام انتقال پیام، سیستم های عصبی ما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مک لوهان پیام اصلی، تغییر نسبت های حواس است که با به کارگیری همیشگی رسانه ای معین،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از تیلهارد دوشاردن نیز ایده ای الهیاتی گرفته است که بار دیگر اهمیت چشم اندازهای مربوط به رسانه ها را برای سخن گوهای مذهبی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مک لوهان از دهکدۀ جهانی، نوعی اقتباس از بیان چاردن از جهان ذهنی</w:t>
      </w:r>
      <w:r>
        <w:rPr>
          <w:rStyle w:val="FootnoteAnchor"/>
          <w:rtl w:val="true"/>
        </w:rPr>
        <w:footnoteReference w:id="399"/>
      </w:r>
      <w:r>
        <w:rPr>
          <w:rFonts w:ascii="IRNazanin" w:hAnsi="IRNazanin" w:eastAsia="IRNazanin"/>
          <w:color w:val="111111"/>
          <w:sz w:val="28"/>
          <w:sz w:val="28"/>
          <w:szCs w:val="28"/>
          <w:rtl w:val="true"/>
          <w:lang w:bidi="fa-IR"/>
        </w:rPr>
        <w:t>است؛ فضایی جهانی که ترسیم کنندة آگاهی فراگیری است که از طریق پیوندهای ارتباطیِ طبقه بندی شده،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 لوهان مردمِ دهکدة جهانی، اطلاعات زیادی دربارة یکدیگر با هم در میان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حالی که دوچاردن این عامل را مدرکی برای کالبد سمبلیک مسیح می داند، مک لوهان یادآوری می کند که در میان </w:t>
      </w:r>
      <w:bookmarkStart w:id="994" w:name="pg3881_28163"/>
    </w:p>
    <w:p>
      <w:pPr>
        <w:pStyle w:val="BookText"/>
        <w:rPr/>
      </w:pPr>
      <w:bookmarkEnd w:id="994"/>
      <w:r>
        <w:rPr>
          <w:rFonts w:ascii="IRNazanin" w:hAnsi="IRNazanin" w:eastAsia="IRNazanin"/>
          <w:color w:val="111111"/>
          <w:sz w:val="28"/>
          <w:sz w:val="28"/>
          <w:szCs w:val="28"/>
          <w:rtl w:val="true"/>
          <w:lang w:bidi="fa-IR"/>
        </w:rPr>
        <w:t>گذاشتن اطلاعات دربارة دیگران به خودی خود صلح را تضمین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می گوید که از لحاظ تاریخی، دهکده ها مکان هایی بسیار خون بار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تأثیرات رسانه که از روابط متقابل جهانی ناشی می شود، باعث ایجاد تغییراتی در سیستم های عصبی مصرف کنندگان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دریافت های مک لوهان برخی از نتایج ارتباطات دیجیتال و شبکة گستردة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اکنون بسیاری از مؤلفان، متوجة خصوصیت بُرندگی ارتباطات در دنیایی می شوند که بیش از پیش به هم پیوسته می شود</w:t>
      </w:r>
      <w:r>
        <w:rPr>
          <w:rFonts w:eastAsia="IRNazanin" w:cs="IRNazanin"/>
          <w:color w:val="111111"/>
          <w:sz w:val="28"/>
          <w:szCs w:val="28"/>
          <w:rtl w:val="true"/>
          <w:lang w:bidi="fa-IR"/>
        </w:rPr>
        <w:t>.</w:t>
      </w:r>
    </w:p>
    <w:p>
      <w:pPr>
        <w:pStyle w:val="Heading3"/>
        <w:numPr>
          <w:ilvl w:val="2"/>
          <w:numId w:val="1"/>
        </w:numPr>
        <w:rPr/>
      </w:pPr>
      <w:bookmarkStart w:id="995" w:name="__RefHeading___Toc1656698_2281741623"/>
      <w:bookmarkStart w:id="996" w:name="_Toc355"/>
      <w:bookmarkEnd w:id="995"/>
      <w:r>
        <w:rPr>
          <w:rtl w:val="true"/>
        </w:rPr>
        <w:t>نیل پُستمن و رسانه ها</w:t>
      </w:r>
      <w:r>
        <w:rPr>
          <w:rtl w:val="true"/>
        </w:rPr>
        <w:t xml:space="preserve">: </w:t>
      </w:r>
      <w:r>
        <w:rPr>
          <w:rtl w:val="true"/>
        </w:rPr>
        <w:t>رسانه، پیام را تغییر می دهد</w:t>
      </w:r>
      <w:r>
        <w:rPr>
          <w:rtl w:val="true"/>
        </w:rPr>
        <w:t>.</w:t>
      </w:r>
      <w:bookmarkEnd w:id="996"/>
    </w:p>
    <w:p>
      <w:pPr>
        <w:pStyle w:val="BookText"/>
        <w:rPr/>
      </w:pPr>
      <w:r>
        <w:rPr>
          <w:rFonts w:ascii="IRNazanin" w:hAnsi="IRNazanin" w:eastAsia="IRNazanin"/>
          <w:color w:val="111111"/>
          <w:sz w:val="28"/>
          <w:sz w:val="28"/>
          <w:szCs w:val="28"/>
          <w:rtl w:val="true"/>
          <w:lang w:bidi="fa-IR"/>
        </w:rPr>
        <w:t>نیل پُستمن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پیام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پستمن، برداشت مک لوهان از این مفهوم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 شود که شاید تأثیر اصلی رسانه تغییر کلی محتوای ظاهری، در درون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بیشتر از مک لوهان به طبیعت یا کارکرد محتوای پیام اهمیت می دهد و نظر مک لوهان را که برخی رسانه های خاص برای انواع ویژه ای از محتوا اولویت قایل می شوند،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گفتة پستمن، رسانة تلویزیون آن قدر تحت تأثیر تجارت اداره می شود که در عمل، تمام محتوای خود را کم اهمیت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پستمن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تلویزیون، ارزش سرگرمی حاکم است و هر تلاشی برای کار جدی تلویزیونی، اشتباه و گمراه کننده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تلویزیون باید تبلیغات همیشه حاضر را ارائه دهد، محتوا در بخش هایی که دایم رو به کاهش هستند، خُرد و پراکنده شده است؛ محتوا تنها جای خالی میانِ تبلیغات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اهمیتی ندارد محتوای یک بخش چقدر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آگهیِ فروش برای چیزی نامربوط ـ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غالباً مهیج ـ پیش و پس از آن می آید؛ به طوری که، حتی محتوایی که جدی است هم کم اهمیت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ارزش سرگرمی آن قدر برای نگه داشتن مخاطب پای تلویزیون زیاد است که محتوهای جدی، مانند آموزش، اخبار یا مذهب نیز باید به شکلی در قالب های بسیار سرگرم کننده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این گونه نباشند، هیچ مخاطب و حمایتی را جذب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پستمن با استدلال بر این که نمی شود تلویزیون را در جایگاه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مؤثری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مذهبی به کار برد، دورنمایی را برای سخن گویان مذهبی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تله ونجلسیم را به سبب اعتماد بیش از اندازه اش به استعداد بازیگری، نمایش و وابستگی شدید به تبلیغات ـ یعنی زمان های طولانی ای که در حین پخش ها برای درخواست پول صرف می شود ـ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نظریات پستمن دربارة تأثیرات رسانه او آشکارا اشاره دارد که عملاً ممکن نیست تمامی محتوا از طریق رسانه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نمی شود وی معتقد است که نمی توان بر تلویزیون به عنوان فضایی مقدس متمرکز شد و از طرفی فضاهای مقدس برای مراسم های نیایش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به کاربردهای سکولار بسیاری که برای تلویزیون وجود دارند و هم چنین به مکان های غیر مقدس که خود تلویزیون در آن ها قرار داده می شود مانند اتاق خواب ها، حمام ها، آشپزخانه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نتیجه گیری از چنین مشخصه هایی، این ایده را مطرح می کند که رسانة تلویزیون آن قدر پیام های انتقالی خود را دگرگون می سازد که اعتبارش را برای انتقال محتوای جدی، مانند محتوای دینی،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مک لوهان، ابتدا پس از جنگ جهانی دوم در دهه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یافتند؛ زمانی که تبلیغات مدرن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تجاری اهمیت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تأثیرات </w:t>
      </w:r>
      <w:bookmarkStart w:id="997" w:name="pg3881_28165"/>
    </w:p>
    <w:p>
      <w:pPr>
        <w:pStyle w:val="BookText"/>
        <w:rPr/>
      </w:pPr>
      <w:bookmarkEnd w:id="997"/>
      <w:r>
        <w:rPr>
          <w:rFonts w:ascii="IRNazanin" w:hAnsi="IRNazanin" w:eastAsia="IRNazanin"/>
          <w:color w:val="111111"/>
          <w:sz w:val="28"/>
          <w:sz w:val="28"/>
          <w:szCs w:val="28"/>
          <w:rtl w:val="true"/>
          <w:lang w:bidi="fa-IR"/>
        </w:rPr>
        <w:t>الکتریسیته نوشت و نمونه هایی که آورد عبارت بودند از فیلم، رادیو، تلویزیون، تبلیغات مکتوب و هم چنین صنایع روبه رشد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نابه هنگام او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که بتواند ایده های خود را در فضای رسانه ای جدیدی که در اندیشة عمیق خود پیش بینی می کرد، همگانی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پستمن پیش از مرگش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 جا که امکان داشت ـ از به کارگیری بسیاری از فن آوری های مدرن اجتناب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اش را با قلم و کاغذ می نوشت و بعدها دیگران آن را تایپ می کردند و تا حد امکان در حمل ونقل هم به دنبال جای گزین هایی با فن آوری پایین بود؛ برای نمونه به هنگام خرید ماشین سعی می کرد از امکانات الکتریکی ای که روی ماشین ها کار گذاشته می شدند،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از ای میل استفاده نمی کرد و از زمان کمی برای جست وجوی اطلاعات در شبکة گستردة جهانی استفاده می کرد و معتقد بود بهترین کاربردِ ـ و تنها کاربرد قابل توجیه ـ تلویزیون، تماشای رویدادهای زندة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او ادعا می کرد دچار ترس از تکنولوژی</w:t>
      </w:r>
      <w:r>
        <w:rPr>
          <w:rStyle w:val="FootnoteAnchor"/>
          <w:rtl w:val="true"/>
        </w:rPr>
        <w:footnoteReference w:id="400"/>
      </w:r>
      <w:r>
        <w:rPr>
          <w:rFonts w:ascii="IRNazanin" w:hAnsi="IRNazanin" w:eastAsia="IRNazanin"/>
          <w:color w:val="111111"/>
          <w:sz w:val="28"/>
          <w:sz w:val="28"/>
          <w:szCs w:val="28"/>
          <w:rtl w:val="true"/>
          <w:lang w:bidi="fa-IR"/>
        </w:rPr>
        <w:t>نیست و از به کار بردن فن آوری، ترس بیمارگونه ندارد با افتخار اعلام می کرد که ماشین ستیز</w:t>
      </w:r>
      <w:r>
        <w:rPr>
          <w:rStyle w:val="FootnoteAnchor"/>
          <w:rtl w:val="true"/>
        </w:rPr>
        <w:footnoteReference w:id="401"/>
      </w:r>
      <w:r>
        <w:rPr>
          <w:rFonts w:ascii="IRNazanin" w:hAnsi="IRNazanin" w:eastAsia="IRNazanin"/>
          <w:color w:val="111111"/>
          <w:sz w:val="28"/>
          <w:sz w:val="28"/>
          <w:szCs w:val="28"/>
          <w:rtl w:val="true"/>
          <w:lang w:bidi="fa-IR"/>
        </w:rPr>
        <w:t>است؛ یعنی کسی که از تغییرات اجتماعی ناشی از فن آوری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این تغییرات بدون ملاحظات دقیق و خود آگاهانه راجع به قیمت و منافعشان اجازة بروز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و پستمن هیچ کدام به هنگام نوشتن دربارۀ تأثیرات رسانه، این احتمال را که ارقام سازی کامپیوتری،</w:t>
      </w:r>
      <w:r>
        <w:rPr>
          <w:rStyle w:val="FootnoteAnchor"/>
          <w:rtl w:val="true"/>
        </w:rPr>
        <w:footnoteReference w:id="402"/>
      </w:r>
      <w:r>
        <w:rPr>
          <w:rFonts w:ascii="IRNazanin" w:hAnsi="IRNazanin" w:eastAsia="IRNazanin"/>
          <w:color w:val="111111"/>
          <w:sz w:val="28"/>
          <w:sz w:val="28"/>
          <w:szCs w:val="28"/>
          <w:rtl w:val="true"/>
          <w:lang w:bidi="fa-IR"/>
        </w:rPr>
        <w:t xml:space="preserve">ممکن است ماهیت پرسش هایی را که مطرح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پاسخ های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 در نظر نمی گیرند</w:t>
      </w:r>
      <w:r>
        <w:rPr>
          <w:rFonts w:eastAsia="IRNazanin" w:cs="IRNazanin"/>
          <w:color w:val="111111"/>
          <w:sz w:val="28"/>
          <w:szCs w:val="28"/>
          <w:rtl w:val="true"/>
          <w:lang w:bidi="fa-IR"/>
        </w:rPr>
        <w:t>.</w:t>
      </w:r>
    </w:p>
    <w:p>
      <w:pPr>
        <w:pStyle w:val="Heading3"/>
        <w:numPr>
          <w:ilvl w:val="2"/>
          <w:numId w:val="1"/>
        </w:numPr>
        <w:rPr/>
      </w:pPr>
      <w:bookmarkStart w:id="998" w:name="__RefHeading___Toc1656700_2281741623"/>
      <w:bookmarkStart w:id="999" w:name="_Toc356"/>
      <w:bookmarkEnd w:id="998"/>
      <w:r>
        <w:rPr>
          <w:rtl w:val="true"/>
        </w:rPr>
        <w:t>نیکلاس نگروپونته و رسانه ها</w:t>
      </w:r>
      <w:r>
        <w:rPr>
          <w:rtl w:val="true"/>
        </w:rPr>
        <w:t xml:space="preserve">: </w:t>
      </w:r>
      <w:r>
        <w:rPr>
          <w:rtl w:val="true"/>
        </w:rPr>
        <w:t>رسانه به پیام تجسم می بخشد</w:t>
      </w:r>
      <w:bookmarkEnd w:id="99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نیکلاس نگروپونته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به پیام تجسم می بخشد </w:t>
      </w:r>
    </w:p>
    <w:p>
      <w:pPr>
        <w:pStyle w:val="BookText"/>
        <w:rPr/>
      </w:pPr>
      <w:r>
        <w:rPr>
          <w:rFonts w:ascii="IRNazanin" w:hAnsi="IRNazanin" w:eastAsia="IRNazanin"/>
          <w:color w:val="111111"/>
          <w:sz w:val="28"/>
          <w:sz w:val="28"/>
          <w:szCs w:val="28"/>
          <w:rtl w:val="true"/>
          <w:lang w:bidi="fa-IR"/>
        </w:rPr>
        <w:t>دیدگاه نیکلاس نگروپونته کاملاً در تقابل با دیدگاه مک لوهان و پستمن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ارقام سازی کامپیوتری، دوگانگی این دو فرمول که رسانه خود، پیام است یا رسانه شکل دهندة پیام است را پشت سرگذاشته و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در ارتباط دیجیتالی، رسانه پیام را تشکیل می دهد، ارتباط کامپیوتری ـ که رمز دیجیتالی، الگوریتم ها، شبکه ها و امثال آن را طراحی می کند ـ رسانه و پیام، هر دو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نگروپونته، رسانه و پیام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مفاهیم ضمنی تفکر برانگیزی برای کسانی که به ارتباط مذهبی علاقه مند هستند،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نگروپونته، می شود اطلاعات را، رسانه ای نام برد که تمامی رسانه های پیشین را پشت سرگذاشته است، سپس کم کم می شود میان اطلاعات بیولوژیکی، شیمیایی و کامپیوتری که منعکس کنندۀ اصول سازماندهی کنندۀ جهانی هستند، ارتباط هایی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پرسش هایی دربارۀ سرآغاز پیدایش چنین همانندهایی به ذهن می رسد، معانی ای هستی شناختی،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 که می شناسیم، تا چه اندازه بر پایۀ اطلاعاتی با مفاهیم ضمنی کامپیوتری بنا شده است؟ با استفاده از ارتباطات دیجیتالی زندگی تا چه اندازه بیش از پیش تکنولوژیک می شود؟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غالباً با در نظر گرفتن پرسش هایی دربارۀ نظریة تأثیرات رسانه، مسئله را در قالب اصطلاحاتی چون جبرگرایی رسانه،</w:t>
      </w:r>
      <w:r>
        <w:rPr>
          <w:rStyle w:val="FootnoteAnchor"/>
          <w:rtl w:val="true"/>
        </w:rPr>
        <w:footnoteReference w:id="403"/>
      </w:r>
      <w:r>
        <w:rPr>
          <w:rFonts w:ascii="IRNazanin" w:hAnsi="IRNazanin" w:eastAsia="IRNazanin"/>
          <w:color w:val="111111"/>
          <w:sz w:val="28"/>
          <w:sz w:val="28"/>
          <w:szCs w:val="28"/>
          <w:rtl w:val="true"/>
          <w:lang w:bidi="fa-IR"/>
        </w:rPr>
        <w:t>جبرگرایی فن 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نظریۀ رسانه،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قابلیت جایگزینی یکدیگر را ندارند؛ ولی مسئله را در محدوده ای توصیف می کنند که با یکدیگر تداخل دارند و در نتیجه ممکن است خوانندگانی که به دنبال اطلاعاتی دربارۀ تأثیرات رسانه هستند، بخواهند این اصطلاحات اضافه شده را نیز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w:t>
      </w:r>
    </w:p>
    <w:p>
      <w:pPr>
        <w:pStyle w:val="BookText"/>
        <w:rPr/>
      </w:pPr>
      <w:r>
        <w:rPr>
          <w:rFonts w:ascii="IRNazanin" w:hAnsi="IRNazanin" w:eastAsia="IRNazanin"/>
          <w:color w:val="111111"/>
          <w:sz w:val="28"/>
          <w:sz w:val="28"/>
          <w:szCs w:val="28"/>
          <w:rtl w:val="true"/>
          <w:lang w:bidi="fa-IR"/>
        </w:rPr>
        <w:t>متقابل ارتباطی، رویدادهای پیچیده ای هستند که غالباً ارائة توضیحات تجزیه گرایانه</w:t>
      </w:r>
      <w:r>
        <w:rPr>
          <w:rStyle w:val="FootnoteAnchor"/>
          <w:rtl w:val="true"/>
        </w:rPr>
        <w:footnoteReference w:id="404"/>
      </w:r>
      <w:r>
        <w:rPr>
          <w:rFonts w:ascii="IRNazanin" w:hAnsi="IRNazanin" w:eastAsia="IRNazanin"/>
          <w:color w:val="111111"/>
          <w:sz w:val="28"/>
          <w:sz w:val="28"/>
          <w:szCs w:val="28"/>
          <w:rtl w:val="true"/>
          <w:lang w:bidi="fa-IR"/>
        </w:rPr>
        <w:t>برای آن ها بیش از اندازه ساده اند و اطلاعات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ادعاهای مخالف مبالغه ای است، مبنی بر این که رسانه مهم ترین یا کم اهمیت ترین بخش را در معادلة تأثیرات متقابل ارتباطی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خود، پیام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شکل دهندة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نگروپونته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پیام به سبب جنبه های یکسان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شناختی از نظرهای گوناگون دربارۀ تأثیرات رسانه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ادوارد لی لاموره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راضیه سادات میرخندان </w:t>
      </w:r>
      <w:bookmarkStart w:id="1000" w:name="pg3881_28168"/>
    </w:p>
    <w:p>
      <w:pPr>
        <w:pStyle w:val="Heading3"/>
        <w:numPr>
          <w:ilvl w:val="2"/>
          <w:numId w:val="1"/>
        </w:numPr>
        <w:rPr/>
      </w:pPr>
      <w:bookmarkStart w:id="1001" w:name="__RefHeading___Toc1656702_2281741623"/>
      <w:bookmarkStart w:id="1002" w:name="_Toc357"/>
      <w:bookmarkEnd w:id="1000"/>
      <w:bookmarkEnd w:id="1001"/>
      <w:r>
        <w:rPr>
          <w:rtl w:val="true"/>
        </w:rPr>
        <w:t>برای مطالعۀ بیشتر</w:t>
      </w:r>
      <w:bookmarkEnd w:id="1002"/>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Ebersole, S. (1995). Media Determinism in Cyberspace. Retrieved February 2, 2006 from: http://www.regent.edu/acad/schcom/rojc/mdic/md.html</w:t>
      </w:r>
    </w:p>
    <w:p>
      <w:pPr>
        <w:pStyle w:val="BookText"/>
        <w:rPr/>
      </w:pPr>
      <w:r>
        <w:rPr>
          <w:rFonts w:eastAsia="Times New Roman" w:cs="Times New Roman" w:ascii="Times New Roman" w:hAnsi="Times New Roman"/>
          <w:color w:val="111111"/>
          <w:sz w:val="28"/>
          <w:szCs w:val="28"/>
          <w:lang w:val="en-US" w:bidi="en-US"/>
        </w:rPr>
        <w:t>McLuhan, E. &amp; Zingrone, F.(Eds.). (1995). Essential McLuhan.New York: BasicBooks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Negroponte, N. (1995). Being Digital. New York: Vintage Books</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Postman, N. (1985). Amusing ourselves to death: Public discourse in the age of show business. New York: Penguin Books</w:t>
      </w:r>
      <w:r>
        <w:rPr>
          <w:rFonts w:eastAsia="Times New Roman" w:cs="Times New Roman" w:ascii="Times New Roman" w:hAnsi="Times New Roman"/>
          <w:color w:val="111111"/>
          <w:sz w:val="28"/>
          <w:szCs w:val="28"/>
          <w:rtl w:val="true"/>
          <w:lang w:val="en-US" w:bidi="en-US"/>
        </w:rPr>
        <w:t xml:space="preserve">. </w:t>
      </w:r>
      <w:bookmarkStart w:id="1003" w:name="pg3881_28169"/>
    </w:p>
    <w:p>
      <w:pPr>
        <w:pStyle w:val="Heading2"/>
        <w:numPr>
          <w:ilvl w:val="1"/>
          <w:numId w:val="1"/>
        </w:numPr>
        <w:rPr/>
      </w:pPr>
      <w:bookmarkStart w:id="1004" w:name="__RefHeading___Toc1656704_2281741623"/>
      <w:bookmarkStart w:id="1005" w:name="_Toc358"/>
      <w:bookmarkEnd w:id="1003"/>
      <w:bookmarkEnd w:id="1004"/>
      <w:r>
        <w:rPr>
          <w:rtl w:val="true"/>
        </w:rPr>
        <w:t>نقاشی</w:t>
      </w:r>
      <w:bookmarkEnd w:id="1005"/>
    </w:p>
    <w:p>
      <w:pPr>
        <w:pStyle w:val="Heading3"/>
        <w:numPr>
          <w:ilvl w:val="2"/>
          <w:numId w:val="1"/>
        </w:numPr>
        <w:rPr/>
      </w:pPr>
      <w:bookmarkStart w:id="1006" w:name="__RefHeading___Toc1656706_2281741623"/>
      <w:bookmarkStart w:id="1007" w:name="_Toc359"/>
      <w:bookmarkEnd w:id="1006"/>
      <w:r>
        <w:rPr>
          <w:rtl w:val="true"/>
        </w:rPr>
        <w:t>اشاره</w:t>
      </w:r>
      <w:bookmarkEnd w:id="1007"/>
    </w:p>
    <w:p>
      <w:pPr>
        <w:pStyle w:val="BookText"/>
        <w:rPr/>
      </w:pPr>
      <w:r>
        <w:rPr>
          <w:rFonts w:ascii="IRNazanin" w:hAnsi="IRNazanin" w:eastAsia="IRNazanin"/>
          <w:color w:val="111111"/>
          <w:sz w:val="28"/>
          <w:sz w:val="28"/>
          <w:szCs w:val="28"/>
          <w:rtl w:val="true"/>
          <w:lang w:bidi="fa-IR"/>
        </w:rPr>
        <w:t>نقاشی</w:t>
      </w:r>
    </w:p>
    <w:p>
      <w:pPr>
        <w:pStyle w:val="BookText"/>
        <w:rPr/>
      </w:pPr>
      <w:r>
        <w:rPr>
          <w:rFonts w:ascii="IRNazanin" w:hAnsi="IRNazanin" w:eastAsia="IRNazanin"/>
          <w:color w:val="111111"/>
          <w:sz w:val="28"/>
          <w:sz w:val="28"/>
          <w:szCs w:val="28"/>
          <w:rtl w:val="true"/>
          <w:lang w:bidi="fa-IR"/>
        </w:rPr>
        <w:t>بنابر قدیمی ترین آثار مصور انسان های دورۀ پالئولیتیک،</w:t>
      </w:r>
      <w:r>
        <w:rPr>
          <w:rStyle w:val="FootnoteAnchor"/>
          <w:rtl w:val="true"/>
        </w:rPr>
        <w:footnoteReference w:id="405"/>
      </w:r>
      <w:r>
        <w:rPr>
          <w:rFonts w:ascii="IRNazanin" w:hAnsi="IRNazanin" w:eastAsia="IRNazanin"/>
          <w:color w:val="111111"/>
          <w:sz w:val="28"/>
          <w:sz w:val="28"/>
          <w:szCs w:val="28"/>
          <w:rtl w:val="true"/>
          <w:lang w:bidi="fa-IR"/>
        </w:rPr>
        <w:t>نقاشی شیوه ای از ارتباط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حدود سه هزار سال پیش در عمق غار های غیر مسکونی که به وسیلۀ چراغ هایی با چربی حیوانی روشن می شدند، با جسارت تمام آب دهان و ذغال چوب را با هم آمیختند و دست به آفرینش اولین تصاویر رنگی زدند؛ تصاویری که انسان را به قلمرو های ماوراءالطبیعی پیوند می دهدند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با مهارت دور گیری شده، گاو میش های کوهان دار و ماموت ها شاهد عینی مراسمی جادویی برای تضمین موفقیت آمیز بودنِ شکار در طول سالیان پیاپی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از همان روز گارِ شکار گرانِ بیابان گرد، طلایه دار زبان بصری ارتباط مذهبی بوده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نقاشی از واژۀ لاتین </w:t>
      </w:r>
      <w:r>
        <w:rPr>
          <w:rFonts w:eastAsia="Times New Roman" w:cs="Times New Roman" w:ascii="Times New Roman" w:hAnsi="Times New Roman"/>
          <w:color w:val="111111"/>
          <w:sz w:val="28"/>
          <w:szCs w:val="28"/>
          <w:lang w:val="en-US" w:bidi="en-US"/>
        </w:rPr>
        <w:t>pingere</w:t>
      </w:r>
      <w:r>
        <w:rPr>
          <w:rFonts w:ascii="IRNazanin" w:hAnsi="IRNazanin" w:eastAsia="IRNazanin"/>
          <w:color w:val="111111"/>
          <w:sz w:val="28"/>
          <w:sz w:val="28"/>
          <w:szCs w:val="28"/>
          <w:rtl w:val="true"/>
          <w:lang w:bidi="fa-IR"/>
        </w:rPr>
        <w:t>، می آید که به معنی نقاشی با رنگدانه ها یا پودر های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رنگدانه ها موادی طبیعی اند، از جمله مادۀ گیاهی و حیوانی که وقتی با حلال یا چسبی هم چون بزاق دهان، آب، تخم مرغ، روغن یا موم داغ قاتی شوند، خاصیت چسبندگی به پایه را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ها، پاپیروس، تخته های چوبی، پارچه، پوست حیوانات و حتی پوستۀ درخت به </w:t>
      </w:r>
      <w:bookmarkStart w:id="1008" w:name="pg3881_28170"/>
    </w:p>
    <w:p>
      <w:pPr>
        <w:pStyle w:val="BookText"/>
        <w:rPr/>
      </w:pPr>
      <w:bookmarkEnd w:id="1008"/>
      <w:r>
        <w:rPr>
          <w:rFonts w:ascii="IRNazanin" w:hAnsi="IRNazanin" w:eastAsia="IRNazanin"/>
          <w:color w:val="111111"/>
          <w:sz w:val="28"/>
          <w:sz w:val="28"/>
          <w:szCs w:val="28"/>
          <w:rtl w:val="true"/>
          <w:lang w:bidi="fa-IR"/>
        </w:rPr>
        <w:t>عنوان پایه برای تصویر سازی رنگی در زمینه های مذهبی به 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چند حالت مختلف، عقاید مذهبی را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نقاشی هم چون شیوه ای از برقراری ارتباط بشر با خدا کار 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وظیفۀ تصاویری که نقاشی شده اند، تکریم خدایان، قدیسین یا وقایع مقدس و تصدیق قدرت ماورا ءالطبیعیِ برتر از ادراک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نقاشی برای انتقال دانسته هایی دربارۀ خدا از بشر به بشر،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دست به آفرینش نقاشی هایی زده اند که پیام ضروری مذهبی را از طرف اعتقادی خاصی اشاعه می دهند و با این کار در واقع سفارش دهندگان، نقاشان و نظاره گران را دور هم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نقاشی عملی است که می گذارد هنرمندان از خالق الهی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 خلاقانۀ نقاشها، بازتاب خلق بهشت و زمین به وسیلۀ خدا است</w:t>
      </w:r>
      <w:r>
        <w:rPr>
          <w:rFonts w:eastAsia="IRNazanin" w:cs="IRNazanin"/>
          <w:color w:val="111111"/>
          <w:sz w:val="28"/>
          <w:szCs w:val="28"/>
          <w:rtl w:val="true"/>
          <w:lang w:bidi="fa-IR"/>
        </w:rPr>
        <w:t>.</w:t>
      </w:r>
    </w:p>
    <w:p>
      <w:pPr>
        <w:pStyle w:val="Heading3"/>
        <w:numPr>
          <w:ilvl w:val="2"/>
          <w:numId w:val="1"/>
        </w:numPr>
        <w:rPr/>
      </w:pPr>
      <w:bookmarkStart w:id="1009" w:name="__RefHeading___Toc1656708_2281741623"/>
      <w:bookmarkStart w:id="1010" w:name="_Toc360"/>
      <w:bookmarkEnd w:id="1009"/>
      <w:r>
        <w:rPr>
          <w:rtl w:val="true"/>
        </w:rPr>
        <w:t>شیوه های مختلف</w:t>
      </w:r>
      <w:bookmarkEnd w:id="1010"/>
    </w:p>
    <w:p>
      <w:pPr>
        <w:pStyle w:val="BookText"/>
        <w:rPr/>
      </w:pPr>
      <w:r>
        <w:rPr>
          <w:rFonts w:ascii="IRNazanin" w:hAnsi="IRNazanin" w:eastAsia="IRNazanin"/>
          <w:color w:val="111111"/>
          <w:sz w:val="28"/>
          <w:sz w:val="28"/>
          <w:szCs w:val="28"/>
          <w:rtl w:val="true"/>
          <w:lang w:bidi="fa-IR"/>
        </w:rPr>
        <w:t>شیوه های مختلف</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های مذهبی بسته به نیاز های سفارش دهندگان و ناظران، به شیوه های مختلفی وارد عرصه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نگاره های بزرگِ جلوی محراب به مراسم عبادی در کلیساها کمک می کنند، تذهیب های دستی برای نیایش فردی به کار برده می شوند، شمایل ها در راهپیمایی های دسته جمعی مذهبی حمل می شوند، طومار ها به منزلة اعمالی فردی در جهت مراقبه به کار می روند و دیوار های مقابر به این خاطر تزیین می شوند تا وسیلۀ آرامش برای انتقال از زندگی زمینی به ساحت روحانی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مذهبی می توانند یا بازنمایانه باشند یا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قصه ای را حکایت کنند یا نمادی را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ها در سراسر تاریخ، به عنوان وسایل آموزنده یا بیان گر، برای </w:t>
      </w:r>
    </w:p>
    <w:p>
      <w:pPr>
        <w:pStyle w:val="BookText"/>
        <w:rPr/>
      </w:pPr>
      <w:r>
        <w:rPr>
          <w:rFonts w:ascii="IRNazanin" w:hAnsi="IRNazanin" w:eastAsia="IRNazanin"/>
          <w:color w:val="111111"/>
          <w:sz w:val="28"/>
          <w:sz w:val="28"/>
          <w:szCs w:val="28"/>
          <w:rtl w:val="true"/>
          <w:lang w:bidi="fa-IR"/>
        </w:rPr>
        <w:t>ارتباط برقرار کردن به کار رفته اند، به ویژه نمونه های مصور با شکوه و فراوان در اروپای مسیحی؛ در هند که سرچشمۀ آیین بودا و هندو است؛ در معابد ذنِ چین و ژاپن و در ایرانِ دورۀ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نقاشی های بشری در این مکان ها و جاهای دیگر، به مطرح کردن اهداف مذهب می پرداختند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پیش از این که مذاهب جهان مغلوب یکتا پرستی شوند، چند خداییِ مصریان و اژه ای ها مایۀ الهام تصاویر در نقاشی های روی سقف های گچی یا نقاشی های دیواری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مقابر مصری هزاران خدا و الهۀ عالَم اموات و صحنه هایی از زندگی روزانه را به تصویر می کشیدند تا برای متوفی، سفری مطمئن به زندگی پس از مرگ و مکانی لذت بخش را از لحاظ آسودگی ابدی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گُمنام مصری صحنه هایی را با تمام جزئیات خلق کردند تا بدن مومیایی شدۀ متوفی را در مقبرۀ مهر و موم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تصاویر هم چون نقاشی های غار بیابانگردان عصر حجر، برای عالم ماورا ء طبیعی بود و هیچ ربطی به ناظرین زنده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فرهنگ اژه ای به تولید نقاشی هایی در مکان های اجتماعات عمومی از جمله مجتمع های قصری بزرگ در جزیرۀ کرت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ها صحنه هایی از همان دوره بودند که خیلی روشن و دقیق به بیان مراسم مذهبی اجتماع فعال کرتی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اعتقادات مذهبی مینوئن هم چنان در ابهام باقی می ماند، صحنه های کاملاً رنگی و جالب توجه پیکر های زنده، از جمله گاو باز های آکروبات باز قصر ناسوس، پایتخت مینوئن، ظاهراً پیشرفت های دنیوی را در پیشگاه مخاطبی الهی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نگاره های رمزآمیز از مراسم و گرد هم آیی های جمعی، به الهه های مورد پرستش در این جامعۀ مادر سالار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و رومیان نیز بر دیوار ها نقاشی می کشیدند، ولی </w:t>
      </w:r>
      <w:bookmarkStart w:id="1011" w:name="pg3881_28172"/>
    </w:p>
    <w:p>
      <w:pPr>
        <w:pStyle w:val="BookText"/>
        <w:rPr/>
      </w:pPr>
      <w:bookmarkEnd w:id="1011"/>
      <w:r>
        <w:rPr>
          <w:rFonts w:ascii="IRNazanin" w:hAnsi="IRNazanin" w:eastAsia="IRNazanin"/>
          <w:color w:val="111111"/>
          <w:sz w:val="28"/>
          <w:sz w:val="28"/>
          <w:szCs w:val="28"/>
          <w:rtl w:val="true"/>
          <w:lang w:bidi="fa-IR"/>
        </w:rPr>
        <w:t>گلدان های سفالی متعلق به آن دوره ثبت کامل تری را از قصه های اسطوره شناختی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ظروف سفالی رنگی با تصویر خدا یان و الهه ها یی با جایگاه و ویژگی مشخص، اهمیت اسطوره را در اعتقادات مذهبی هر روزۀ اولین جوامع بزرگ غیر روحانی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 ی معروف از مراسمی آیینی که در خانه ای ویلایی در پُمپئی به دست آمد، تا اندازه ای غیر معمول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مراسمی مربوط به یکی از چندین فرقه های مخفی را به تصویر می کشد که در جریان اولین سال های امپراتوری به روم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این جا، تأکید بر اعتقادات مذهبی سفارش دهنده داشت و به مثابه ابزاری بود که به احتمال قریب به یقین، در مقام ابزاری آموزشی در خدمت مبلغان ذی نفع به کار می رفت</w:t>
      </w:r>
      <w:r>
        <w:rPr>
          <w:rFonts w:eastAsia="IRNazanin" w:cs="IRNazanin"/>
          <w:color w:val="111111"/>
          <w:sz w:val="28"/>
          <w:szCs w:val="28"/>
          <w:rtl w:val="true"/>
          <w:lang w:bidi="fa-IR"/>
        </w:rPr>
        <w:t>.</w:t>
      </w:r>
    </w:p>
    <w:p>
      <w:pPr>
        <w:pStyle w:val="Heading3"/>
        <w:numPr>
          <w:ilvl w:val="2"/>
          <w:numId w:val="1"/>
        </w:numPr>
        <w:rPr/>
      </w:pPr>
      <w:bookmarkStart w:id="1012" w:name="__RefHeading___Toc1656710_2281741623"/>
      <w:bookmarkStart w:id="1013" w:name="_Toc361"/>
      <w:bookmarkEnd w:id="1012"/>
      <w:r>
        <w:rPr>
          <w:rtl w:val="true"/>
        </w:rPr>
        <w:t>نقاشی هم چون وسیله ا ی ارتباطی</w:t>
      </w:r>
      <w:bookmarkEnd w:id="1013"/>
    </w:p>
    <w:p>
      <w:pPr>
        <w:pStyle w:val="Heading4"/>
        <w:numPr>
          <w:ilvl w:val="3"/>
          <w:numId w:val="1"/>
        </w:numPr>
        <w:rPr/>
      </w:pPr>
      <w:bookmarkStart w:id="1014" w:name="__RefHeading___Toc1656712_2281741623"/>
      <w:bookmarkStart w:id="1015" w:name="_Toc362"/>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نقاشی هم چون وسیله ا ی ارتباطی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چندین فرقه ای که برای جذب هر چه بیشتر پیروان در امپراتوری روم رقابت می کردند، مسیحیت خیلی زود بی رقیب بودن خود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 شدن یکتا پرستی، به ویژه مسیحیت و نیز یهودیت، جایگاه نقاشی به مثابه وسیله ای ارتباطی به شکل محسوسی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فرمان دوم از مجموعۀ ده فرمان، ظاهراً تصویر سازی را منع می کند، هم جوامع یهودی و هم مسیحی برای ترویج اعتقادات مذهبی خود به نقاشی تکیه می کردند؛ برای نمونه، متون مصور یهودی در حال حاضر موجودند و دیوار نگاره هایی از تصویر سازی عهد قدیم مربوط به نیمۀ قرن سوم در کنیسه ای در دورا اُروپوس واقع در سوریه به دست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نگاره های مربوط به تاریخ و شریعت یهود، با پرداختن به پیشوایان عهد قدیم، اصول مهمِ دین یهود </w:t>
      </w:r>
      <w:bookmarkStart w:id="1016" w:name="pg3881_28173"/>
    </w:p>
    <w:p>
      <w:pPr>
        <w:pStyle w:val="BookText"/>
        <w:rPr/>
      </w:pPr>
      <w:bookmarkEnd w:id="1016"/>
      <w:r>
        <w:rPr>
          <w:rFonts w:ascii="IRNazanin" w:hAnsi="IRNazanin" w:eastAsia="IRNazanin"/>
          <w:color w:val="111111"/>
          <w:sz w:val="28"/>
          <w:sz w:val="28"/>
          <w:szCs w:val="28"/>
          <w:rtl w:val="true"/>
          <w:lang w:bidi="fa-IR"/>
        </w:rPr>
        <w:t>را در منطقه ای پر از فرقه های مذهبی رقیب، به حضار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ترین ایام، مسیحیان از نقاشی برای نقل رسالت تولد، دستورات و معجزات، ایثار و رستاخیز مسیح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اولیه در راهرو های تدفین زیر زمینی که خارج از حصار های روم بود، تصاویری را برای تعلیم و تقویت ایمان نقاشی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نگاره های نمادین از جمله ماهی و هم بازنمایی های روایی از جمله قصه هایی از عهد قدیم و عهد جدید، حامل این پیام بودند که ایمان در هنگام مرگ، موجب رستگاری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ای برجسته از روح ماندگار ایمان مسیحی پس از سقوط امپراتوری روم، تذهیب های کتاب یا صفحات نوشتاری تزیینی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برداری ها از روی انجیل، بشارت کتابت خانۀ قرون وسطایی را برای جماعت ایمان آورندگان رو به رشد مسیحی،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سازی های پیچیده با رنگدانه های درخشان از جمله طلا، متن مقدس را هم به صورت واقعی و هم مجازی منور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از پرگار و خط کش، رنگدانه های آمیخته با آب و تخم مرغ استفاده می کردند و رنگ را روی پوست حیوانات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 ها صفحه در کتاب کِل ها</w:t>
      </w:r>
      <w:r>
        <w:rPr>
          <w:rStyle w:val="FootnoteAnchor"/>
          <w:rtl w:val="true"/>
        </w:rPr>
        <w:footnoteReference w:id="406"/>
      </w:r>
      <w:r>
        <w:rPr>
          <w:rFonts w:ascii="IRNazanin" w:hAnsi="IRNazanin" w:eastAsia="IRNazanin"/>
          <w:color w:val="111111"/>
          <w:sz w:val="28"/>
          <w:sz w:val="28"/>
          <w:szCs w:val="28"/>
          <w:rtl w:val="true"/>
          <w:lang w:bidi="fa-IR"/>
        </w:rPr>
        <w:t>مربوط به اوایل قرن نهم، صفحۀ حلول</w:t>
      </w:r>
      <w:r>
        <w:rPr>
          <w:rStyle w:val="FootnoteAnchor"/>
          <w:rtl w:val="true"/>
        </w:rPr>
        <w:footnoteReference w:id="407"/>
      </w:r>
      <w:r>
        <w:rPr>
          <w:rFonts w:ascii="IRNazanin" w:hAnsi="IRNazanin" w:eastAsia="IRNazanin"/>
          <w:color w:val="111111"/>
          <w:sz w:val="28"/>
          <w:sz w:val="28"/>
          <w:szCs w:val="28"/>
          <w:rtl w:val="true"/>
          <w:lang w:bidi="fa-IR"/>
        </w:rPr>
        <w:t>از انجیل متی، قدرت تزیینات مصور را در انتقال رسالت مسیح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 اولِ نام 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شکل جسورانه و واضحی تمام صفحه را با چرخشی از در هم آمیختگی دَوَرانی و ظریف پُر کرده است</w:t>
      </w:r>
      <w:r>
        <w:rPr>
          <w:rFonts w:eastAsia="IRNazanin" w:cs="IRNazanin"/>
          <w:color w:val="111111"/>
          <w:sz w:val="28"/>
          <w:szCs w:val="28"/>
          <w:rtl w:val="true"/>
          <w:lang w:bidi="fa-IR"/>
        </w:rPr>
        <w:t>.</w:t>
      </w:r>
    </w:p>
    <w:p>
      <w:pPr>
        <w:pStyle w:val="Heading4"/>
        <w:numPr>
          <w:ilvl w:val="3"/>
          <w:numId w:val="1"/>
        </w:numPr>
        <w:rPr/>
      </w:pPr>
      <w:bookmarkStart w:id="1017" w:name="__RefHeading___Toc1656714_2281741623"/>
      <w:bookmarkStart w:id="1018" w:name="_Toc363"/>
      <w:bookmarkEnd w:id="1017"/>
      <w:r>
        <w:rPr>
          <w:rtl w:val="true"/>
        </w:rPr>
        <w:t>شمایل های مسیحیان ارتدکس شرقی</w:t>
      </w:r>
      <w:bookmarkEnd w:id="101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شمایل های مسیحیان ارتدکس شرقی </w:t>
      </w:r>
      <w:bookmarkStart w:id="1019" w:name="pg3881_28174"/>
    </w:p>
    <w:p>
      <w:pPr>
        <w:pStyle w:val="BookText"/>
        <w:rPr/>
      </w:pPr>
      <w:bookmarkEnd w:id="1019"/>
      <w:r>
        <w:rPr>
          <w:rFonts w:ascii="IRNazanin" w:hAnsi="IRNazanin" w:eastAsia="IRNazanin"/>
          <w:color w:val="111111"/>
          <w:sz w:val="28"/>
          <w:sz w:val="28"/>
          <w:szCs w:val="28"/>
          <w:rtl w:val="true"/>
          <w:lang w:bidi="fa-IR"/>
        </w:rPr>
        <w:t xml:space="preserve">در این میان، اجتماعات اُرتدکس مسیحی از امپراتوری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غریبی از ارتباط مصور مذهبی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شمایلی که در جریان تشریفات مذهبی برای تزیین کلیسا ها مورد استفاده قرار می گرفتند، نقاشی تقدیس شدۀ مذهبی ای هستند که شخص، واقعه ا ی مذهبی را به تصویر می کشد و حاملی برای برقراری ارتباط با عالَم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های معروف تر در نظر معتقدان، الهی اند و قدرت های معجزه آمیز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های مومی که عبارتند از رنگ دانه های به هم چسبیده با موم داغ، از قطع و اندازه های سنتی پیروی می کنند که چندین قرن بدون تغییر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نگاران با خلق تصاویری که شباهت بسیار زیادی با نمونۀ اولیۀ زمان مسیح داشت، عمل خلاقانۀ نیایش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دورۀ شمایل شکنی در قرن هشتم و نهم که باعث شد بسیاری از تصاویر آسیب ببینند یا نابود شوند، شمایل ها بار دیگر همراه شمایل گاه یا پرده، حائلِ بین حضار کلیسا و کشیش، جایگاه های مقدس کلیسا ها و هم چنین فضا های عبادیِ خانه های شخصی را تزیین کردند</w:t>
      </w:r>
      <w:r>
        <w:rPr>
          <w:rFonts w:eastAsia="IRNazanin" w:cs="IRNazanin"/>
          <w:color w:val="111111"/>
          <w:sz w:val="28"/>
          <w:szCs w:val="28"/>
          <w:rtl w:val="true"/>
          <w:lang w:bidi="fa-IR"/>
        </w:rPr>
        <w:t>.</w:t>
      </w:r>
    </w:p>
    <w:p>
      <w:pPr>
        <w:pStyle w:val="Heading4"/>
        <w:numPr>
          <w:ilvl w:val="3"/>
          <w:numId w:val="1"/>
        </w:numPr>
        <w:rPr/>
      </w:pPr>
      <w:bookmarkStart w:id="1020" w:name="__RefHeading___Toc1656716_2281741623"/>
      <w:bookmarkStart w:id="1021" w:name="_Toc364"/>
      <w:bookmarkEnd w:id="1020"/>
      <w:r>
        <w:rPr>
          <w:rtl w:val="true"/>
        </w:rPr>
        <w:t>تخته نگاره های محراب کاتولیک رومی</w:t>
      </w:r>
      <w:bookmarkEnd w:id="1021"/>
    </w:p>
    <w:p>
      <w:pPr>
        <w:pStyle w:val="BookText"/>
        <w:rPr/>
      </w:pPr>
      <w:r>
        <w:rPr>
          <w:rFonts w:ascii="IRNazanin" w:hAnsi="IRNazanin" w:eastAsia="IRNazanin"/>
          <w:color w:val="111111"/>
          <w:sz w:val="28"/>
          <w:sz w:val="28"/>
          <w:szCs w:val="28"/>
          <w:rtl w:val="true"/>
          <w:lang w:bidi="fa-IR"/>
        </w:rPr>
        <w:t>تخته نگاره های محراب کاتولیک رومی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تخته نگاره های عبادی محراب کاتولیک روم در اروپای غربی متعلق به قرون چهاردهم تا هفدهم، هم در حوزه های عمومی و هم شخصی به 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روی چوب یا بوم، نقاشی های بزرگ از زندگی مسیح، زندگی قدیسین یا دیگر صحنه های مهم از انجیل، محراب کلیسا ها را در سراسر عالم مسیحیت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کوچک و خصوصی تر، زینت بخش فضا های شخصی عبادت در محیط های خانگی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دو لوحی از آن جا که دو لَته و </w:t>
      </w:r>
      <w:bookmarkStart w:id="1022" w:name="pg3881_28175"/>
    </w:p>
    <w:p>
      <w:pPr>
        <w:pStyle w:val="BookText"/>
        <w:rPr/>
      </w:pPr>
      <w:bookmarkEnd w:id="1022"/>
      <w:r>
        <w:rPr>
          <w:rFonts w:ascii="IRNazanin" w:hAnsi="IRNazanin" w:eastAsia="IRNazanin"/>
          <w:color w:val="111111"/>
          <w:sz w:val="28"/>
          <w:sz w:val="28"/>
          <w:szCs w:val="28"/>
          <w:rtl w:val="true"/>
          <w:lang w:bidi="fa-IR"/>
        </w:rPr>
        <w:t>لولا دار بود، این امکان را داشت که بسته شود تا تصویر داخل را محافظت کند یا باز شود و مقابل روی نماز گزار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قاب های دو لوحی برای استفاده در خانه اختصاص داده شدند، قاعدتاً در محراب ها قاب های سه لوحی به ظهور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بیرونی لته ها در هنگام بسته بودن، داخل را محفوظ و مخفی نگه می داشتند و هنگام باز بودن، قسمت های داخلی لته ها که تصویر سفارش دهندگان را بر خود داشتند، در دو طرف تصویر اصلی لوح مرکزی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نگار ه های چند لوحی پشت محراب، به چند لوحی معروف بودند؛ از جمله تخته نگارۀ محراب گِنت اثر یان وان آیک و تخته نگارة محراب آیزنهایم اثر ماتیاس گرانوالد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نگارۀ محراب گِنت تجلیلی استادانه از ایثار تنها مسیح، فرزند خدا را به شکل برۀ تمثیلی در حضور صفی از شاهدان بشری و منزه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مقام ابزاری تعلیمی و عبادی برای ناظران فلاندری اهل گِنت،</w:t>
      </w:r>
      <w:r>
        <w:rPr>
          <w:rStyle w:val="FootnoteAnchor"/>
          <w:rtl w:val="true"/>
        </w:rPr>
        <w:footnoteReference w:id="408"/>
      </w:r>
      <w:r>
        <w:rPr>
          <w:rFonts w:ascii="IRNazanin" w:hAnsi="IRNazanin" w:eastAsia="IRNazanin"/>
          <w:color w:val="111111"/>
          <w:sz w:val="28"/>
          <w:sz w:val="28"/>
          <w:szCs w:val="28"/>
          <w:rtl w:val="true"/>
          <w:lang w:bidi="fa-IR"/>
        </w:rPr>
        <w:t>از طریق واقع نمایی گیرای بسیار دقیق و رنگ های درخشان، به فرد نماز گزار دلگرمی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نگارۀ محراب آیزنهایم کاربرد دیگری از نقاشی مذهبی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از نظر بیماران در یک بیمارستان اَلساسی،</w:t>
      </w:r>
      <w:r>
        <w:rPr>
          <w:rStyle w:val="FootnoteAnchor"/>
          <w:rtl w:val="true"/>
        </w:rPr>
        <w:footnoteReference w:id="409"/>
      </w:r>
      <w:r>
        <w:rPr>
          <w:rFonts w:ascii="IRNazanin" w:hAnsi="IRNazanin" w:eastAsia="IRNazanin"/>
          <w:color w:val="111111"/>
          <w:sz w:val="28"/>
          <w:sz w:val="28"/>
          <w:szCs w:val="28"/>
          <w:rtl w:val="true"/>
          <w:lang w:bidi="fa-IR"/>
        </w:rPr>
        <w:t>هم چون حاملی شفابخش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مسومیت ناشی از قارچ سمی با توسل جستن به نگارۀ مسیح مصلوب، که زجر جسمی اش با درد های خودشان برابری می کرد، تسکین می یافتند</w:t>
      </w:r>
      <w:r>
        <w:rPr>
          <w:rFonts w:eastAsia="IRNazanin" w:cs="IRNazanin"/>
          <w:color w:val="111111"/>
          <w:sz w:val="28"/>
          <w:szCs w:val="28"/>
          <w:rtl w:val="true"/>
          <w:lang w:bidi="fa-IR"/>
        </w:rPr>
        <w:t>.</w:t>
      </w:r>
    </w:p>
    <w:p>
      <w:pPr>
        <w:pStyle w:val="Heading4"/>
        <w:numPr>
          <w:ilvl w:val="3"/>
          <w:numId w:val="1"/>
        </w:numPr>
        <w:rPr/>
      </w:pPr>
      <w:bookmarkStart w:id="1023" w:name="__RefHeading___Toc1656718_2281741623"/>
      <w:bookmarkStart w:id="1024" w:name="_Toc365"/>
      <w:bookmarkEnd w:id="1023"/>
      <w:r>
        <w:rPr>
          <w:rtl w:val="true"/>
        </w:rPr>
        <w:t>نقاشی های روی گچ</w:t>
      </w:r>
      <w:bookmarkEnd w:id="1024"/>
    </w:p>
    <w:p>
      <w:pPr>
        <w:pStyle w:val="BookText"/>
        <w:rPr/>
      </w:pPr>
      <w:r>
        <w:rPr>
          <w:rFonts w:ascii="IRNazanin" w:hAnsi="IRNazanin" w:eastAsia="IRNazanin"/>
          <w:color w:val="111111"/>
          <w:sz w:val="28"/>
          <w:sz w:val="28"/>
          <w:szCs w:val="28"/>
          <w:rtl w:val="true"/>
          <w:lang w:bidi="fa-IR"/>
        </w:rPr>
        <w:t>نقاشی های روی گچ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نقاشی های محراب امکان حرکت و انتقال و هم چنین باز و بسته کردن قاب ها وجود داشت؛ با این حال، برخی هنرمندان قرون وسطی، رنسانس و باروک بر دیوار های غیر قابل حرکت کار کردند و دست به آفرینش تصاویری </w:t>
      </w:r>
      <w:bookmarkStart w:id="1025" w:name="pg3881_28176"/>
    </w:p>
    <w:p>
      <w:pPr>
        <w:pStyle w:val="BookText"/>
        <w:rPr/>
      </w:pPr>
      <w:bookmarkEnd w:id="1025"/>
      <w:r>
        <w:rPr>
          <w:rFonts w:ascii="IRNazanin" w:hAnsi="IRNazanin" w:eastAsia="IRNazanin"/>
          <w:color w:val="111111"/>
          <w:sz w:val="28"/>
          <w:sz w:val="28"/>
          <w:szCs w:val="28"/>
          <w:rtl w:val="true"/>
          <w:lang w:bidi="fa-IR"/>
        </w:rPr>
        <w:t>با نقاشی روی گچ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کلیسای کوچک اسکرووِنی</w:t>
      </w:r>
      <w:r>
        <w:rPr>
          <w:rStyle w:val="FootnoteAnchor"/>
          <w:rtl w:val="true"/>
        </w:rPr>
        <w:footnoteReference w:id="410"/>
      </w:r>
      <w:r>
        <w:rPr>
          <w:rFonts w:ascii="IRNazanin" w:hAnsi="IRNazanin" w:eastAsia="IRNazanin"/>
          <w:color w:val="111111"/>
          <w:sz w:val="28"/>
          <w:sz w:val="28"/>
          <w:szCs w:val="28"/>
          <w:rtl w:val="true"/>
          <w:lang w:bidi="fa-IR"/>
        </w:rPr>
        <w:t>اثر جوتو،</w:t>
      </w:r>
      <w:r>
        <w:rPr>
          <w:rStyle w:val="FootnoteAnchor"/>
          <w:rtl w:val="true"/>
        </w:rPr>
        <w:footnoteReference w:id="411"/>
      </w:r>
      <w:r>
        <w:rPr>
          <w:rFonts w:ascii="IRNazanin" w:hAnsi="IRNazanin" w:eastAsia="IRNazanin"/>
          <w:color w:val="111111"/>
          <w:sz w:val="28"/>
          <w:sz w:val="28"/>
          <w:szCs w:val="28"/>
          <w:rtl w:val="true"/>
          <w:lang w:bidi="fa-IR"/>
        </w:rPr>
        <w:t>و کلیسای کوچک برانکاچی</w:t>
      </w:r>
      <w:r>
        <w:rPr>
          <w:rStyle w:val="FootnoteAnchor"/>
          <w:rtl w:val="true"/>
        </w:rPr>
        <w:footnoteReference w:id="412"/>
      </w:r>
      <w:r>
        <w:rPr>
          <w:rFonts w:ascii="IRNazanin" w:hAnsi="IRNazanin" w:eastAsia="IRNazanin"/>
          <w:color w:val="111111"/>
          <w:sz w:val="28"/>
          <w:sz w:val="28"/>
          <w:szCs w:val="28"/>
          <w:rtl w:val="true"/>
          <w:lang w:bidi="fa-IR"/>
        </w:rPr>
        <w:t>اثر ماساچو</w:t>
      </w:r>
      <w:r>
        <w:rPr>
          <w:rStyle w:val="FootnoteAnchor"/>
          <w:rtl w:val="true"/>
        </w:rPr>
        <w:footnoteReference w:id="413"/>
      </w:r>
      <w:r>
        <w:rPr>
          <w:rFonts w:ascii="IRNazanin" w:hAnsi="IRNazanin" w:eastAsia="IRNazanin"/>
          <w:color w:val="111111"/>
          <w:sz w:val="28"/>
          <w:sz w:val="28"/>
          <w:szCs w:val="28"/>
          <w:rtl w:val="true"/>
          <w:lang w:bidi="fa-IR"/>
        </w:rPr>
        <w:t>گرفته، تا کلیسای سیستین،</w:t>
      </w:r>
      <w:r>
        <w:rPr>
          <w:rStyle w:val="FootnoteAnchor"/>
          <w:rtl w:val="true"/>
        </w:rPr>
        <w:footnoteReference w:id="414"/>
      </w:r>
      <w:r>
        <w:rPr>
          <w:rFonts w:ascii="IRNazanin" w:hAnsi="IRNazanin" w:eastAsia="IRNazanin"/>
          <w:color w:val="111111"/>
          <w:sz w:val="28"/>
          <w:sz w:val="28"/>
          <w:szCs w:val="28"/>
          <w:rtl w:val="true"/>
          <w:lang w:bidi="fa-IR"/>
        </w:rPr>
        <w:t>اثر معروف میکل آنجلو،</w:t>
      </w:r>
      <w:r>
        <w:rPr>
          <w:rStyle w:val="FootnoteAnchor"/>
          <w:rtl w:val="true"/>
        </w:rPr>
        <w:footnoteReference w:id="415"/>
      </w:r>
      <w:r>
        <w:rPr>
          <w:rFonts w:ascii="IRNazanin" w:hAnsi="IRNazanin" w:eastAsia="IRNazanin"/>
          <w:color w:val="111111"/>
          <w:sz w:val="28"/>
          <w:sz w:val="28"/>
          <w:szCs w:val="28"/>
          <w:rtl w:val="true"/>
          <w:lang w:bidi="fa-IR"/>
        </w:rPr>
        <w:t>نقاشی های روی گچ به ستایش از آفرینش جهان به وسیلۀ خدا، ایثار و تعالیم مسیح و جایگاه قدیسین، به ویژه مادر مکرّم خدا،</w:t>
      </w:r>
      <w:r>
        <w:rPr>
          <w:rStyle w:val="FootnoteAnchor"/>
          <w:rtl w:val="true"/>
        </w:rPr>
        <w:footnoteReference w:id="416"/>
      </w:r>
      <w:r>
        <w:rPr>
          <w:rFonts w:ascii="IRNazanin" w:hAnsi="IRNazanin" w:eastAsia="IRNazanin"/>
          <w:color w:val="111111"/>
          <w:sz w:val="28"/>
          <w:sz w:val="28"/>
          <w:szCs w:val="28"/>
          <w:rtl w:val="true"/>
          <w:lang w:bidi="fa-IR"/>
        </w:rPr>
        <w:t>مریم، بر سقف و دیوار هایی پرداختند که سفارش دهندگان آثار را نیز محترم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روایی، وقایع آموزنده و سخنان رمزی به اجرا درآمده در مقیاس بزرگ، نقاشی های دارای محفظه که به عنوان صحنه پردازی برای مهم ترین مراسم مسیحی، یعنی عشاء ربانی</w:t>
      </w:r>
      <w:r>
        <w:rPr>
          <w:rStyle w:val="FootnoteAnchor"/>
          <w:rtl w:val="true"/>
        </w:rPr>
        <w:footnoteReference w:id="417"/>
      </w:r>
      <w:r>
        <w:rPr>
          <w:rFonts w:ascii="IRNazanin" w:hAnsi="IRNazanin" w:eastAsia="IRNazanin"/>
          <w:color w:val="111111"/>
          <w:sz w:val="28"/>
          <w:sz w:val="28"/>
          <w:szCs w:val="28"/>
          <w:rtl w:val="true"/>
          <w:lang w:bidi="fa-IR"/>
        </w:rPr>
        <w:t>که در آن جسم زمینی در جریان مراسم عشاء کاتولیک رومی الهی می شد، به 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روم در جریان اصلاحات متقابل</w:t>
      </w:r>
      <w:r>
        <w:rPr>
          <w:rStyle w:val="FootnoteAnchor"/>
          <w:rtl w:val="true"/>
        </w:rPr>
        <w:footnoteReference w:id="418"/>
      </w:r>
      <w:r>
        <w:rPr>
          <w:rFonts w:ascii="IRNazanin" w:hAnsi="IRNazanin" w:eastAsia="IRNazanin"/>
          <w:color w:val="111111"/>
          <w:sz w:val="28"/>
          <w:sz w:val="28"/>
          <w:szCs w:val="28"/>
          <w:rtl w:val="true"/>
          <w:lang w:bidi="fa-IR"/>
        </w:rPr>
        <w:t>به استفادۀ سنتی از تصاویر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از زمان، نقاشی به شکلی از تبلیغات پُر شور و حرارت علیه پروتستان های شمالی تبدیل شد که نسبت به حاکمیت کاتولیک رومی بر مسیحیت اروپایی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نقاشان آن زمان، آثار کاراواجو</w:t>
      </w:r>
      <w:r>
        <w:rPr>
          <w:rStyle w:val="FootnoteAnchor"/>
          <w:rtl w:val="true"/>
        </w:rPr>
        <w:footnoteReference w:id="419"/>
      </w:r>
      <w:r>
        <w:rPr>
          <w:rFonts w:ascii="IRNazanin" w:hAnsi="IRNazanin" w:eastAsia="IRNazanin"/>
          <w:color w:val="111111"/>
          <w:sz w:val="28"/>
          <w:sz w:val="28"/>
          <w:szCs w:val="28"/>
          <w:rtl w:val="true"/>
          <w:lang w:bidi="fa-IR"/>
        </w:rPr>
        <w:t>و روبنس</w:t>
      </w:r>
      <w:r>
        <w:rPr>
          <w:rStyle w:val="FootnoteAnchor"/>
          <w:rtl w:val="true"/>
        </w:rPr>
        <w:footnoteReference w:id="420"/>
      </w:r>
      <w:r>
        <w:rPr>
          <w:rFonts w:ascii="IRNazanin" w:hAnsi="IRNazanin" w:eastAsia="IRNazanin"/>
          <w:color w:val="111111"/>
          <w:sz w:val="28"/>
          <w:sz w:val="28"/>
          <w:szCs w:val="28"/>
          <w:rtl w:val="true"/>
          <w:lang w:bidi="fa-IR"/>
        </w:rPr>
        <w:t>که صحنه هایی علناً پُر تحرک و مهیج از شهادت و تغییر کیش را به تصویر می کشیدند، القاگر اطمینان از به کیش تازه درآمدن بودند و جان تازه ای به کلیسای کاتولیک روم بخشیدند</w:t>
      </w:r>
      <w:r>
        <w:rPr>
          <w:rFonts w:eastAsia="IRNazanin" w:cs="IRNazanin"/>
          <w:color w:val="111111"/>
          <w:sz w:val="28"/>
          <w:szCs w:val="28"/>
          <w:rtl w:val="true"/>
          <w:lang w:bidi="fa-IR"/>
        </w:rPr>
        <w:t>.</w:t>
      </w:r>
    </w:p>
    <w:p>
      <w:pPr>
        <w:pStyle w:val="Heading4"/>
        <w:numPr>
          <w:ilvl w:val="3"/>
          <w:numId w:val="1"/>
        </w:numPr>
        <w:rPr/>
      </w:pPr>
      <w:bookmarkStart w:id="1026" w:name="__RefHeading___Toc1656720_2281741623"/>
      <w:bookmarkStart w:id="1027" w:name="_Toc366"/>
      <w:bookmarkEnd w:id="1026"/>
      <w:r>
        <w:rPr>
          <w:rtl w:val="true"/>
        </w:rPr>
        <w:t>نمونه های جدید</w:t>
      </w:r>
      <w:bookmarkEnd w:id="1027"/>
    </w:p>
    <w:p>
      <w:pPr>
        <w:pStyle w:val="BookText"/>
        <w:rPr/>
      </w:pPr>
      <w:r>
        <w:rPr>
          <w:rFonts w:ascii="IRNazanin" w:hAnsi="IRNazanin" w:eastAsia="IRNazanin"/>
          <w:color w:val="111111"/>
          <w:sz w:val="28"/>
          <w:sz w:val="28"/>
          <w:szCs w:val="28"/>
          <w:rtl w:val="true"/>
          <w:lang w:bidi="fa-IR"/>
        </w:rPr>
        <w:t>نمونه های جدید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نقاشی برای خلق فضایی شور انگیز و مقتدر در جهت تأمل، تعمق و اتصال به خدا در دنیای جدید نیز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شاخص جدید از جمله نقاشی های زمینه رنگی مارک روتکو</w:t>
      </w:r>
      <w:r>
        <w:rPr>
          <w:rStyle w:val="FootnoteAnchor"/>
          <w:rtl w:val="true"/>
        </w:rPr>
        <w:footnoteReference w:id="421"/>
      </w:r>
      <w:r>
        <w:rPr>
          <w:rFonts w:ascii="IRNazanin" w:hAnsi="IRNazanin" w:eastAsia="IRNazanin"/>
          <w:color w:val="111111"/>
          <w:sz w:val="28"/>
          <w:sz w:val="28"/>
          <w:szCs w:val="28"/>
          <w:rtl w:val="true"/>
          <w:lang w:bidi="fa-IR"/>
        </w:rPr>
        <w:t>در هیوستِن و نقاشی های معمولاً سیاه و سفید حالات صلیب اثر بارنت نیومن</w:t>
      </w:r>
      <w:r>
        <w:rPr>
          <w:rStyle w:val="FootnoteAnchor"/>
          <w:rtl w:val="true"/>
        </w:rPr>
        <w:footnoteReference w:id="422"/>
      </w:r>
      <w:r>
        <w:rPr>
          <w:rFonts w:ascii="IRNazanin" w:hAnsi="IRNazanin" w:eastAsia="IRNazanin"/>
          <w:color w:val="111111"/>
          <w:sz w:val="28"/>
          <w:sz w:val="28"/>
          <w:szCs w:val="28"/>
          <w:rtl w:val="true"/>
          <w:lang w:bidi="fa-IR"/>
        </w:rPr>
        <w:t xml:space="preserve">در نگار خانۀ ملی </w:t>
      </w:r>
      <w:bookmarkStart w:id="1028" w:name="pg3881_28177"/>
    </w:p>
    <w:p>
      <w:pPr>
        <w:pStyle w:val="BookText"/>
        <w:rPr/>
      </w:pPr>
      <w:bookmarkEnd w:id="1028"/>
      <w:r>
        <w:rPr>
          <w:rFonts w:ascii="IRNazanin" w:hAnsi="IRNazanin" w:eastAsia="IRNazanin"/>
          <w:color w:val="111111"/>
          <w:sz w:val="28"/>
          <w:sz w:val="28"/>
          <w:szCs w:val="28"/>
          <w:rtl w:val="true"/>
          <w:lang w:bidi="fa-IR"/>
        </w:rPr>
        <w:t>واشینگتن 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نقاشی های انتزاعی یا غیرباز نمایانۀ متشکل از رنگدانۀ خالصِ بدون هر گونه بازنمایی خاص، تمام اعتقادات مذهبی مردم را به درون گرایی مذهبی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 کینکِید از همه جدید تر و خالق نقاشی های عامه پسندی است که به طور مستقیم با یک اجتماع مسیحی اصول گرای آمریکایی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رنگی از مناظر ساکن همراه با آیاتی جا سازی شده از انجیل در میان علف ها، بوته ها و گردشگاه ها، دینداران را در دنیایی نا مطمئن تسکین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جهانیِ تصاویر کینکِید میل به انتقال عواطف مذهبی را همراه با رونق تجاری، برای سازنده اش در یک جا جمع کرده است</w:t>
      </w:r>
      <w:r>
        <w:rPr>
          <w:rFonts w:eastAsia="IRNazanin" w:cs="IRNazanin"/>
          <w:color w:val="111111"/>
          <w:sz w:val="28"/>
          <w:szCs w:val="28"/>
          <w:rtl w:val="true"/>
          <w:lang w:bidi="fa-IR"/>
        </w:rPr>
        <w:t>.</w:t>
      </w:r>
    </w:p>
    <w:p>
      <w:pPr>
        <w:pStyle w:val="Heading3"/>
        <w:numPr>
          <w:ilvl w:val="2"/>
          <w:numId w:val="1"/>
        </w:numPr>
        <w:rPr/>
      </w:pPr>
      <w:bookmarkStart w:id="1029" w:name="__RefHeading___Toc1656722_2281741623"/>
      <w:bookmarkStart w:id="1030" w:name="_Toc367"/>
      <w:bookmarkEnd w:id="1029"/>
      <w:r>
        <w:rPr>
          <w:rtl w:val="true"/>
        </w:rPr>
        <w:t>جایگزین های اسلامی به جای بت پرستی</w:t>
      </w:r>
      <w:bookmarkEnd w:id="1030"/>
    </w:p>
    <w:p>
      <w:pPr>
        <w:pStyle w:val="BookText"/>
        <w:rPr/>
      </w:pPr>
      <w:r>
        <w:rPr>
          <w:rFonts w:ascii="IRNazanin" w:hAnsi="IRNazanin" w:eastAsia="IRNazanin"/>
          <w:color w:val="111111"/>
          <w:sz w:val="28"/>
          <w:sz w:val="28"/>
          <w:szCs w:val="28"/>
          <w:rtl w:val="true"/>
          <w:lang w:bidi="fa-IR"/>
        </w:rPr>
        <w:t>جایگزین های اسلامی به جای بت پرستی</w:t>
      </w:r>
    </w:p>
    <w:p>
      <w:pPr>
        <w:pStyle w:val="BookText"/>
        <w:rPr/>
      </w:pPr>
      <w:r>
        <w:rPr>
          <w:rFonts w:ascii="IRNazanin" w:hAnsi="IRNazanin" w:eastAsia="IRNazanin"/>
          <w:color w:val="111111"/>
          <w:sz w:val="28"/>
          <w:sz w:val="28"/>
          <w:szCs w:val="28"/>
          <w:rtl w:val="true"/>
          <w:lang w:bidi="fa-IR"/>
        </w:rPr>
        <w:t>بوم های نقاشی جدید آمریکایی متشکل از رنگ خالص، کار روتکو و نیومن، شباهت بسیار زیادی به هنر های مذهبی اسلامی در جهت ردّ تصویر 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محمد پیامبر اسلام، بت پرستی را منع می کند و قرآن بازنمایی تصویری الله یا پیامبرانش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نسخه های خطی مزین به طرح های هندسی و گیاهی، زیبا ترین نمونه های هنر اسلامی مذهبی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برای خلق این صفحات فرش شده با رنگ، ضمن نسخه برداری از قرآن با هنر خوشنویسی، به پرهیز گاری و پرستش نیز مشغول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های در هم پیچیده کنار سطور دلپذیر دست نوشتۀ عربی می نشینند تا زمینۀ اندیشیدن به ذات لایتناهی الله را فراهم کنند</w:t>
      </w:r>
      <w:r>
        <w:rPr>
          <w:rFonts w:eastAsia="IRNazanin" w:cs="IRNazanin"/>
          <w:color w:val="111111"/>
          <w:sz w:val="28"/>
          <w:szCs w:val="28"/>
          <w:rtl w:val="true"/>
          <w:lang w:bidi="fa-IR"/>
        </w:rPr>
        <w:t>.</w:t>
      </w:r>
    </w:p>
    <w:p>
      <w:pPr>
        <w:pStyle w:val="Heading3"/>
        <w:numPr>
          <w:ilvl w:val="2"/>
          <w:numId w:val="1"/>
        </w:numPr>
        <w:rPr/>
      </w:pPr>
      <w:bookmarkStart w:id="1031" w:name="__RefHeading___Toc1656724_2281741623"/>
      <w:bookmarkStart w:id="1032" w:name="_Toc368"/>
      <w:bookmarkEnd w:id="1031"/>
      <w:r>
        <w:rPr>
          <w:rtl w:val="true"/>
        </w:rPr>
        <w:t>هنر مذهبی هندو و بودایی</w:t>
      </w:r>
      <w:bookmarkEnd w:id="103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مذهبی هندو و بودایی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دهندگان مسلمان هنر مذهبی و هنرمندانی که سفارش های خطاطی را به انجام می رساندند، در مناطق شهری و روستایی از مراکش گرفته تا اندونزی و از آسیای مرکزی تا آفریقا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آیین بودا و هم هندو به تولید نقاشی به مثابه شیوه ای از ارتباط مذهبی در هند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مذهبی آیین هندو در قرن هجدهم یعنی زمانی که نقاشان از مراکز مسلمان مغول به دربار های هندوی شمال غرب نقل مکان کردند، به نقطۀ اوج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های محلی نقاشی هایی را برای تصویر سازی متون هندویی، از جمله رامایانا</w:t>
      </w:r>
      <w:r>
        <w:rPr>
          <w:rStyle w:val="FootnoteAnchor"/>
          <w:rtl w:val="true"/>
        </w:rPr>
        <w:footnoteReference w:id="423"/>
      </w:r>
      <w:r>
        <w:rPr>
          <w:rFonts w:ascii="IRNazanin" w:hAnsi="IRNazanin" w:eastAsia="IRNazanin"/>
          <w:color w:val="111111"/>
          <w:sz w:val="28"/>
          <w:sz w:val="28"/>
          <w:szCs w:val="28"/>
          <w:rtl w:val="true"/>
          <w:lang w:bidi="fa-IR"/>
        </w:rPr>
        <w:t>و بهاگاوات گیتا</w:t>
      </w:r>
      <w:r>
        <w:rPr>
          <w:rStyle w:val="FootnoteAnchor"/>
          <w:rtl w:val="true"/>
        </w:rPr>
        <w:footnoteReference w:id="424"/>
      </w:r>
      <w:r>
        <w:rPr>
          <w:rFonts w:ascii="IRNazanin" w:hAnsi="IRNazanin" w:eastAsia="IRNazanin"/>
          <w:color w:val="111111"/>
          <w:sz w:val="28"/>
          <w:sz w:val="28"/>
          <w:szCs w:val="28"/>
          <w:rtl w:val="true"/>
          <w:lang w:bidi="fa-IR"/>
        </w:rPr>
        <w:t>و شعر هندویی، به ویژه صحنه هایی روایی دربارۀ عشق خدای ویشنو</w:t>
      </w:r>
      <w:r>
        <w:rPr>
          <w:rStyle w:val="FootnoteAnchor"/>
          <w:rtl w:val="true"/>
        </w:rPr>
        <w:footnoteReference w:id="425"/>
      </w:r>
      <w:r>
        <w:rPr>
          <w:rFonts w:ascii="IRNazanin" w:hAnsi="IRNazanin" w:eastAsia="IRNazanin"/>
          <w:color w:val="111111"/>
          <w:sz w:val="28"/>
          <w:sz w:val="28"/>
          <w:szCs w:val="28"/>
          <w:rtl w:val="true"/>
          <w:lang w:bidi="fa-IR"/>
        </w:rPr>
        <w:t>در برابر انسان ها، سفارش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نگاره های کریشنای</w:t>
      </w:r>
      <w:r>
        <w:rPr>
          <w:rStyle w:val="FootnoteAnchor"/>
          <w:rtl w:val="true"/>
        </w:rPr>
        <w:footnoteReference w:id="426"/>
      </w:r>
      <w:r>
        <w:rPr>
          <w:rFonts w:ascii="IRNazanin" w:hAnsi="IRNazanin" w:eastAsia="IRNazanin"/>
          <w:color w:val="111111"/>
          <w:sz w:val="28"/>
          <w:sz w:val="28"/>
          <w:szCs w:val="28"/>
          <w:rtl w:val="true"/>
          <w:lang w:bidi="fa-IR"/>
        </w:rPr>
        <w:t>پوست آبی و عاشقش، راد،</w:t>
      </w:r>
      <w:r>
        <w:rPr>
          <w:rStyle w:val="FootnoteAnchor"/>
          <w:rtl w:val="true"/>
        </w:rPr>
        <w:footnoteReference w:id="427"/>
      </w:r>
      <w:r>
        <w:rPr>
          <w:rFonts w:ascii="IRNazanin" w:hAnsi="IRNazanin" w:eastAsia="IRNazanin"/>
          <w:color w:val="111111"/>
          <w:sz w:val="28"/>
          <w:sz w:val="28"/>
          <w:szCs w:val="28"/>
          <w:rtl w:val="true"/>
          <w:lang w:bidi="fa-IR"/>
        </w:rPr>
        <w:t>وقایع معمولی به طور مستقیم با فرد معتقد به رابطه ای صمیمی و شخصی با خدایان هندو، سخن می گوید</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ماندانا یا طراحی های صحن، جلوۀ دیگر نقاشی به مثابه ارتباط مذهبی در فرهنگ هندو ی هند است که زنان هندی بر درگاه، روی دیوار ها یا درون اتاق های خانه هایشان نقاشی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طراحی های دقیق که با دقت تمام از پیش معین شده و سینه به سینه از نسلی به نسل دیگر حفظ شده اند، اَعمال روحانی دعای بصری برای محفوظ نگه داشتن برکات خانوار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 در امتداد مرز هیمالیایی هند، در صومعه های تبتی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راهبان نقاشی های سنتی جادویی با نام تانگکاس می کشیدند که نقاشی های مذهبی قابل حمل به روی پارچه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 نگاره ای، خدایی بودایی یا یک ماندالا،</w:t>
      </w:r>
      <w:r>
        <w:rPr>
          <w:rStyle w:val="FootnoteAnchor"/>
          <w:rtl w:val="true"/>
        </w:rPr>
        <w:footnoteReference w:id="428"/>
      </w:r>
      <w:r>
        <w:rPr>
          <w:rFonts w:ascii="IRNazanin" w:hAnsi="IRNazanin" w:eastAsia="IRNazanin"/>
          <w:color w:val="111111"/>
          <w:sz w:val="28"/>
          <w:sz w:val="28"/>
          <w:szCs w:val="28"/>
          <w:rtl w:val="true"/>
          <w:lang w:bidi="fa-IR"/>
        </w:rPr>
        <w:t>در پارچه های گرانبهای ابریشمی رنگی چهار چوب بندی می شدند تا تصوری از کل هستی را برای مراقبه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ساخت و </w:t>
      </w:r>
      <w:bookmarkStart w:id="1033" w:name="pg3881_28180"/>
    </w:p>
    <w:p>
      <w:pPr>
        <w:pStyle w:val="BookText"/>
        <w:rPr/>
      </w:pPr>
      <w:bookmarkEnd w:id="1033"/>
      <w:r>
        <w:rPr>
          <w:rFonts w:ascii="IRNazanin" w:hAnsi="IRNazanin" w:eastAsia="IRNazanin"/>
          <w:color w:val="111111"/>
          <w:sz w:val="28"/>
          <w:sz w:val="28"/>
          <w:szCs w:val="28"/>
          <w:rtl w:val="true"/>
          <w:lang w:bidi="fa-IR"/>
        </w:rPr>
        <w:t>استفاده از نقاشی تانگکاس تابع قواعد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سنت، سفارش دهندگان مذهبی، تانگکا س را برای مراقبۀ شخصی سفارش می دادند ولی امروزه برخی از تانگکا س ها به صورت انبوه برای بازار های گردشگری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 در چین و ژاپن گسترش بیشتری یافت، جایی که آیین بودایی ذِن در قرون پانزدهم و شانزدهم تشخّص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سامورایی در آرزوی رسیدن به بصیرت، الزامات سخت مراقبۀ فردی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 به معنی مراقبه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روحانیِ ذِن، تصاویری بی تکلف و پُر معنی از معلمان، گیا هان، حیوانات و طبیعت به ویژه منظره نگاری هایی از آب، کوه ها و ابر ها را با ضربات درشت، ساده و آغشته به مرکب سیاه قلم مو بر روی طومار های آویخته خلق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پایبند به این مسلک با تمرکز کردن بر تصاویر طبیعی، توجه خود را بر نا پایداری روح و زندگی، وحدت تمام اشیاء و هویت معنوی تمام اشیاء در مقام وسیلۀ رسیدن به بصیرت معطوف می کردند</w:t>
      </w:r>
      <w:r>
        <w:rPr>
          <w:rFonts w:eastAsia="IRNazanin" w:cs="IRNazanin"/>
          <w:color w:val="111111"/>
          <w:sz w:val="28"/>
          <w:szCs w:val="28"/>
          <w:rtl w:val="true"/>
          <w:lang w:bidi="fa-IR"/>
        </w:rPr>
        <w:t>.</w:t>
      </w:r>
    </w:p>
    <w:p>
      <w:pPr>
        <w:pStyle w:val="Heading3"/>
        <w:numPr>
          <w:ilvl w:val="2"/>
          <w:numId w:val="1"/>
        </w:numPr>
        <w:rPr/>
      </w:pPr>
      <w:bookmarkStart w:id="1034" w:name="__RefHeading___Toc1656726_2281741623"/>
      <w:bookmarkStart w:id="1035" w:name="_Toc369"/>
      <w:bookmarkEnd w:id="1034"/>
      <w:r>
        <w:rPr>
          <w:rtl w:val="true"/>
        </w:rPr>
        <w:t>سنت نقاشی بومی استرالیا</w:t>
      </w:r>
      <w:bookmarkEnd w:id="1035"/>
    </w:p>
    <w:p>
      <w:pPr>
        <w:pStyle w:val="BookText"/>
        <w:rPr/>
      </w:pPr>
      <w:r>
        <w:rPr>
          <w:rFonts w:ascii="IRNazanin" w:hAnsi="IRNazanin" w:eastAsia="IRNazanin"/>
          <w:color w:val="111111"/>
          <w:sz w:val="28"/>
          <w:sz w:val="28"/>
          <w:szCs w:val="28"/>
          <w:rtl w:val="true"/>
          <w:lang w:bidi="fa-IR"/>
        </w:rPr>
        <w:t>سنت نقاشی بومی استرالیا</w:t>
      </w:r>
    </w:p>
    <w:p>
      <w:pPr>
        <w:pStyle w:val="BookText"/>
        <w:rPr/>
      </w:pPr>
      <w:r>
        <w:rPr>
          <w:rFonts w:ascii="IRNazanin" w:hAnsi="IRNazanin" w:eastAsia="IRNazanin"/>
          <w:color w:val="111111"/>
          <w:sz w:val="28"/>
          <w:sz w:val="28"/>
          <w:szCs w:val="28"/>
          <w:rtl w:val="true"/>
          <w:lang w:bidi="fa-IR"/>
        </w:rPr>
        <w:t>اشتیاق انسان برای برقراری ارتباط با ساحت روحانی در سنت نقاشی مردم بومی استرالیا محفوظ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 لحظۀ رؤیا</w:t>
      </w:r>
      <w:r>
        <w:rPr>
          <w:rStyle w:val="FootnoteAnchor"/>
          <w:rtl w:val="true"/>
        </w:rPr>
        <w:footnoteReference w:id="429"/>
      </w:r>
      <w:r>
        <w:rPr>
          <w:rFonts w:ascii="IRNazanin" w:hAnsi="IRNazanin" w:eastAsia="IRNazanin"/>
          <w:color w:val="111111"/>
          <w:sz w:val="28"/>
          <w:sz w:val="28"/>
          <w:szCs w:val="28"/>
          <w:rtl w:val="true"/>
          <w:lang w:bidi="fa-IR"/>
        </w:rPr>
        <w:t>به گذشته ای پیش از خاطره یا تجربه برمی گردند، به زمان آفریدگاران و دیگر موجودات ماوراءالطبیعی؛ برای نمونه، هنرمندان بومی با ترسیم افعی رنگین کمانی،</w:t>
      </w:r>
      <w:r>
        <w:rPr>
          <w:rStyle w:val="FootnoteAnchor"/>
          <w:rtl w:val="true"/>
        </w:rPr>
        <w:footnoteReference w:id="430"/>
      </w:r>
      <w:r>
        <w:rPr>
          <w:rFonts w:ascii="IRNazanin" w:hAnsi="IRNazanin" w:eastAsia="IRNazanin"/>
          <w:color w:val="111111"/>
          <w:sz w:val="28"/>
          <w:sz w:val="28"/>
          <w:szCs w:val="28"/>
          <w:rtl w:val="true"/>
          <w:lang w:bidi="fa-IR"/>
        </w:rPr>
        <w:t>حلقه ای اتصالی را با ارواح گذشته می آفریدند که اکنون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هر دو حوزۀ عمومی، عمدتاً در محیط های مسیحی و حوزۀ شخصی، هم چون صومعه های ذِن، وسیله ای مهم برای ارتباط مذهبی بوده و هم چنان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والری لیند هِد کوییست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فرهاد صادقی </w:t>
      </w:r>
      <w:bookmarkStart w:id="1036" w:name="pg3881_28181"/>
    </w:p>
    <w:p>
      <w:pPr>
        <w:pStyle w:val="Heading3"/>
        <w:numPr>
          <w:ilvl w:val="2"/>
          <w:numId w:val="1"/>
        </w:numPr>
        <w:rPr/>
      </w:pPr>
      <w:bookmarkStart w:id="1037" w:name="__RefHeading___Toc1656728_2281741623"/>
      <w:bookmarkStart w:id="1038" w:name="_Toc370"/>
      <w:bookmarkEnd w:id="1036"/>
      <w:bookmarkEnd w:id="1037"/>
      <w:r>
        <w:rPr>
          <w:rtl w:val="true"/>
        </w:rPr>
        <w:t>برای مطالعۀ بیشتر</w:t>
      </w:r>
      <w:bookmarkEnd w:id="103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Addiss, S. (1989). The art of Zen: Painting and calligraphy by Japanese monks, 1600–1925.New York: Abrams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Baxendall, M. (1972). Painting and experience in fifteenth-century Italy: Aprimer in the social history of pictorial style. Oxford, UK: Clarendon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Blair, S. S., &amp; Brown, J.M. (1994). The art and architecture of Islam 1250–1800.New Haven, CT: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Blurton, T. R. (1993). Hindu art.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Farr, C. (1994). The Book of Kells: Its function and audience. London: British Museum</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Hayum, A. (1989). The Isenheim altarpiece: God’s medicine and the painter’s vision(Princeton essays on the arts). Prince-ton, NJ: Princeton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Lane, B. G. (1984). The altar and the altarpiece: Sacramental themes in early Netherlandish painting.New York: Harper &amp;Row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L. (2002). Sacred doorways: Abeginner’s guide to icons. Orleans, MA: Paraclete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Minor, V. H. (1999). Baroque and rococo: Art &amp; culture. New York: Abrams</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Weidner,M.(Ed.). (1994). Latter days of the law: Images of Chinese Buddhism, 850–1850.Lawrence: Spencer Museum of Art, University of Kansas</w:t>
      </w:r>
      <w:r>
        <w:rPr>
          <w:rFonts w:eastAsia="Times New Roman" w:cs="Times New Roman" w:ascii="Times New Roman" w:hAnsi="Times New Roman"/>
          <w:color w:val="111111"/>
          <w:sz w:val="28"/>
          <w:szCs w:val="28"/>
          <w:rtl w:val="true"/>
          <w:lang w:val="en-US" w:bidi="en-US"/>
        </w:rPr>
        <w:t xml:space="preserve">. </w:t>
      </w:r>
      <w:bookmarkStart w:id="1039" w:name="pg3881_28183"/>
    </w:p>
    <w:p>
      <w:pPr>
        <w:pStyle w:val="Heading2"/>
        <w:numPr>
          <w:ilvl w:val="1"/>
          <w:numId w:val="1"/>
        </w:numPr>
        <w:rPr/>
      </w:pPr>
      <w:bookmarkStart w:id="1040" w:name="__RefHeading___Toc1656730_2281741623"/>
      <w:bookmarkStart w:id="1041" w:name="_Toc371"/>
      <w:bookmarkEnd w:id="1039"/>
      <w:bookmarkEnd w:id="1040"/>
      <w:r>
        <w:rPr>
          <w:rtl w:val="true"/>
        </w:rPr>
        <w:t>نمادگان</w:t>
      </w:r>
      <w:bookmarkEnd w:id="1041"/>
    </w:p>
    <w:p>
      <w:pPr>
        <w:pStyle w:val="Heading3"/>
        <w:numPr>
          <w:ilvl w:val="2"/>
          <w:numId w:val="1"/>
        </w:numPr>
        <w:rPr/>
      </w:pPr>
      <w:bookmarkStart w:id="1042" w:name="__RefHeading___Toc1656732_2281741623"/>
      <w:bookmarkStart w:id="1043" w:name="_Toc372"/>
      <w:bookmarkEnd w:id="1042"/>
      <w:r>
        <w:rPr>
          <w:rtl w:val="true"/>
        </w:rPr>
        <w:t>اشاره</w:t>
      </w:r>
      <w:bookmarkEnd w:id="104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زمانی به تأکید می گفت که نشانه شناسی،</w:t>
      </w:r>
      <w:r>
        <w:rPr>
          <w:rStyle w:val="FootnoteAnchor"/>
          <w:rtl w:val="true"/>
        </w:rPr>
        <w:footnoteReference w:id="431"/>
      </w:r>
      <w:r>
        <w:rPr>
          <w:rFonts w:ascii="IRNazanin" w:hAnsi="IRNazanin" w:eastAsia="IRNazanin"/>
          <w:color w:val="111111"/>
          <w:sz w:val="28"/>
          <w:sz w:val="28"/>
          <w:szCs w:val="28"/>
          <w:rtl w:val="true"/>
          <w:lang w:bidi="fa-IR"/>
        </w:rPr>
        <w:t xml:space="preserve">یا مطالعۀ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معمایی است به ژرفای ماهیتِ خودِ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ریچاردز،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دربارۀ این که چگونه واژه ها با چیزها و ایده ها ارتباط می یابند، نشانه شناس را با مسئلۀ مشترکات میان نمادگان و امر مقدس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در پی می آید، به کندوکاو دربارۀ این نکته می پردازیم که چگونه باورهای ما دربارۀ سرشتِ واقعیت می توانند بر دیدگاه نشانه شناختی ما تأثیر بگذارند و به واسطۀ آن به بررسی دربارۀ یکی از همین فصول مشترک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می توان گفت که برخی نشانه شناسان، واقعیت روحانی را مسبوق بر واقعیت مادی تلقی می کنند، برخی دیگر در این میان </w:t>
      </w:r>
      <w:bookmarkStart w:id="1044" w:name="pg3881_28184"/>
    </w:p>
    <w:p>
      <w:pPr>
        <w:pStyle w:val="BookText"/>
        <w:rPr/>
      </w:pPr>
      <w:bookmarkEnd w:id="1044"/>
      <w:r>
        <w:rPr>
          <w:rFonts w:ascii="IRNazanin" w:hAnsi="IRNazanin" w:eastAsia="IRNazanin"/>
          <w:color w:val="111111"/>
          <w:sz w:val="28"/>
          <w:sz w:val="28"/>
          <w:szCs w:val="28"/>
          <w:rtl w:val="true"/>
          <w:lang w:bidi="fa-IR"/>
        </w:rPr>
        <w:t>برای واقعیت مادی اولویت قائل می شوند و گروهی دیگر واقعیت روحانی و واقعیت مادی را در وحدت با یکدیگر ارزیابی می کنند</w:t>
      </w:r>
      <w:r>
        <w:rPr>
          <w:rFonts w:eastAsia="IRNazanin" w:cs="IRNazanin"/>
          <w:color w:val="111111"/>
          <w:sz w:val="28"/>
          <w:szCs w:val="28"/>
          <w:rtl w:val="true"/>
          <w:lang w:bidi="fa-IR"/>
        </w:rPr>
        <w:t>.</w:t>
      </w:r>
    </w:p>
    <w:p>
      <w:pPr>
        <w:pStyle w:val="Heading3"/>
        <w:numPr>
          <w:ilvl w:val="2"/>
          <w:numId w:val="1"/>
        </w:numPr>
        <w:rPr/>
      </w:pPr>
      <w:bookmarkStart w:id="1045" w:name="__RefHeading___Toc1656734_2281741623"/>
      <w:bookmarkStart w:id="1046" w:name="_Toc373"/>
      <w:bookmarkEnd w:id="1045"/>
      <w:r>
        <w:rPr>
          <w:rtl w:val="true"/>
        </w:rPr>
        <w:t>نمادها و دنیای روحانی</w:t>
      </w:r>
      <w:bookmarkEnd w:id="1046"/>
    </w:p>
    <w:p>
      <w:pPr>
        <w:pStyle w:val="BookText"/>
        <w:rPr/>
      </w:pPr>
      <w:r>
        <w:rPr>
          <w:rFonts w:ascii="IRNazanin" w:hAnsi="IRNazanin" w:eastAsia="IRNazanin"/>
          <w:color w:val="111111"/>
          <w:sz w:val="28"/>
          <w:sz w:val="28"/>
          <w:szCs w:val="28"/>
          <w:rtl w:val="true"/>
          <w:lang w:bidi="fa-IR"/>
        </w:rPr>
        <w:t>نمادها و دنیای روحانی</w:t>
      </w:r>
    </w:p>
    <w:p>
      <w:pPr>
        <w:pStyle w:val="BookText"/>
        <w:rPr/>
      </w:pPr>
      <w:r>
        <w:rPr>
          <w:rFonts w:ascii="IRNazanin" w:hAnsi="IRNazanin" w:eastAsia="IRNazanin"/>
          <w:color w:val="111111"/>
          <w:sz w:val="28"/>
          <w:sz w:val="28"/>
          <w:szCs w:val="28"/>
          <w:rtl w:val="true"/>
          <w:lang w:bidi="fa-IR"/>
        </w:rPr>
        <w:t>افول امپراتوری رم و شکل گرفتن قلمرو مسیحیت در سدۀ پنجم میلادی، آئورلیوس آگوستین را، که اسقفی مسیحی و متخصص فن بلاغت بود، واداشت تا شهر انسان را در برابر شهر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رسالۀ خود با نام دربارۀ آموزۀ مسیحی</w:t>
      </w:r>
      <w:r>
        <w:rPr>
          <w:rStyle w:val="FootnoteAnchor"/>
          <w:rtl w:val="true"/>
        </w:rPr>
        <w:footnoteReference w:id="433"/>
      </w:r>
      <w:r>
        <w:rPr>
          <w:rFonts w:ascii="IRNazanin" w:hAnsi="IRNazanin" w:eastAsia="IRNazanin"/>
          <w:color w:val="111111"/>
          <w:sz w:val="28"/>
          <w:sz w:val="28"/>
          <w:szCs w:val="28"/>
          <w:rtl w:val="true"/>
          <w:lang w:bidi="fa-IR"/>
        </w:rPr>
        <w:t>به این کار همت گماشت و در آن کوشید تا دیدگاه های سیسرونِ غیرمسیحی دربارۀ بلاغت را با مواعظ مسیحی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ناگزیر بود پیش از آن که به بلاغت بپردازد از نشانه شناسی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آگوستین، همۀ انواع آموزش را می توان به بحث دربارۀ نشانه ها یا چیزها تحویل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اقلامی هستند که به چیزی دیگر ارجاع نمی کنند یا جایگزین چیزی دیگر نمی شوند، ولی نشانه ها چیزهایی هستند که برای دلالت بر چیزی دیگر به کار گرفته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آگوستین،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نشانه ها هم چیز باشند و هم نشانه؛ مانند هنگامی که به گفتۀ کتاب مقدس، موسی ترکۀ چوبی را به آب های تلخ انداخت تا آن را قابل آشامیدن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ترکۀ چوب نه تنها چیزی معجزه آساست، بلکه نشانه ای پیشینی از صلیب مسیح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نظر آگوستین، نشانه ها لزوماً باید چیز هم باشند، ولی لزومی ندارد که چیزها نشانه باشند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چهارچوب تمایزی که میان چیزها و نشانه ها قائل می شویم، هر گاه که دربارۀ چیزها حرف می زنیم، به تعبیری می توانیم بگوییم که، گرچه بعضی از آن ها را می توان برای اشاره به چیزی دیگر به کار گرفت، ولی این </w:t>
      </w:r>
    </w:p>
    <w:p>
      <w:pPr>
        <w:pStyle w:val="BookText"/>
        <w:rPr/>
      </w:pPr>
      <w:r>
        <w:rPr>
          <w:rFonts w:ascii="IRNazanin" w:hAnsi="IRNazanin" w:eastAsia="IRNazanin"/>
          <w:color w:val="111111"/>
          <w:sz w:val="28"/>
          <w:sz w:val="28"/>
          <w:szCs w:val="28"/>
          <w:rtl w:val="true"/>
          <w:lang w:bidi="fa-IR"/>
        </w:rPr>
        <w:t>واقعیت، حکم نخستِ ما را دربارۀ چیزها و سپس دربارۀ نشانه ها نقض نمی کند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نگاه نخست، این توضیح بسیار بدیهی به نظر می رسد که نشانه شناسی کارش را از اُبژه هایی آغاز می کند که ممکن است مَنشی نمادین پیدا بکنند یا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آگوستین به دلیل اعتقادش به رابطۀ میان عوالم روحانی و مادی، این موضوع را با دقت بسیار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همان طور که یهودیان برای به دست آوردن طلا مصر را غارت کردند، نظریه های غیرمسیحی دربارۀ بلاغت را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او نیز به یاد می آورند که مهارت دربارۀ نمادها را همواره باید مانند مهارت دربارۀ هر چیز دیگر قلمداد کرد و آن را برای استفاده دانست و نه برای لذت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بردن از چیزی، یعنی این که به واسطۀ علاقه ای که به خودِ آن چیز داریم، به آن روی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از یک چیز به آن معناست که برای به دست آورنِ چیزی که بدان عشق می ورزیم آن را به کار بگیریم، مشروط بر آن که آن چیز، ارزش عشق ورزیدن داشته باشد</w:t>
      </w:r>
      <w:r>
        <w:rPr>
          <w:rFonts w:eastAsia="IRNazanin" w:cs="IRNazanin"/>
          <w:color w:val="111111"/>
          <w:sz w:val="28"/>
          <w:szCs w:val="28"/>
          <w:rtl w:val="true"/>
          <w:lang w:bidi="fa-IR"/>
        </w:rPr>
        <w:t>.</w:t>
      </w:r>
      <w:r>
        <w:rPr>
          <w:rStyle w:val="FootnoteAnchor"/>
          <w:rtl w:val="true"/>
        </w:rPr>
        <w:footnoteReference w:id="43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 باید برای نفعِ روحانی شان به کار گرفته شوند و نه برای لذت مادی ای که از آن ها نصیب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برای آن که اولویت واقعیت روحانی بر واقعیت مادی را نشان دهد، دست به قیاسی بین تجسد و مبادلۀ نمادین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قالب عیسی مسیح به جسم بدل می شود، که این نوعی کنش نمادین در مقیاسی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هرگاه انسان ها با هم ارتباط برقرار می کنند، کلمات نیز جامه ای مادی به اندیشه ها می پوشانند</w:t>
      </w:r>
      <w:r>
        <w:rPr>
          <w:rFonts w:eastAsia="IRNazanin" w:cs="IRNazanin"/>
          <w:color w:val="111111"/>
          <w:sz w:val="28"/>
          <w:szCs w:val="28"/>
          <w:rtl w:val="true"/>
          <w:lang w:bidi="fa-IR"/>
        </w:rPr>
        <w:t xml:space="preserve">. </w:t>
      </w:r>
      <w:bookmarkStart w:id="1047" w:name="pg3881_28186"/>
    </w:p>
    <w:p>
      <w:pPr>
        <w:pStyle w:val="BookText"/>
        <w:rPr/>
      </w:pPr>
      <w:bookmarkEnd w:id="1047"/>
      <w:r>
        <w:rPr>
          <w:rFonts w:ascii="IRNazanin" w:hAnsi="IRNazanin" w:eastAsia="IRNazanin"/>
          <w:color w:val="111111"/>
          <w:sz w:val="28"/>
          <w:sz w:val="28"/>
          <w:szCs w:val="28"/>
          <w:rtl w:val="true"/>
          <w:lang w:bidi="fa-IR"/>
        </w:rPr>
        <w:t>برای آن که اندیشه های ما از طریق گوشِ خواننده به او برسند، آن چه ما در ذهن داریم در قالب کلمات تجلی پیدا می کند و این گفتار نامیده می 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اندیشه، کلمه می شود و در میان ما مأوا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که، همان طور که الوهیت مسیح به واسطۀ تجسد او دگرگون نمی شود، معنای نمادین نیز به واسطۀ محمل مادی خود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اندیشۀ روحانی در تقابل با دگرگونی پذیری کلمات مادی به روشنی نشان می دهد که گرچه آگوستین، دست کم هنگامی که این اثر را می نوشت، نماد را جزءِ مادی و ضروری ارتباط می دانست، ولی در نهایت برای معنای روحانی اهمیت حیاتی قائل بود</w:t>
      </w:r>
      <w:r>
        <w:rPr>
          <w:rFonts w:eastAsia="IRNazanin" w:cs="IRNazanin"/>
          <w:color w:val="111111"/>
          <w:sz w:val="28"/>
          <w:szCs w:val="28"/>
          <w:rtl w:val="true"/>
          <w:lang w:bidi="fa-IR"/>
        </w:rPr>
        <w:t>.</w:t>
      </w:r>
    </w:p>
    <w:p>
      <w:pPr>
        <w:pStyle w:val="Heading3"/>
        <w:numPr>
          <w:ilvl w:val="2"/>
          <w:numId w:val="1"/>
        </w:numPr>
        <w:rPr/>
      </w:pPr>
      <w:bookmarkStart w:id="1048" w:name="__RefHeading___Toc1656736_2281741623"/>
      <w:bookmarkStart w:id="1049" w:name="_Toc374"/>
      <w:bookmarkEnd w:id="1048"/>
      <w:r>
        <w:rPr>
          <w:rtl w:val="true"/>
        </w:rPr>
        <w:t>نمادها و جهان مادی</w:t>
      </w:r>
      <w:bookmarkEnd w:id="1049"/>
    </w:p>
    <w:p>
      <w:pPr>
        <w:pStyle w:val="BookText"/>
        <w:rPr/>
      </w:pPr>
      <w:r>
        <w:rPr>
          <w:rFonts w:ascii="IRNazanin" w:hAnsi="IRNazanin" w:eastAsia="IRNazanin"/>
          <w:color w:val="111111"/>
          <w:sz w:val="28"/>
          <w:sz w:val="28"/>
          <w:szCs w:val="28"/>
          <w:rtl w:val="true"/>
          <w:lang w:bidi="fa-IR"/>
        </w:rPr>
        <w:t>نمادها و جهان مادی</w:t>
      </w:r>
    </w:p>
    <w:p>
      <w:pPr>
        <w:pStyle w:val="BookText"/>
        <w:rPr/>
      </w:pPr>
      <w:r>
        <w:rPr>
          <w:rFonts w:ascii="IRNazanin" w:hAnsi="IRNazanin" w:eastAsia="IRNazanin"/>
          <w:color w:val="111111"/>
          <w:sz w:val="28"/>
          <w:sz w:val="28"/>
          <w:szCs w:val="28"/>
          <w:rtl w:val="true"/>
          <w:lang w:bidi="fa-IR"/>
        </w:rPr>
        <w:t>یکی از پسینیانِ آگوستین در سدۀ بیستم که به مطالعۀ نمادها پرداخت،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بود که مایل بود داستان کلاس های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بزرگ را که اندیشه های اش تقریباً غیرقابل فهم بودند، تعریف کند، که به تأکید می گفت انسان ها نمی توانند منظورشان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در جایی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آرامی قانع شده بودم که احتمالاً انسان ها نمی توانند منظورشان را بیان کنند</w:t>
      </w:r>
      <w:r>
        <w:rPr>
          <w:rFonts w:eastAsia="IRNazanin" w:cs="IRNazanin"/>
          <w:color w:val="111111"/>
          <w:sz w:val="28"/>
          <w:szCs w:val="28"/>
          <w:rtl w:val="true"/>
          <w:lang w:bidi="fa-IR"/>
        </w:rPr>
        <w:t>.</w:t>
      </w:r>
      <w:r>
        <w:rPr>
          <w:rStyle w:val="FootnoteAnchor"/>
          <w:rtl w:val="true"/>
        </w:rPr>
        <w:footnoteReference w:id="43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ریچاردز، به گفتۀ خودش، هیچ گاه درس گفتارهای مور را نفهمید و تا اندازه ای همین آشفتگی بود که او را به اهمیت نشانه شناسی در مطالعۀ بلاغت واقف کرد، که به گمان او باید مطالعه ای دربارۀ بدفهمی و راه چاره ای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ریچاردز برخلاف آگوستین، نظریه ای نشانه شناختی را ساخته و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کرد که به امر مادی اولویت می بخشید و امر روحانی را ثانوی یا حتی فاقد اهمیت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نظر او دربارۀ این که چگونه یک کلمه جایگزین چیزی دیگر می شود، بهتر است دستگاه روان شناختی ای را که دیدگاه ریچاردز از آن سیراب می شد،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ریچاردز در اواخر زندگی اش سعی کرد از رفتارگرایی بگسلد،</w:t>
      </w:r>
      <w:r>
        <w:rPr>
          <w:rStyle w:val="FootnoteAnchor"/>
          <w:rtl w:val="true"/>
        </w:rPr>
        <w:footnoteReference w:id="438"/>
      </w:r>
      <w:r>
        <w:rPr>
          <w:rFonts w:ascii="IRNazanin" w:hAnsi="IRNazanin" w:eastAsia="IRNazanin"/>
          <w:color w:val="111111"/>
          <w:sz w:val="28"/>
          <w:sz w:val="28"/>
          <w:szCs w:val="28"/>
          <w:rtl w:val="true"/>
          <w:lang w:bidi="fa-IR"/>
        </w:rPr>
        <w:t>ولی تأثیر این مکتبِ روان شناسی بر کتاب معنای معنا</w:t>
      </w:r>
      <w:r>
        <w:rPr>
          <w:rStyle w:val="FootnoteAnchor"/>
          <w:rtl w:val="true"/>
        </w:rPr>
        <w:footnoteReference w:id="439"/>
      </w:r>
      <w:r>
        <w:rPr>
          <w:rFonts w:ascii="IRNazanin" w:hAnsi="IRNazanin" w:eastAsia="IRNazanin"/>
          <w:color w:val="111111"/>
          <w:sz w:val="28"/>
          <w:sz w:val="28"/>
          <w:szCs w:val="28"/>
          <w:rtl w:val="true"/>
          <w:lang w:bidi="fa-IR"/>
        </w:rPr>
        <w:t>که با آگدن نوشت،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و آگدن در این کتاب اعلام کردند که ذهن، گیرندۀ منفعلِ تأثراتی است که ردّ</w:t>
      </w:r>
      <w:r>
        <w:rPr>
          <w:rStyle w:val="FootnoteAnchor"/>
          <w:rtl w:val="true"/>
        </w:rPr>
        <w:footnoteReference w:id="440"/>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ردّها بازماندۀ اثری است که از انطباق اُرگانیسم با محرک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آگدن و ریچاردز،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 رخداد یا بخشی از آن رخداد تکرار می شود، نشانه های آن رخداد، ردِِّ مربوط به آن نشانه را در اندیشۀ شخص برمی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آگدن و ریچاردز دلیل این تکرار را موقعیت نشانه ای</w:t>
      </w:r>
      <w:r>
        <w:rPr>
          <w:rStyle w:val="FootnoteAnchor"/>
          <w:rtl w:val="true"/>
        </w:rPr>
        <w:footnoteReference w:id="441"/>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آگدن و ریچاردز،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در توضیح این نکته، از عملِ روشن کردن کبریت مدد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چوب کبریت را روی نوار کنارۀ قوطی کبریت می کشد، شماری از نشانه های آشنا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قیژِ ناشی از کشیده شدن چوب کبریت، شعلۀ آتش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فارغ از تجربه هایی که پیش از این از کبریت دارد، نمی تواند از این نشانه 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صدای کشیده شدن چوب کبریت بلافاصله ردّهایی را برمی انگیزد که شخص را قادر می سازند تا نشانه های عمل روشن کردن کبریت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 که موقعیت نشانه ای، یا بافت، مقدم بر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کشیده شدن چوب کبریت مسبوق بر تجربۀ گذشتۀ شخص از شنیدن، دیدن و احساسِ روشن کردنِ کبریت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قضیه مدعی است که معناها، از همان آغاز، واجد عمومیت و انتزاعیتی ابتدایی هستند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پس، در ارتباط، هر کلمه نشانه ای است که عملاً بخشی از بافتِ اصلی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من کبریتی را روشن می کنم، کلمۀ کبریت عملاً کلِ بافتِ کشیدن یک چوب کوچک، که به یک سرِ آن کُلرات چسبیده است، به نواری فسفری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شنوندۀ این جمله، کلمۀ کبریت، اگر معنایی داشته باشد، ردّهایی را از تجارب گذشتۀ شخص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 احساس بلافصل و انفکاک یافته ای از رخ دادی که معنایی مستقل دارد نیست، بلکه مجاز مرسلی به علاقۀ کل و جزء</w:t>
      </w:r>
      <w:r>
        <w:rPr>
          <w:rStyle w:val="FootnoteAnchor"/>
          <w:rtl w:val="true"/>
        </w:rPr>
        <w:footnoteReference w:id="443"/>
      </w:r>
      <w:r>
        <w:rPr>
          <w:rFonts w:ascii="IRNazanin" w:hAnsi="IRNazanin" w:eastAsia="IRNazanin"/>
          <w:color w:val="111111"/>
          <w:sz w:val="28"/>
          <w:sz w:val="28"/>
          <w:szCs w:val="28"/>
          <w:rtl w:val="true"/>
          <w:lang w:bidi="fa-IR"/>
        </w:rPr>
        <w:t>است از بافت های مشابهی که شخص پیش تر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فشردگی ای رخ می دهد، معنای نشانه یا کلمه ـ که این قدرت به آن ها تفویض شده ـ بخش مفقودۀ بافت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این تبیین مادی باورانه دربارۀ نمادگان، وجود تمایلات روحانی را برملا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نشانه شناسیِ ریچاردز ناشی می شود این است که ذهن گرفتار در تخته بندِ تن، قادر نیست اندیشه را به ذهن دیگری که در تن دیگری گرفتار آمده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نشانه شناسی این بود که چیزی غیرمادی را در فضایی مادی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آگوستین برای امر روحانی اولویت قائل بود ولی نمی توانست از امر مادی صرف نظر کند و این در حالی بود که ریچاردز امر مادی را در اولویت می دید ولی قادر نبود کاملاً از ادعاهای مربوط به امر روحانی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کامل ترِ جسم و روح در نشانه شناسی در نوشته های سوزان لانگر ظهور می کند</w:t>
      </w:r>
      <w:r>
        <w:rPr>
          <w:rFonts w:eastAsia="IRNazanin" w:cs="IRNazanin"/>
          <w:color w:val="111111"/>
          <w:sz w:val="28"/>
          <w:szCs w:val="28"/>
          <w:rtl w:val="true"/>
          <w:lang w:bidi="fa-IR"/>
        </w:rPr>
        <w:t xml:space="preserve">. </w:t>
      </w:r>
      <w:bookmarkStart w:id="1050" w:name="pg3881_28189"/>
    </w:p>
    <w:p>
      <w:pPr>
        <w:pStyle w:val="Heading3"/>
        <w:numPr>
          <w:ilvl w:val="2"/>
          <w:numId w:val="1"/>
        </w:numPr>
        <w:rPr/>
      </w:pPr>
      <w:bookmarkStart w:id="1051" w:name="__RefHeading___Toc1656738_2281741623"/>
      <w:bookmarkStart w:id="1052" w:name="_Toc375"/>
      <w:bookmarkEnd w:id="1050"/>
      <w:bookmarkEnd w:id="1051"/>
      <w:r>
        <w:rPr>
          <w:rtl w:val="true"/>
        </w:rPr>
        <w:t>نمادها در اتحاد میان امر روحانی و امر مادی</w:t>
      </w:r>
      <w:bookmarkEnd w:id="1052"/>
    </w:p>
    <w:p>
      <w:pPr>
        <w:pStyle w:val="BookText"/>
        <w:rPr/>
      </w:pPr>
      <w:r>
        <w:rPr>
          <w:rFonts w:ascii="IRNazanin" w:hAnsi="IRNazanin" w:eastAsia="IRNazanin"/>
          <w:color w:val="111111"/>
          <w:sz w:val="28"/>
          <w:sz w:val="28"/>
          <w:szCs w:val="28"/>
          <w:rtl w:val="true"/>
          <w:lang w:bidi="fa-IR"/>
        </w:rPr>
        <w:t>نمادها در اتحاد میان امر روحانی و امر مادی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واکر پرسی، که رمان نویس و نشانه شناس بود، زمانی گفت که اگر بیگانه ای به سیارۀ ما بیاید، اولین چیزی که توجه اش را جلب می کند این است که گرچه انسان ها شبیه به موجودات دیگر هستند ولی آن چه آن ها را از دیگر موجودات متمایز می کند، پرحرفی ِ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غیرلازم در برابر فرض پایۀ نشانه شناسی رفتارگرا</w:t>
      </w:r>
      <w:r>
        <w:rPr>
          <w:rStyle w:val="FootnoteAnchor"/>
          <w:rtl w:val="true"/>
        </w:rPr>
        <w:footnoteReference w:id="445"/>
      </w:r>
      <w:r>
        <w:rPr>
          <w:rFonts w:ascii="IRNazanin" w:hAnsi="IRNazanin" w:eastAsia="IRNazanin"/>
          <w:color w:val="111111"/>
          <w:sz w:val="28"/>
          <w:sz w:val="28"/>
          <w:szCs w:val="28"/>
          <w:rtl w:val="true"/>
          <w:lang w:bidi="fa-IR"/>
        </w:rPr>
        <w:t>قرار می گیرد که معتقد است هر کنشِ انسانی، پاسخی است به نیازهای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شناسی رفتارگرا به دلیل دل مشغولی اش با علم، توجه اش معطوف به این است که نمادها چگونه عمل می کنند و چگونه نیازها را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پرسی همیشه خاطرنشان می کرد، انسان ها این عادت خاص را دارند که در طوفان شدید، شاد باشند و پس از خوردن غذا در یک روز آفتابی تن به اندوه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ها اغلب مانند جانورانِ پست تر، از نیازهای پایه شان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هنر را جدی می گیرند، در برابر رؤیا شگفت زده می شوند و مناسک مذهبی را به جا می آورند و این در حالی است که هیچ یک از این اعمال نقشی در بقای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نه تنها نیازهای مادی فرد را برطرف نمی کنند، بلکه همیشه هم در بقای قبیله در کل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لانگر توضیح می دهد که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انسان ها را به سوی این اعمال سوق می دهد، درک نادرست از علیت نیست ـ چنان که گمان بَرند گویی قربانی کردن، موجبی برای بارش های پاییزی می شود ـ بلکه نیاز ژرف تری است که به نمادپردازی دارند که هیچ تبیین مبتنی بر علت و معلول برای توضیح آن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چه نشانه شناسان را به تبیین های مادی سوق می دهد، دست نیافتی بودنِ معنای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معنا، معناهای گوناگونی دارد که به نظر می رسد همگی، به طور کاهنده ای، ذیل یک اصطلاح واحد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 بر این باشد که معنا یک جوهر و یک کیفیت اساسی دارد، این فقط یک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معنا هیچ جوهر و هیچ ویژگی ذاتی ای نداشته باشد، در آن صورت این مفهوم را می توان به صورت یک رابطه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کهکشانی از ستاره ها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کهکشان ـ نام آن ـ فقط با نگریستن به الگویی که ستاره ها می سازند،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چنان که لانگر توضیح می دهد، معنا تنها به صورت الگویی سر بر می آورد که با ارجاع به اصطلاح خاصی که آن الگو بر گِرد آن متمرکز شده است، به آن نگریسته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شفقت یا شجاعت تعیین اجزاء سازندۀ این فضایل نیست، بلکه عبارت است از توجه به الگوهای اندیشگی، ابژه ها و عادت هایی که بر گِرد هر یک از این اصطلاحات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الگوی معناداری می تواند ساده یا پیچیده باشد؛ برای نمونه دود، الگوی ساده ای است از رخ دادهایی که عموماً بر حضور آتش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هیچ گاه به گاوی که می خواهند شیرش را بدوشند،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نظریۀ نشانه ای لانگر، هر گاه که رابطۀ متقابل میان یک اصطلاح و معنای آن، رابطه ای بی واسطه باشد، آن اصطلاح را نشانه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نشانه بیان گر مجموعۀ قابل توضیحی از </w:t>
      </w:r>
    </w:p>
    <w:p>
      <w:pPr>
        <w:pStyle w:val="BookText"/>
        <w:rPr/>
      </w:pPr>
      <w:r>
        <w:rPr>
          <w:rFonts w:ascii="IRNazanin" w:hAnsi="IRNazanin" w:eastAsia="IRNazanin"/>
          <w:color w:val="111111"/>
          <w:sz w:val="28"/>
          <w:sz w:val="28"/>
          <w:szCs w:val="28"/>
          <w:rtl w:val="true"/>
          <w:lang w:bidi="fa-IR"/>
        </w:rPr>
        <w:t>رخ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الگوهای معنادار، اغلب پیچیده تر از رابطۀ یک به یکی ای است که طی آن یک نشانه جایگزین چیزی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الگوی معنادار پاسخی را برمی انگیزد که هیچ رابطۀ مستقیمی با ابژۀ موردِ ارجاع ندارد، در آن صورت، به گمان لانگر، ما با نماد سر و کار داریم و نه با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کلمۀ توپ را برای سگی به زبان بیاورد ـ که به کاربرد نشانه ها عادت کرده است ـ او اطرافش را به دنبال توپ جست وجو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همان کلمه را به پدرش بگوید، احتمالاً او می گوید منظورت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روشنی است دربارۀ تمایل انسان به کاربرد نماد، نه واکنش در برابر نماد، هم چون شاخصِ حضورِ بلافصلِ یک شیء یا هم چون پیش گویی کنشی دربارۀ آن، بلکه تمایل به خلق تصوراتی دربارۀ چیزها؛ چنان که لانگر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معمولاً واژه ها می کنند، برانگیختن رفتار در قبال تصورات است؛ این فرآیندِ نوعی تفکر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نماد را می توان در مقام نشانه به کار برد، ولی تنها در صورتی چنین می شود که با شاخصی همراه شود که بگوید آن نماد به عنوان نشانه به کار رفته است؛ سرِ خمیده، ابروی بالارفته، انگشتِ در حال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که عموماً نشانه ها بیان گری می کنند، حال آن که نمادها اندیشه را برمی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آییِ واژه و تصور و شیءِ مورد ارجاع، اتحادی نشانه ای از امر روحانی و امر مادی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تعجب نیست که در نمادگان مذهبی، بالا نگه داشتن جام مقدس یا لمس آتش برای اهدای قربانی صرفاً یک ابزار نیست، بلکه کنشی معنادار است که زندگی شخصی یا عمومی را سامان یا بازسامان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لانگر</w:t>
      </w:r>
      <w:r>
        <w:rPr>
          <w:rFonts w:eastAsia="IRNazanin" w:cs="IRNazanin"/>
          <w:color w:val="111111"/>
          <w:sz w:val="28"/>
          <w:szCs w:val="28"/>
          <w:rtl w:val="true"/>
          <w:lang w:bidi="fa-IR"/>
        </w:rPr>
        <w:t xml:space="preserve">: </w:t>
      </w:r>
      <w:bookmarkStart w:id="1053" w:name="pg3881_28192"/>
    </w:p>
    <w:p>
      <w:pPr>
        <w:pStyle w:val="BookText"/>
        <w:rPr/>
      </w:pPr>
      <w:bookmarkEnd w:id="1053"/>
      <w:r>
        <w:rPr>
          <w:rFonts w:ascii="IRNazanin" w:hAnsi="IRNazanin" w:eastAsia="IRNazanin"/>
          <w:color w:val="111111"/>
          <w:sz w:val="28"/>
          <w:sz w:val="28"/>
          <w:szCs w:val="28"/>
          <w:rtl w:val="true"/>
          <w:lang w:bidi="fa-IR"/>
        </w:rPr>
        <w:t>این مناسک را می توان تبدل نمادین تجارب نامید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1054" w:name="__RefHeading___Toc1656740_2281741623"/>
      <w:bookmarkStart w:id="1055" w:name="_Toc376"/>
      <w:bookmarkEnd w:id="1054"/>
      <w:r>
        <w:rPr>
          <w:rtl w:val="true"/>
        </w:rPr>
        <w:t>نشانه شناسی و مذهب</w:t>
      </w:r>
      <w:bookmarkEnd w:id="1055"/>
    </w:p>
    <w:p>
      <w:pPr>
        <w:pStyle w:val="BookText"/>
        <w:rPr/>
      </w:pPr>
      <w:r>
        <w:rPr>
          <w:rFonts w:ascii="IRNazanin" w:hAnsi="IRNazanin" w:eastAsia="IRNazanin"/>
          <w:color w:val="111111"/>
          <w:sz w:val="28"/>
          <w:sz w:val="28"/>
          <w:szCs w:val="28"/>
          <w:rtl w:val="true"/>
          <w:lang w:bidi="fa-IR"/>
        </w:rPr>
        <w:t>نشانه شناسی و مذهب</w:t>
      </w:r>
    </w:p>
    <w:p>
      <w:pPr>
        <w:pStyle w:val="BookText"/>
        <w:rPr/>
      </w:pPr>
      <w:r>
        <w:rPr>
          <w:rFonts w:ascii="IRNazanin" w:hAnsi="IRNazanin" w:eastAsia="IRNazanin"/>
          <w:color w:val="111111"/>
          <w:sz w:val="28"/>
          <w:sz w:val="28"/>
          <w:szCs w:val="28"/>
          <w:rtl w:val="true"/>
          <w:lang w:bidi="fa-IR"/>
        </w:rPr>
        <w:t>نظریۀ نشانه شناختی و کاربستِ آن، مسیری است که پیش بینی دربارۀ آن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متأخرتر مانند اومبرتو اِکو نقش منطق نادقیق</w:t>
      </w:r>
      <w:r>
        <w:rPr>
          <w:rStyle w:val="FootnoteAnchor"/>
          <w:rtl w:val="true"/>
        </w:rPr>
        <w:footnoteReference w:id="448"/>
      </w:r>
      <w:r>
        <w:rPr>
          <w:rFonts w:ascii="IRNazanin" w:hAnsi="IRNazanin" w:eastAsia="IRNazanin"/>
          <w:color w:val="111111"/>
          <w:sz w:val="28"/>
          <w:sz w:val="28"/>
          <w:szCs w:val="28"/>
          <w:rtl w:val="true"/>
          <w:lang w:bidi="fa-IR"/>
        </w:rPr>
        <w:t>را در نمادگان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ارتباطات، سندرا موریارتی،مصرانه بر آن است که نشانه شناسی، شالودۀ فهم رتوریکِ تخیل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ناگلِ فیلسوف بر آن است که مفهوم جهان نگری را باید از منظری نشانه شناختی درک کرد ولی اندیشه های پسِ پشتِ نشانه شناسی یا کاربست های پیش روی آن هرچه باشد، مطالعۀ نشانه شناختی هم به واقعیت روحانی توجه خواهد داشت و هم به واقعیت مادی؛ یا آن چه تامس مرتن با عنوان سویۀ قدسیِ نمادگان از آن یاد کرده است که همانا به هم پیوند زدن امر دیدنی و نادیدنی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کرِیگ مَتسِن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محمد نبوی </w:t>
      </w:r>
      <w:bookmarkStart w:id="1056" w:name="pg3881_28193"/>
    </w:p>
    <w:p>
      <w:pPr>
        <w:pStyle w:val="Heading3"/>
        <w:numPr>
          <w:ilvl w:val="2"/>
          <w:numId w:val="1"/>
        </w:numPr>
        <w:rPr/>
      </w:pPr>
      <w:bookmarkStart w:id="1057" w:name="__RefHeading___Toc1656742_2281741623"/>
      <w:bookmarkStart w:id="1058" w:name="_Toc377"/>
      <w:bookmarkEnd w:id="1056"/>
      <w:bookmarkEnd w:id="1057"/>
      <w:r>
        <w:rPr>
          <w:rtl w:val="true"/>
        </w:rPr>
        <w:t>برای مطالعۀ بیشتر</w:t>
      </w:r>
      <w:bookmarkEnd w:id="105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Augustine. (1958). On Christian doctrine. (D. W. Robertson, Jr., Trans.). Upper Saddle River, NJ: Prentice 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Barthes, R. (1964). Elements of semiology. (A. Lavers &amp; C.Smith, Trans.). New York: Hill &amp; Wang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Buber, M. (1970). I and thou. (W. Kaufmann, Trans.). New York: Scribner’s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Eco, U. (1984). Semiotics and the philosophy of language. In T. A. Sebeok (Ed.), Advances in semiotics (pp. 14–45). Bloomington: Indiana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Griffin, E. (2003). A first look at communication theory(5th ed.). Boston: McGraw-Hill Higher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Langer, S. (1960). Philosophy in a new key (3rd ed.).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Littlejohn, S. W. (1999). Theories of human communication (6thed.). Belmont, CA: Wadsworth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Mechling, E. W. &amp; Mechling,J. (1981). The sale of two cities: A semiotic comparison of Disneyland with Marriott’s Great America. Journal of Popular Culture, 15, 166–179</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Merton, T. (1977). Loving and living. (N. Burton Stone &amp; P.Hart, Eds.). New York: Bantam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Moriarty,S.E.(1996).Abduction: Atheory of visual interpretation.Communication Theory,6(2), 167–187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C. (1946). Signs, language, and behavior. New York: Prentice 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Naugle, D. (2002). World view: The history of the concept. Grand Rapids, MI: Eerdmans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Ogden, C. K., &amp; Richards, I. A. (1956). The meaning of meaning: Astudy of the influence of language upon thought and of the science of symbolism (8th ed.). New York: Harcourt,Brace &amp;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Ong, W. J. (1982). Orality and literacy: The technologizing of the word. In T. Hawkes (Ed.), New accents.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Percy, W. (1975). The message in the bottle.New York: Noonday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Percy, W. (1983). Lost in the cosmos: The last self-help book. New York: Picador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 J. D. (1999). Speaking into the air.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Pierce, D. L. (2003). Rhetorical criticism and theory in practice. Boston: McGraw-Hill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Polanyi, M., &amp; Prosch, H. (1975). Meaning.Chicago: University of Chicago Press</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Richards, I. A. (1942). How to read a page: Acourse in efficient reading with an introduction to a hundred great words.New York: Norton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Richards, I. A. (1965). The philosophy of rhetoric. (Mary Flexner Lectures on the Humanities 3). London: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 I. A. (1991). Beginnings and transitions: I. A. Richards interviewed by Reuben Brower. (1991). In A. E</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Berthoff, Selected essays (1928–1974). New York: Oxford University Press, 3-22</w:t>
      </w:r>
      <w:r>
        <w:rPr>
          <w:rFonts w:eastAsia="Times New Roman" w:cs="Times New Roman" w:ascii="Times New Roman" w:hAnsi="Times New Roman"/>
          <w:color w:val="111111"/>
          <w:sz w:val="28"/>
          <w:szCs w:val="28"/>
          <w:rtl w:val="true"/>
          <w:lang w:val="en-US" w:bidi="en-US"/>
        </w:rPr>
        <w:t xml:space="preserve">. </w:t>
      </w:r>
      <w:bookmarkStart w:id="1059" w:name="pg3881_28196"/>
    </w:p>
    <w:p>
      <w:pPr>
        <w:pStyle w:val="Heading2"/>
        <w:numPr>
          <w:ilvl w:val="1"/>
          <w:numId w:val="1"/>
        </w:numPr>
        <w:rPr/>
      </w:pPr>
      <w:bookmarkStart w:id="1060" w:name="__RefHeading___Toc1656744_2281741623"/>
      <w:bookmarkStart w:id="1061" w:name="_Toc378"/>
      <w:bookmarkEnd w:id="1059"/>
      <w:bookmarkEnd w:id="1060"/>
      <w:r>
        <w:rPr>
          <w:rtl w:val="true"/>
        </w:rPr>
        <w:t>هتک حرمت</w:t>
      </w:r>
      <w:bookmarkEnd w:id="1061"/>
    </w:p>
    <w:p>
      <w:pPr>
        <w:pStyle w:val="Heading3"/>
        <w:numPr>
          <w:ilvl w:val="2"/>
          <w:numId w:val="1"/>
        </w:numPr>
        <w:rPr/>
      </w:pPr>
      <w:bookmarkStart w:id="1062" w:name="__RefHeading___Toc1656746_2281741623"/>
      <w:bookmarkStart w:id="1063" w:name="_Toc379"/>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هتک حرمت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می توانند وسایل مناسبی برای انتقال پیام های گروه های مذهبی در عرصه های عمومی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همواره متحد و یاور گروه های مذهبی نیستند؛ می توان موارد بسیاری را ذکر کرد که در آن عضو یا معمولاً اعضای یک گروه مذهبی به روش بازنمایی یا تشریح مذهب خود در رسانه ها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هتک حرمت</w:t>
      </w:r>
      <w:r>
        <w:rPr>
          <w:rStyle w:val="FootnoteAnchor"/>
          <w:rtl w:val="true"/>
        </w:rPr>
        <w:footnoteReference w:id="449"/>
      </w:r>
      <w:r>
        <w:rPr>
          <w:rFonts w:ascii="IRNazanin" w:hAnsi="IRNazanin" w:eastAsia="IRNazanin"/>
          <w:color w:val="111111"/>
          <w:sz w:val="28"/>
          <w:sz w:val="28"/>
          <w:szCs w:val="28"/>
          <w:rtl w:val="true"/>
          <w:lang w:bidi="fa-IR"/>
        </w:rPr>
        <w:t>اساساً به ارتباطی همراه با بی احترامی اشاره می کند که از طریق نوشتار یا گفتار ایجاد می شود و تأثیری مضر بر شهرت فرد یا گروهی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 بر هتک حرمت یک مذهب یا گروه مذهبی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طریق روش های ارتباطی مختلف از مذهبی هتک حرمت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را فهرست وار می 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و فیلم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کتاب ها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دستمایة هتک حرمت می تواند در قالب های شفاهی، کَتبی و الکترونیکی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مبالغه نباشد که بگوییم در مواردی تمام گروه 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مرسوم و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موضوع هتک حرمت قرار گرفته اند و اعضای این گروه ها مخالفت خود را یا از طریق ارتباط با طیف گسترده تری از مخاطبان اجتماعی یا در مواردی از طریق مراجع قانونی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 های فراوانی را نشان می دهد که چگونه گروه هایی خاص محتوای هتک حرمت دربارۀ دیگر گروه ها را با استفاده از شکل های گوناگون رسانه ای منتقل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 ترین این نمونه ها استفادة نازی ها از تبلیغات علیه یهودیان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رسانه ها رو به گسترش بودند، چنین تبلیغاتی هم زمان با پیشرفت فعالیت های نازی ها از طریق وسایل پیچیده تری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گسترده ای از شکل های ارتباطی هم چون رادیو، سینما، روزنامه ها و انتشارات در این جهت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حتی کتاب های کودکان به عنوان وسایلی برای انتقال و پیشبرد کاریکاتورهای یهودی ستیزانه به 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شدت و گستردگی به کارگیری این وسایل ارتباطی که در جهت هتک حرمت و از طریق شکل های گوناگون رسانه های جمعی به کار رفتند با نتایجی که در پی آوردند، از جمله راندن یهودیان به زاغه های فقیرنشین و کشتار جمعی آن ها،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مشابه تراژیک در دورة معاصر ماجرای نسل کشی در رواندا به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هوتوهای مسلح به جنگ با قوم توتسی، همسایه های توتسی و هوتوهای میانه رو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رسانه های جمعی برای نشر اطلاعاتِ همراه با هتک حرمت به توتسی ها، به کار رفتند؛ به ویژه از روزنامه ها و رادیو در حکم سلاح هایی برای نشر تبلیغات نفرت برانگیز استفاده شد تا قبیلة هوتو را متقاعد کنند که توتسی ها دشمن آن ها هستند و باید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موضوعاتی خواهیم پرداخت که باید در هر بحثی پیرامون مذهب و هتک حرمت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شامل قانون، آزادی بیان، گروه های ضد هتک حرمت و تأثیر اینترنت می شود که مسلماً یکی از مهم ترین عرصه هایی است که پیچیدگی هایی را پیرامون هر نوع استدلال قانونی دربارۀ این موضوع طی قرن بیست و یکم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حقوق بشر در سازمان ملل که با هتک حرمت گروه های مذهبی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کند، تأثیرهای مضر هتک حرمت علیه مذهب را بر ثبات و هماهنگی جامعه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ای که در این باره صادر شده تأکید می کند که یک جامعة آرام و بی تعصب صرفاً زمانی محقق می شود که حکومت ها، سازمان های غیردولتی، تشکیلات مذهبی و رسانه ها موضوع هتک حرمت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یکی از دغدغه های بنیادین و مهمی که در این قطعنامه برجسته شده است، تأثیر مضر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شد تا رسانه ها، تصویری کلیشه ای و منفی از جامعة مسلمانان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استفاده از نشریات، آثار صوتی ـ تصویری و رسانه های الکترونیکی از جمله اینترنت و دیگر وسایل برای برانگیختن خشونت، بیگانه ستیزی یا تعصب و تبعیض نسبت به مذاهب دیگر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یادآور می شود که تمام حکومت ها متعهدند که بدون تبعیض نسبت به مذهب یا عقاید خاص، احترام نسبت به تمام اعضای گروه های </w:t>
      </w:r>
      <w:bookmarkStart w:id="1064" w:name="pg3881_28199"/>
    </w:p>
    <w:p>
      <w:pPr>
        <w:pStyle w:val="BookText"/>
        <w:rPr/>
      </w:pPr>
      <w:bookmarkEnd w:id="1064"/>
      <w:r>
        <w:rPr>
          <w:rFonts w:ascii="IRNazanin" w:hAnsi="IRNazanin" w:eastAsia="IRNazanin"/>
          <w:color w:val="111111"/>
          <w:sz w:val="28"/>
          <w:sz w:val="28"/>
          <w:szCs w:val="28"/>
          <w:rtl w:val="true"/>
          <w:lang w:bidi="fa-IR"/>
        </w:rPr>
        <w:t>مذهبی را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مخالف با هتک حرمت در کشورهای مختلف متفاوت است و حتی در داخل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ایالات مختلف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این قانون زبانزد عام و خاص است و طبعاً کاربرد آن را در بسیاری از مواردِ عملی با دشواری توأم می سازد</w:t>
      </w:r>
      <w:r>
        <w:rPr>
          <w:rFonts w:eastAsia="IRNazanin" w:cs="IRNazanin"/>
          <w:color w:val="111111"/>
          <w:sz w:val="28"/>
          <w:szCs w:val="28"/>
          <w:rtl w:val="true"/>
          <w:lang w:bidi="fa-IR"/>
        </w:rPr>
        <w:t>.</w:t>
      </w:r>
    </w:p>
    <w:p>
      <w:pPr>
        <w:pStyle w:val="Heading3"/>
        <w:numPr>
          <w:ilvl w:val="2"/>
          <w:numId w:val="1"/>
        </w:numPr>
        <w:rPr/>
      </w:pPr>
      <w:bookmarkStart w:id="1065" w:name="__RefHeading___Toc1656748_2281741623"/>
      <w:bookmarkStart w:id="1066" w:name="_Toc380"/>
      <w:bookmarkEnd w:id="1065"/>
      <w:r>
        <w:rPr>
          <w:rtl w:val="true"/>
        </w:rPr>
        <w:t>قانون هتک حرمت و آزادی بیان</w:t>
      </w:r>
      <w:bookmarkEnd w:id="1066"/>
    </w:p>
    <w:p>
      <w:pPr>
        <w:pStyle w:val="BookText"/>
        <w:rPr/>
      </w:pPr>
      <w:r>
        <w:rPr>
          <w:rFonts w:ascii="IRNazanin" w:hAnsi="IRNazanin" w:eastAsia="IRNazanin"/>
          <w:color w:val="111111"/>
          <w:sz w:val="28"/>
          <w:sz w:val="28"/>
          <w:szCs w:val="28"/>
          <w:rtl w:val="true"/>
          <w:lang w:bidi="fa-IR"/>
        </w:rPr>
        <w:t>قانون هتک حرمت و آزادی بیان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پرداختن به جزییات پیچیدگی ها و شکل های فراوان قوانین مخالفت با هتک حرمت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نکات گونه شناسانه ای قابل اشاره است؛ در قانون مخالفت با هتک حرمت تمایزی بین دو واژة </w:t>
      </w:r>
      <w:r>
        <w:rPr>
          <w:rFonts w:eastAsia="Times New Roman" w:cs="Times New Roman" w:ascii="Times New Roman" w:hAnsi="Times New Roman"/>
          <w:color w:val="111111"/>
          <w:sz w:val="28"/>
          <w:szCs w:val="28"/>
          <w:lang w:val="en-US" w:bidi="en-US"/>
        </w:rPr>
        <w:t>lible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slander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به فارسی معادل افترا هستند ولی تمایز در شیوة نشر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Times New Roman" w:cs="Times New Roman" w:ascii="Times New Roman" w:hAnsi="Times New Roman"/>
          <w:color w:val="111111"/>
          <w:sz w:val="28"/>
          <w:szCs w:val="28"/>
          <w:lang w:val="en-US" w:bidi="en-US"/>
        </w:rPr>
        <w:t>slander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ارتباط شفاهی و </w:t>
      </w:r>
      <w:r>
        <w:rPr>
          <w:rFonts w:eastAsia="Times New Roman" w:cs="Times New Roman" w:ascii="Times New Roman" w:hAnsi="Times New Roman"/>
          <w:color w:val="111111"/>
          <w:sz w:val="28"/>
          <w:szCs w:val="28"/>
          <w:lang w:val="en-US" w:bidi="en-US"/>
        </w:rPr>
        <w:t>lible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ارتباط مکتوب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تمایز مشتمل بر تداوم شکل است، بدین صورت که ارتباط شفاهی بسیار گذراتر از دوام واژة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پخش برنامه های رادیویی و تلویزیونی پیچیدگی های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یا در قالب نوشتار ذخیره یا به صورت دایمی آرشیو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قانون مخالفت با هتک حرمت نسبتاً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برای حفاظت از هر فرد یا گروه در برابر اطلاعات گمراه کننده ای به کار می رود که می تواند شهرت آن ها را لکه دار کند و به مخاطره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مهمی که به قانون مخالفت با هتک حرمت ربط می یابد، موضوع آزادی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حق انتقاد از نظام عقیدتی خاصی تبدیل به هتک حرمت می شود؟ برخی از اعضای گروه های مذهبی به این امر متهم شده اند که حساسیت فراوانی از خود نشان می دهند و بدین لحاظ تمایز بین انتقادِ سازنده و افترای عامدانه را مخدوش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بحث یا تجدید نظری در قانون مخالفت با هتک حرمت در هر کشوری باید بین حفظ ارزش های مذهبی و حق افراد برای آزادی بیان </w:t>
      </w:r>
    </w:p>
    <w:p>
      <w:pPr>
        <w:pStyle w:val="BookText"/>
        <w:rPr/>
      </w:pPr>
      <w:r>
        <w:rPr>
          <w:rFonts w:ascii="IRNazanin" w:hAnsi="IRNazanin" w:eastAsia="IRNazanin"/>
          <w:color w:val="111111"/>
          <w:sz w:val="28"/>
          <w:sz w:val="28"/>
          <w:szCs w:val="28"/>
          <w:rtl w:val="true"/>
          <w:lang w:bidi="fa-IR"/>
        </w:rPr>
        <w:t>تعادل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در کشورهای مختلف تأکیدهای متفاوتی بر قانون مخالفت با هتک حرمت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حقوقی گفته اند که قانون در ایالات متحده نسبت به کشورهای دیگری چون استرالیا بیش از حد بر آزادی تأکید می ورزد، چنان که مثلاً در استرالیا این حد از آزادی دیگر مورد حمایت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علیه مطالب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متمایز ولی به هر حال مرتبط با 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مری وایتهاوس علیه مجلة گِی نیوز به نحوی موفقیت آمیز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مجله شعری منتشر شد که مسیح را در حکم سوژۀ عشقی هم جنس گرایانه ترسیم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مرتبط با آزادی بیان و هتک حرمت بار دیگر طی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با دقت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تأثیر کتاب آیات شیطانی نوشتة سلمان رشدی بود که بخشی از جامعة مسلمانان را تحریک کرد، چنان که آن ها خواستار تحریم این 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مطالبی که در این کتاب وجود دارد به ایمان اسلامی و پیامبر اسلام افترا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چودهوری، نمایندة جبهة عمل مسلمانان انگلستان</w:t>
      </w:r>
      <w:r>
        <w:rPr>
          <w:rStyle w:val="FootnoteAnchor"/>
          <w:rtl w:val="true"/>
        </w:rPr>
        <w:footnoteReference w:id="450"/>
      </w:r>
      <w:r>
        <w:rPr>
          <w:rFonts w:ascii="IRNazanin" w:hAnsi="IRNazanin" w:eastAsia="IRNazanin"/>
          <w:color w:val="111111"/>
          <w:sz w:val="28"/>
          <w:sz w:val="28"/>
          <w:szCs w:val="28"/>
          <w:rtl w:val="true"/>
          <w:lang w:bidi="fa-IR"/>
        </w:rPr>
        <w:t>تلاش کرد تا با استفاده از قانون توهین به مقدسات،</w:t>
      </w:r>
      <w:r>
        <w:rPr>
          <w:rStyle w:val="FootnoteAnchor"/>
          <w:rtl w:val="true"/>
        </w:rPr>
        <w:footnoteReference w:id="451"/>
      </w:r>
      <w:r>
        <w:rPr>
          <w:rFonts w:ascii="IRNazanin" w:hAnsi="IRNazanin" w:eastAsia="IRNazanin"/>
          <w:color w:val="111111"/>
          <w:sz w:val="28"/>
          <w:sz w:val="28"/>
          <w:szCs w:val="28"/>
          <w:rtl w:val="true"/>
          <w:lang w:bidi="fa-IR"/>
        </w:rPr>
        <w:t>نشر و توزیع این رمان را قدغن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تلاش به موفقیت نرسید؛ زیرا در انگلستان قانون توهین به مقدسات صرفاً دربارۀ کلیسای رسمی</w:t>
      </w:r>
      <w:r>
        <w:rPr>
          <w:rStyle w:val="FootnoteAnchor"/>
          <w:rtl w:val="true"/>
        </w:rPr>
        <w:footnoteReference w:id="452"/>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همین تلاش باعث شد تا عدة فراوانی خواستار لغو قانون توهین به مقدسات و تدوین قانون جدیدی شوند؛ زیرا معتقد بودند که این قانون منسوخ شده و با اصول ماهوی آزادی بیان که جزو موارد اساسی دمکراسی به شمار می رود،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هر دو گروه مذاهب مرسوم و متفاوت برای آن که عقاید خود را از حملة مخالفان در امان نگه دارند، گروه های ضد هتک حرمت خاص خود را تشکیل داده اند</w:t>
      </w:r>
      <w:r>
        <w:rPr>
          <w:rFonts w:eastAsia="IRNazanin" w:cs="IRNazanin"/>
          <w:color w:val="111111"/>
          <w:sz w:val="28"/>
          <w:szCs w:val="28"/>
          <w:rtl w:val="true"/>
          <w:lang w:bidi="fa-IR"/>
        </w:rPr>
        <w:t xml:space="preserve">. </w:t>
      </w:r>
      <w:bookmarkStart w:id="1067" w:name="pg3881_28201"/>
    </w:p>
    <w:p>
      <w:pPr>
        <w:pStyle w:val="Heading3"/>
        <w:numPr>
          <w:ilvl w:val="2"/>
          <w:numId w:val="1"/>
        </w:numPr>
        <w:rPr/>
      </w:pPr>
      <w:bookmarkStart w:id="1068" w:name="__RefHeading___Toc1656750_2281741623"/>
      <w:bookmarkStart w:id="1069" w:name="_Toc381"/>
      <w:bookmarkEnd w:id="1067"/>
      <w:bookmarkEnd w:id="1068"/>
      <w:r>
        <w:rPr>
          <w:rtl w:val="true"/>
        </w:rPr>
        <w:t>گروه های ضد هتک حرمت</w:t>
      </w:r>
      <w:bookmarkEnd w:id="1069"/>
    </w:p>
    <w:p>
      <w:pPr>
        <w:pStyle w:val="BookText"/>
        <w:rPr/>
      </w:pPr>
      <w:r>
        <w:rPr>
          <w:rFonts w:ascii="IRNazanin" w:hAnsi="IRNazanin" w:eastAsia="IRNazanin"/>
          <w:color w:val="111111"/>
          <w:sz w:val="28"/>
          <w:sz w:val="28"/>
          <w:szCs w:val="28"/>
          <w:rtl w:val="true"/>
          <w:lang w:bidi="fa-IR"/>
        </w:rPr>
        <w:t>گروه های ضد هتک حرمت</w:t>
      </w:r>
    </w:p>
    <w:p>
      <w:pPr>
        <w:pStyle w:val="BookText"/>
        <w:rPr/>
      </w:pPr>
      <w:r>
        <w:rPr>
          <w:rFonts w:ascii="IRNazanin" w:hAnsi="IRNazanin" w:eastAsia="IRNazanin"/>
          <w:color w:val="111111"/>
          <w:sz w:val="28"/>
          <w:sz w:val="28"/>
          <w:szCs w:val="28"/>
          <w:rtl w:val="true"/>
          <w:lang w:bidi="fa-IR"/>
        </w:rPr>
        <w:t>یکی از برجسته ترین گروه های ضد هتک حرمتی که در ایالات متحده تشکیل شده است، گروه ضد افترای بِنای بریس</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تا یهودیان را از احساسات و تنفرِ یهود ستیزانه در امان نگه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عرصة کار خود را گسترش داد تا گروه های مذهبی و نژادهای دیگری را هم در سراسر جهان تحت پوشش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موارد فراوانی که مذهبی خاص به نحو غیرعادلانه ای مورد حمله و افترا قرار گرفته، عکس العمل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مربوط به روزنامه ای در ملبورن می شود که مقاله ای دربارۀ مردی یهودی نوشت که در دادگاه کیفری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مذکور این تیتر را در بالای مقاله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یهودی با اتهامات چهل و دو میلیون دلاری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ادعا کرد که زبان به کار رفته در این تیتر نامناسب است؛ زیرا توجه خواننده را به تصویری کلیشه ای و منفی از یهودیان هدایت می کند که حاکی از وسوسه و حرص آن ها نسبت به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آن ها بر این مبنا بود که مذهب فردِ متهم شده ارتباطی با گزارش واقعه ندارد و نباید ذکری از آن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دیگری که اعتراض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پی داشته شامل اظهارات گروه های اوَنجلیکال دست راستی است که منکر یهودکشی شده اند یا این نظریة توطئه را گسترش داده اند که یهودیان می خواهند کنترل دنیا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ها نحوة برخورد و حمله به دیگر گروه های مذهبی، از جمله اسلام، مورمون ها</w:t>
      </w:r>
      <w:r>
        <w:rPr>
          <w:rStyle w:val="FootnoteAnchor"/>
          <w:rtl w:val="true"/>
        </w:rPr>
        <w:footnoteReference w:id="454"/>
      </w:r>
      <w:r>
        <w:rPr>
          <w:rFonts w:ascii="IRNazanin" w:hAnsi="IRNazanin" w:eastAsia="IRNazanin"/>
          <w:color w:val="111111"/>
          <w:sz w:val="28"/>
          <w:sz w:val="28"/>
          <w:szCs w:val="28"/>
          <w:rtl w:val="true"/>
          <w:lang w:bidi="fa-IR"/>
        </w:rPr>
        <w:t>و گروه ها نژادی گوناگونی از جمله سیاه پوستان آمریکا و بومیان استرالیا را به باد انتقاد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موردی که ذکر شد،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نحو خاصی از روش طرح و انتقال دیدگاه های سخنگوی </w:t>
      </w:r>
    </w:p>
    <w:p>
      <w:pPr>
        <w:pStyle w:val="BookText"/>
        <w:rPr/>
      </w:pPr>
      <w:r>
        <w:rPr>
          <w:rFonts w:ascii="IRNazanin" w:hAnsi="IRNazanin" w:eastAsia="IRNazanin"/>
          <w:color w:val="111111"/>
          <w:sz w:val="28"/>
          <w:sz w:val="28"/>
          <w:szCs w:val="28"/>
          <w:rtl w:val="true"/>
          <w:lang w:bidi="fa-IR"/>
        </w:rPr>
        <w:t>دست راستی، پالین هَنسن در رسانه های استرالیا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معتقدند که رسانه ها امکانات فراوانی در اختیار وی گذاشته اند تا دیدگاه های ضد بومیان استرالیا و ایدئولوژی تک ملتِ خود را مطرح و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ضد هتک حرمت دیگری وجود دارند که دیدگاهای شان به نحو گسترده ای از طریق اینترنت مطرح شده است؛ اتحاد ضد هتک حرمت هندو و اتحاد ملی علیه تبعیض مسیحیت دو نمونه از این گروه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بسیاری از موارد اعضای گروه های مذهبی نگرانی خود را نه نسبت به گروه یا انجمن ضد هتک حرمت خاصی بلکه نسبت به مطلب یا اثری که به اعتقاد این گروه ها از عقاید مذهبی شان هتک حرمت کرده است، ابراز می دارند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رسانه ای است که طی دهه های اخیر بحث های فراوانی در این زمینه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سراسر جهان نسبت به فیلم هایی چون آخرین وسوسة مسیح، شیاطین، روایت مونتی پایتن از زندگی برایان و جن گیر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مسلمانان اعتراض خود را علیه تصویر منفی ای که به اعتقادشان در فیلم هایی چون بدون دخترم هرگز</w:t>
      </w:r>
      <w:r>
        <w:rPr>
          <w:rStyle w:val="FootnoteAnchor"/>
          <w:rtl w:val="true"/>
        </w:rPr>
        <w:footnoteReference w:id="455"/>
      </w:r>
      <w:r>
        <w:rPr>
          <w:rFonts w:ascii="IRNazanin" w:hAnsi="IRNazanin" w:eastAsia="IRNazanin"/>
          <w:color w:val="111111"/>
          <w:sz w:val="28"/>
          <w:sz w:val="28"/>
          <w:szCs w:val="28"/>
          <w:rtl w:val="true"/>
          <w:lang w:bidi="fa-IR"/>
        </w:rPr>
        <w:t>ارائه شده است،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در کشور هندوستان علیه فیلمی با مضمون هم جنس گرایی زنانه اعتراض کردند که بنابر اعتقاد ایشان از فرهنگ، جامعه و مذهبشان هتک حرمت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خودِ مذاهب نیز متهم به هتک حرمت یکدیگر شده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شماری از گروه های اوَنجلیکال مسیحی و دست راستی را نام برده که از یهودیت هتک حرمت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فلسطین، مسلمانان و یهودیان را برانگیخته تا در اینترنت مطالب تند و افتراآمیزی دربارۀ مذاهب یکدیگر منتشر کنند</w:t>
      </w:r>
      <w:r>
        <w:rPr>
          <w:rFonts w:eastAsia="IRNazanin" w:cs="IRNazanin"/>
          <w:color w:val="111111"/>
          <w:sz w:val="28"/>
          <w:szCs w:val="28"/>
          <w:rtl w:val="true"/>
          <w:lang w:bidi="fa-IR"/>
        </w:rPr>
        <w:t xml:space="preserve">. </w:t>
      </w:r>
      <w:bookmarkStart w:id="1070" w:name="pg3881_28203"/>
    </w:p>
    <w:p>
      <w:pPr>
        <w:pStyle w:val="BookText"/>
        <w:rPr/>
      </w:pPr>
      <w:bookmarkEnd w:id="1070"/>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پیشنهاد داد که باید تلاش های جدیدی برای ممانعت از دامن زدن به نفرت مذهبی انجام شود؛ زیرا برخی از مذاهب برای دفاع از خود در برابر حملات دیگران متقابلاً به هتک حرمت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چنان یکی از بزرگ ترین و مؤثرترین گروه های ضد هتک حرمت مذهبی است و البته از سوی مدافعان آزادی بیان نیز شدیداً به باد انتقاد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نحوة برخورد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آن را رویکردِ برادر ارشد</w:t>
      </w:r>
      <w:r>
        <w:rPr>
          <w:rStyle w:val="FootnoteAnchor"/>
          <w:rtl w:val="true"/>
        </w:rPr>
        <w:footnoteReference w:id="456"/>
      </w:r>
      <w:r>
        <w:rPr>
          <w:rFonts w:ascii="IRNazanin" w:hAnsi="IRNazanin" w:eastAsia="IRNazanin"/>
          <w:color w:val="111111"/>
          <w:sz w:val="28"/>
          <w:sz w:val="28"/>
          <w:szCs w:val="28"/>
          <w:rtl w:val="true"/>
          <w:lang w:bidi="fa-IR"/>
        </w:rPr>
        <w:t>نامیده اند،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عقیده دارند که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افراد و گروه هایی که احساس می کند می توانند برای مذهب مخاطره آمیز باشند، پرونده های تهدیدآمیز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مطرح شده که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صهیونیسم ارتباط دارد و بر اساس چنین دیدگاهی نیز با انتقاداتی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قرن بیست و یکم </w:t>
      </w:r>
      <w:r>
        <w:rPr>
          <w:rFonts w:eastAsia="Times New Roman" w:cs="Times New Roman" w:ascii="Times New Roman" w:hAnsi="Times New Roman"/>
          <w:color w:val="111111"/>
          <w:sz w:val="28"/>
          <w:szCs w:val="28"/>
          <w:lang w:val="en-US" w:bidi="en-US"/>
        </w:rPr>
        <w:t>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چنان خود را متعهد به مبارزه با هتک حرمت در همه جا، به ویژه اینترنت می داند</w:t>
      </w:r>
      <w:r>
        <w:rPr>
          <w:rFonts w:eastAsia="IRNazanin" w:cs="IRNazanin"/>
          <w:color w:val="111111"/>
          <w:sz w:val="28"/>
          <w:szCs w:val="28"/>
          <w:rtl w:val="true"/>
          <w:lang w:bidi="fa-IR"/>
        </w:rPr>
        <w:t>.</w:t>
      </w:r>
    </w:p>
    <w:p>
      <w:pPr>
        <w:pStyle w:val="Heading3"/>
        <w:numPr>
          <w:ilvl w:val="2"/>
          <w:numId w:val="1"/>
        </w:numPr>
        <w:rPr/>
      </w:pPr>
      <w:bookmarkStart w:id="1071" w:name="__RefHeading___Toc1656752_2281741623"/>
      <w:bookmarkStart w:id="1072" w:name="_Toc382"/>
      <w:bookmarkEnd w:id="1071"/>
      <w:r>
        <w:rPr>
          <w:rtl w:val="true"/>
        </w:rPr>
        <w:t>هتک حرمت و اینترنت</w:t>
      </w:r>
      <w:bookmarkEnd w:id="1072"/>
    </w:p>
    <w:p>
      <w:pPr>
        <w:pStyle w:val="BookText"/>
        <w:rPr/>
      </w:pPr>
      <w:r>
        <w:rPr>
          <w:rFonts w:ascii="IRNazanin" w:hAnsi="IRNazanin" w:eastAsia="IRNazanin"/>
          <w:color w:val="111111"/>
          <w:sz w:val="28"/>
          <w:sz w:val="28"/>
          <w:szCs w:val="28"/>
          <w:rtl w:val="true"/>
          <w:lang w:bidi="fa-IR"/>
        </w:rPr>
        <w:t>هتک حرمت و اینترنت</w:t>
      </w:r>
    </w:p>
    <w:p>
      <w:pPr>
        <w:pStyle w:val="BookText"/>
        <w:rPr/>
      </w:pPr>
      <w:r>
        <w:rPr>
          <w:rFonts w:ascii="IRNazanin" w:hAnsi="IRNazanin" w:eastAsia="IRNazanin"/>
          <w:color w:val="111111"/>
          <w:sz w:val="28"/>
          <w:sz w:val="28"/>
          <w:szCs w:val="28"/>
          <w:rtl w:val="true"/>
          <w:lang w:bidi="fa-IR"/>
        </w:rPr>
        <w:t>وقتی کار به بحث حقوقی دربارۀ هتک حرمت می کشد، اینترنت در حکم رسانة ارتباطی جهانی مشکلاتی را پیش رو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یکی از رسانه هایی است که بیشترین رشد و پیشرفت را در سطح جهان داشته و تأثیر آن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در اینترنت مسئلة مهمی است که اهمیتش روزبه روز افزایش می یابد و برخورد حقوقی با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برای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اصلی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موضوعات مرتبط با نشر؛ اگر عضوی از یک گروه مذهبی اعتقاد داشته باشد که فرد یا گروهی به مذهب او بی احترامی کرده است، این موضوع مطرح می شود که نشر به چه صورت انجام شده است؟ آیا صرفاً کسی که چنین مطلبی را به اینترنت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منتقل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است یا کسی</w:t>
      </w:r>
    </w:p>
    <w:p>
      <w:pPr>
        <w:pStyle w:val="BookText"/>
        <w:rPr/>
      </w:pPr>
      <w:r>
        <w:rPr>
          <w:rFonts w:ascii="IRNazanin" w:hAnsi="IRNazanin" w:eastAsia="IRNazanin"/>
          <w:color w:val="111111"/>
          <w:sz w:val="28"/>
          <w:sz w:val="28"/>
          <w:szCs w:val="28"/>
          <w:rtl w:val="true"/>
          <w:lang w:bidi="fa-IR"/>
        </w:rPr>
        <w:t>که آن را دریافت و بارگذاری می کند</w:t>
      </w:r>
      <w:r>
        <w:rPr>
          <w:rStyle w:val="FootnoteAnchor"/>
          <w:rtl w:val="true"/>
        </w:rPr>
        <w:footnoteReference w:id="457"/>
      </w:r>
      <w:r>
        <w:rPr>
          <w:rFonts w:ascii="IRNazanin" w:hAnsi="IRNazanin" w:eastAsia="IRNazanin"/>
          <w:color w:val="111111"/>
          <w:sz w:val="28"/>
          <w:sz w:val="28"/>
          <w:szCs w:val="28"/>
          <w:rtl w:val="true"/>
          <w:lang w:bidi="fa-IR"/>
        </w:rPr>
        <w:t>هم نقش دارد؟ هم چنین اثر محتوی هتک حرمت را می توان از کشوری به کشور دیگر فرستاد و در جای دوم به آن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هر کشوری می تواند از حیث قانون هتک حرمت تفاوت ها و تأکیدات متفاوتی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می توانند آثار محتوی هک حرمت را به طور ناشناس در اینترنت عرضه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موضوع درست است که می توان به شیوه های مختلف چنین نویسندگان ناشناسی را شناسایی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کنندگان خدمات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قانونی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شرکت های واسطة اینترنتی مسئولیت محتوایی را دارند که تولید نمی کنند ولی منتقل می سازند؟ در آلمان به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قانون خدمات اطلاعاتی و ارتباطی تصویب شد که به تأمین کنندگان خدمات اینترنتی با توجه به محتوای آثار مشتریان شان مسئولیت می دهد که در مواردی اگر ممکن باشد، سایتی را فیلتر کنند یا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ارتباطات جهانی آسان تر و سریع تر می شود، هتک حرمت مذهبی نیز دغدغة بیشتری ایجاد می 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به نحو گسترده ای در حکم وسیله ای برای منتقل ساختن انتقادات نسبت به گروه ها و عقاید مذهبی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به نحو خاصی دشوار می توان تعیین کرد که آیا فلان نقد مضر و گمراه کننده و در نتیجه همراه با هتک حرمت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بعد، بحث دربارۀ کنترل اینترنت باید موضوع آزادی بیان، حمایت در برابر کلیشه های مضر، منفی و حملاتی را در نظر بگیرد که بر گروه های مذهبی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 جا نیست که بگوییم دولت ها باید به طور جدی ارتباط بین آثار محتوی هتک حرمت و تأثیر آن ها را بر کسانی بررسی کنند که مایلند به اعضای یک گروه خاص مذهبی آسیب جسمانی وارد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هتک حرمت مذهبی ممکن است به وسیلة طیف گسترده ای از رسانه ها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رادیویی و تلویزیونی، فیلم، گزارش های روزنامه ها و مجله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رمان و شعر نیز می توانند اعتراض اعضای گروه های مذهبی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متفاوت و جدیدتر نیز معمولاً علیه شیوة نمایش افکار و عقاید خود در تلویزیون و سینما اعتراض کرده اند؛ برای نمونه ویکا ها</w:t>
      </w:r>
      <w:r>
        <w:rPr>
          <w:rStyle w:val="FootnoteAnchor"/>
          <w:rtl w:val="true"/>
        </w:rPr>
        <w:footnoteReference w:id="458"/>
      </w:r>
      <w:r>
        <w:rPr>
          <w:rFonts w:ascii="IRNazanin" w:hAnsi="IRNazanin" w:eastAsia="IRNazanin"/>
          <w:color w:val="111111"/>
          <w:sz w:val="28"/>
          <w:sz w:val="28"/>
          <w:szCs w:val="28"/>
          <w:rtl w:val="true"/>
          <w:lang w:bidi="fa-IR"/>
        </w:rPr>
        <w:t>گروه ضد هتک حرمت خاص خود را تشکیل داده اند؛ زیرا به ادعای خویش جزو گروه هایی هستند که در ایالات متحده بیشترین تبعیض نسبت به آن ها 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گروه مذهبی خاصی بخواهد موردی را در دادگاه مطرح سازد، باید ثابت کند اثری که از عقاید وی هتک حرمت کرده است گمراه کننده، نادرست و برای آن شخص یا گروه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اثبات چنین امری بسیار دشوار است و پیچیدگی هایی که قانون ضد هتک حرمت در پی دارد، همواره باعث می شود تا بحث ها و تجدید نظرها در این باره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ویکتوریا لاپُرته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علی عامری مهابادی </w:t>
      </w:r>
      <w:bookmarkStart w:id="1073" w:name="pg3881_28206"/>
    </w:p>
    <w:p>
      <w:pPr>
        <w:pStyle w:val="Heading3"/>
        <w:numPr>
          <w:ilvl w:val="2"/>
          <w:numId w:val="1"/>
        </w:numPr>
        <w:rPr/>
      </w:pPr>
      <w:bookmarkStart w:id="1074" w:name="__RefHeading___Toc1656754_2281741623"/>
      <w:bookmarkStart w:id="1075" w:name="_Toc383"/>
      <w:bookmarkEnd w:id="1073"/>
      <w:bookmarkEnd w:id="1074"/>
      <w:r>
        <w:rPr>
          <w:rtl w:val="true"/>
        </w:rPr>
        <w:t>برای مطالعۀ بیشتر</w:t>
      </w:r>
      <w:bookmarkEnd w:id="1075"/>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Anti-Defamation League of B’nai B’rith. (1997–1999). ADL Briefing, 1(1) &amp; 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Akhtar, S. (1990). Is freedom holy to liberals? Some remarks on the purpose of law in free speech. London: Commission For Racial Equality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Article 19. (1989). The crime of blasphemy—Why it should be abolished. London: Article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Leo Cussen Institute. (1998). Media law and defamation. Melbourne, Australia: Leo Cussen Institute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Leo Cussen Institute. (2001). Defamation and the Internet. Melbourne, Australia: Leo Cussen Institute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Pipes, D. (1990). The Rushdie affair. New York: Carol. Pullan, R. (1994). Guilty secrets, free speech, and defamation in Australia. Glebe, Australia: Pascal</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United Nations Commission on Human Rights. (2004). Racism, racial discrimination, xenophobia, and all forms of discrimination. Geneva, Switzerland: United Nations</w:t>
      </w:r>
      <w:r>
        <w:rPr>
          <w:rFonts w:eastAsia="Times New Roman" w:cs="Times New Roman" w:ascii="Times New Roman" w:hAnsi="Times New Roman"/>
          <w:color w:val="111111"/>
          <w:sz w:val="28"/>
          <w:szCs w:val="28"/>
          <w:rtl w:val="true"/>
          <w:lang w:val="en-US" w:bidi="en-US"/>
        </w:rPr>
        <w:t xml:space="preserve">. </w:t>
      </w:r>
      <w:bookmarkStart w:id="1076" w:name="pg3881_28207"/>
    </w:p>
    <w:p>
      <w:pPr>
        <w:pStyle w:val="Heading2"/>
        <w:numPr>
          <w:ilvl w:val="1"/>
          <w:numId w:val="1"/>
        </w:numPr>
        <w:rPr/>
      </w:pPr>
      <w:bookmarkStart w:id="1077" w:name="__RefHeading___Toc1656756_2281741623"/>
      <w:bookmarkStart w:id="1078" w:name="_Toc384"/>
      <w:bookmarkEnd w:id="1076"/>
      <w:bookmarkEnd w:id="1077"/>
      <w:r>
        <w:rPr>
          <w:rtl w:val="true"/>
        </w:rPr>
        <w:t>هرزه نگاری</w:t>
      </w:r>
      <w:bookmarkEnd w:id="1078"/>
    </w:p>
    <w:p>
      <w:pPr>
        <w:pStyle w:val="Heading3"/>
        <w:numPr>
          <w:ilvl w:val="2"/>
          <w:numId w:val="1"/>
        </w:numPr>
        <w:rPr/>
      </w:pPr>
      <w:bookmarkStart w:id="1079" w:name="__RefHeading___Toc1656758_2281741623"/>
      <w:bookmarkStart w:id="1080" w:name="_Toc385"/>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هرزه نگاری</w:t>
      </w:r>
    </w:p>
    <w:p>
      <w:pPr>
        <w:pStyle w:val="BookText"/>
        <w:rPr/>
      </w:pPr>
      <w:r>
        <w:rPr>
          <w:rFonts w:ascii="IRNazanin" w:hAnsi="IRNazanin" w:eastAsia="IRNazanin"/>
          <w:color w:val="111111"/>
          <w:sz w:val="28"/>
          <w:sz w:val="28"/>
          <w:szCs w:val="28"/>
          <w:rtl w:val="true"/>
          <w:lang w:bidi="fa-IR"/>
        </w:rPr>
        <w:t>خوش بینانه هم که به موضوع هرزه نگاری</w:t>
      </w:r>
      <w:r>
        <w:rPr>
          <w:rStyle w:val="FootnoteAnchor"/>
          <w:rtl w:val="true"/>
        </w:rPr>
        <w:footnoteReference w:id="459"/>
      </w:r>
      <w:r>
        <w:rPr>
          <w:rFonts w:ascii="IRNazanin" w:hAnsi="IRNazanin" w:eastAsia="IRNazanin"/>
          <w:color w:val="111111"/>
          <w:sz w:val="28"/>
          <w:sz w:val="28"/>
          <w:szCs w:val="28"/>
          <w:rtl w:val="true"/>
          <w:lang w:bidi="fa-IR"/>
        </w:rPr>
        <w:t>بپردازیم، می بینیم که تلاش برای تعریف این واژه بسیار مشکل ساز بوده است؛ از این روست که این واژه در خود، معانی برگرفته از اجتماع، اخلاق، سیاست و انبوهی از اشاره های ضمنی را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راه دشواری را دو چندان می کند، بسامد استفادة اندیشمندان، منتقدان و مفسران گوناگون از این واژه و جایگزین کردن آن با واژگان مترادفی، چون مستهجن،</w:t>
      </w:r>
      <w:r>
        <w:rPr>
          <w:rStyle w:val="FootnoteAnchor"/>
          <w:rtl w:val="true"/>
        </w:rPr>
        <w:footnoteReference w:id="460"/>
      </w:r>
      <w:r>
        <w:rPr>
          <w:rFonts w:ascii="IRNazanin" w:hAnsi="IRNazanin" w:eastAsia="IRNazanin"/>
          <w:color w:val="111111"/>
          <w:sz w:val="28"/>
          <w:sz w:val="28"/>
          <w:szCs w:val="28"/>
          <w:rtl w:val="true"/>
          <w:lang w:bidi="fa-IR"/>
        </w:rPr>
        <w:t>خلاف عفت،</w:t>
      </w:r>
      <w:r>
        <w:rPr>
          <w:rStyle w:val="FootnoteAnchor"/>
          <w:rtl w:val="true"/>
        </w:rPr>
        <w:footnoteReference w:id="461"/>
      </w:r>
      <w:r>
        <w:rPr>
          <w:rFonts w:ascii="IRNazanin" w:hAnsi="IRNazanin" w:eastAsia="IRNazanin"/>
          <w:color w:val="111111"/>
          <w:sz w:val="28"/>
          <w:sz w:val="28"/>
          <w:szCs w:val="28"/>
          <w:rtl w:val="true"/>
          <w:lang w:bidi="fa-IR"/>
        </w:rPr>
        <w:t>شهوت برانگیز،</w:t>
      </w:r>
      <w:r>
        <w:rPr>
          <w:rStyle w:val="FootnoteAnchor"/>
          <w:rtl w:val="true"/>
        </w:rPr>
        <w:footnoteReference w:id="462"/>
      </w:r>
      <w:r>
        <w:rPr>
          <w:rFonts w:ascii="IRNazanin" w:hAnsi="IRNazanin" w:eastAsia="IRNazanin"/>
          <w:color w:val="111111"/>
          <w:sz w:val="28"/>
          <w:sz w:val="28"/>
          <w:szCs w:val="28"/>
          <w:rtl w:val="true"/>
          <w:lang w:bidi="fa-IR"/>
        </w:rPr>
        <w:t>نامناسب برای تماشای کودکان،</w:t>
      </w:r>
      <w:r>
        <w:rPr>
          <w:rStyle w:val="FootnoteAnchor"/>
          <w:rtl w:val="true"/>
        </w:rPr>
        <w:footnoteReference w:id="463"/>
      </w:r>
      <w:r>
        <w:rPr>
          <w:rFonts w:ascii="IRNazanin" w:hAnsi="IRNazanin" w:eastAsia="IRNazanin"/>
          <w:color w:val="111111"/>
          <w:sz w:val="28"/>
          <w:sz w:val="28"/>
          <w:szCs w:val="28"/>
          <w:rtl w:val="true"/>
          <w:lang w:bidi="fa-IR"/>
        </w:rPr>
        <w:t xml:space="preserve">کاملا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کسی برای هرزه نگاری چهارچوبی تعریف می کند، کار او نتیجة عوامل مختلف است، از جمله این که، دیدگاه او نسبت به جنسی یا اخلاقی بودن چیست و روشن تر بگویم، اصلاً از تعریف این اصطلاح چه منظوری دارد؟ برخی از منتقدان میان شهوت برانگیز و هرزه نگاری تفاوت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برانگیز این طور معنا می 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عملکرد جنسی میان دو نفر که هر دو از آن لذت می برند و هر دو آن قدر اختیار دارند که از روی انتخابِ مثبت دست به این کار بزنند؛ ولی هرزه نگاری در خود پیامی با ویژگی های خشونت، تسلط و تصرف به همراه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افزون بر این، بسیاری از دانشمندان جامعه شناسی از به کار بردن واژة هرزه نگاری خودداری و به جای آن از واژگانی متعادل تر، هم چون لوازم غیر اخلاقی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کارشناسان بین شهوت برانگیز، بده بستان آشکار جنسی معیار و چیزهای جنسی تر که ماهیت خشن تری دارند</w:t>
      </w:r>
      <w:r>
        <w:rPr>
          <w:rStyle w:val="FootnoteAnchor"/>
          <w:rtl w:val="true"/>
        </w:rPr>
        <w:footnoteReference w:id="466"/>
      </w:r>
      <w:r>
        <w:rPr>
          <w:rFonts w:ascii="IRNazanin" w:hAnsi="IRNazanin" w:eastAsia="IRNazanin"/>
          <w:color w:val="111111"/>
          <w:sz w:val="28"/>
          <w:sz w:val="28"/>
          <w:szCs w:val="28"/>
          <w:rtl w:val="true"/>
          <w:lang w:bidi="fa-IR"/>
        </w:rPr>
        <w:t>و نیزکارهایی با ماهیت های غریب</w:t>
      </w:r>
      <w:r>
        <w:rPr>
          <w:rStyle w:val="FootnoteAnchor"/>
          <w:rtl w:val="true"/>
        </w:rPr>
        <w:footnoteReference w:id="467"/>
      </w:r>
      <w:r>
        <w:rPr>
          <w:rFonts w:ascii="IRNazanin" w:hAnsi="IRNazanin" w:eastAsia="IRNazanin"/>
          <w:color w:val="111111"/>
          <w:sz w:val="28"/>
          <w:sz w:val="28"/>
          <w:szCs w:val="28"/>
          <w:rtl w:val="true"/>
          <w:lang w:bidi="fa-IR"/>
        </w:rPr>
        <w:t>تفاوت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یافتن تعریفی برای هرزه نگاری که به لحاظ حقوقی نیز مقبول باشد،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دادستان دادگاه عالی ایالات متحده در رسیدگی به پروندۀ جیکُبلیس در اُهایو</w:t>
      </w:r>
      <w:r>
        <w:rPr>
          <w:rStyle w:val="FootnoteAnchor"/>
          <w:rtl w:val="true"/>
        </w:rPr>
        <w:footnoteReference w:id="46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با گفتن این جملة آشنا که شنیدن کِی بود مانند دیدن در به تصویر کشیدن چالش پیش رو در این باره حق مطلب را خوب ادا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تلاش قانون برای ارائة تعریفی از هرزه نگاری چالش های حقوقی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نخستین اصلاحیة منع لوازم غیر اخلاقی است که حاصل پروندۀ روت در ایالات متحده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رسیدگی به این پرونده، دادگاه عالی به ظاهر از تعریف هرزه نگاری سرباز زد و به جای آن به تعیین معیاری برای اعمال و ابزار زشت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طبق قانون، عمل یا ابزاری زشت شمرده می شود ـ و از این رو توجیهی برای منع قانونی آن وجود دارد ـ که فرد معمولی با توجه به معیارهای اجتماعی، نشانه ای از برانگیختن علاقۀ جنسی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عالی بعد از ارائۀ این تعریف و در رسیدگی به پروندة میلر در کالیفرنیا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به اصلاح و تعدیل این تعریف پرداخت</w:t>
      </w:r>
      <w:r>
        <w:rPr>
          <w:rStyle w:val="FootnoteAnchor"/>
          <w:rtl w:val="true"/>
        </w:rPr>
        <w:footnoteReference w:id="470"/>
      </w:r>
      <w:r>
        <w:rPr>
          <w:rFonts w:ascii="IRNazanin" w:hAnsi="IRNazanin" w:eastAsia="IRNazanin"/>
          <w:color w:val="111111"/>
          <w:sz w:val="28"/>
          <w:sz w:val="28"/>
          <w:szCs w:val="28"/>
          <w:rtl w:val="true"/>
          <w:lang w:bidi="fa-IR"/>
        </w:rPr>
        <w:t xml:space="preserve">و گفت که این عمل باید به شیوه ای آشکار و آزاردهنده به نمایش یا توصیف عمل جنسی بپردازد؛ به گونه ای که در قانون ایالتی آمده است و این عمل در مجموع نشانی آشکار از ارزش هنری، سیاسی </w:t>
      </w:r>
      <w:bookmarkStart w:id="1081" w:name="pg3881_28209"/>
    </w:p>
    <w:p>
      <w:pPr>
        <w:pStyle w:val="BookText"/>
        <w:rPr/>
      </w:pPr>
      <w:bookmarkEnd w:id="1081"/>
      <w:r>
        <w:rPr>
          <w:rFonts w:ascii="IRNazanin" w:hAnsi="IRNazanin" w:eastAsia="IRNazanin"/>
          <w:color w:val="111111"/>
          <w:sz w:val="28"/>
          <w:sz w:val="28"/>
          <w:szCs w:val="28"/>
          <w:rtl w:val="true"/>
          <w:lang w:bidi="fa-IR"/>
        </w:rPr>
        <w:t>یا علمی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قانونی، گشایشی است برای تعیین این که چه چیز در این باره منع قانونی دارد و چه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تعریفی قانونی از این دست هنوز هم بسیار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که به سبب مسائل اخلاقی با لوازم غیراخلاقی مخالفت می کنند در تعریفی که از هرزه نگاری ارائه می دهند، کلی نگرترند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فالوِل مبلغ مذهبی مشهور تلویزیونی، هر چیزی را که طراحی شده، تا موجب بروز میل جنسی در مشتری شود، در برگیرندة هرزه نگاری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دونالد وایلدمِن پایه گذار انجمن خانوادۀ آمریکا،به فیلم ها و تصاویر با مضمون جنسی در تلویزیون آمریکا انتقاد کرد و در حملۀ خود، قضاوت شخصی را ملاک قرار داد تا بگوید چه چیزهایی در محدودة لوازم غیراخلاقی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تعریف های کلی نگر و ذهنی، دامنة هرزه نگاری را تا آن جا گسترش می دهند که بیشتر برنامه های تلویزیونی معاصر را در بر می گیرند و بازار گرم برنامه هایی با مضامین تبلیغاتی را نیز شامل می شود</w:t>
      </w:r>
      <w:r>
        <w:rPr>
          <w:rFonts w:eastAsia="IRNazanin" w:cs="IRNazanin"/>
          <w:color w:val="111111"/>
          <w:sz w:val="28"/>
          <w:szCs w:val="28"/>
          <w:rtl w:val="true"/>
          <w:lang w:bidi="fa-IR"/>
        </w:rPr>
        <w:t>.</w:t>
      </w:r>
    </w:p>
    <w:p>
      <w:pPr>
        <w:pStyle w:val="Heading3"/>
        <w:numPr>
          <w:ilvl w:val="2"/>
          <w:numId w:val="1"/>
        </w:numPr>
        <w:rPr/>
      </w:pPr>
      <w:bookmarkStart w:id="1082" w:name="__RefHeading___Toc1656760_2281741623"/>
      <w:bookmarkStart w:id="1083" w:name="_Toc386"/>
      <w:bookmarkEnd w:id="1082"/>
      <w:r>
        <w:rPr>
          <w:rtl w:val="true"/>
        </w:rPr>
        <w:t>موضِع مذهب</w:t>
      </w:r>
      <w:bookmarkEnd w:id="1083"/>
    </w:p>
    <w:p>
      <w:pPr>
        <w:pStyle w:val="BookText"/>
        <w:rPr/>
      </w:pPr>
      <w:r>
        <w:rPr>
          <w:rFonts w:ascii="Amiri" w:hAnsi="Amiri" w:eastAsia="Amiri" w:cs="Amiri"/>
          <w:color w:val="111111"/>
          <w:sz w:val="28"/>
          <w:sz w:val="28"/>
          <w:szCs w:val="28"/>
          <w:rtl w:val="true"/>
          <w:lang w:bidi="ar-SA"/>
        </w:rPr>
        <w:t>موضِع مذهب</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در شکل سازمان یافته به گونۀ سنتی در برابر هرزه نگاری و کسانی که آن را تولید می کنند، موضعی منتقدانه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سازمان های مذهبی با لوازم غیر اخلاقی در سال های واپسین دهۀ</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گروه های مختلف مذهبی فعالانه تر با هرزه نگاری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های مهمی در این مورد از گوشه و کنار به راه افتاد که از جمله می شود به چالش سازمان ائتلاف مسیحی اشاره کرد که عهد با خانواده های آمریکایی</w:t>
      </w:r>
      <w:r>
        <w:rPr>
          <w:rStyle w:val="FootnoteAnchor"/>
          <w:rtl w:val="true"/>
        </w:rPr>
        <w:footnoteReference w:id="471"/>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گروه، قانونگذاران را واداشت تا قوانین </w:t>
      </w:r>
    </w:p>
    <w:p>
      <w:pPr>
        <w:pStyle w:val="BookText"/>
        <w:rPr/>
      </w:pPr>
      <w:r>
        <w:rPr>
          <w:rFonts w:ascii="IRNazanin" w:hAnsi="IRNazanin" w:eastAsia="IRNazanin"/>
          <w:color w:val="111111"/>
          <w:sz w:val="28"/>
          <w:sz w:val="28"/>
          <w:szCs w:val="28"/>
          <w:rtl w:val="true"/>
          <w:lang w:bidi="fa-IR"/>
        </w:rPr>
        <w:t>سخت تری برای محدود کردن دسترسی به لوازم غیر اخلاقی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انجمن خانوادة أمریکا هم به مبارزة پیوستة خود در میان مردم ادامه داد و مردم را تشویق می کرد تا با تحریم شرکت ها و سازمان های بی شمار</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Eelven,Books-A-Million, MTV, Movie Gallery</w:t>
      </w:r>
    </w:p>
    <w:p>
      <w:pPr>
        <w:pStyle w:val="BookText"/>
        <w:rPr/>
      </w:pPr>
      <w:r>
        <w:rPr>
          <w:rFonts w:ascii="IRNazanin" w:hAnsi="IRNazanin" w:eastAsia="IRNazanin"/>
          <w:color w:val="111111"/>
          <w:sz w:val="28"/>
          <w:sz w:val="28"/>
          <w:szCs w:val="28"/>
          <w:rtl w:val="true"/>
          <w:lang w:bidi="fa-IR"/>
        </w:rPr>
        <w:t>با هدف محدود کردن دسترسی به مضامین غیراخلاقی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کدام از این گروه ها و فرقه های مذهبی به علل گوناگون با هرزه نگاری مخالفت کرده اند؛ از جمله این که برخی نمایش بی پرده و کاملاً آشکار رفتارهای جنسی را به باد انتقاد گرفته اند و دیگران چنین استدلال کرده اند که هرزه نگاری تیشه یه ریشۀ شأن انسانی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 در این باره می گوید که سَنت آگوستین رُمی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او از حکایت آدم و حوا، گرۀ کوری را ایجاد کرد که رابطۀ جنسی را به گناه پیوند می دهد؛ چیزی که تا به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می دانست که انسان از مهار کردن امیال شدید جنسی خود ناتوان است و به همین علت، برای محدود کردن رفتارهای جنسی، باید قوانین سختی را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ریس، رسوایی های دنیای جدید، مانند آن چیزی که بر سر جیم بیکر آمد و او را انگشت نمای همه کرد به این اندیشه که رابطۀ جنسی قدرتمند و خطرناک است، رنگی جاودانه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ناظران گفته اند آن چه در بطن این منازعه خفته است، مخالفت میان بزرگداشت گرایش های جنسی انسان ـ که مذهب حامی آن است ـ و بی ارزش ساختن شأن انسانی است که در هرزه نگاری تجسم یافته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رابطۀ جنسی در شکل درست آن و طبق دیدگاه انجیل سفارش شده است و گناه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دنبال شاهدی بر این گفته هستند به سِفر پیدایش، سوره و آیة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خداوند متعال گفته است</w:t>
      </w:r>
      <w:r>
        <w:rPr>
          <w:rFonts w:eastAsia="IRNazanin" w:cs="IRNazanin"/>
          <w:color w:val="111111"/>
          <w:sz w:val="28"/>
          <w:szCs w:val="28"/>
          <w:rtl w:val="true"/>
          <w:lang w:bidi="fa-IR"/>
        </w:rPr>
        <w:t xml:space="preserve">: </w:t>
      </w:r>
      <w:bookmarkStart w:id="1084" w:name="pg3881_28211"/>
    </w:p>
    <w:p>
      <w:pPr>
        <w:pStyle w:val="BookText"/>
        <w:rPr/>
      </w:pPr>
      <w:bookmarkEnd w:id="1084"/>
      <w:r>
        <w:rPr>
          <w:rFonts w:ascii="IRNazanin" w:hAnsi="IRNazanin" w:eastAsia="IRNazanin"/>
          <w:color w:val="111111"/>
          <w:sz w:val="28"/>
          <w:sz w:val="28"/>
          <w:szCs w:val="28"/>
          <w:rtl w:val="true"/>
          <w:lang w:bidi="fa-IR"/>
        </w:rPr>
        <w:t>زن و شوهر به هم در آمیزند و یکی شوند و اگر باز هم قانع نشدند به آواز سلیمان در تورات گوش فرادهند</w:t>
      </w:r>
      <w:r>
        <w:rPr>
          <w:rFonts w:eastAsia="IRNazanin" w:cs="IRNazanin"/>
          <w:color w:val="111111"/>
          <w:sz w:val="28"/>
          <w:szCs w:val="28"/>
          <w:rtl w:val="true"/>
          <w:lang w:bidi="fa-IR"/>
        </w:rPr>
        <w:t>.</w:t>
      </w:r>
    </w:p>
    <w:p>
      <w:pPr>
        <w:pStyle w:val="Heading3"/>
        <w:numPr>
          <w:ilvl w:val="2"/>
          <w:numId w:val="1"/>
        </w:numPr>
        <w:rPr/>
      </w:pPr>
      <w:bookmarkStart w:id="1085" w:name="__RefHeading___Toc1656762_2281741623"/>
      <w:bookmarkStart w:id="1086" w:name="_Toc387"/>
      <w:bookmarkEnd w:id="1085"/>
      <w:r>
        <w:rPr>
          <w:rtl w:val="true"/>
        </w:rPr>
        <w:t>ارزش در هرزه نگاری</w:t>
      </w:r>
      <w:bookmarkEnd w:id="1086"/>
    </w:p>
    <w:p>
      <w:pPr>
        <w:pStyle w:val="BookText"/>
        <w:rPr/>
      </w:pPr>
      <w:r>
        <w:rPr>
          <w:rFonts w:ascii="IRNazanin" w:hAnsi="IRNazanin" w:eastAsia="IRNazanin"/>
          <w:color w:val="111111"/>
          <w:sz w:val="28"/>
          <w:sz w:val="28"/>
          <w:szCs w:val="28"/>
          <w:rtl w:val="true"/>
          <w:lang w:bidi="fa-IR"/>
        </w:rPr>
        <w:t>ارزش در هرزه نگاری</w:t>
      </w:r>
    </w:p>
    <w:p>
      <w:pPr>
        <w:pStyle w:val="BookText"/>
        <w:rPr/>
      </w:pPr>
      <w:r>
        <w:rPr>
          <w:rFonts w:ascii="IRNazanin" w:hAnsi="IRNazanin" w:eastAsia="IRNazanin"/>
          <w:color w:val="111111"/>
          <w:sz w:val="28"/>
          <w:sz w:val="28"/>
          <w:szCs w:val="28"/>
          <w:rtl w:val="true"/>
          <w:lang w:bidi="fa-IR"/>
        </w:rPr>
        <w:t>لوازم غیر اخلاقی در طرح ها و اندازه های مختلفی عرضه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ابزار از راه های گوناگون بسیاری عرضه می شوند که از جمله می شود به رسانه های سنتی، مانند مجله و تلویزیون کابلی اشاره کرد؛ نیز انواع تازه تر که از فن آوری پیشرفته بهره می برند؛ مانند سِکس در عالم مجازی، سِکس در دنیای سایبر و شهوت انگیزی بصری ـ الکترونیکی که با دی وی دی های تعاملی</w:t>
      </w:r>
      <w:r>
        <w:rPr>
          <w:rStyle w:val="FootnoteAnchor"/>
          <w:rtl w:val="true"/>
        </w:rPr>
        <w:footnoteReference w:id="473"/>
      </w:r>
      <w:r>
        <w:rPr>
          <w:rFonts w:ascii="IRNazanin" w:hAnsi="IRNazanin" w:eastAsia="IRNazanin"/>
          <w:color w:val="111111"/>
          <w:sz w:val="28"/>
          <w:sz w:val="28"/>
          <w:szCs w:val="28"/>
          <w:rtl w:val="true"/>
          <w:lang w:bidi="fa-IR"/>
        </w:rPr>
        <w:t>و اینترنت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تنوعِ به ظاهر نامحدود در عرضة لوازم غیراخلاقی، بیشتر این ابزار از محتوایی یکسان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 ها زنان را موجوداتی تصویر می کنند که به لحاظ غریزۀ جنسی ارضاناپذیرند و همۀ آرزوی شان، سلطة مردان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و برایانت در این باره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 این باره بیشتر در جست وجوی آن بوده اند تا تأثیر هرزه نگاری و نه تحلیل مضامین آن را بررسی کنند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گزیده ای از پژوهش ها مشخص کرده است که به طور کلی، بیشترِ هرزه نگاریِ تولید شده، برای مصرف مردان است و ویژگی های آن نمایش دادن اعضای جنسی، مقاربت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تولیدات هرزه نگاری که مرد و زن هر دو در آن حضور دارند، مردان به گونه ای به تصویر درمی آیند که نشان از سلطة آن ها بر هم خوابه 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زنان بسیار فرمان پذیرند و آمادگی آن را دارند تا عملاً به هر خواسته ای از جانب مردان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عمل جنسی به نمایش در آمده، به گونه ای است </w:t>
      </w:r>
    </w:p>
    <w:p>
      <w:pPr>
        <w:pStyle w:val="BookText"/>
        <w:rPr/>
      </w:pPr>
      <w:r>
        <w:rPr>
          <w:rFonts w:ascii="IRNazanin" w:hAnsi="IRNazanin" w:eastAsia="IRNazanin"/>
          <w:color w:val="111111"/>
          <w:sz w:val="28"/>
          <w:sz w:val="28"/>
          <w:szCs w:val="28"/>
          <w:rtl w:val="true"/>
          <w:lang w:bidi="fa-IR"/>
        </w:rPr>
        <w:t>که چیزهایی، چون دوستی و عشق، پیوند زناشویی، روابط احساسی و احساس تعهد اهمیت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دربارة هرزه نگاری در اینترنت هنوز در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مطالعات ابتدایی نشان می دهد که درون مایه هایی از این دست، به فضای سایبر راه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هایدر و هارپ به تحلیل محتوای بیش از دویست سایت هرزه نگاری پرداخته اند؛ آن ها در این سایت ها دریافته اند که فرمانبرداری زن، حکم درون مایة مسلط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عرضة زیبایی در شکل آرمانی آن کاری بود که در این سایت ها انجام می شد و دیگر این که به جوان توجه می کردند و این از استفادۀ گاه و بی گاه آن ها از واژه نوجوان</w:t>
      </w:r>
      <w:r>
        <w:rPr>
          <w:rStyle w:val="FootnoteAnchor"/>
          <w:rtl w:val="true"/>
        </w:rPr>
        <w:footnoteReference w:id="474"/>
      </w:r>
      <w:r>
        <w:rPr>
          <w:rFonts w:ascii="IRNazanin" w:hAnsi="IRNazanin" w:eastAsia="IRNazanin"/>
          <w:color w:val="111111"/>
          <w:sz w:val="28"/>
          <w:sz w:val="28"/>
          <w:szCs w:val="28"/>
          <w:rtl w:val="true"/>
          <w:lang w:bidi="fa-IR"/>
        </w:rPr>
        <w:t>به خوبی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وجود سایت های دنج،</w:t>
      </w:r>
      <w:r>
        <w:rPr>
          <w:rStyle w:val="FootnoteAnchor"/>
          <w:rtl w:val="true"/>
        </w:rPr>
        <w:footnoteReference w:id="475"/>
      </w:r>
      <w:r>
        <w:rPr>
          <w:rFonts w:ascii="IRNazanin" w:hAnsi="IRNazanin" w:eastAsia="IRNazanin"/>
          <w:color w:val="111111"/>
          <w:sz w:val="28"/>
          <w:sz w:val="28"/>
          <w:szCs w:val="28"/>
          <w:rtl w:val="true"/>
          <w:lang w:bidi="fa-IR"/>
        </w:rPr>
        <w:t>برای این است که تقریباً برای هر نوع خیال بافی جنسی از جانب هر کس پاسخی فراهم شود، حتی خیال تجاوز به عنف که به قربانی کردن زنان و درد و عذاب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مضامین غیراخلاقی در اینترنت، باید تحقیق بیشتری کرد تا روشن شود که ابزار هرزه نگاری عرضه شده در اینترنت اصلاً با نوع سنتی خود تفاوتی دارند یا نه و اگر دارند این تفاوت چقدر است؟</w:t>
      </w:r>
    </w:p>
    <w:p>
      <w:pPr>
        <w:pStyle w:val="BookText"/>
        <w:rPr/>
      </w:pPr>
      <w:r>
        <w:rPr>
          <w:rFonts w:ascii="IRNazanin" w:hAnsi="IRNazanin" w:eastAsia="IRNazanin"/>
          <w:color w:val="111111"/>
          <w:sz w:val="28"/>
          <w:sz w:val="28"/>
          <w:szCs w:val="28"/>
          <w:rtl w:val="true"/>
          <w:lang w:bidi="fa-IR"/>
        </w:rPr>
        <w:t>آثار هرزه نگاری بر بینش</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های رهبران مذهبی دربارۀ خطرهای هرزه نگاری بیهوده نیست؛ چرا که انبوهی از پژوهش های بی شبهه و قانع کننده حکایت می کنند که استفاده از لوازم غیر اخلاقی بالقوه آثار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باره نشان می دهد که تغذیه شدن با لوازم غیر اخلاقی به گونۀ خاص و در ساعت های متمادی و در حجم بسیار، به طور چشم گیری بر دیدگاه افراد، نسبت به رفتارهای جنسی و </w:t>
      </w:r>
    </w:p>
    <w:p>
      <w:pPr>
        <w:pStyle w:val="BookText"/>
        <w:rPr/>
      </w:pPr>
      <w:r>
        <w:rPr>
          <w:rFonts w:ascii="IRNazanin" w:hAnsi="IRNazanin" w:eastAsia="IRNazanin"/>
          <w:color w:val="111111"/>
          <w:sz w:val="28"/>
          <w:sz w:val="28"/>
          <w:szCs w:val="28"/>
          <w:rtl w:val="true"/>
          <w:lang w:bidi="fa-IR"/>
        </w:rPr>
        <w:t>زنندگی هرزه نگاری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شود به پژوهش محققانی، چون زیلمان و برایانت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شرکت کنندگان در تحقیق را ساعت ها 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به مدت شش هفته ـ در برابر فیلم های معمولی غیر خشن جنسی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فعالیت های جنسی خاصی را نمایش می دادند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oral/genital contact, heterosexual intercourse, and anal intercourse</w:t>
      </w:r>
    </w:p>
    <w:p>
      <w:pPr>
        <w:pStyle w:val="BookText"/>
        <w:rPr/>
      </w:pPr>
      <w:r>
        <w:rPr>
          <w:rFonts w:ascii="IRNazanin" w:hAnsi="IRNazanin" w:eastAsia="IRNazanin"/>
          <w:color w:val="111111"/>
          <w:sz w:val="28"/>
          <w:sz w:val="28"/>
          <w:szCs w:val="28"/>
          <w:rtl w:val="true"/>
          <w:lang w:bidi="fa-IR"/>
        </w:rPr>
        <w:t>هنگامی که این افراد را با گروه دیگری مقایسه کردند که اصلاً فیلم های غیراخلاقی جنسی ندیده بودند، فهمیدند که افراد گروه اول نسبت به گروهی که فیلم ندیده بودند، بیشتر گمان می کردند که میزان فعالیت های معمول جنسی در میان مردم عادی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گروه اول معتقد بودند فراوانی مواردی که افراد به فعالیت های جنسیِ غیر معمول تر، مانند سادومازوخیسم، رابطۀ جنسی با حیوانات و مراودۀ جنسی چند نفره مبادرت می ورزند، به مراتب بیشتر از برآوردهاست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مهم تر، یافتة دیگری در این تحقیق است که بیان آن خالی از لطف نیست و آن این که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فیلم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فراوانیِ فعالیت های جنسی را اندک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یافته های این پژوهش این بود که واقع شدن در معرض هرزه نگاری آن هم به مقدار زیاد، موجب فروکش کردن واکنش های تحریکی جنسی در میان شرکت کنندگانِ تحقیق نشد تا آن جا که پیامد آن بروز حساسیت زدایی کلی در میان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شرکت کنندگان 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سه هفته از دورة تماشای فیلم، طبق گزارش، از دیدن صحنه های هرزه نگاری، کمتر رنجیده می شدند، حتی می گفتند آن لوازم غیراخلاقی، نشان کمی از هرزه نگاری دارند</w:t>
      </w:r>
      <w:r>
        <w:rPr>
          <w:rFonts w:eastAsia="IRNazanin" w:cs="IRNazanin"/>
          <w:color w:val="111111"/>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فرضیۀ خوگیری،</w:t>
      </w:r>
      <w:r>
        <w:rPr>
          <w:rStyle w:val="FootnoteAnchor"/>
          <w:rtl w:val="true"/>
        </w:rPr>
        <w:footnoteReference w:id="477"/>
      </w:r>
      <w:r>
        <w:rPr>
          <w:rFonts w:ascii="IRNazanin" w:hAnsi="IRNazanin" w:eastAsia="IRNazanin"/>
          <w:color w:val="111111"/>
          <w:sz w:val="28"/>
          <w:sz w:val="28"/>
          <w:szCs w:val="28"/>
          <w:rtl w:val="true"/>
          <w:lang w:bidi="fa-IR"/>
        </w:rPr>
        <w:t>زیلمان و برایانت شواهد دیگری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بررسی انجام گرفته، به شرکت کنندگان در تحقیق گفته اند که به لحاظ مشکلات فنی، کار مدتی با تأخیر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اِشکال های فنی رفع می شد، افراد را به اتاق دیگری بردند تا چند فیلم ویدیویی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ویدیویی، شامل صحنه های بی ضرر که هر کسی می توانست آن ها را تماشا کند، صحنه هایی که برای زیر هفده ساله ها ممنوع بود، فیلم هایی با مضامین جنسی و صحنه های بسیار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گروه را با آن ها که در گذشته هیچ نوع فیلم غیر اخلاقیِ مستهجن نگاه نکرده بودند، مقایسه کردند، آن دسته از افراد شرکت کننده در تحقیق که به مقدار بسیار در برابر هرزه نگاری قرار داشتند به سراغ فیلم هایی رفتند که صحنه های بسیار جنسی و فعالیت های جنسی خارج از معیار را نمایش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حکایت از آن داشت که گویی افرادی که با مقادیر فراوانی از خوراک جنسی معیار تغذیه شده بودند، از مدرسۀ سکس معیار، فارغ التحصیل شده، حال برای ادامۀ تحصیل به سراغ جنبه های غیرمتعارف هرزه نگاری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قرار گرفتن در برابر لوازم غیر اخلاقی برای مدت طولانی، عاطفة جنسی را در فرد، نسبت به زنان به گونه ای چشم گیر از بین می برد و تجاوز به عنف را در دیدۀ او بی اهمیت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افراد شرکت کننده، جریان محاکمۀ ساختگی متجاوزان به عنف را نشان دادند و از آن ها خواستند میزان جزایی که گناهکار باید ببیند،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زنان و چه مردانی که صحنه های بسیاری از فیلم های مستهجن را دیده بودند، برای گناهکارِ متجاوز، جزای سبک تری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این افراد به گونه ای چشم گیر نسبت به جنبش طرفداری از حقوق زنان، از خود حمایت </w:t>
      </w:r>
    </w:p>
    <w:p>
      <w:pPr>
        <w:pStyle w:val="BookText"/>
        <w:rPr/>
      </w:pPr>
      <w:r>
        <w:rPr>
          <w:rFonts w:ascii="IRNazanin" w:hAnsi="IRNazanin" w:eastAsia="IRNazanin"/>
          <w:color w:val="111111"/>
          <w:sz w:val="28"/>
          <w:sz w:val="28"/>
          <w:szCs w:val="28"/>
          <w:rtl w:val="true"/>
          <w:lang w:bidi="fa-IR"/>
        </w:rPr>
        <w:t>کمتری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دیگر هم چنین دریافته اند که تماشای بسیار صحنه های غیراخلاقی، تجاوز به عنف را در دیدة افراد ناچیز جلوه می دهد و در حمایت از باورِ وهم آلود تجاوز به عنف تمایل قوی تری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نمی شود به سبب وجود معیارهای اخلاقی از افراد جوان تر استفاده کرد و آن ها را برای تحقیق در برابر هرزه نگاری قرار داد و همین یافته ها را دوباره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پژوهش هایی هست که در آن ها مضامین جنسی بی ضررتر ولی پرمخاطب تر رسانه ای را هدف قرار داده، ثابت کرده اند که این جا هم نتیجه به همان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تحلیل های محتوایی بسیاری وجود دارد که می گویند مضامین جنسی در درجه های مختلف در رسانه ها نفوذ کرده اند و به طور کلی اعتقاد بر این است که پیامی که چنین مضامینی القا می کند، تحریف شده و بالقوه مضراند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برایانت و راکوِل از جمله پژوهشگرانی هستند که تأثیر مضامین عام جنسیِ برنامه های تلویزیونی را در ساعت های پر مخاطب بر ارزش های اخلاقی نوجوانان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این دو پژوهشگر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گونه ای منظم به شرکت کنندگان در تحقیق، برنامه های تلویزیونی ای را نشان دادند که با مضامین جنسی در ساعت های پر مخاطب پخش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صحنه هایی از روابط جنسی میان بزرگسالان نشان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شرکت کنندگان در تحقیق، بخش هایی را که در آن ها خطا های جنسی یا غیر جنسی بود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شرکت کنندگان خواستند تا بگویند این خطا ها به لحاظ اخلاقی تا چه اندازه اشتباه است و تخمین بزنند که شدت صدمة وارد شده به قربانی چقدر است و این قربانی ها چقدر زجر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دست آمد حکایت می کرد افرادی که فیلم های مربوط به </w:t>
      </w:r>
      <w:bookmarkStart w:id="1087" w:name="pg3881_28216"/>
    </w:p>
    <w:p>
      <w:pPr>
        <w:pStyle w:val="BookText"/>
        <w:rPr/>
      </w:pPr>
      <w:bookmarkEnd w:id="1087"/>
      <w:r>
        <w:rPr>
          <w:rFonts w:ascii="IRNazanin" w:hAnsi="IRNazanin" w:eastAsia="IRNazanin"/>
          <w:color w:val="111111"/>
          <w:sz w:val="28"/>
          <w:sz w:val="28"/>
          <w:szCs w:val="28"/>
          <w:rtl w:val="true"/>
          <w:lang w:bidi="fa-IR"/>
        </w:rPr>
        <w:t>رابطۀ جنسی میان ازدواج نکرده ها را تماشا کرده بودند، نسبت به آن ها که فیلم های دیگری را تماشا کرده بودند، خطاکاری های جنسی در نظرشان کم اهمیت تر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یافته، پژوهشگران نتیجه گرفتند که برنامه های دارای صحنه های جنسی در حقیقت، سبب تغییر داوری اخلاقی افراد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هرزه نگاری با درجة بالاتر، بر ارزش های اخلاقی نوجوانان چه تأثیری می گذارد، تنها از راه فرض کردن، فهمیدنی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ولی با توجه به این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دیدن آثار هرزه نگارانه را مهم ترین منبع کسب اطلاعات جنسی می شمارند، ناگفته پیداست که لوازم غیر اخلاقی چه خطر بالقوه ای برای مصرف کنندگان جوان تر دارند</w:t>
      </w:r>
      <w:r>
        <w:rPr>
          <w:rFonts w:eastAsia="IRNazanin" w:cs="IRNazanin"/>
          <w:color w:val="111111"/>
          <w:sz w:val="28"/>
          <w:szCs w:val="28"/>
          <w:rtl w:val="true"/>
          <w:lang w:bidi="fa-IR"/>
        </w:rPr>
        <w:t>.</w:t>
      </w:r>
    </w:p>
    <w:p>
      <w:pPr>
        <w:pStyle w:val="Heading3"/>
        <w:numPr>
          <w:ilvl w:val="2"/>
          <w:numId w:val="1"/>
        </w:numPr>
        <w:rPr/>
      </w:pPr>
      <w:bookmarkStart w:id="1088" w:name="__RefHeading___Toc1656764_2281741623"/>
      <w:bookmarkStart w:id="1089" w:name="_Toc388"/>
      <w:bookmarkEnd w:id="1088"/>
      <w:r>
        <w:rPr>
          <w:rtl w:val="true"/>
        </w:rPr>
        <w:t>هرزه نگاری و ارزش های خانوادگی</w:t>
      </w:r>
      <w:bookmarkEnd w:id="1089"/>
    </w:p>
    <w:p>
      <w:pPr>
        <w:pStyle w:val="BookText"/>
        <w:rPr/>
      </w:pPr>
      <w:r>
        <w:rPr>
          <w:rFonts w:ascii="IRNazanin" w:hAnsi="IRNazanin" w:eastAsia="IRNazanin"/>
          <w:color w:val="111111"/>
          <w:sz w:val="28"/>
          <w:sz w:val="28"/>
          <w:szCs w:val="28"/>
          <w:rtl w:val="true"/>
          <w:lang w:bidi="fa-IR"/>
        </w:rPr>
        <w:t>هرزه نگاری و ارزش های خانوادگی</w:t>
      </w:r>
    </w:p>
    <w:p>
      <w:pPr>
        <w:pStyle w:val="BookText"/>
        <w:rPr/>
      </w:pPr>
      <w:r>
        <w:rPr>
          <w:rFonts w:ascii="IRNazanin" w:hAnsi="IRNazanin" w:eastAsia="IRNazanin"/>
          <w:color w:val="111111"/>
          <w:sz w:val="28"/>
          <w:sz w:val="28"/>
          <w:szCs w:val="28"/>
          <w:rtl w:val="true"/>
          <w:lang w:bidi="fa-IR"/>
        </w:rPr>
        <w:t>پیشوایان مذهبی پیوسته به هرزه نگاری حمله کرده اند؛ چرا که بر این باورند، هرزه نگاری نه تنها برای فرد که برای خانواده هم کانون اجتماعی مضری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نشان می دهد که احساس خطر پیشوایان مذهبی بی اساس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پژوهشگرانی چون زیلمان و برایانت تحقیقی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دریافته اند که فیلم های با صحنه های معمول جنسی کاری می کنند که افراد در قبال بی قیدوبندی جنسی و منحصر نکردن روابط جنسی به یک نفر، آسان گیری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چنین افرادی بر این باورند که سرکوب کردن امیال جنسی می تواند زیان بار باشد و سلامت انسان را به خطر اندازد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چه زنان و چه مردانی که در این تحقیق، فیلم های هرزه نگارانه تماشا کردند، همه علاقة کمتری به بچه دار شدن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w:t>
      </w:r>
    </w:p>
    <w:p>
      <w:pPr>
        <w:pStyle w:val="BookText"/>
        <w:rPr/>
      </w:pPr>
      <w:r>
        <w:rPr>
          <w:rFonts w:ascii="IRNazanin" w:hAnsi="IRNazanin" w:eastAsia="IRNazanin"/>
          <w:color w:val="111111"/>
          <w:sz w:val="28"/>
          <w:sz w:val="28"/>
          <w:szCs w:val="28"/>
          <w:rtl w:val="true"/>
          <w:lang w:bidi="fa-IR"/>
        </w:rPr>
        <w:t>دیگری است که آن ها پیام نهفته در هرزه نگاری را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رابطة جنسی وقتی با لذت بیشتری همراه است که در آن از عواطف حسی و تعهد خانوادگی نشانی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پژوهش این است که افرادی که فیلم های بسیار با مضامین هرزه نگاری تماشا کرده بودند، نسبت به آن ها که هیچ از این فیلم ها ندیده بودند، بنیان خانواده را به طور کلی صاحب ارزش کمتری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پژوهش های بعدی نشان دادند که هرزه نگاری تا چه اندازه می تواند برای خانواده مضر باشد، از جمله این که افراد مورد تحقیق که فیلم های دارای صحنه های هرزه نگاری دیده بودند، می گفتند که در زندگی واقعی از شریک جنسی خود چندان راضی نیستند و به ویژه که ظاهر فیزیکی، اشتیاق جنسی، عشق ورزی و عمل جنسی آن ها راضی 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محققان، نتایجی این گونه نشان می دهند که افرادی که فیلم های هرزه نگاری می دیدند، روابط جنسی و زیبایی همسر خود را با آن چه از روابط جنسی و خوب رویی در نوع آرمانی آن در فیلم ها به نمایش درمی آمدند، مقایسه می کردند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چنین کاری این بود که تجربه های خودشان در برابر رفتارهای جنسی افراطیِ به نمایش درآمده در فیلم ها، رنگ می باخت و بی اثر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پژوهش های پیشین در این باره، شواهد بیشتری ارائه می کنند که همگی حکایت از آن دارند که چنین تأثیری تنها به صحنه های هرزه نگاری درجۀ بالا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چنان که زیلمان و برایانت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عکس لختی، خواه عریانِ عریان، خواه با مایو، اثر خود را می گذارد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امروزه پدیدة رو به رشد هرزه نگاری در اینترنت و اعتیاد به هرزه نگاری و تأثیرات آن، موجب نگرانی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محققان بر آن شده اند تا با شیوه ای تجربی به ارزیابی آثار بد تصاویر و فیلم های مستهجن در شکل تازۀ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پیشوایان مذهبی به طور روز افزونی، معضل اعتیاد به هرزه نگاری را در کانون توجه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کسی دربارة هرزه نگاری و مذهب حرف آخر را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جنینگز برایانت</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 کامینز</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رضا بهار </w:t>
      </w:r>
      <w:bookmarkStart w:id="1090" w:name="pg3881_28219"/>
    </w:p>
    <w:p>
      <w:pPr>
        <w:pStyle w:val="Heading3"/>
        <w:numPr>
          <w:ilvl w:val="2"/>
          <w:numId w:val="1"/>
        </w:numPr>
        <w:rPr/>
      </w:pPr>
      <w:bookmarkStart w:id="1091" w:name="__RefHeading___Toc1656766_2281741623"/>
      <w:bookmarkStart w:id="1092" w:name="_Toc389"/>
      <w:bookmarkEnd w:id="1090"/>
      <w:bookmarkEnd w:id="1091"/>
      <w:r>
        <w:rPr>
          <w:rtl w:val="true"/>
        </w:rPr>
        <w:t>برای مطالعۀ بیشتر</w:t>
      </w:r>
      <w:bookmarkEnd w:id="1092"/>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Binik, Y. M. (Ed.). (2001). Sexuality and the Internet [Special issue]. Journal of Sex Research,38(4)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D., &amp; Bryant, J. (1989). The manifest content of pornography. In D. Zillmann &amp; J. Bryant (Eds.), Pornography: Research advances and policy considerations (pp.3–24). Hillsdale, NJ: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Bryant, J., &amp; Rockwell, S. C. (1994). Effects of massive exposure to sexually oriented primetime television programming on adolescents’ moral judgments. In D. Zillmann, J. Bryant, &amp; A. Huston (Eds.), Media, children, and the family: Social scientific, psychodynamic, and clinical perspectives (pp. 183–195). Hillsdale, NJ: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Bryant, J., &amp; Zillmann, D. (2001). Pornography: Models of (effects on sexual deviancy). In C. D. Bryant (Ed.), Encyclopedia of criminology and deviant behavior (Vol. 3, pp.241–244). Oxford, UK: Brunner/Routledge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Check, J. V. P. (1995). Teenage training: The effects of pornography on adolescent males. In L. Lederer and The price we pay: The case against racist R.Delgado (Eds.), speech, hate propaganda, and pornography (pp. 89–91). NewYork: Hill and Wang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DelMonaco, D. L. (Ed.). (2003). Cybersex [Special issue]. Sexual and Relationship Therapy,18(3)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Donnerstein, E., Linz, D., &amp; Penrod, S. (1987). The question of pornography: Research findings and policy implications. New York: The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Dworkin, A. (1981). Pornography: Men possessing women. New York: Perigee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Falwell, J. (1980). Listen America.Garden City, NY: Doubleday</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Gardner, C. J. (2001, March 5). Tangled in the worst of the Web. Christianity Today, 45(4), 42–49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Harris, R. J., &amp; Scott, C. L. (2002). Effects of sex in the media. In J. Bryant &amp; D. Zillmann (Eds.), Media Effects: Advances in theory and research (2nd ed., pp. 307–332). Mahwah, NJ: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Heider, D., &amp; Harp, D. (2002). New hope or old power: Democracy, pornography and the Internet. Howard Journal of Communication, 13,285–299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Jacobellis v. Ohio,378 U.S. 184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Lederer, L. (Ed.). (1980). Take back the night: Women on pornography .New York: Morrow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Malamuth, N. M., &amp; Donnerstein, E. (Eds.). (1984). Pornography and sexual aggression. Orlando, FL: Academic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Mendenhall, R. R. (2002). Responses to television from the new Christian right: The Donald Wildmon Organizations’ fight against sexual content. In D. S. Claussen(Ed.), Sex, religion, media (pp. 101–114). Lanham, MD:Rowman and Littlefield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v.California,413 U.S. 15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P. (2004, January 19). The porn factor. Time, 163(3), 99–101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Pellauer, M. (1987). Pornography: An agenda for the churches. Christian Century, 104,651–655</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Reiss, I. L. (1990). An end to shame: Shaping our next sexual revolution.Buffalo, NY: Prometheus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Ross, M. E. (1990). Censorship or education? Feminist views on pornography. Christian Century, 107,244–246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Roth v. United States,354 U.S. 476 (1957)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Stein, J. (2000, June 19). Will cybersex be better than real sex? Time,155(25), 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Steinem, G. (1980). Erotica and pornography: Aclear and present difference. In L. Lederer (Ed.), Take back the night: Women on pornography. NewYork: Morrow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 Department of Justice. (1986, July). Attorney General’s Commission on Pornography: Final Report. Washington, DC: U.S. Government Printing Office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Zillmann, D., &amp; Bryant, J. (1982). Pornography, sexual callousness, and the trivialization of rape. Journal of Communication ,32(4), 10–21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Zillmann, D., &amp; Bryant, J. (1984). Effects of massive exposure to pornography. In N. M. Malamuth &amp; E. Donnerstein (Eds.), Pornography and sexual aggression (pp.115–138). New York: Academic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Zillmann, D., &amp; Bryant, J. (1986). Shifting preferences in pornography consumption. Communication Research, 13, 560–578</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Zillmann, D., &amp; Bryant, J. (1988a). The effects of prolonged exposure to pornography on family values. Journal of Family Issues, 9,518–544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Zillmann, D., &amp; Bryant, J. (1988b). Pornography’s impact on sexual satisfaction. Journal of Applied Social Psychology, 18,438–453</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Zillmann, D., &amp; Bryant, J. (Eds.). (1989). Pornography: Research advances and policy considerations. Hillsdale, NJ: Lawrence Erlbaum Associates</w:t>
      </w:r>
      <w:r>
        <w:rPr>
          <w:rFonts w:eastAsia="Times New Roman" w:cs="Times New Roman" w:ascii="Times New Roman" w:hAnsi="Times New Roman"/>
          <w:color w:val="111111"/>
          <w:sz w:val="28"/>
          <w:szCs w:val="28"/>
          <w:rtl w:val="true"/>
          <w:lang w:val="en-US" w:bidi="en-US"/>
        </w:rPr>
        <w:t xml:space="preserve">. </w:t>
      </w:r>
      <w:bookmarkStart w:id="1093" w:name="pg3881_28223"/>
    </w:p>
    <w:p>
      <w:pPr>
        <w:pStyle w:val="Heading2"/>
        <w:numPr>
          <w:ilvl w:val="1"/>
          <w:numId w:val="1"/>
        </w:numPr>
        <w:rPr/>
      </w:pPr>
      <w:bookmarkStart w:id="1094" w:name="__RefHeading___Toc1656768_2281741623"/>
      <w:bookmarkStart w:id="1095" w:name="_Toc390"/>
      <w:bookmarkEnd w:id="1093"/>
      <w:bookmarkEnd w:id="1094"/>
      <w:r>
        <w:rPr>
          <w:rtl w:val="true"/>
        </w:rPr>
        <w:t>هنر</w:t>
      </w:r>
      <w:bookmarkEnd w:id="1095"/>
    </w:p>
    <w:p>
      <w:pPr>
        <w:pStyle w:val="Heading3"/>
        <w:numPr>
          <w:ilvl w:val="2"/>
          <w:numId w:val="1"/>
        </w:numPr>
        <w:rPr/>
      </w:pPr>
      <w:bookmarkStart w:id="1096" w:name="__RefHeading___Toc1656770_2281741623"/>
      <w:bookmarkStart w:id="1097" w:name="_Toc391"/>
      <w:bookmarkEnd w:id="1096"/>
      <w:r>
        <w:rPr>
          <w:rtl w:val="true"/>
        </w:rPr>
        <w:t>اشاره</w:t>
      </w:r>
      <w:bookmarkEnd w:id="1097"/>
    </w:p>
    <w:p>
      <w:pPr>
        <w:pStyle w:val="BookText"/>
        <w:rPr/>
      </w:pPr>
      <w:r>
        <w:rPr>
          <w:rFonts w:ascii="IRNazanin" w:hAnsi="IRNazanin" w:eastAsia="IRNazanin"/>
          <w:color w:val="111111"/>
          <w:sz w:val="28"/>
          <w:sz w:val="28"/>
          <w:szCs w:val="28"/>
          <w:rtl w:val="true"/>
          <w:lang w:bidi="fa-IR"/>
        </w:rPr>
        <w:t>هنر</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بصری در همۀ نظام های اعتقادی ـ مذهبی، عنصری بسیار با اهمیت است؛ چه به شکل مجسمه ای از مریم مقدس، چه عبارتی تزیینی از قرآن با خط خوش، یا انبوه تولیدات پیکر های کوچک خدایان هندو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سنت ها و اصولی که پیروان مذهبی را تعلیم می دهند، جایگاه هنر را در عبادت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نظام های اعتقادی شان حکم به منع یا محدودیت تصاویر می دهد، شمایل شکنان</w:t>
      </w:r>
      <w:r>
        <w:rPr>
          <w:rStyle w:val="FootnoteAnchor"/>
          <w:rtl w:val="true"/>
        </w:rPr>
        <w:footnoteReference w:id="480"/>
      </w:r>
      <w:r>
        <w:rPr>
          <w:rFonts w:ascii="IRNazanin" w:hAnsi="IRNazanin" w:eastAsia="IRNazanin"/>
          <w:color w:val="111111"/>
          <w:sz w:val="28"/>
          <w:sz w:val="28"/>
          <w:szCs w:val="28"/>
          <w:rtl w:val="true"/>
          <w:lang w:bidi="fa-IR"/>
        </w:rPr>
        <w:t>خوانده می شوند و آن هایی که تصاویر را بی هیچ منعی می پذیرند، به شمایل پذیران</w:t>
      </w:r>
      <w:r>
        <w:rPr>
          <w:rStyle w:val="FootnoteAnchor"/>
          <w:rtl w:val="true"/>
        </w:rPr>
        <w:footnoteReference w:id="481"/>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فهرستی از همۀ روش های بصریِ بیان مذهبی در میان ادیان جهان کاری بس دشوار و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تحلیل حاضر کاربرد های اصلی هنر مذهبی را مشخص خواهد کرد </w:t>
      </w:r>
      <w:bookmarkStart w:id="1098" w:name="pg3881_28224"/>
    </w:p>
    <w:p>
      <w:pPr>
        <w:pStyle w:val="BookText"/>
        <w:rPr/>
      </w:pPr>
      <w:bookmarkEnd w:id="1098"/>
      <w:r>
        <w:rPr>
          <w:rFonts w:ascii="IRNazanin" w:hAnsi="IRNazanin" w:eastAsia="IRNazanin"/>
          <w:color w:val="111111"/>
          <w:sz w:val="28"/>
          <w:sz w:val="28"/>
          <w:szCs w:val="28"/>
          <w:rtl w:val="true"/>
          <w:lang w:bidi="fa-IR"/>
        </w:rPr>
        <w:t>و بررسی می کند که مبانی اعتقادی پنج دین بزرگ دنیا، به چه طریق سمت و سوی بیان بصری را در عبادت تعیین می کنند</w:t>
      </w:r>
      <w:r>
        <w:rPr>
          <w:rFonts w:eastAsia="IRNazanin" w:cs="IRNazanin"/>
          <w:color w:val="111111"/>
          <w:sz w:val="28"/>
          <w:szCs w:val="28"/>
          <w:rtl w:val="true"/>
          <w:lang w:bidi="fa-IR"/>
        </w:rPr>
        <w:t>.</w:t>
      </w:r>
    </w:p>
    <w:p>
      <w:pPr>
        <w:pStyle w:val="Heading3"/>
        <w:numPr>
          <w:ilvl w:val="2"/>
          <w:numId w:val="1"/>
        </w:numPr>
        <w:rPr/>
      </w:pPr>
      <w:bookmarkStart w:id="1099" w:name="__RefHeading___Toc1656772_2281741623"/>
      <w:bookmarkStart w:id="1100" w:name="_Toc392"/>
      <w:bookmarkEnd w:id="1099"/>
      <w:r>
        <w:rPr>
          <w:rtl w:val="true"/>
        </w:rPr>
        <w:t>جایگاه های هنر مذهبی</w:t>
      </w:r>
      <w:bookmarkEnd w:id="1100"/>
    </w:p>
    <w:p>
      <w:pPr>
        <w:pStyle w:val="BookText"/>
        <w:rPr/>
      </w:pPr>
      <w:r>
        <w:rPr>
          <w:rFonts w:ascii="IRNazanin" w:hAnsi="IRNazanin" w:eastAsia="IRNazanin"/>
          <w:color w:val="111111"/>
          <w:sz w:val="28"/>
          <w:sz w:val="28"/>
          <w:szCs w:val="28"/>
          <w:rtl w:val="true"/>
          <w:lang w:bidi="fa-IR"/>
        </w:rPr>
        <w:t>جایگاه های هنر مذهبی</w:t>
      </w:r>
    </w:p>
    <w:p>
      <w:pPr>
        <w:pStyle w:val="BookText"/>
        <w:rPr/>
      </w:pPr>
      <w:r>
        <w:rPr>
          <w:rFonts w:ascii="IRNazanin" w:hAnsi="IRNazanin" w:eastAsia="IRNazanin"/>
          <w:color w:val="111111"/>
          <w:sz w:val="28"/>
          <w:sz w:val="28"/>
          <w:szCs w:val="28"/>
          <w:rtl w:val="true"/>
          <w:lang w:bidi="fa-IR"/>
        </w:rPr>
        <w:t>کل هنر مذهبی تقریباً در ابتدایی ترین سطح، از عملکردی تزیینی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هنر برای بزرگ جلوه دادن یا آراستن برخی ظواهر، معمولاً در زمینۀ محل عبادت و برای ایجاد حال و هوای حرمت، آرامش یا حیرت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مواقع نیز برای ردا ها و لباس های رسمی استفاده شود تا آن ها را با ایفای نقشی تشریفاتی در عبادت، مشخص و مجزا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مذهبی که استفاده از آن ها رو به افزایش است، در کلیسا های پروتستان معمولاً همراه با اشعار آوازی یا نوشتار مربوط به مراسم نماز، به شکل تزیینی زود گذر در هنگام عبادت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ارائۀ تصویر به صورت پخش الکترونیکی بر پرده ای مقابل روی نمازگزاران صورت می گیرد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کارکرد هنر مذهبی، به تصویر کشیدن روایات مهم ترین بخش های تاریخی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شمایلی کاتولیک از تصلیب با پیکرۀ مسیح بر روی صلیب، مجسمه ای از یک قدیس، یا یادگاری یهودی در یک موزه، در مقام نمایش گر های تاریخی اشخاص و رخداد های واقعی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مذهبیِ دیگری نیز هست که نقشی نمادین تر را ایفا می کند و در واقع، یک بازنمای دنیوی از اندیشه ها و مفاهیم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نمای بودایی</w:t>
      </w:r>
      <w:r>
        <w:rPr>
          <w:rStyle w:val="FootnoteAnchor"/>
          <w:rtl w:val="true"/>
        </w:rPr>
        <w:footnoteReference w:id="482"/>
      </w:r>
      <w:r>
        <w:rPr>
          <w:rFonts w:ascii="IRNazanin" w:hAnsi="IRNazanin" w:eastAsia="IRNazanin"/>
          <w:color w:val="111111"/>
          <w:sz w:val="28"/>
          <w:sz w:val="28"/>
          <w:szCs w:val="28"/>
          <w:rtl w:val="true"/>
          <w:lang w:bidi="fa-IR"/>
        </w:rPr>
        <w:t>از چیدمان گیاهان، صخره ها و شن بهره می گیرد تا حواس را به توازن معنوی طبیعت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ساده و نا متعارف پروتستان جای بدن مسیح را خالی می گذارد تا نمادی از رستاخیز</w:t>
      </w:r>
      <w:r>
        <w:rPr>
          <w:rStyle w:val="FootnoteAnchor"/>
          <w:rtl w:val="true"/>
        </w:rPr>
        <w:footnoteReference w:id="483"/>
      </w:r>
      <w:r>
        <w:rPr>
          <w:rFonts w:ascii="IRNazanin" w:hAnsi="IRNazanin" w:eastAsia="IRNazanin"/>
          <w:color w:val="111111"/>
          <w:sz w:val="28"/>
          <w:sz w:val="28"/>
          <w:szCs w:val="28"/>
          <w:rtl w:val="true"/>
          <w:lang w:bidi="fa-IR"/>
        </w:rPr>
        <w:t>او و غلبه بر مرگ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w:t>
      </w:r>
      <w:bookmarkStart w:id="1101" w:name="pg3881_28225"/>
    </w:p>
    <w:p>
      <w:pPr>
        <w:pStyle w:val="BookText"/>
        <w:rPr/>
      </w:pPr>
      <w:bookmarkEnd w:id="1101"/>
      <w:r>
        <w:rPr>
          <w:rFonts w:ascii="IRNazanin" w:hAnsi="IRNazanin" w:eastAsia="IRNazanin"/>
          <w:color w:val="111111"/>
          <w:sz w:val="28"/>
          <w:sz w:val="28"/>
          <w:szCs w:val="28"/>
          <w:rtl w:val="true"/>
          <w:lang w:bidi="fa-IR"/>
        </w:rPr>
        <w:t>کاربرد در مقام بازنمایی دقیقِ گذشته، برخی ادیان اعتقاد دارند که می توان هنر مذهبی را هم چون مخزن یا ظرفی به کار گرفت که در بر گیرندۀ کیفیت و قدرتی ذاتاً معنوی، یا ارتباط با عالم معنوی باشد؛ برای نمونه، هندو ها معتقدند که بخشی مهم از عبادت، رویارویی یا مشاهدۀ یکی از چندین بُت شبه انسان است که به منزلة ظرف ها یا مخازنی برای تعداد بی شمار و متنوعی از خدایان هندو 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ادیان نیز هنر را به شکل عنصری دگر گون کننده یا تجربی در مراقبه یا عبادت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نمای بودایی برای تشویق به مراقبه و کشف بصیرت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عمل کاشتن باغ نیز برای پروردن یا شکل دادن زندگی معنوی باغبان منظور می گردد</w:t>
      </w:r>
      <w:r>
        <w:rPr>
          <w:rFonts w:eastAsia="IRNazanin" w:cs="IRNazanin"/>
          <w:color w:val="111111"/>
          <w:sz w:val="28"/>
          <w:szCs w:val="28"/>
          <w:rtl w:val="true"/>
          <w:lang w:bidi="fa-IR"/>
        </w:rPr>
        <w:t>.</w:t>
      </w:r>
    </w:p>
    <w:p>
      <w:pPr>
        <w:pStyle w:val="Heading3"/>
        <w:numPr>
          <w:ilvl w:val="2"/>
          <w:numId w:val="1"/>
        </w:numPr>
        <w:rPr/>
      </w:pPr>
      <w:bookmarkStart w:id="1102" w:name="__RefHeading___Toc1656774_2281741623"/>
      <w:bookmarkStart w:id="1103" w:name="_Toc393"/>
      <w:bookmarkEnd w:id="1102"/>
      <w:r>
        <w:rPr>
          <w:rtl w:val="true"/>
        </w:rPr>
        <w:t>هنر و مسیحیت</w:t>
      </w:r>
      <w:r>
        <w:rPr>
          <w:rtl w:val="true"/>
        </w:rPr>
        <w:t xml:space="preserve">: </w:t>
      </w:r>
      <w:r>
        <w:rPr>
          <w:rtl w:val="true"/>
        </w:rPr>
        <w:t>کوشش برای رسیدن به توازن</w:t>
      </w:r>
      <w:bookmarkEnd w:id="1103"/>
    </w:p>
    <w:p>
      <w:pPr>
        <w:pStyle w:val="Heading4"/>
        <w:numPr>
          <w:ilvl w:val="3"/>
          <w:numId w:val="1"/>
        </w:numPr>
        <w:rPr/>
      </w:pPr>
      <w:bookmarkStart w:id="1104" w:name="__RefHeading___Toc1656776_2281741623"/>
      <w:bookmarkStart w:id="1105" w:name="_Toc394"/>
      <w:bookmarkEnd w:id="1104"/>
      <w:r>
        <w:rPr>
          <w:rtl w:val="true"/>
        </w:rPr>
        <w:t>اشاره</w:t>
      </w:r>
      <w:bookmarkEnd w:id="1105"/>
    </w:p>
    <w:p>
      <w:pPr>
        <w:pStyle w:val="BookText"/>
        <w:rPr/>
      </w:pPr>
      <w:r>
        <w:rPr>
          <w:rFonts w:ascii="IRNazanin" w:hAnsi="IRNazanin" w:eastAsia="IRNazanin"/>
          <w:color w:val="111111"/>
          <w:sz w:val="28"/>
          <w:sz w:val="28"/>
          <w:szCs w:val="28"/>
          <w:rtl w:val="true"/>
          <w:lang w:bidi="fa-IR"/>
        </w:rPr>
        <w:t>هنر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رسیدن به توازن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مسیحیِ مربوط به استفاده از تصاویر تلاش می کنند که جنبه های جسمانی و روحانی دین را با هم آشتی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دیدگاه مسیحی، جوهری واقف به همه چیز است؛ یعنی چیزی که بازنمایی آن در قالب تصویر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در شخص عیسی مسیح نیز که انسانی کاملاً بشری و کاملاً الهی است،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قابلیت باز نمایی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مسیحیان به خاطر همین دو گانگی جسمانی ـ روحانی است که پیوسته بر سر جایگاه صحیح هنر در عبادت بحث و جدل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دربارۀ استفاده از تصاویر، یکی از اصلی ترین مسائلی بود که اولین تفرقه را در مسیحیت به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بین کلیسای اُرتدوکس شرقی و کلیسای کاتولیک غربی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بحث اصلی نهضت اصلاح دین در قرن شانزدهم، جایگاه تصویر در عبادت بود</w:t>
      </w:r>
      <w:r>
        <w:rPr>
          <w:rFonts w:eastAsia="IRNazanin" w:cs="IRNazanin"/>
          <w:color w:val="111111"/>
          <w:sz w:val="28"/>
          <w:szCs w:val="28"/>
          <w:rtl w:val="true"/>
          <w:lang w:bidi="fa-IR"/>
        </w:rPr>
        <w:t xml:space="preserve">. </w:t>
      </w:r>
      <w:bookmarkStart w:id="1106" w:name="pg3881_28226"/>
    </w:p>
    <w:p>
      <w:pPr>
        <w:pStyle w:val="Heading4"/>
        <w:numPr>
          <w:ilvl w:val="3"/>
          <w:numId w:val="1"/>
        </w:numPr>
        <w:rPr/>
      </w:pPr>
      <w:bookmarkStart w:id="1107" w:name="__RefHeading___Toc1656778_2281741623"/>
      <w:bookmarkStart w:id="1108" w:name="_Toc395"/>
      <w:bookmarkEnd w:id="1106"/>
      <w:bookmarkEnd w:id="1107"/>
      <w:r>
        <w:rPr>
          <w:rtl w:val="true"/>
        </w:rPr>
        <w:t>جایگاه تصاویر شمایلی</w:t>
      </w:r>
      <w:bookmarkEnd w:id="1108"/>
    </w:p>
    <w:p>
      <w:pPr>
        <w:pStyle w:val="BookText"/>
        <w:rPr/>
      </w:pPr>
      <w:r>
        <w:rPr>
          <w:rFonts w:ascii="IRNazanin" w:hAnsi="IRNazanin" w:eastAsia="IRNazanin"/>
          <w:color w:val="111111"/>
          <w:sz w:val="28"/>
          <w:sz w:val="28"/>
          <w:szCs w:val="28"/>
          <w:rtl w:val="true"/>
          <w:lang w:bidi="fa-IR"/>
        </w:rPr>
        <w:t>جایگاه تصاویر شمایلی</w:t>
      </w:r>
    </w:p>
    <w:p>
      <w:pPr>
        <w:pStyle w:val="BookText"/>
        <w:rPr/>
      </w:pPr>
      <w:r>
        <w:rPr>
          <w:rFonts w:ascii="IRNazanin" w:hAnsi="IRNazanin" w:eastAsia="IRNazanin"/>
          <w:color w:val="111111"/>
          <w:sz w:val="28"/>
          <w:sz w:val="28"/>
          <w:szCs w:val="28"/>
          <w:rtl w:val="true"/>
          <w:lang w:bidi="fa-IR"/>
        </w:rPr>
        <w:t>در هر دوی این جبهه گیری ها، شمایل شکنان اعتقاد به کفر آمیز بودن تصاویر داشتند؛ زیرا عبادت کنندگان، این تصاویر را هم چون وکیلی برای خدای نادیدنی یا معبری برای دیدار ساحت روحانی تلقی می کردند ولی شمایل پذیران که عمدتاً از کلیسای اُرتدکس شرقی بودند، اعتقاد داشتند که تصاویر می توانند هم چون جلوه ای دنیوی از عالم روحانی به کار روند، پس آنان تردیدی نداشتند که امر مقدس در تصویر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این مجادلات به دورۀ حاضر نیز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کلیسا های اُرتدکس شرقی و کاتولیک با شمایل ها، صلیب ها، نقاشی ها و مجسمه هایی آراسته شده اند که مسیح، مریم مقدس، حواریون و قدیسین را به تصویر می کشند و به جرأت می توان گفت که این تصاویر در درون برخی از کلیسا ها ی مذکور، به ارکان واجبی از عبادت تبدیل شده اند و عبادت کنندگان هنگام دعا در پیشگاه این تصاویر می ایستند یا زانو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رسمی کشیش ها رنگی و پُر از نقش و نگار با نماد ها و طرح های قلابدوزی شد ه است ولی تصاویر در کلیسای پروتستان غربی بیشتر حالت نمادین یا تزیینی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ها نا متعارفند و پیکر مسیح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یا نقاشی پیکره های واقعی یا اصلاً وجود ندارند یا اگر هم باشند، اصلاً در تشریفات عبادی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ردا های سیاه یا سفید رنگی می پوشند که یا فاقد هر گونه آرایۀ تزیینی اند، یا تزییناتشان بسیار کم و نا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روحانیون برخی فرقه ها از پوشیدن هر گونه لباس تشریفاتی امتناع می کنند</w:t>
      </w:r>
      <w:r>
        <w:rPr>
          <w:rFonts w:eastAsia="IRNazanin" w:cs="IRNazanin"/>
          <w:color w:val="111111"/>
          <w:sz w:val="28"/>
          <w:szCs w:val="28"/>
          <w:rtl w:val="true"/>
          <w:lang w:bidi="fa-IR"/>
        </w:rPr>
        <w:t>.</w:t>
      </w:r>
    </w:p>
    <w:p>
      <w:pPr>
        <w:pStyle w:val="Heading4"/>
        <w:numPr>
          <w:ilvl w:val="3"/>
          <w:numId w:val="1"/>
        </w:numPr>
        <w:rPr/>
      </w:pPr>
      <w:bookmarkStart w:id="1109" w:name="__RefHeading___Toc1656780_2281741623"/>
      <w:bookmarkStart w:id="1110" w:name="_Toc396"/>
      <w:bookmarkEnd w:id="1109"/>
      <w:r>
        <w:rPr>
          <w:rtl w:val="true"/>
        </w:rPr>
        <w:t>بهره برداری های مدرن از تصاویر</w:t>
      </w:r>
      <w:bookmarkEnd w:id="111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برداری های مدرن از تصاویر </w:t>
      </w:r>
    </w:p>
    <w:p>
      <w:pPr>
        <w:pStyle w:val="BookText"/>
        <w:rPr/>
      </w:pPr>
      <w:r>
        <w:rPr>
          <w:rFonts w:ascii="IRNazanin" w:hAnsi="IRNazanin" w:eastAsia="IRNazanin"/>
          <w:color w:val="111111"/>
          <w:sz w:val="28"/>
          <w:sz w:val="28"/>
          <w:szCs w:val="28"/>
          <w:rtl w:val="true"/>
          <w:lang w:bidi="fa-IR"/>
        </w:rPr>
        <w:t>با وجود این که در کلیسا های پروتستان از شمایل نگاری سنتی پرهیز می شود ولی فن آوری های رسانه ای جدید برای نمایش متن، نگاره سازی، عکاسی و ویدیو به سرعت رشد کرده و به کار گیری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تحقیق در این زمینه اشاره می کنند که این تمهیدات شاید در بیش از نصف تمام کلیسا های پروتستان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همین تحقیق ها ثابت کرده اند که کلیسا های اُرتدکس شرقی و کاتولیک تقریباً در سراسر جهان، استفاده از این فن آوری های شبیه سازی را در جریان مراسم عبادی مردود می دانند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مذهبی از روز های اولیۀ مسیحیت تا قرن بیستم، بخشی همیشه حاضر و مورد قبول از فرهنگ بصری در دنیای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هنرِ مذهبی در جامعۀ معاصر بیشتر مواقع همان قدر که مقبولیت فرهنگی دارد، مجادلات بسیاری را نیز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های موزه ای، فیلم های عامه پسند، </w:t>
      </w:r>
      <w:bookmarkStart w:id="1111" w:name="pg3881_28228"/>
    </w:p>
    <w:p>
      <w:pPr>
        <w:pStyle w:val="BookText"/>
        <w:rPr/>
      </w:pPr>
      <w:bookmarkEnd w:id="1111"/>
      <w:r>
        <w:rPr>
          <w:rFonts w:ascii="IRNazanin" w:hAnsi="IRNazanin" w:eastAsia="IRNazanin"/>
          <w:color w:val="111111"/>
          <w:sz w:val="28"/>
          <w:sz w:val="28"/>
          <w:szCs w:val="28"/>
          <w:rtl w:val="true"/>
          <w:lang w:bidi="fa-IR"/>
        </w:rPr>
        <w:t>نقاشی ها، حتی نمایش صحنه های تولد</w:t>
      </w:r>
      <w:r>
        <w:rPr>
          <w:rStyle w:val="FootnoteAnchor"/>
          <w:rtl w:val="true"/>
        </w:rPr>
        <w:footnoteReference w:id="484"/>
      </w:r>
      <w:r>
        <w:rPr>
          <w:rFonts w:ascii="IRNazanin" w:hAnsi="IRNazanin" w:eastAsia="IRNazanin"/>
          <w:color w:val="111111"/>
          <w:sz w:val="28"/>
          <w:sz w:val="28"/>
          <w:szCs w:val="28"/>
          <w:rtl w:val="true"/>
          <w:lang w:bidi="fa-IR"/>
        </w:rPr>
        <w:t>عیسی مسیح در عید نوئل، در گیری هایی را دربارۀ به ابتذال کشیده شدن نماد های مقدس و جایگاه صحیح هنر مذهبی در زندگی تودۀ مردم،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ها، هنر مذهبی معاصر توانایی اش را برای القای حس تکریم و حتی متحد ساختن مردم اجتماعات گوناگون ادیان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مصائب مسیح در میان اقشار وسیع فرقه های مسیحی، به ویژه کاتولیک ها و پروتستان های افراطی بسیار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وارنر سالمن که سابقاً مدیر تبلیغاتی بود، تصویر عیسی را با نام سرِ مسیح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در جریان جنگ جهانی دوم بین سربازان توزیع گردید و چون بسیار فراگیر شده است، یکی از قطعی ترین و قابل تشخیص ترین تصاویر مسیح برای بسیاری از مسیحیان غربی تلقی می شود</w:t>
      </w:r>
      <w:r>
        <w:rPr>
          <w:rFonts w:eastAsia="IRNazanin" w:cs="IRNazanin"/>
          <w:color w:val="111111"/>
          <w:sz w:val="28"/>
          <w:szCs w:val="28"/>
          <w:rtl w:val="true"/>
          <w:lang w:bidi="fa-IR"/>
        </w:rPr>
        <w:t>.</w:t>
      </w:r>
    </w:p>
    <w:p>
      <w:pPr>
        <w:pStyle w:val="Heading4"/>
        <w:numPr>
          <w:ilvl w:val="3"/>
          <w:numId w:val="1"/>
        </w:numPr>
        <w:rPr/>
      </w:pPr>
      <w:bookmarkStart w:id="1112" w:name="__RefHeading___Toc1656782_2281741623"/>
      <w:bookmarkStart w:id="1113" w:name="_Toc397"/>
      <w:bookmarkEnd w:id="1112"/>
      <w:r>
        <w:rPr>
          <w:rtl w:val="true"/>
        </w:rPr>
        <w:t>جانشین هایی برای تصویر</w:t>
      </w:r>
      <w:bookmarkEnd w:id="1113"/>
    </w:p>
    <w:p>
      <w:pPr>
        <w:pStyle w:val="BookText"/>
        <w:rPr/>
      </w:pPr>
      <w:r>
        <w:rPr>
          <w:rFonts w:ascii="IRNazanin" w:hAnsi="IRNazanin" w:eastAsia="IRNazanin"/>
          <w:color w:val="111111"/>
          <w:sz w:val="28"/>
          <w:sz w:val="28"/>
          <w:szCs w:val="28"/>
          <w:rtl w:val="true"/>
          <w:lang w:bidi="fa-IR"/>
        </w:rPr>
        <w:t>جانشین هایی برای تصویر</w:t>
      </w:r>
    </w:p>
    <w:p>
      <w:pPr>
        <w:pStyle w:val="BookText"/>
        <w:rPr/>
      </w:pPr>
      <w:r>
        <w:rPr>
          <w:rFonts w:ascii="IRNazanin" w:hAnsi="IRNazanin" w:eastAsia="IRNazanin"/>
          <w:color w:val="111111"/>
          <w:sz w:val="28"/>
          <w:sz w:val="28"/>
          <w:szCs w:val="28"/>
          <w:rtl w:val="true"/>
          <w:lang w:bidi="fa-IR"/>
        </w:rPr>
        <w:t>اشتیاق برای برقراری ارتباط بصری در میان جمع اهلِ دین بسیار قوی است؛ حتی در میان آن هایی که اصولشان استفاده از تصویر گری آشکار را منع می کند یا جایی که مفاهیم معنوی، حالتی انتزاعی دارند و بازنمایی آن ها با رمز آفرینی عینی</w:t>
      </w:r>
      <w:r>
        <w:rPr>
          <w:rStyle w:val="FootnoteAnchor"/>
          <w:rtl w:val="true"/>
        </w:rPr>
        <w:footnoteReference w:id="485"/>
      </w:r>
      <w:r>
        <w:rPr>
          <w:rFonts w:ascii="IRNazanin" w:hAnsi="IRNazanin" w:eastAsia="IRNazanin"/>
          <w:color w:val="111111"/>
          <w:sz w:val="28"/>
          <w:sz w:val="28"/>
          <w:szCs w:val="28"/>
          <w:rtl w:val="true"/>
          <w:lang w:bidi="fa-IR"/>
        </w:rPr>
        <w:t>کاری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خوش نویسی و تزیینات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دلیل تحریم هایی که در قرآن آمده است، در حالت معمول از ترسیم موضوعات جاندار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نوشتار و هنر خوش نویسی که به خودی ِ خود هندسی و تزیینی است، بخش عمدۀ هنر اسلامی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نشان می دهد که نوشتار به اندازه ای </w:t>
      </w:r>
      <w:bookmarkStart w:id="1114" w:name="pg3881_28229"/>
    </w:p>
    <w:p>
      <w:pPr>
        <w:pStyle w:val="BookText"/>
        <w:rPr/>
      </w:pPr>
      <w:bookmarkEnd w:id="1114"/>
      <w:r>
        <w:rPr>
          <w:rFonts w:ascii="IRNazanin" w:hAnsi="IRNazanin" w:eastAsia="IRNazanin"/>
          <w:color w:val="111111"/>
          <w:sz w:val="28"/>
          <w:sz w:val="28"/>
          <w:szCs w:val="28"/>
          <w:rtl w:val="true"/>
          <w:lang w:bidi="fa-IR"/>
        </w:rPr>
        <w:t>ابزار با اهمیتی است که خدا پیامش را به وسیلۀ آن برای انسان ها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تقدیس کلام نوشتاری، مسلمانان شیوه ای از نوشتار را به ظهور رسانده اند که کاملاً متکلّف و تزیینی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کسانی که هنر نوشتن آیات قرآنی را به حد اعلی می رساندند، بسیار مورد احترام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عربی در نظر مسلمانان، به نشانه یا علامتِ هویت فرهنگی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مشترک فرهنگی به دنیای غیر روحانی تعمیم یافته است و در دست نویس ها، کتیبه های کاخ ها و ساختمان های عمومی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حتی در فلز کاری، سفال گری و منسوجات نیز کار 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 تر ذکر گردید، اسلام در کل تصاویری که پیکر های جاندار انسان ها یا حیوانات را ترسیم می کنند، قبول ندارد؛ از همین رو، در دنیای اسلام، تصاویر مذهبی با طرح هایی متشکل از تزیینات هندسی و گیاهی به وفور دیده می شوند و در همان حال، این طرح ها پیامی رمزی نیز دارند؛ کاربرد آن ها به شکل مکرر و یکنواخت، به ذات لا یتناهی خدا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به خاطر سرشت عمدتاً تزیینی اش، بیشتر مواقع در منسوجات، فرش ها، سفالینه ها، چوب و سنگ حجاری شده و معماری به کار برده می شود و نه هم چون دیگر ادیان در مجسمه سازی و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بیشتر هنرمندان مسلمان، به استثنای تعداد کمی از خوشنویسان، ناشناس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دیده می شود که آثار هنر اسلامی امضای هنرمند را بر خود داشته باشند</w:t>
      </w:r>
      <w:r>
        <w:rPr>
          <w:rFonts w:eastAsia="IRNazanin" w:cs="IRNazanin"/>
          <w:color w:val="111111"/>
          <w:sz w:val="28"/>
          <w:szCs w:val="28"/>
          <w:rtl w:val="true"/>
          <w:lang w:bidi="fa-IR"/>
        </w:rPr>
        <w:t>.</w:t>
      </w:r>
    </w:p>
    <w:p>
      <w:pPr>
        <w:pStyle w:val="Heading4"/>
        <w:numPr>
          <w:ilvl w:val="3"/>
          <w:numId w:val="1"/>
        </w:numPr>
        <w:rPr/>
      </w:pPr>
      <w:bookmarkStart w:id="1115" w:name="__RefHeading___Toc1656784_2281741623"/>
      <w:bookmarkStart w:id="1116" w:name="_Toc398"/>
      <w:bookmarkEnd w:id="1115"/>
      <w:r>
        <w:rPr>
          <w:rtl w:val="true"/>
        </w:rPr>
        <w:t>آیین بودا و فضای دگرگون کنندۀ باغ</w:t>
      </w:r>
      <w:bookmarkEnd w:id="1116"/>
    </w:p>
    <w:p>
      <w:pPr>
        <w:pStyle w:val="BookText"/>
        <w:rPr/>
      </w:pPr>
      <w:r>
        <w:rPr>
          <w:rFonts w:ascii="IRNazanin" w:hAnsi="IRNazanin" w:eastAsia="IRNazanin"/>
          <w:color w:val="111111"/>
          <w:sz w:val="28"/>
          <w:sz w:val="28"/>
          <w:szCs w:val="28"/>
          <w:rtl w:val="true"/>
          <w:lang w:bidi="fa-IR"/>
        </w:rPr>
        <w:t>آیین بودا و فضای دگرگون کنندۀ باغ</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در بخش عمده ای از هنر بودایی، جایگاهی مهم و در اعتقادات بودایی نقشی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چیزی جدا از طرز فکر غربی است که هنر را به مثابه وسیله ای برای بازنمایی یا حتی مجسم کردن جهان معنوی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عوض، بوداییان کل طبیعت را منزل گاه ارواح، یا هامی می دانند که داخل تخته سنگ ها، آب، درختان و کوه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تأثیر متقابل بر طبیعت می گذارد و طبیعت نیز به نوبۀ خود بر ذهن و جسم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تعامل، حالتی از ساتوری</w:t>
      </w:r>
      <w:r>
        <w:rPr>
          <w:rStyle w:val="FootnoteAnchor"/>
          <w:rtl w:val="true"/>
        </w:rPr>
        <w:footnoteReference w:id="486"/>
      </w:r>
      <w:r>
        <w:rPr>
          <w:rFonts w:ascii="IRNazanin" w:hAnsi="IRNazanin" w:eastAsia="IRNazanin"/>
          <w:color w:val="111111"/>
          <w:sz w:val="28"/>
          <w:sz w:val="28"/>
          <w:szCs w:val="28"/>
          <w:rtl w:val="true"/>
          <w:lang w:bidi="fa-IR"/>
        </w:rPr>
        <w:t>یا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نما یکی از بارز ترین تجلی های زیبایی شناختی است که اصول بودایی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باغ هایی برای بوداییان نقشی باز نمایانه را در فراهم کردن نگاه گذرایی از جهانِ پیش ِرو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شینتو یکی از قدیمی ترین شاخه های آیین بودا، از معابد طبیعی که صخره ها، دریاچه های کوچک و آبشار ها را به کار می گرفتند، به دو منظور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نمایی طبیعت در مقیاسی کوچک تر و ایفای نقشی باز نمایانه در جهت تأکید بر زیبایی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 که یکی از شاخه های متأخر آیین بوداست، از مفهوم باغ ها در مقام پیوندی به جهان معنوی به گرمی استقبال می کند ولی به شیوه ای انتزاعی تر؛ برای نمونه، در این جا می توان حضور آب را تنها به وسیلۀ صخره ها یا خزه با چیدمانی که می تواند اشاره به بستر رود خانه کند، بازنمایی کرد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ها از نظر بوداییان، چند حقیقیت معنوی را مجسم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اعتقاد که زندگی دائماً در حال دگر گونی یا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باغ نما ها برای بیان این امر، طراحی نا منظمی را با چیدمانی نا متقارن از عناصری هم چون صخره ها و گیاهان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چین ها و معابر معمولاً به جای این که چهار گوش یا مستقیم باشند، منحنی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نما فضایی پرورش یافته و در همان حال نقشۀ آن عمداً نا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بوداییان معتقدند که این زیبا یی شناسی </w:t>
      </w:r>
      <w:bookmarkStart w:id="1117" w:name="pg3881_28231"/>
    </w:p>
    <w:p>
      <w:pPr>
        <w:pStyle w:val="BookText"/>
        <w:rPr/>
      </w:pPr>
      <w:bookmarkEnd w:id="1117"/>
      <w:r>
        <w:rPr>
          <w:rFonts w:ascii="IRNazanin" w:hAnsi="IRNazanin" w:eastAsia="IRNazanin"/>
          <w:color w:val="111111"/>
          <w:sz w:val="28"/>
          <w:sz w:val="28"/>
          <w:szCs w:val="28"/>
          <w:rtl w:val="true"/>
          <w:lang w:bidi="fa-IR"/>
        </w:rPr>
        <w:t>نامنظم و نا تمام، ناظر را به کامل کردن متفکرانۀ طرح فرا می خواند و به این ترتیب، او به وسیلۀ مشارکت و تعامل مؤثر با باغ، دگرگون می شود</w:t>
      </w:r>
      <w:r>
        <w:rPr>
          <w:rFonts w:eastAsia="IRNazanin" w:cs="IRNazanin"/>
          <w:color w:val="111111"/>
          <w:sz w:val="28"/>
          <w:szCs w:val="28"/>
          <w:rtl w:val="true"/>
          <w:lang w:bidi="fa-IR"/>
        </w:rPr>
        <w:t>.</w:t>
      </w:r>
    </w:p>
    <w:p>
      <w:pPr>
        <w:pStyle w:val="Heading4"/>
        <w:numPr>
          <w:ilvl w:val="3"/>
          <w:numId w:val="1"/>
        </w:numPr>
        <w:rPr/>
      </w:pPr>
      <w:bookmarkStart w:id="1118" w:name="__RefHeading___Toc1656786_2281741623"/>
      <w:bookmarkStart w:id="1119" w:name="_Toc399"/>
      <w:bookmarkEnd w:id="1118"/>
      <w:r>
        <w:rPr>
          <w:rtl w:val="true"/>
        </w:rPr>
        <w:t>آیین هندو و عمل مشاهده</w:t>
      </w:r>
      <w:bookmarkEnd w:id="1119"/>
    </w:p>
    <w:p>
      <w:pPr>
        <w:pStyle w:val="BookText"/>
        <w:rPr/>
      </w:pPr>
      <w:r>
        <w:rPr>
          <w:rFonts w:ascii="IRNazanin" w:hAnsi="IRNazanin" w:eastAsia="IRNazanin"/>
          <w:color w:val="111111"/>
          <w:sz w:val="28"/>
          <w:sz w:val="28"/>
          <w:szCs w:val="28"/>
          <w:rtl w:val="true"/>
          <w:lang w:bidi="fa-IR"/>
        </w:rPr>
        <w:t>آیین هندو و عمل مشاهده</w:t>
      </w:r>
    </w:p>
    <w:p>
      <w:pPr>
        <w:pStyle w:val="BookText"/>
        <w:rPr/>
      </w:pPr>
      <w:r>
        <w:rPr>
          <w:rFonts w:ascii="IRNazanin" w:hAnsi="IRNazanin" w:eastAsia="IRNazanin"/>
          <w:color w:val="111111"/>
          <w:sz w:val="28"/>
          <w:sz w:val="28"/>
          <w:szCs w:val="28"/>
          <w:rtl w:val="true"/>
          <w:lang w:bidi="fa-IR"/>
        </w:rPr>
        <w:t>محور اصلی عبادت خدایان و الهه های چند گانۀ آیین هندو، تصویر سازی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ها از هنر به عنوان حاملی استفاده می کنند که از طریق آن، خدایان در صُور انسانی مجسم می شوند و در قالب تندیس ها، دیوار کوب ها، قالب های پلاستیکی و حتی به وسیلۀ بازیگران در برنامه های تلویزیونیِ دنباله دار به تصویر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نیز نقشی تجربی و دگر گون کننده را در عبادت ایفا می کنند؛ زیرا هندو ها اعتقاد دارند که بُت در واقع آن هایی را می بیند که در پیش رویش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که برای قصدِ عبادت به کرات توسط هندوها استفاده می شود، قصد درشن یا مشاهدۀ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مشاهده به قدری اهمیت دارد که وقتی بُتی هندو ساخته می شود، در آخرین کار ـ که عملی تشریفاتی است ـ از طریق ضربۀ قلم موی آغشته به رنگ یا به وسیلۀ جا دادن گوی هایی از جنس چینی درون کاسه های چشم، پیکره را صاحب چشم می کنند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 ها استقبال مشتاقانۀ خود را از مشاهده و تعامل با تصاویر مذهبیِ خارج از مکان های عبادت، حتی تصاویری که از طریق رسانه های گروهی به نمایش درمی آیند، به اثبات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برنامۀ تلویزیونی دنباله دار به نام رامایان که داستانی بر اساس یک حماسۀ مذهبی باستانی است،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در شبکۀ تلویزیونی دولتی هند، دورداشران به نمایش درآمد و شوری را در سراسر این کشور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خانه های هندی، نگاه کردن به رامایان تبدیل به </w:t>
      </w:r>
      <w:bookmarkStart w:id="1120" w:name="pg3881_28232"/>
    </w:p>
    <w:p>
      <w:pPr>
        <w:pStyle w:val="BookText"/>
        <w:rPr/>
      </w:pPr>
      <w:bookmarkEnd w:id="1120"/>
      <w:r>
        <w:rPr>
          <w:rFonts w:ascii="IRNazanin" w:hAnsi="IRNazanin" w:eastAsia="IRNazanin"/>
          <w:color w:val="111111"/>
          <w:sz w:val="28"/>
          <w:sz w:val="28"/>
          <w:szCs w:val="28"/>
          <w:rtl w:val="true"/>
          <w:lang w:bidi="fa-IR"/>
        </w:rPr>
        <w:t>مراسمی مذهبی شد، به گونه ای که بینندگان جلوی صفحۀ تلویزیون بخور می سوزاندند و دستگاه تلویزیون را با تاج های گل تزیین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قسمت های دنباله دار این برنامه یک سال و نیم بعد به پایان رسیدند، به محبوب ترین برنامه ای تبدیل شده بود که تا کنون در تلویزیون هند به نمایش درآمده است</w:t>
      </w:r>
      <w:r>
        <w:rPr>
          <w:rFonts w:eastAsia="IRNazanin" w:cs="IRNazanin"/>
          <w:color w:val="111111"/>
          <w:sz w:val="28"/>
          <w:szCs w:val="28"/>
          <w:rtl w:val="true"/>
          <w:lang w:bidi="fa-IR"/>
        </w:rPr>
        <w:t>.</w:t>
      </w:r>
    </w:p>
    <w:p>
      <w:pPr>
        <w:pStyle w:val="Heading4"/>
        <w:numPr>
          <w:ilvl w:val="3"/>
          <w:numId w:val="1"/>
        </w:numPr>
        <w:rPr/>
      </w:pPr>
      <w:bookmarkStart w:id="1121" w:name="__RefHeading___Toc1656788_2281741623"/>
      <w:bookmarkStart w:id="1122" w:name="_Toc400"/>
      <w:bookmarkEnd w:id="1121"/>
      <w:r>
        <w:rPr>
          <w:rtl w:val="true"/>
        </w:rPr>
        <w:t>آیین یهود</w:t>
      </w:r>
      <w:r>
        <w:rPr>
          <w:rtl w:val="true"/>
        </w:rPr>
        <w:t xml:space="preserve">: </w:t>
      </w:r>
      <w:r>
        <w:rPr>
          <w:rtl w:val="true"/>
        </w:rPr>
        <w:t>هنر و یادآوری</w:t>
      </w:r>
      <w:bookmarkEnd w:id="1122"/>
    </w:p>
    <w:p>
      <w:pPr>
        <w:pStyle w:val="BookText"/>
        <w:rPr/>
      </w:pPr>
      <w:r>
        <w:rPr>
          <w:rFonts w:ascii="IRNazanin" w:hAnsi="IRNazanin" w:eastAsia="IRNazanin"/>
          <w:color w:val="111111"/>
          <w:sz w:val="28"/>
          <w:sz w:val="28"/>
          <w:szCs w:val="28"/>
          <w:rtl w:val="true"/>
          <w:lang w:bidi="fa-IR"/>
        </w:rPr>
        <w:t>آیین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یادآوری</w:t>
      </w:r>
    </w:p>
    <w:p>
      <w:pPr>
        <w:pStyle w:val="BookText"/>
        <w:rPr/>
      </w:pPr>
      <w:r>
        <w:rPr>
          <w:rFonts w:ascii="IRNazanin" w:hAnsi="IRNazanin" w:eastAsia="IRNazanin"/>
          <w:color w:val="111111"/>
          <w:sz w:val="28"/>
          <w:sz w:val="28"/>
          <w:szCs w:val="28"/>
          <w:rtl w:val="true"/>
          <w:lang w:bidi="fa-IR"/>
        </w:rPr>
        <w:t>آیین یهود بیشتر به خاطر پیروی از ده فرمان که ایجاد تصاویر کنده کاری شده را منع می کند، دینی شمایل شکن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منع تنها مربوط به تصاویری است که در بُت پرستی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عهد قدیم جایگاه بیان تزیینی به طریق هنرمندانه را به مثابه اصلی محوری در زندگی مذهبی یهودی ارج می نهد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مهاجرت بنی اسراییل،</w:t>
      </w:r>
      <w:r>
        <w:rPr>
          <w:rStyle w:val="FootnoteAnchor"/>
          <w:rtl w:val="true"/>
        </w:rPr>
        <w:footnoteReference w:id="487"/>
      </w:r>
      <w:r>
        <w:rPr>
          <w:rFonts w:ascii="IRNazanin" w:hAnsi="IRNazanin" w:eastAsia="IRNazanin"/>
          <w:color w:val="111111"/>
          <w:sz w:val="28"/>
          <w:sz w:val="28"/>
          <w:szCs w:val="28"/>
          <w:rtl w:val="true"/>
          <w:lang w:bidi="fa-IR"/>
        </w:rPr>
        <w:t>شرحی مفصل آمده است مبنی بر این که صندوق تورات</w:t>
      </w:r>
      <w:r>
        <w:rPr>
          <w:rStyle w:val="FootnoteAnchor"/>
          <w:rtl w:val="true"/>
        </w:rPr>
        <w:footnoteReference w:id="488"/>
      </w:r>
      <w:r>
        <w:rPr>
          <w:rFonts w:ascii="IRNazanin" w:hAnsi="IRNazanin" w:eastAsia="IRNazanin"/>
          <w:color w:val="111111"/>
          <w:sz w:val="28"/>
          <w:sz w:val="28"/>
          <w:szCs w:val="28"/>
          <w:rtl w:val="true"/>
          <w:lang w:bidi="fa-IR"/>
        </w:rPr>
        <w:t>که ده فرمان در آن جا دارد و خیمۀ مقدسِ</w:t>
      </w:r>
      <w:r>
        <w:rPr>
          <w:rStyle w:val="FootnoteAnchor"/>
          <w:rtl w:val="true"/>
        </w:rPr>
        <w:footnoteReference w:id="489"/>
      </w:r>
      <w:r>
        <w:rPr>
          <w:rFonts w:ascii="IRNazanin" w:hAnsi="IRNazanin" w:eastAsia="IRNazanin"/>
          <w:color w:val="111111"/>
          <w:sz w:val="28"/>
          <w:sz w:val="28"/>
          <w:szCs w:val="28"/>
          <w:rtl w:val="true"/>
          <w:lang w:bidi="fa-IR"/>
        </w:rPr>
        <w:t>مورد استفاده برای عبادت، به چه طریق با شکوهی به وسیلۀ چوب های مرغوب، فلزات و سنگ های قیمتی و پارچه های رنگی آراسته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مهاجرت بنی اسراییل، در فصل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هنرمند مقیم به نام بِزالل</w:t>
      </w:r>
      <w:r>
        <w:rPr>
          <w:rStyle w:val="FootnoteAnchor"/>
          <w:rtl w:val="true"/>
        </w:rPr>
        <w:footnoteReference w:id="490"/>
      </w:r>
      <w:r>
        <w:rPr>
          <w:rFonts w:ascii="IRNazanin" w:hAnsi="IRNazanin" w:eastAsia="IRNazanin"/>
          <w:color w:val="111111"/>
          <w:sz w:val="28"/>
          <w:sz w:val="28"/>
          <w:szCs w:val="28"/>
          <w:rtl w:val="true"/>
          <w:lang w:bidi="fa-IR"/>
        </w:rPr>
        <w:t>اسم می برد که از نعمت مهارت در همگی انواع صنایع برخوردار بود و مسئولیت ساخت طرح های هنرمندانه با فلزات، سنگ و چوب به او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شدید برای بیان بصری، بخشی مهم از حکایت سراسر تاریخ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هنر مذهبیِ دیگر ادیان در آزمون سخت فرهنگی خاصی به تدریج شکل گرفته است ولی یهودیان سلطه و تبعید </w:t>
      </w:r>
      <w:bookmarkStart w:id="1123" w:name="pg3881_28233"/>
    </w:p>
    <w:p>
      <w:pPr>
        <w:pStyle w:val="BookText"/>
        <w:rPr/>
      </w:pPr>
      <w:bookmarkEnd w:id="1123"/>
      <w:r>
        <w:rPr>
          <w:rFonts w:ascii="IRNazanin" w:hAnsi="IRNazanin" w:eastAsia="IRNazanin"/>
          <w:color w:val="111111"/>
          <w:sz w:val="28"/>
          <w:sz w:val="28"/>
          <w:szCs w:val="28"/>
          <w:rtl w:val="true"/>
          <w:lang w:bidi="fa-IR"/>
        </w:rPr>
        <w:t xml:space="preserve">در کشور های بیگانه را از پایان فرمانروایی سلیمان شاه در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هنر یهودی، بسیاری از سبک ها و صُور هنری فرهنگ های محل اقامتش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تعیین یک سیر سبک شناختی واحد که بیان بصری یهودی را به طور موجَز باز گو کند،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تصور یادآوری برای یهودیان موضوعی بسیار با اهمیت است و این امر در مصنوعات و اشیاء آیینی، معروف به جودایکا که در بنا های تاریخی و موزه های سراسر جهان گرد آوری شده اند،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های خاطرۀ فرهنگی با رشد تدریجی در اواخر قرن هجدهم و اوایل قرن نوزدهم یعنی زمان مهاجرت یهودیان از مناطق دور افتاده و تشکیل جمعیتی با یکپارچگیِ بسیار بیشتر در فرهنگی بزرگ تر، یک باره در اروپا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 تورات، نیمکت های ختنه،</w:t>
      </w:r>
      <w:r>
        <w:rPr>
          <w:rStyle w:val="FootnoteAnchor"/>
          <w:rtl w:val="true"/>
        </w:rPr>
        <w:footnoteReference w:id="491"/>
      </w:r>
      <w:r>
        <w:rPr>
          <w:rFonts w:ascii="IRNazanin" w:hAnsi="IRNazanin" w:eastAsia="IRNazanin"/>
          <w:color w:val="111111"/>
          <w:sz w:val="28"/>
          <w:sz w:val="28"/>
          <w:szCs w:val="28"/>
          <w:rtl w:val="true"/>
          <w:lang w:bidi="fa-IR"/>
        </w:rPr>
        <w:t>نقاشی ها و اشیاء آیینی از کنیسه ها و درون مکان های عمومی بیرون آمدند و برای کمک به ساختن هویت یهودی در میان بسیاری از هویت های قومی اروپا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های عمومی، کنیسه ها نیستند و در چنین موقعیتی، این اشیاء در بافتی مذهبی مورد استفاده قرار نمی گیرند ولی آن ها کاربردی باز نمایانه برای یهودیان دارند و می توانند بخشی تغییر یافته از هویت مذهبی شان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ها در نظر یهودیان نه آثار تاریخی صرفاً بی حرکت، بلکه فضا ها و اشیایی هستند که بیان گر هویت آن ها در گذشته و گواه هویت شان در زندگی معاصرند</w:t>
      </w:r>
      <w:r>
        <w:rPr>
          <w:rFonts w:eastAsia="IRNazanin" w:cs="IRNazanin"/>
          <w:color w:val="111111"/>
          <w:sz w:val="28"/>
          <w:szCs w:val="28"/>
          <w:rtl w:val="true"/>
          <w:lang w:bidi="fa-IR"/>
        </w:rPr>
        <w:t>.</w:t>
      </w:r>
    </w:p>
    <w:p>
      <w:pPr>
        <w:pStyle w:val="Heading3"/>
        <w:numPr>
          <w:ilvl w:val="2"/>
          <w:numId w:val="1"/>
        </w:numPr>
        <w:rPr/>
      </w:pPr>
      <w:bookmarkStart w:id="1124" w:name="__RefHeading___Toc1656790_2281741623"/>
      <w:bookmarkStart w:id="1125" w:name="_Toc401"/>
      <w:bookmarkEnd w:id="1124"/>
      <w:r>
        <w:rPr>
          <w:rtl w:val="true"/>
        </w:rPr>
        <w:t>حفظ شتاب همراه با عمل مذهبی</w:t>
      </w:r>
      <w:bookmarkEnd w:id="112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شتاب همراه با عمل مذهبی </w:t>
      </w:r>
    </w:p>
    <w:p>
      <w:pPr>
        <w:pStyle w:val="BookText"/>
        <w:rPr/>
      </w:pPr>
      <w:r>
        <w:rPr>
          <w:rFonts w:ascii="IRNazanin" w:hAnsi="IRNazanin" w:eastAsia="IRNazanin"/>
          <w:color w:val="111111"/>
          <w:sz w:val="28"/>
          <w:sz w:val="28"/>
          <w:szCs w:val="28"/>
          <w:rtl w:val="true"/>
          <w:lang w:bidi="fa-IR"/>
        </w:rPr>
        <w:t>همگی پنج مذهب بزرگ جهان، برای انتقال عقاید، رسوم و ثبت تاریخی جهانِ دین، مجموعه ای از شیوه های بیان بصری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فن آوری های جدیدِ تصویر سازی و رسانه های گروهی، این شیوه ها و اصول که بر آن ها نظارت دارند، هنوز هم در حال تغییر و تحول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نوشتۀ وَن کورنِگای</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فرهاد صادقی </w:t>
      </w:r>
      <w:bookmarkStart w:id="1126" w:name="pg3881_28235"/>
    </w:p>
    <w:p>
      <w:pPr>
        <w:pStyle w:val="Heading3"/>
        <w:numPr>
          <w:ilvl w:val="2"/>
          <w:numId w:val="1"/>
        </w:numPr>
        <w:rPr/>
      </w:pPr>
      <w:bookmarkStart w:id="1127" w:name="__RefHeading___Toc1656792_2281741623"/>
      <w:bookmarkStart w:id="1128" w:name="_Toc402"/>
      <w:bookmarkEnd w:id="1126"/>
      <w:bookmarkEnd w:id="1127"/>
      <w:r>
        <w:rPr>
          <w:rtl w:val="true"/>
        </w:rPr>
        <w:t>برای مطالعۀ بیشتر</w:t>
      </w:r>
      <w:bookmarkEnd w:id="1128"/>
    </w:p>
    <w:p>
      <w:pPr>
        <w:pStyle w:val="BookText"/>
        <w:rPr/>
      </w:pPr>
      <w:r>
        <w:rPr>
          <w:rFonts w:ascii="IRNazanin" w:hAnsi="IRNazanin" w:eastAsia="IRNazanin"/>
          <w:color w:val="111111"/>
          <w:sz w:val="28"/>
          <w:sz w:val="28"/>
          <w:szCs w:val="28"/>
          <w:rtl w:val="true"/>
          <w:lang w:bidi="fa-IR"/>
        </w:rPr>
        <w:t>برای مطالعۀ بیشتر</w:t>
      </w:r>
    </w:p>
    <w:p>
      <w:pPr>
        <w:pStyle w:val="BookText"/>
        <w:rPr/>
      </w:pPr>
      <w:r>
        <w:rPr>
          <w:rFonts w:eastAsia="Times New Roman" w:cs="Times New Roman" w:ascii="Times New Roman" w:hAnsi="Times New Roman"/>
          <w:color w:val="111111"/>
          <w:sz w:val="28"/>
          <w:szCs w:val="28"/>
          <w:lang w:val="en-US" w:bidi="en-US"/>
        </w:rPr>
        <w:t>Cohen, R. (1998). Jewish Icons: Art and society in modern Europe. Berkley: University of California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Eck, D. (1998). Darshan: Seeing the diving image in India.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Elgood, H. (1999). Hinduism and the religious arts. London: Cassel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Gibson, D. (2004, February 21). What did Jesus really look like? The New York Times, Section B, Page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Miles, M. (1985). Image as Insight: Visual understanding in Western Christianity and secular culture. Boston: Beacon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Morgan, D. (1999). Protestants and Picture: Religion, visual culture, and the age of American mass production. New York: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Pilgrim, R. (1993). Buddism and the arts of Japan. Chambresburg, PA: Anima Books</w:t>
      </w:r>
      <w:r>
        <w:rPr>
          <w:rFonts w:eastAsia="Times New Roman" w:cs="Times New Roman" w:ascii="Times New Roman" w:hAnsi="Times New Roman"/>
          <w:color w:val="111111"/>
          <w:sz w:val="28"/>
          <w:szCs w:val="28"/>
          <w:rtl w:val="true"/>
          <w:lang w:val="en-US" w:bidi="en-US"/>
        </w:rPr>
        <w:t xml:space="preserve">. </w:t>
      </w:r>
      <w:bookmarkStart w:id="1129" w:name="pg3881_28236"/>
    </w:p>
    <w:p>
      <w:pPr>
        <w:pStyle w:val="Heading2"/>
        <w:numPr>
          <w:ilvl w:val="1"/>
          <w:numId w:val="1"/>
        </w:numPr>
        <w:rPr/>
      </w:pPr>
      <w:bookmarkStart w:id="1130" w:name="__RefHeading___Toc1656794_2281741623"/>
      <w:bookmarkStart w:id="1131" w:name="_Toc403"/>
      <w:bookmarkEnd w:id="1129"/>
      <w:bookmarkEnd w:id="1130"/>
      <w:r>
        <w:rPr>
          <w:rtl w:val="true"/>
        </w:rPr>
        <w:t>فهرست نویسندگان</w:t>
      </w:r>
      <w:bookmarkEnd w:id="1131"/>
    </w:p>
    <w:p>
      <w:pPr>
        <w:pStyle w:val="BookText"/>
        <w:rPr/>
      </w:pPr>
      <w:r>
        <w:rPr>
          <w:rFonts w:ascii="IRNazanin" w:hAnsi="IRNazanin" w:eastAsia="IRNazanin"/>
          <w:color w:val="111111"/>
          <w:sz w:val="28"/>
          <w:sz w:val="28"/>
          <w:szCs w:val="28"/>
          <w:rtl w:val="true"/>
          <w:lang w:bidi="fa-IR"/>
        </w:rPr>
        <w:t>فهرست نویسندگان</w:t>
      </w:r>
    </w:p>
    <w:p>
      <w:pPr>
        <w:pStyle w:val="BookText"/>
        <w:rPr/>
      </w:pPr>
      <w:r>
        <w:rPr>
          <w:rFonts w:ascii="IRNazanin" w:hAnsi="IRNazanin" w:eastAsia="IRNazanin"/>
          <w:color w:val="111111"/>
          <w:sz w:val="28"/>
          <w:sz w:val="28"/>
          <w:szCs w:val="28"/>
          <w:rtl w:val="true"/>
          <w:lang w:bidi="fa-IR"/>
        </w:rPr>
        <w:t xml:space="preserve">آرمسترانگ، ریچارد </w:t>
      </w:r>
      <w:r>
        <w:rPr>
          <w:rFonts w:eastAsia="Times New Roman" w:cs="Times New Roman" w:ascii="Times New Roman" w:hAnsi="Times New Roman"/>
          <w:color w:val="111111"/>
          <w:sz w:val="28"/>
          <w:szCs w:val="28"/>
          <w:lang w:val="en-US" w:bidi="en-US"/>
        </w:rPr>
        <w:t>Richard N.Armstrong</w:t>
      </w:r>
    </w:p>
    <w:p>
      <w:pPr>
        <w:pStyle w:val="BookText"/>
        <w:rPr/>
      </w:pPr>
      <w:r>
        <w:rPr>
          <w:rFonts w:ascii="IRNazanin" w:hAnsi="IRNazanin" w:eastAsia="IRNazanin"/>
          <w:color w:val="111111"/>
          <w:sz w:val="28"/>
          <w:sz w:val="28"/>
          <w:szCs w:val="28"/>
          <w:rtl w:val="true"/>
          <w:lang w:bidi="fa-IR"/>
        </w:rPr>
        <w:t xml:space="preserve">استارجیل، آماندا </w:t>
      </w:r>
      <w:r>
        <w:rPr>
          <w:rFonts w:eastAsia="Times New Roman" w:cs="Times New Roman" w:ascii="Times New Roman" w:hAnsi="Times New Roman"/>
          <w:color w:val="111111"/>
          <w:sz w:val="28"/>
          <w:szCs w:val="28"/>
          <w:lang w:val="en-US" w:bidi="en-US"/>
        </w:rPr>
        <w:t>Amanda Sturgill</w:t>
      </w:r>
    </w:p>
    <w:p>
      <w:pPr>
        <w:pStyle w:val="BookText"/>
        <w:rPr/>
      </w:pPr>
      <w:r>
        <w:rPr>
          <w:rFonts w:ascii="IRNazanin" w:hAnsi="IRNazanin" w:eastAsia="IRNazanin"/>
          <w:color w:val="111111"/>
          <w:sz w:val="28"/>
          <w:sz w:val="28"/>
          <w:szCs w:val="28"/>
          <w:rtl w:val="true"/>
          <w:lang w:bidi="fa-IR"/>
        </w:rPr>
        <w:t xml:space="preserve">استوت، دنیل </w:t>
      </w:r>
      <w:r>
        <w:rPr>
          <w:rFonts w:eastAsia="Times New Roman" w:cs="Times New Roman" w:ascii="Times New Roman" w:hAnsi="Times New Roman"/>
          <w:color w:val="111111"/>
          <w:sz w:val="28"/>
          <w:szCs w:val="28"/>
          <w:lang w:val="en-US" w:bidi="en-US"/>
        </w:rPr>
        <w:t>Daniel A. Stout</w:t>
      </w:r>
    </w:p>
    <w:p>
      <w:pPr>
        <w:pStyle w:val="BookText"/>
        <w:rPr/>
      </w:pPr>
      <w:r>
        <w:rPr>
          <w:rFonts w:ascii="Amiri" w:hAnsi="Amiri" w:eastAsia="Amiri" w:cs="Amiri"/>
          <w:color w:val="111111"/>
          <w:sz w:val="28"/>
          <w:sz w:val="28"/>
          <w:szCs w:val="28"/>
          <w:rtl w:val="true"/>
          <w:lang w:bidi="ar-SA"/>
        </w:rPr>
        <w:t xml:space="preserve">اُجو، متیو </w:t>
      </w:r>
      <w:r>
        <w:rPr>
          <w:rFonts w:eastAsia="Times New Roman" w:cs="Times New Roman" w:ascii="Times New Roman" w:hAnsi="Times New Roman"/>
          <w:color w:val="111111"/>
          <w:sz w:val="28"/>
          <w:szCs w:val="28"/>
          <w:lang w:val="en-US" w:bidi="en-US"/>
        </w:rPr>
        <w:t>Matthews A.Ojo</w:t>
      </w:r>
    </w:p>
    <w:p>
      <w:pPr>
        <w:pStyle w:val="BookText"/>
        <w:rPr/>
      </w:pPr>
      <w:r>
        <w:rPr>
          <w:rFonts w:ascii="Amiri" w:hAnsi="Amiri" w:eastAsia="Amiri" w:cs="Amiri"/>
          <w:color w:val="111111"/>
          <w:sz w:val="28"/>
          <w:sz w:val="28"/>
          <w:szCs w:val="28"/>
          <w:rtl w:val="true"/>
          <w:lang w:bidi="ar-SA"/>
        </w:rPr>
        <w:t xml:space="preserve">باداراکّو، کِلِر </w:t>
      </w:r>
      <w:r>
        <w:rPr>
          <w:rFonts w:eastAsia="Times New Roman" w:cs="Times New Roman" w:ascii="Times New Roman" w:hAnsi="Times New Roman"/>
          <w:color w:val="111111"/>
          <w:sz w:val="28"/>
          <w:szCs w:val="28"/>
          <w:lang w:val="en-US" w:bidi="en-US"/>
        </w:rPr>
        <w:t>Claire Badaracco</w:t>
      </w:r>
    </w:p>
    <w:p>
      <w:pPr>
        <w:pStyle w:val="BookText"/>
        <w:rPr/>
      </w:pPr>
      <w:r>
        <w:rPr>
          <w:rFonts w:ascii="IRNazanin" w:hAnsi="IRNazanin" w:eastAsia="IRNazanin"/>
          <w:color w:val="111111"/>
          <w:sz w:val="28"/>
          <w:sz w:val="28"/>
          <w:szCs w:val="28"/>
          <w:rtl w:val="true"/>
          <w:lang w:bidi="fa-IR"/>
        </w:rPr>
        <w:t xml:space="preserve">برایانت، جنینگز </w:t>
      </w:r>
      <w:r>
        <w:rPr>
          <w:rFonts w:eastAsia="Times New Roman" w:cs="Times New Roman" w:ascii="Times New Roman" w:hAnsi="Times New Roman"/>
          <w:color w:val="111111"/>
          <w:sz w:val="28"/>
          <w:szCs w:val="28"/>
          <w:lang w:val="en-US" w:bidi="en-US"/>
        </w:rPr>
        <w:t>Jennings Bryant</w:t>
      </w:r>
    </w:p>
    <w:p>
      <w:pPr>
        <w:pStyle w:val="BookText"/>
        <w:rPr/>
      </w:pPr>
      <w:r>
        <w:rPr>
          <w:rFonts w:ascii="IRNazanin" w:hAnsi="IRNazanin" w:eastAsia="IRNazanin"/>
          <w:color w:val="111111"/>
          <w:sz w:val="28"/>
          <w:sz w:val="28"/>
          <w:szCs w:val="28"/>
          <w:rtl w:val="true"/>
          <w:lang w:bidi="fa-IR"/>
        </w:rPr>
        <w:t xml:space="preserve">پالمر، آلن </w:t>
      </w:r>
      <w:r>
        <w:rPr>
          <w:rFonts w:eastAsia="Times New Roman" w:cs="Times New Roman" w:ascii="Times New Roman" w:hAnsi="Times New Roman"/>
          <w:color w:val="111111"/>
          <w:sz w:val="28"/>
          <w:szCs w:val="28"/>
          <w:lang w:val="en-US" w:bidi="en-US"/>
        </w:rPr>
        <w:t>Allen W. Palmer</w:t>
      </w:r>
    </w:p>
    <w:p>
      <w:pPr>
        <w:pStyle w:val="BookText"/>
        <w:rPr/>
      </w:pPr>
      <w:r>
        <w:rPr>
          <w:rFonts w:ascii="IRNazanin" w:hAnsi="IRNazanin" w:eastAsia="IRNazanin"/>
          <w:color w:val="111111"/>
          <w:sz w:val="28"/>
          <w:sz w:val="28"/>
          <w:szCs w:val="28"/>
          <w:rtl w:val="true"/>
          <w:lang w:bidi="fa-IR"/>
        </w:rPr>
        <w:t xml:space="preserve">دانکِین، دین </w:t>
      </w:r>
      <w:r>
        <w:rPr>
          <w:rFonts w:eastAsia="Times New Roman" w:cs="Times New Roman" w:ascii="Times New Roman" w:hAnsi="Times New Roman"/>
          <w:color w:val="111111"/>
          <w:sz w:val="28"/>
          <w:szCs w:val="28"/>
          <w:lang w:val="en-US" w:bidi="en-US"/>
        </w:rPr>
        <w:t>Dean Duncan</w:t>
      </w:r>
    </w:p>
    <w:p>
      <w:pPr>
        <w:pStyle w:val="BookText"/>
        <w:rPr/>
      </w:pPr>
      <w:r>
        <w:rPr>
          <w:rFonts w:ascii="IRNazanin" w:hAnsi="IRNazanin" w:eastAsia="IRNazanin"/>
          <w:color w:val="111111"/>
          <w:sz w:val="28"/>
          <w:sz w:val="28"/>
          <w:szCs w:val="28"/>
          <w:rtl w:val="true"/>
          <w:lang w:bidi="fa-IR"/>
        </w:rPr>
        <w:t xml:space="preserve">دورهام پیترز، جان </w:t>
      </w:r>
      <w:r>
        <w:rPr>
          <w:rFonts w:eastAsia="Times New Roman" w:cs="Times New Roman" w:ascii="Times New Roman" w:hAnsi="Times New Roman"/>
          <w:color w:val="111111"/>
          <w:sz w:val="28"/>
          <w:szCs w:val="28"/>
          <w:lang w:val="en-US" w:bidi="en-US"/>
        </w:rPr>
        <w:t>John Durham Peters</w:t>
      </w:r>
    </w:p>
    <w:p>
      <w:pPr>
        <w:pStyle w:val="BookText"/>
        <w:rPr/>
      </w:pPr>
      <w:r>
        <w:rPr>
          <w:rFonts w:ascii="IRNazanin" w:hAnsi="IRNazanin" w:eastAsia="IRNazanin"/>
          <w:color w:val="111111"/>
          <w:sz w:val="28"/>
          <w:sz w:val="28"/>
          <w:szCs w:val="28"/>
          <w:rtl w:val="true"/>
          <w:lang w:bidi="fa-IR"/>
        </w:rPr>
        <w:t xml:space="preserve">رابرت پترسِن، تاد </w:t>
      </w:r>
      <w:r>
        <w:rPr>
          <w:rFonts w:eastAsia="Times New Roman" w:cs="Times New Roman" w:ascii="Times New Roman" w:hAnsi="Times New Roman"/>
          <w:color w:val="111111"/>
          <w:sz w:val="28"/>
          <w:szCs w:val="28"/>
          <w:lang w:val="en-US" w:bidi="en-US"/>
        </w:rPr>
        <w:t>Todd Robert Petersen</w:t>
      </w:r>
    </w:p>
    <w:p>
      <w:pPr>
        <w:pStyle w:val="BookText"/>
        <w:rPr/>
      </w:pPr>
      <w:r>
        <w:rPr>
          <w:rFonts w:ascii="IRNazanin" w:hAnsi="IRNazanin" w:eastAsia="IRNazanin"/>
          <w:color w:val="111111"/>
          <w:sz w:val="28"/>
          <w:sz w:val="28"/>
          <w:szCs w:val="28"/>
          <w:rtl w:val="true"/>
          <w:lang w:bidi="fa-IR"/>
        </w:rPr>
        <w:t xml:space="preserve">سمئول سِن، اریک </w:t>
      </w:r>
      <w:r>
        <w:rPr>
          <w:rFonts w:eastAsia="Times New Roman" w:cs="Times New Roman" w:ascii="Times New Roman" w:hAnsi="Times New Roman"/>
          <w:color w:val="111111"/>
          <w:sz w:val="28"/>
          <w:szCs w:val="28"/>
          <w:lang w:val="en-US" w:bidi="en-US"/>
        </w:rPr>
        <w:t>Eric Samuelson</w:t>
      </w:r>
    </w:p>
    <w:p>
      <w:pPr>
        <w:pStyle w:val="BookText"/>
        <w:rPr/>
      </w:pPr>
      <w:r>
        <w:rPr>
          <w:rFonts w:ascii="Amiri" w:hAnsi="Amiri" w:eastAsia="Amiri" w:cs="Amiri"/>
          <w:color w:val="111111"/>
          <w:sz w:val="28"/>
          <w:sz w:val="28"/>
          <w:szCs w:val="28"/>
          <w:rtl w:val="true"/>
          <w:lang w:bidi="ar-SA"/>
        </w:rPr>
        <w:t xml:space="preserve">قَلّاب، عبدالله </w:t>
      </w:r>
      <w:r>
        <w:rPr>
          <w:rFonts w:eastAsia="Times New Roman" w:cs="Times New Roman" w:ascii="Times New Roman" w:hAnsi="Times New Roman"/>
          <w:color w:val="111111"/>
          <w:sz w:val="28"/>
          <w:szCs w:val="28"/>
          <w:lang w:val="en-US" w:bidi="en-US"/>
        </w:rPr>
        <w:t>Abdullahi A.Gallab</w:t>
      </w:r>
    </w:p>
    <w:p>
      <w:pPr>
        <w:pStyle w:val="BookText"/>
        <w:rPr/>
      </w:pPr>
      <w:r>
        <w:rPr>
          <w:rFonts w:ascii="IRNazanin" w:hAnsi="IRNazanin" w:eastAsia="IRNazanin"/>
          <w:color w:val="111111"/>
          <w:sz w:val="28"/>
          <w:sz w:val="28"/>
          <w:szCs w:val="28"/>
          <w:rtl w:val="true"/>
          <w:lang w:bidi="fa-IR"/>
        </w:rPr>
        <w:t>کارس تارفِن، 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Meta G.Carstarphen</w:t>
      </w:r>
    </w:p>
    <w:p>
      <w:pPr>
        <w:pStyle w:val="BookText"/>
        <w:rPr/>
      </w:pPr>
      <w:r>
        <w:rPr>
          <w:rFonts w:ascii="Amiri" w:hAnsi="Amiri" w:eastAsia="Amiri" w:cs="Amiri"/>
          <w:color w:val="111111"/>
          <w:sz w:val="28"/>
          <w:sz w:val="28"/>
          <w:szCs w:val="28"/>
          <w:rtl w:val="true"/>
          <w:lang w:bidi="ar-SA"/>
        </w:rPr>
        <w:t xml:space="preserve">کِرِسمَن، دِیل </w:t>
      </w:r>
      <w:r>
        <w:rPr>
          <w:rFonts w:eastAsia="Times New Roman" w:cs="Times New Roman" w:ascii="Times New Roman" w:hAnsi="Times New Roman"/>
          <w:color w:val="111111"/>
          <w:sz w:val="28"/>
          <w:szCs w:val="28"/>
          <w:lang w:val="en-US" w:bidi="en-US"/>
        </w:rPr>
        <w:t>Dale Cressman</w:t>
      </w:r>
    </w:p>
    <w:p>
      <w:pPr>
        <w:pStyle w:val="BookText"/>
        <w:rPr/>
      </w:pPr>
      <w:r>
        <w:rPr>
          <w:rFonts w:ascii="Amiri" w:hAnsi="Amiri" w:eastAsia="Amiri" w:cs="Amiri"/>
          <w:color w:val="111111"/>
          <w:sz w:val="28"/>
          <w:sz w:val="28"/>
          <w:szCs w:val="28"/>
          <w:rtl w:val="true"/>
          <w:lang w:bidi="ar-SA"/>
        </w:rPr>
        <w:t xml:space="preserve">کلوسن، دِین </w:t>
      </w:r>
      <w:r>
        <w:rPr>
          <w:rFonts w:eastAsia="Times New Roman" w:cs="Times New Roman" w:ascii="Times New Roman" w:hAnsi="Times New Roman"/>
          <w:color w:val="111111"/>
          <w:sz w:val="28"/>
          <w:szCs w:val="28"/>
          <w:lang w:val="en-US" w:bidi="en-US"/>
        </w:rPr>
        <w:t>Dane S.Claussen</w:t>
      </w:r>
    </w:p>
    <w:p>
      <w:pPr>
        <w:pStyle w:val="BookText"/>
        <w:rPr/>
      </w:pPr>
      <w:r>
        <w:rPr>
          <w:rFonts w:ascii="IRNazanin" w:hAnsi="IRNazanin" w:eastAsia="IRNazanin"/>
          <w:color w:val="111111"/>
          <w:sz w:val="28"/>
          <w:sz w:val="28"/>
          <w:szCs w:val="28"/>
          <w:rtl w:val="true"/>
          <w:lang w:bidi="fa-IR"/>
        </w:rPr>
        <w:t xml:space="preserve">کمپبل، هیدی </w:t>
      </w:r>
      <w:r>
        <w:rPr>
          <w:rFonts w:eastAsia="Times New Roman" w:cs="Times New Roman" w:ascii="Times New Roman" w:hAnsi="Times New Roman"/>
          <w:color w:val="111111"/>
          <w:sz w:val="28"/>
          <w:szCs w:val="28"/>
          <w:lang w:val="en-US" w:bidi="en-US"/>
        </w:rPr>
        <w:t>Heidi Campbell</w:t>
      </w:r>
    </w:p>
    <w:p>
      <w:pPr>
        <w:pStyle w:val="BookText"/>
        <w:rPr/>
      </w:pPr>
      <w:r>
        <w:rPr>
          <w:rFonts w:ascii="IRNazanin" w:hAnsi="IRNazanin" w:eastAsia="IRNazanin"/>
          <w:color w:val="111111"/>
          <w:sz w:val="28"/>
          <w:sz w:val="28"/>
          <w:szCs w:val="28"/>
          <w:rtl w:val="true"/>
          <w:lang w:bidi="fa-IR"/>
        </w:rPr>
        <w:t xml:space="preserve">کورنِگای، وَن </w:t>
      </w:r>
      <w:r>
        <w:rPr>
          <w:rFonts w:eastAsia="Times New Roman" w:cs="Times New Roman" w:ascii="Times New Roman" w:hAnsi="Times New Roman"/>
          <w:color w:val="111111"/>
          <w:sz w:val="28"/>
          <w:szCs w:val="28"/>
          <w:lang w:val="en-US" w:bidi="en-US"/>
        </w:rPr>
        <w:t>Van Kornegay</w:t>
      </w:r>
    </w:p>
    <w:p>
      <w:pPr>
        <w:pStyle w:val="BookText"/>
        <w:rPr/>
      </w:pPr>
      <w:r>
        <w:rPr>
          <w:rFonts w:ascii="IRNazanin" w:hAnsi="IRNazanin" w:eastAsia="IRNazanin"/>
          <w:color w:val="111111"/>
          <w:sz w:val="28"/>
          <w:sz w:val="28"/>
          <w:szCs w:val="28"/>
          <w:rtl w:val="true"/>
          <w:lang w:bidi="fa-IR"/>
        </w:rPr>
        <w:t xml:space="preserve">کوهن، یوئل </w:t>
      </w:r>
      <w:r>
        <w:rPr>
          <w:rFonts w:eastAsia="Times New Roman" w:cs="Times New Roman" w:ascii="Times New Roman" w:hAnsi="Times New Roman"/>
          <w:color w:val="111111"/>
          <w:sz w:val="28"/>
          <w:szCs w:val="28"/>
          <w:lang w:val="en-US" w:bidi="en-US"/>
        </w:rPr>
        <w:t>Yoel Cohen</w:t>
      </w:r>
    </w:p>
    <w:p>
      <w:pPr>
        <w:pStyle w:val="BookText"/>
        <w:rPr/>
      </w:pPr>
      <w:r>
        <w:rPr>
          <w:rFonts w:ascii="IRNazanin" w:hAnsi="IRNazanin" w:eastAsia="IRNazanin"/>
          <w:color w:val="111111"/>
          <w:sz w:val="28"/>
          <w:sz w:val="28"/>
          <w:szCs w:val="28"/>
          <w:rtl w:val="true"/>
          <w:lang w:bidi="fa-IR"/>
        </w:rPr>
        <w:t xml:space="preserve">کِیشیاپ، رینا </w:t>
      </w:r>
      <w:r>
        <w:rPr>
          <w:rFonts w:eastAsia="Times New Roman" w:cs="Times New Roman" w:ascii="Times New Roman" w:hAnsi="Times New Roman"/>
          <w:color w:val="111111"/>
          <w:sz w:val="28"/>
          <w:szCs w:val="28"/>
          <w:lang w:val="en-US" w:bidi="en-US"/>
        </w:rPr>
        <w:t>Rina Kashyap</w:t>
      </w:r>
    </w:p>
    <w:p>
      <w:pPr>
        <w:pStyle w:val="BookText"/>
        <w:rPr/>
      </w:pPr>
      <w:r>
        <w:rPr>
          <w:rFonts w:ascii="IRNazanin" w:hAnsi="IRNazanin" w:eastAsia="IRNazanin"/>
          <w:color w:val="111111"/>
          <w:sz w:val="28"/>
          <w:sz w:val="28"/>
          <w:szCs w:val="28"/>
          <w:rtl w:val="true"/>
          <w:lang w:bidi="fa-IR"/>
        </w:rPr>
        <w:t xml:space="preserve">گراهام، مارک </w:t>
      </w:r>
      <w:r>
        <w:rPr>
          <w:rFonts w:eastAsia="Times New Roman" w:cs="Times New Roman" w:ascii="Times New Roman" w:hAnsi="Times New Roman"/>
          <w:color w:val="111111"/>
          <w:sz w:val="28"/>
          <w:szCs w:val="28"/>
          <w:lang w:val="en-US" w:bidi="en-US"/>
        </w:rPr>
        <w:t>Mark W.Graham</w:t>
      </w:r>
    </w:p>
    <w:p>
      <w:pPr>
        <w:pStyle w:val="BookText"/>
        <w:rPr/>
      </w:pPr>
      <w:r>
        <w:rPr>
          <w:rFonts w:ascii="IRNazanin" w:hAnsi="IRNazanin" w:eastAsia="IRNazanin"/>
          <w:color w:val="111111"/>
          <w:sz w:val="28"/>
          <w:sz w:val="28"/>
          <w:szCs w:val="28"/>
          <w:rtl w:val="true"/>
          <w:lang w:bidi="fa-IR"/>
        </w:rPr>
        <w:t>گِلِن کامینز، آر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R.Glenn Cummins</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گلن هووارد، روبرت </w:t>
      </w:r>
      <w:r>
        <w:rPr>
          <w:rFonts w:eastAsia="Times New Roman" w:cs="Times New Roman" w:ascii="Times New Roman" w:hAnsi="Times New Roman"/>
          <w:color w:val="111111"/>
          <w:sz w:val="28"/>
          <w:szCs w:val="28"/>
          <w:lang w:val="en-US" w:bidi="en-US"/>
        </w:rPr>
        <w:t>Robert Glenn Howard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گوتیه رز، کتی </w:t>
      </w:r>
      <w:r>
        <w:rPr>
          <w:rFonts w:eastAsia="Times New Roman" w:cs="Times New Roman" w:ascii="Times New Roman" w:hAnsi="Times New Roman"/>
          <w:color w:val="111111"/>
          <w:sz w:val="28"/>
          <w:szCs w:val="28"/>
          <w:lang w:val="en-US" w:bidi="en-US"/>
        </w:rPr>
        <w:t>Cathy Gutierrez</w:t>
      </w:r>
    </w:p>
    <w:p>
      <w:pPr>
        <w:pStyle w:val="BookText"/>
        <w:rPr/>
      </w:pPr>
      <w:r>
        <w:rPr>
          <w:rFonts w:ascii="IRNazanin" w:hAnsi="IRNazanin" w:eastAsia="IRNazanin"/>
          <w:color w:val="111111"/>
          <w:sz w:val="28"/>
          <w:sz w:val="28"/>
          <w:szCs w:val="28"/>
          <w:rtl w:val="true"/>
          <w:lang w:bidi="fa-IR"/>
        </w:rPr>
        <w:t xml:space="preserve">لاپُرته، ویکتوریا </w:t>
      </w:r>
      <w:r>
        <w:rPr>
          <w:rFonts w:eastAsia="Times New Roman" w:cs="Times New Roman" w:ascii="Times New Roman" w:hAnsi="Times New Roman"/>
          <w:color w:val="111111"/>
          <w:sz w:val="28"/>
          <w:szCs w:val="28"/>
          <w:lang w:val="en-US" w:bidi="en-US"/>
        </w:rPr>
        <w:t>Victoria Laporte</w:t>
      </w:r>
    </w:p>
    <w:p>
      <w:pPr>
        <w:pStyle w:val="BookText"/>
        <w:rPr/>
      </w:pPr>
      <w:r>
        <w:rPr>
          <w:rFonts w:ascii="Amiri" w:hAnsi="Amiri" w:eastAsia="Amiri" w:cs="Amiri"/>
          <w:color w:val="111111"/>
          <w:sz w:val="28"/>
          <w:sz w:val="28"/>
          <w:szCs w:val="28"/>
          <w:rtl w:val="true"/>
          <w:lang w:bidi="ar-SA"/>
        </w:rPr>
        <w:t xml:space="preserve">لاتِجو، فُلا </w:t>
      </w:r>
      <w:r>
        <w:rPr>
          <w:rFonts w:eastAsia="Times New Roman" w:cs="Times New Roman" w:ascii="Times New Roman" w:hAnsi="Times New Roman"/>
          <w:color w:val="111111"/>
          <w:sz w:val="28"/>
          <w:szCs w:val="28"/>
          <w:lang w:val="en-US" w:bidi="en-US"/>
        </w:rPr>
        <w:t>Fola Lateju</w:t>
      </w:r>
    </w:p>
    <w:p>
      <w:pPr>
        <w:pStyle w:val="BookText"/>
        <w:rPr/>
      </w:pPr>
      <w:r>
        <w:rPr>
          <w:rFonts w:ascii="Amiri" w:hAnsi="Amiri" w:eastAsia="Amiri" w:cs="Amiri"/>
          <w:color w:val="111111"/>
          <w:sz w:val="28"/>
          <w:sz w:val="28"/>
          <w:szCs w:val="28"/>
          <w:rtl w:val="true"/>
          <w:lang w:bidi="ar-SA"/>
        </w:rPr>
        <w:t xml:space="preserve">لافت، شِینی </w:t>
      </w:r>
      <w:r>
        <w:rPr>
          <w:rFonts w:eastAsia="Times New Roman" w:cs="Times New Roman" w:ascii="Times New Roman" w:hAnsi="Times New Roman"/>
          <w:color w:val="111111"/>
          <w:sz w:val="28"/>
          <w:szCs w:val="28"/>
          <w:lang w:val="en-US" w:bidi="en-US"/>
        </w:rPr>
        <w:t>Shanny Luft</w:t>
      </w:r>
    </w:p>
    <w:p>
      <w:pPr>
        <w:pStyle w:val="BookText"/>
        <w:rPr/>
      </w:pPr>
      <w:r>
        <w:rPr>
          <w:rFonts w:ascii="IRNazanin" w:hAnsi="IRNazanin" w:eastAsia="IRNazanin"/>
          <w:color w:val="111111"/>
          <w:sz w:val="28"/>
          <w:sz w:val="28"/>
          <w:szCs w:val="28"/>
          <w:rtl w:val="true"/>
          <w:lang w:bidi="fa-IR"/>
        </w:rPr>
        <w:t xml:space="preserve">لاموره، ادوارد </w:t>
      </w:r>
      <w:r>
        <w:rPr>
          <w:rFonts w:eastAsia="Times New Roman" w:cs="Times New Roman" w:ascii="Times New Roman" w:hAnsi="Times New Roman"/>
          <w:color w:val="111111"/>
          <w:sz w:val="28"/>
          <w:szCs w:val="28"/>
          <w:lang w:val="en-US" w:bidi="en-US"/>
        </w:rPr>
        <w:t>Edward Lee Lamoureux</w:t>
      </w:r>
    </w:p>
    <w:p>
      <w:pPr>
        <w:pStyle w:val="BookText"/>
        <w:rPr/>
      </w:pPr>
      <w:r>
        <w:rPr>
          <w:rFonts w:ascii="IRNazanin" w:hAnsi="IRNazanin" w:eastAsia="IRNazanin"/>
          <w:color w:val="111111"/>
          <w:sz w:val="28"/>
          <w:sz w:val="28"/>
          <w:szCs w:val="28"/>
          <w:rtl w:val="true"/>
          <w:lang w:bidi="fa-IR"/>
        </w:rPr>
        <w:t xml:space="preserve">لوییس، تاد </w:t>
      </w:r>
      <w:r>
        <w:rPr>
          <w:rFonts w:eastAsia="Times New Roman" w:cs="Times New Roman" w:ascii="Times New Roman" w:hAnsi="Times New Roman"/>
          <w:color w:val="111111"/>
          <w:sz w:val="28"/>
          <w:szCs w:val="28"/>
          <w:lang w:val="en-US" w:bidi="en-US"/>
        </w:rPr>
        <w:t>Todd V.Lewis</w:t>
      </w:r>
    </w:p>
    <w:p>
      <w:pPr>
        <w:pStyle w:val="BookText"/>
        <w:rPr/>
      </w:pPr>
      <w:r>
        <w:rPr>
          <w:rFonts w:ascii="IRNazanin" w:hAnsi="IRNazanin" w:eastAsia="IRNazanin"/>
          <w:color w:val="111111"/>
          <w:sz w:val="28"/>
          <w:sz w:val="28"/>
          <w:szCs w:val="28"/>
          <w:rtl w:val="true"/>
          <w:lang w:bidi="fa-IR"/>
        </w:rPr>
        <w:t xml:space="preserve">لیچ، رابرت </w:t>
      </w:r>
      <w:r>
        <w:rPr>
          <w:rFonts w:eastAsia="Times New Roman" w:cs="Times New Roman" w:ascii="Times New Roman" w:hAnsi="Times New Roman"/>
          <w:color w:val="111111"/>
          <w:sz w:val="28"/>
          <w:szCs w:val="28"/>
          <w:lang w:val="en-US" w:bidi="en-US"/>
        </w:rPr>
        <w:t>Robert Leach</w:t>
      </w:r>
    </w:p>
    <w:p>
      <w:pPr>
        <w:pStyle w:val="BookText"/>
        <w:rPr/>
      </w:pPr>
      <w:r>
        <w:rPr>
          <w:rFonts w:ascii="IRNazanin" w:hAnsi="IRNazanin" w:eastAsia="IRNazanin"/>
          <w:color w:val="111111"/>
          <w:sz w:val="28"/>
          <w:sz w:val="28"/>
          <w:szCs w:val="28"/>
          <w:rtl w:val="true"/>
          <w:lang w:bidi="fa-IR"/>
        </w:rPr>
        <w:t xml:space="preserve">لیندلوف، تامس </w:t>
      </w:r>
      <w:r>
        <w:rPr>
          <w:rFonts w:eastAsia="Times New Roman" w:cs="Times New Roman" w:ascii="Times New Roman" w:hAnsi="Times New Roman"/>
          <w:color w:val="111111"/>
          <w:sz w:val="28"/>
          <w:szCs w:val="28"/>
          <w:lang w:val="en-US" w:bidi="en-US"/>
        </w:rPr>
        <w:t>Thomas R.Lindlof</w:t>
      </w:r>
    </w:p>
    <w:p>
      <w:pPr>
        <w:pStyle w:val="BookText"/>
        <w:rPr/>
      </w:pPr>
      <w:r>
        <w:rPr>
          <w:rFonts w:ascii="IRNazanin" w:hAnsi="IRNazanin" w:eastAsia="IRNazanin"/>
          <w:color w:val="111111"/>
          <w:sz w:val="28"/>
          <w:sz w:val="28"/>
          <w:szCs w:val="28"/>
          <w:rtl w:val="true"/>
          <w:lang w:bidi="fa-IR"/>
        </w:rPr>
        <w:t xml:space="preserve">لیند هِد کوییست، والری </w:t>
      </w:r>
      <w:r>
        <w:rPr>
          <w:rFonts w:eastAsia="Times New Roman" w:cs="Times New Roman" w:ascii="Times New Roman" w:hAnsi="Times New Roman"/>
          <w:color w:val="111111"/>
          <w:sz w:val="28"/>
          <w:szCs w:val="28"/>
          <w:lang w:val="en-US" w:bidi="en-US"/>
        </w:rPr>
        <w:t>Valerie Lind Hedquist</w:t>
      </w:r>
    </w:p>
    <w:p>
      <w:pPr>
        <w:pStyle w:val="BookText"/>
        <w:rPr/>
      </w:pPr>
      <w:r>
        <w:rPr>
          <w:rFonts w:ascii="IRNazanin" w:hAnsi="IRNazanin" w:eastAsia="IRNazanin"/>
          <w:color w:val="111111"/>
          <w:sz w:val="28"/>
          <w:sz w:val="28"/>
          <w:szCs w:val="28"/>
          <w:rtl w:val="true"/>
          <w:lang w:bidi="fa-IR"/>
        </w:rPr>
        <w:t xml:space="preserve">مَتسِن، کرِیگ </w:t>
      </w:r>
      <w:r>
        <w:rPr>
          <w:rFonts w:eastAsia="Times New Roman" w:cs="Times New Roman" w:ascii="Times New Roman" w:hAnsi="Times New Roman"/>
          <w:color w:val="111111"/>
          <w:sz w:val="28"/>
          <w:szCs w:val="28"/>
          <w:lang w:val="en-US" w:bidi="en-US"/>
        </w:rPr>
        <w:t>Craig E. Mattson</w:t>
      </w:r>
    </w:p>
    <w:p>
      <w:pPr>
        <w:pStyle w:val="BookText"/>
        <w:rPr/>
      </w:pPr>
      <w:r>
        <w:rPr>
          <w:rFonts w:ascii="IRNazanin" w:hAnsi="IRNazanin" w:eastAsia="IRNazanin"/>
          <w:color w:val="111111"/>
          <w:sz w:val="28"/>
          <w:sz w:val="28"/>
          <w:szCs w:val="28"/>
          <w:rtl w:val="true"/>
          <w:lang w:bidi="fa-IR"/>
        </w:rPr>
        <w:t xml:space="preserve">میچل، جولیون </w:t>
      </w:r>
      <w:r>
        <w:rPr>
          <w:rFonts w:eastAsia="Times New Roman" w:cs="Times New Roman" w:ascii="Times New Roman" w:hAnsi="Times New Roman"/>
          <w:color w:val="111111"/>
          <w:sz w:val="28"/>
          <w:szCs w:val="28"/>
          <w:lang w:val="en-US" w:bidi="en-US"/>
        </w:rPr>
        <w:t>Jolyon Mitchell</w:t>
      </w:r>
    </w:p>
    <w:p>
      <w:pPr>
        <w:pStyle w:val="BookText"/>
        <w:rPr/>
      </w:pPr>
      <w:r>
        <w:rPr>
          <w:rFonts w:ascii="IRNazanin" w:hAnsi="IRNazanin" w:eastAsia="IRNazanin"/>
          <w:color w:val="111111"/>
          <w:sz w:val="28"/>
          <w:sz w:val="28"/>
          <w:szCs w:val="28"/>
          <w:rtl w:val="true"/>
          <w:lang w:bidi="fa-IR"/>
        </w:rPr>
        <w:t xml:space="preserve">نلسِن درامهلر، متیو </w:t>
      </w:r>
      <w:r>
        <w:rPr>
          <w:rFonts w:eastAsia="Times New Roman" w:cs="Times New Roman" w:ascii="Times New Roman" w:hAnsi="Times New Roman"/>
          <w:color w:val="111111"/>
          <w:sz w:val="28"/>
          <w:szCs w:val="28"/>
          <w:lang w:val="en-US" w:bidi="en-US"/>
        </w:rPr>
        <w:t>Matthew Drumheller</w:t>
      </w:r>
    </w:p>
    <w:p>
      <w:pPr>
        <w:pStyle w:val="BookText"/>
        <w:rPr/>
      </w:pPr>
      <w:r>
        <w:rPr>
          <w:rFonts w:ascii="IRNazanin" w:hAnsi="IRNazanin" w:eastAsia="IRNazanin"/>
          <w:color w:val="111111"/>
          <w:sz w:val="28"/>
          <w:sz w:val="28"/>
          <w:szCs w:val="28"/>
          <w:rtl w:val="true"/>
          <w:lang w:bidi="fa-IR"/>
        </w:rPr>
        <w:t xml:space="preserve">وارن، هیلاری </w:t>
      </w:r>
      <w:r>
        <w:rPr>
          <w:rFonts w:eastAsia="Times New Roman" w:cs="Times New Roman" w:ascii="Times New Roman" w:hAnsi="Times New Roman"/>
          <w:color w:val="111111"/>
          <w:sz w:val="28"/>
          <w:szCs w:val="28"/>
          <w:lang w:val="en-US" w:bidi="en-US"/>
        </w:rPr>
        <w:t>Hillary Warren</w:t>
      </w:r>
    </w:p>
    <w:p>
      <w:pPr>
        <w:pStyle w:val="BookText"/>
        <w:rPr/>
      </w:pPr>
      <w:r>
        <w:rPr>
          <w:rFonts w:ascii="IRNazanin" w:hAnsi="IRNazanin" w:eastAsia="IRNazanin"/>
          <w:color w:val="111111"/>
          <w:sz w:val="28"/>
          <w:sz w:val="28"/>
          <w:szCs w:val="28"/>
          <w:rtl w:val="true"/>
          <w:lang w:bidi="fa-IR"/>
        </w:rPr>
        <w:t xml:space="preserve">هاچینسِن، داون </w:t>
      </w:r>
      <w:r>
        <w:rPr>
          <w:rFonts w:eastAsia="Times New Roman" w:cs="Times New Roman" w:ascii="Times New Roman" w:hAnsi="Times New Roman"/>
          <w:color w:val="111111"/>
          <w:sz w:val="28"/>
          <w:szCs w:val="28"/>
          <w:lang w:val="en-US" w:bidi="en-US"/>
        </w:rPr>
        <w:t>Dawn L. Hutchinson</w:t>
      </w:r>
    </w:p>
    <w:p>
      <w:pPr>
        <w:pStyle w:val="BookText"/>
        <w:rPr/>
      </w:pPr>
      <w:r>
        <w:rPr>
          <w:rFonts w:ascii="IRNazanin" w:hAnsi="IRNazanin" w:eastAsia="IRNazanin"/>
          <w:color w:val="111111"/>
          <w:sz w:val="28"/>
          <w:sz w:val="28"/>
          <w:szCs w:val="28"/>
          <w:rtl w:val="true"/>
          <w:lang w:bidi="fa-IR"/>
        </w:rPr>
        <w:t xml:space="preserve">هامان، لوییس </w:t>
      </w:r>
      <w:r>
        <w:rPr>
          <w:rFonts w:eastAsia="Times New Roman" w:cs="Times New Roman" w:ascii="Times New Roman" w:hAnsi="Times New Roman"/>
          <w:color w:val="111111"/>
          <w:sz w:val="28"/>
          <w:szCs w:val="28"/>
          <w:lang w:val="en-US" w:bidi="en-US"/>
        </w:rPr>
        <w:t>Louis J.Hamman</w:t>
      </w:r>
    </w:p>
    <w:p>
      <w:pPr>
        <w:pStyle w:val="BookText"/>
        <w:rPr/>
      </w:pPr>
      <w:r>
        <w:rPr>
          <w:rFonts w:ascii="IRNazanin" w:hAnsi="IRNazanin" w:eastAsia="IRNazanin"/>
          <w:color w:val="111111"/>
          <w:sz w:val="28"/>
          <w:sz w:val="28"/>
          <w:szCs w:val="28"/>
          <w:rtl w:val="true"/>
          <w:lang w:bidi="fa-IR"/>
        </w:rPr>
        <w:t xml:space="preserve">هچر، آنتونی </w:t>
      </w:r>
      <w:r>
        <w:rPr>
          <w:rFonts w:eastAsia="Times New Roman" w:cs="Times New Roman" w:ascii="Times New Roman" w:hAnsi="Times New Roman"/>
          <w:color w:val="111111"/>
          <w:sz w:val="28"/>
          <w:szCs w:val="28"/>
          <w:lang w:val="en-US" w:bidi="en-US"/>
        </w:rPr>
        <w:t>Anthony Hatcher</w:t>
      </w:r>
    </w:p>
    <w:p>
      <w:pPr>
        <w:pStyle w:val="BookText"/>
        <w:rPr/>
      </w:pPr>
      <w:r>
        <w:rPr>
          <w:rFonts w:ascii="IRNazanin" w:hAnsi="IRNazanin" w:eastAsia="IRNazanin"/>
          <w:color w:val="111111"/>
          <w:sz w:val="28"/>
          <w:sz w:val="28"/>
          <w:szCs w:val="28"/>
          <w:rtl w:val="true"/>
          <w:lang w:bidi="fa-IR"/>
        </w:rPr>
        <w:t xml:space="preserve">هِدکوییست، والری </w:t>
      </w:r>
      <w:r>
        <w:rPr>
          <w:rFonts w:eastAsia="Times New Roman" w:cs="Times New Roman" w:ascii="Times New Roman" w:hAnsi="Times New Roman"/>
          <w:color w:val="111111"/>
          <w:sz w:val="28"/>
          <w:szCs w:val="28"/>
          <w:lang w:val="en-US" w:bidi="en-US"/>
        </w:rPr>
        <w:t>Valerie Hedquist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هوور، استوارت </w:t>
      </w:r>
      <w:r>
        <w:rPr>
          <w:rFonts w:eastAsia="Times New Roman" w:cs="Times New Roman" w:ascii="Times New Roman" w:hAnsi="Times New Roman"/>
          <w:color w:val="111111"/>
          <w:sz w:val="28"/>
          <w:szCs w:val="28"/>
          <w:lang w:val="en-US" w:bidi="en-US"/>
        </w:rPr>
        <w:t>Stewart M. Hoover</w:t>
      </w:r>
      <w:r>
        <w:rPr>
          <w:rFonts w:eastAsia="Times New Roman" w:cs="Times New Roman" w:ascii="Times New Roman" w:hAnsi="Times New Roman"/>
          <w:color w:val="111111"/>
          <w:sz w:val="28"/>
          <w:szCs w:val="28"/>
          <w:rtl w:val="true"/>
          <w:lang w:val="en-US" w:bidi="en-US"/>
        </w:rPr>
        <w:t xml:space="preserve"> </w:t>
      </w:r>
      <w:bookmarkStart w:id="1132" w:name="pg3881_28238"/>
    </w:p>
    <w:p>
      <w:pPr>
        <w:pStyle w:val="Heading2"/>
        <w:numPr>
          <w:ilvl w:val="1"/>
          <w:numId w:val="1"/>
        </w:numPr>
        <w:rPr/>
      </w:pPr>
      <w:bookmarkStart w:id="1133" w:name="__RefHeading___Toc1656796_2281741623"/>
      <w:bookmarkStart w:id="1134" w:name="_Toc404"/>
      <w:bookmarkEnd w:id="1132"/>
      <w:bookmarkEnd w:id="1133"/>
      <w:r>
        <w:rPr>
          <w:rtl w:val="true"/>
        </w:rPr>
        <w:t xml:space="preserve">فهرست اَعلام </w:t>
      </w:r>
      <w:r>
        <w:rPr>
          <w:rtl w:val="true"/>
        </w:rPr>
        <w:t>(</w:t>
      </w:r>
      <w:r>
        <w:rPr>
          <w:rtl w:val="true"/>
        </w:rPr>
        <w:t>فارسی</w:t>
      </w:r>
      <w:r>
        <w:rPr>
          <w:rtl w:val="true"/>
        </w:rPr>
        <w:t>)</w:t>
      </w:r>
      <w:bookmarkEnd w:id="1134"/>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آئورلیوس آگوستین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آپادانا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آپتون سینکلر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آخرین وسوسه های مسیح</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آدولف آپیا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آدولف زوکر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آرتور چارلز کلارک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آرمانو اولمی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آروندهاتی روی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آفرا بن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آگدن نش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آگدن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آل جولسن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آلبرت انیشتین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آلریچ زینگلی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آلگرنون تناسین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آلن گینزبرگ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آمریک پرسبرگر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آمیش ها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آن هاچینسن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آناتول لیتوک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آنتونی کامستاک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آندرو کارگا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آندری تارکوفسکی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آندریاس کارل استات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آنسلم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آوره لین ماری لوینه پو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آیت الله 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ابراهام اسحق کوک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اتحاد کابلی بین الایمانی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ادموند گتیه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ادوارد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ادوارد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ادوارد ویلر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ادوین ون اتین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اُرال رابرتز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ارنست الکساندرسن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اسامه بن لادن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اسپوتنیک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استفانو مادرنو</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استفن وب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استن براخاژ</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استنلی فیش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اسحق رابین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اسحق نیوتن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فالتون جی شین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اگنس واردا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الکساندر پوپوف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الکساندر داوژنکو</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المپیا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المر رایس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المر گنتری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الیزابت آیزنشتاین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الیزابت کلاره پرافت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نایت شیامالان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امانوئل کانت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امبرتو سراتو</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امی گرانت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امی لاول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انداختس بیلدر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اندرو برادفورد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اوسیریس</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اومبرتو اکو</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اونجلیسم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کامینگز</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ایسائو تاکاهاتا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ایمی سمپل مک فرسن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اینگمار برگمان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باب جونز پسر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باربارا کاپل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بارتولومه دلاس کازاز</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بارُن دِ هولباخ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بارنت نیومن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باریکة غزه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باشگاه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بث مور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بدون دخترم هرگز</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برجای مانده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برندا براشر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بری فیتز جرالد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بشوع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بقهیلا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بلاگا دیمیتروا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بلز پاسکال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بلیک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بنی هین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بنیامین فرانکلین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بهاراتا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بهاگاوات گیتا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بیلی گراهام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پاپ ژان پل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پاپ گرگوری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 کراچ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پالین هنسن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پت رابرتسن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پراکسیتلس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پرامیس کیپرز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پرزبیتارین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پل تیلیش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پل دانبار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پل رَدَر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پل شریدر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پل قدیس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پنتاکوستالیست 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پولیکلیتوس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پیتر آنت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پیتر بروک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پیتر هان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پیورتین 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تئودور روزولت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تام دالی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تامس آکوییناس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تامس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تامس ادیسون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تامس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تامس اینس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تامس باولدر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تامس پاین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تامس پرینس</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تامس رید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تامس کک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تامس کین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تامس کینکید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تامس نلسِن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تامس وولستِن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تامس هابز</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تامسن مرتِن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تانگکاس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تکنو کفر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تله ونجلیسم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تّمی فی بیکر مسنر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توری بوشی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تیچ نات 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تیلهارد دوشاردن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تیم رابرتسن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تیموتی لهایی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اسکوپز</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جان اشتین بک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جان بانیان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جان بری من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جان تبل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جان دان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جان دانتون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جان ریت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جان فورد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جان کاساویتس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جان کالوین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جان کاولتی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جان گریرسن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جان میلتن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جان نلسن داربای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جان وزلی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جاناتان سویفت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جانیس رادوی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جرج الیوت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جرج بوش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فاکس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جرج کارلین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جرج لوکاس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جرج مک دانلد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جرج میشل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جرج وایتفیلد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جرج هربرت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جری فالول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جنکینز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جعفر پناهی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جفری هیو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جنبش اخوان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جو رایلی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جوزف کمپبل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جوگلیمو مارکونی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جولیا وود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جوی هاریو</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جویس مِیِر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چسترتن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النس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جیان لورنزو برنینی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جیکوب لاندو</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جیم بیکر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جیمز جویس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جیمز کری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جیمز کلارک مکسول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جیمز مک گریدی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جیمز ولدن جانسن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جیمی استیوارت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جیمی سواگارت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جین آوستین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جیندرا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چارلز اولسن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چارلز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کاگلین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چارلز برنت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چارلز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چارلز پی یرس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چارلز دیکنز</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چارلز کانینگهام بایکوت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چارلز لایپی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چیم پُتُک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حاسیدیون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حردی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خاخام الیعزر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خانوادة رُچیلد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دارالسعید السعودا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داگ آندروود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دالایی لاما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دایلن تامس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دبورا شوگر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دروتی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دعتی لئومی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دنیل استوت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دنیل بل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دنیل دفو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دنیل لرد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دوایت دی مودی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دونالد وایلدمن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دیک شپرد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دیوید پل نورد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دیوید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دیوید ناگل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دیوید وارک گریفیث</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رابرت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رابرت جانسن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رابرت دووال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رابرت فراست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رابرت فلاهرتی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رابرت لاول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رابرت ویلسن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رابیندرانات تاگور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رابینسن جفرز</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راپرت مُرداک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رامایانا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رایان لیتل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راینر ماریا ریکله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رجینالد فسندن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رضا صفا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رقص فاطیما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رکس هامبارد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رکسلا ون ایمپی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رمزداوینچی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رنه دکارت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رنه فالکونتی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روبر برسون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روبرتو روسیلینی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روبن توری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روبنس</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رودلف بولتمان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رولن استیوارد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رومر گودن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رونالد ریگان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سبلی رایت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ریچارد بروکس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ریچارد دوچر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ریچارد شکنر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ریچارد ویور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زنوفان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زولکیپل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زی یهودا کوک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ژاک ایول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ژانِ آرکادیا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ژان تومر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ژان رنوآر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ژان روش</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ژان کوکتو</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ژرژ ملیس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ژوزف تالما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ژوزف هلر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ژیلان پوستن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ساتیا جیت رای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سام همیل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ساموئل ریچارسن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ساموئل گلدفیش</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ساموئل مورس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ساموئل هانتیگتِن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سرخپوست چریکی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سزار نیکولاس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سسیل دومیل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سلطان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سندرا موریارتی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سوزان لانگر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سوزان لوری پارکز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سیسرون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سینکلر لوییس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شبکه های ماهواره ای بین الایمانی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شرلی تمپل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صوفی گری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عاروتس شوع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کیارستمی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عبدالحسین چودهری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عذرا پوند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عرو شبات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عصر ویکتوریا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علامه مودودی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عوود یایسف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فائدروس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فرانسیس آزبری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فرانک بورزاگ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فرانک کاپرا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فرانک لوترمات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فردریش شیلر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فلنری اکانر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فیدیاس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فیلیپ دوم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فیلیس ویت 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قصر ناسوس</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قول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قول حی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قول نشاما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قیصر ویلهلم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کاترین کولمان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کارل بارت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کارل لامل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کارل یونگ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کانال ادیسه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کانال سوئز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کانال هالمارک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کانتی کالن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کای حافظ</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کت استیونس</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کرانة باختری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کرسول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کریستف کلمب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کریشنا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کریگ 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کریل چرچیل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کفر حبد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کلارنس دارو</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کلاوس بران جنسن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کلیسای احمقان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کن واترز</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کنجی میزوگوجی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کینتوسکوپ</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گئورک کایسر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گابریل اکسل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گاله صهل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گالیلئو گالیله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گراهام گرین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گرترود اشتین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گروه بریس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گروه قدیسان روز واپسین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گوتنبرگ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گیلبرت تننت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 مک کاری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لئوپولد یسنر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لئون کائتانی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لارنس فرلینگهتی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لپتر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لنگستِن هیوز</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لودویگ دوری ینت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لوییس بونوئل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لوییس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لوییس ژوکوفسکی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لیدی موراسکی شیکیبو</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لیمن استیوارت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لیندلوف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ماتیاس گرانوالد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مادر آنجلیکا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مارتین اسکورسیزی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مارتین بوبر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مارتین کویگلی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مارتین لوترکینگ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مارشال مک لوهان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مارک پینسکی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 تواین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 روتکو</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مارکیون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ماروین اُلاسکی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ماریان ویلیام 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ماساچو</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ماکس راینهارت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ماندانا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مانوئل کستلز</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مایا آنجلو</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مایکل پاول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مایکل دبلیو 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مِتُدیست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مجموعه سفر ستاره ای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مجید مجیدی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مخملباف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مَدونا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مری بیکر ادی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مری پیکفورد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مری وایتهاوس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مسجد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الجویوسی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مسجد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مصائب مسیح</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مصطفی مسمودی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معریو</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مک کارتیسم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مل گیبسن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ملا محمد عمر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ملکه الیزابت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موردخای الیاهو</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مورمون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مهماتما گاندی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میرچا الیاده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میشپاها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میکل آنجلو</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میگل دِ سروانتس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میلتن برل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ناپلئون سوم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ناتیاساسترا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نورتروپ فرای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نیکولا تسلا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نیکولاس ایمریخ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نیکولاس نگروپونته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نیل پستمن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واچل لیندزی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واکر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والت ویتمن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والتر اْنگ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والتر راشنبوش</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والتر مه یر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واین دلوریا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وب سایت بیلیف نت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ووتناو</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وول سووینکا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وهابی گری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ویرجینیا ولف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ویکا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ویکتور شاستروم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ویلیام باتلر ییتس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ویلیام پالی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ویلیام جنینگز برایان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ویلیام رایلی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ویلیام شکسپیر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ویلیام کارلوس ویلیامز</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ویلیام گیبسن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ویلیام وایلر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ویلیام هیز</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باروز</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ویم وندرس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ها آرتس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هارولد ینیس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هاریت مونروئه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هاعدا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هال لیندزی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هانریش هرتز</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هانس گئورگ گادامر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هایائو میازاکی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هربرت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جامپ</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همحنه هحردی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همودیع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هنری بینگ کرازبی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هنری فیلدینگ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هنری کینگ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هنری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هوارد هاکس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ههوما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هیلاری کلینتون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هیلاری وارن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یاتد نئمان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یاسوجیرو ازو</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یان مارتل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یان وات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یان وان آیک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یدیعوت احرونوت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یرژی گروتوفسکی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یوجین اونیل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یورگن فه لینگ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یورگن هابرماس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یوزف پایپر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یوسف آیبیش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یوسف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یوم شیشی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یوم لیوم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یوناس باریش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ییسراییل کاتصور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135" w:name="pg3881_28263"/>
    </w:p>
    <w:p>
      <w:pPr>
        <w:pStyle w:val="Heading2"/>
        <w:numPr>
          <w:ilvl w:val="1"/>
          <w:numId w:val="1"/>
        </w:numPr>
        <w:rPr/>
      </w:pPr>
      <w:bookmarkStart w:id="1136" w:name="__RefHeading___Toc1656798_2281741623"/>
      <w:bookmarkStart w:id="1137" w:name="_Toc405"/>
      <w:bookmarkEnd w:id="1135"/>
      <w:bookmarkEnd w:id="1136"/>
      <w:r>
        <w:rPr>
          <w:rtl w:val="true"/>
        </w:rPr>
        <w:t>فهرست نهادها</w:t>
      </w:r>
      <w:bookmarkEnd w:id="1137"/>
    </w:p>
    <w:p>
      <w:pPr>
        <w:pStyle w:val="BookText"/>
        <w:rPr/>
      </w:pPr>
      <w:r>
        <w:rPr>
          <w:rFonts w:ascii="IRNazanin" w:hAnsi="IRNazanin" w:eastAsia="IRNazanin"/>
          <w:color w:val="111111"/>
          <w:sz w:val="28"/>
          <w:sz w:val="28"/>
          <w:szCs w:val="28"/>
          <w:rtl w:val="true"/>
          <w:lang w:bidi="fa-IR"/>
        </w:rPr>
        <w:t>اتحاد کابلی بین الایمانی ملی</w:t>
      </w:r>
    </w:p>
    <w:p>
      <w:pPr>
        <w:pStyle w:val="BookText"/>
        <w:rPr/>
      </w:pPr>
      <w:r>
        <w:rPr>
          <w:rFonts w:eastAsia="Times New Roman" w:cs="Times New Roman" w:ascii="Times New Roman" w:hAnsi="Times New Roman"/>
          <w:color w:val="111111"/>
          <w:sz w:val="28"/>
          <w:szCs w:val="28"/>
          <w:lang w:val="en-US" w:bidi="en-US"/>
        </w:rPr>
        <w:t>National Interfaith Cable Coalition</w:t>
      </w:r>
    </w:p>
    <w:p>
      <w:pPr>
        <w:pStyle w:val="BookText"/>
        <w:rPr/>
      </w:pPr>
      <w:r>
        <w:rPr>
          <w:rFonts w:ascii="IRNazanin" w:hAnsi="IRNazanin" w:eastAsia="IRNazanin"/>
          <w:color w:val="111111"/>
          <w:sz w:val="28"/>
          <w:sz w:val="28"/>
          <w:szCs w:val="28"/>
          <w:rtl w:val="true"/>
          <w:lang w:bidi="fa-IR"/>
        </w:rPr>
        <w:t>اتحادیۀ خانوادۀ آمریکایی</w:t>
      </w:r>
    </w:p>
    <w:p>
      <w:pPr>
        <w:pStyle w:val="BookText"/>
        <w:rPr/>
      </w:pPr>
      <w:r>
        <w:rPr>
          <w:rFonts w:eastAsia="Times New Roman" w:cs="Times New Roman" w:ascii="Times New Roman" w:hAnsi="Times New Roman"/>
          <w:color w:val="111111"/>
          <w:sz w:val="28"/>
          <w:szCs w:val="28"/>
          <w:lang w:val="en-US" w:bidi="en-US"/>
        </w:rPr>
        <w:t>American Family Association</w:t>
      </w:r>
    </w:p>
    <w:p>
      <w:pPr>
        <w:pStyle w:val="BookText"/>
        <w:rPr/>
      </w:pPr>
      <w:r>
        <w:rPr>
          <w:rFonts w:ascii="IRNazanin" w:hAnsi="IRNazanin" w:eastAsia="IRNazanin"/>
          <w:color w:val="111111"/>
          <w:sz w:val="28"/>
          <w:sz w:val="28"/>
          <w:szCs w:val="28"/>
          <w:rtl w:val="true"/>
          <w:lang w:bidi="fa-IR"/>
        </w:rPr>
        <w:t>اتحادیة کتاب‌های پاک</w:t>
      </w:r>
    </w:p>
    <w:p>
      <w:pPr>
        <w:pStyle w:val="BookText"/>
        <w:rPr/>
      </w:pPr>
      <w:r>
        <w:rPr>
          <w:rFonts w:eastAsia="Times New Roman" w:cs="Times New Roman" w:ascii="Times New Roman" w:hAnsi="Times New Roman"/>
          <w:color w:val="111111"/>
          <w:sz w:val="28"/>
          <w:szCs w:val="28"/>
          <w:lang w:val="en-US" w:bidi="en-US"/>
        </w:rPr>
        <w:t>Clean Books League</w:t>
      </w:r>
    </w:p>
    <w:p>
      <w:pPr>
        <w:pStyle w:val="BookText"/>
        <w:rPr/>
      </w:pPr>
      <w:r>
        <w:rPr>
          <w:rFonts w:ascii="IRNazanin" w:hAnsi="IRNazanin" w:eastAsia="IRNazanin"/>
          <w:color w:val="111111"/>
          <w:sz w:val="28"/>
          <w:sz w:val="28"/>
          <w:szCs w:val="28"/>
          <w:rtl w:val="true"/>
          <w:lang w:bidi="fa-IR"/>
        </w:rPr>
        <w:t>اتحادیۀ ملی تبشیریون</w:t>
      </w:r>
    </w:p>
    <w:p>
      <w:pPr>
        <w:pStyle w:val="BookText"/>
        <w:rPr/>
      </w:pPr>
      <w:r>
        <w:rPr>
          <w:rFonts w:eastAsia="Times New Roman" w:cs="Times New Roman" w:ascii="Times New Roman" w:hAnsi="Times New Roman"/>
          <w:color w:val="111111"/>
          <w:sz w:val="28"/>
          <w:szCs w:val="28"/>
          <w:lang w:val="en-US" w:bidi="en-US"/>
        </w:rPr>
        <w:t>National Association of Evangelicals</w:t>
      </w:r>
    </w:p>
    <w:p>
      <w:pPr>
        <w:pStyle w:val="BookText"/>
        <w:rPr/>
      </w:pPr>
      <w:r>
        <w:rPr>
          <w:rFonts w:ascii="IRNazanin" w:hAnsi="IRNazanin" w:eastAsia="IRNazanin"/>
          <w:color w:val="111111"/>
          <w:sz w:val="28"/>
          <w:sz w:val="28"/>
          <w:szCs w:val="28"/>
          <w:rtl w:val="true"/>
          <w:lang w:bidi="fa-IR"/>
        </w:rPr>
        <w:t>ادارة نظارت بر تولید</w:t>
      </w:r>
    </w:p>
    <w:p>
      <w:pPr>
        <w:pStyle w:val="BookText"/>
        <w:rPr/>
      </w:pPr>
      <w:r>
        <w:rPr>
          <w:rFonts w:eastAsia="Times New Roman" w:cs="Times New Roman" w:ascii="Times New Roman" w:hAnsi="Times New Roman"/>
          <w:color w:val="111111"/>
          <w:sz w:val="28"/>
          <w:szCs w:val="28"/>
          <w:lang w:val="en-US" w:bidi="en-US"/>
        </w:rPr>
        <w:t>Production Code Administration</w:t>
      </w:r>
    </w:p>
    <w:p>
      <w:pPr>
        <w:pStyle w:val="BookText"/>
        <w:rPr/>
      </w:pPr>
      <w:r>
        <w:rPr>
          <w:rFonts w:ascii="IRNazanin" w:hAnsi="IRNazanin" w:eastAsia="IRNazanin"/>
          <w:color w:val="111111"/>
          <w:sz w:val="28"/>
          <w:sz w:val="28"/>
          <w:szCs w:val="28"/>
          <w:rtl w:val="true"/>
          <w:lang w:bidi="fa-IR"/>
        </w:rPr>
        <w:t>اردوی مبارزه برای مسیح</w:t>
      </w:r>
    </w:p>
    <w:p>
      <w:pPr>
        <w:pStyle w:val="BookText"/>
        <w:rPr/>
      </w:pPr>
      <w:r>
        <w:rPr>
          <w:rFonts w:eastAsia="Times New Roman" w:cs="Times New Roman" w:ascii="Times New Roman" w:hAnsi="Times New Roman"/>
          <w:color w:val="111111"/>
          <w:sz w:val="28"/>
          <w:szCs w:val="28"/>
          <w:lang w:val="en-US" w:bidi="en-US"/>
        </w:rPr>
        <w:t>Campus Crusade for Christ</w:t>
      </w:r>
    </w:p>
    <w:p>
      <w:pPr>
        <w:pStyle w:val="BookText"/>
        <w:rPr/>
      </w:pPr>
      <w:r>
        <w:rPr>
          <w:rFonts w:ascii="IRNazanin" w:hAnsi="IRNazanin" w:eastAsia="IRNazanin"/>
          <w:color w:val="111111"/>
          <w:sz w:val="28"/>
          <w:sz w:val="28"/>
          <w:szCs w:val="28"/>
          <w:rtl w:val="true"/>
          <w:lang w:bidi="fa-IR"/>
        </w:rPr>
        <w:t>استانداردهای خبرپراکنی بریتانیا</w:t>
      </w:r>
    </w:p>
    <w:p>
      <w:pPr>
        <w:pStyle w:val="BookText"/>
        <w:rPr/>
      </w:pPr>
      <w:r>
        <w:rPr>
          <w:rFonts w:eastAsia="Times New Roman" w:cs="Times New Roman" w:ascii="Times New Roman" w:hAnsi="Times New Roman"/>
          <w:color w:val="111111"/>
          <w:sz w:val="28"/>
          <w:szCs w:val="28"/>
          <w:lang w:val="en-US" w:bidi="en-US"/>
        </w:rPr>
        <w:t>the British Broadcasting Standards Commission</w:t>
      </w:r>
    </w:p>
    <w:p>
      <w:pPr>
        <w:pStyle w:val="BookText"/>
        <w:rPr/>
      </w:pPr>
      <w:r>
        <w:rPr>
          <w:rFonts w:ascii="IRNazanin" w:hAnsi="IRNazanin" w:eastAsia="IRNazanin"/>
          <w:color w:val="111111"/>
          <w:sz w:val="28"/>
          <w:sz w:val="28"/>
          <w:szCs w:val="28"/>
          <w:rtl w:val="true"/>
          <w:lang w:bidi="fa-IR"/>
        </w:rPr>
        <w:t>انجمن آمریکایی انجیل</w:t>
      </w:r>
    </w:p>
    <w:p>
      <w:pPr>
        <w:pStyle w:val="BookText"/>
        <w:rPr/>
      </w:pPr>
      <w:r>
        <w:rPr>
          <w:rFonts w:eastAsia="Times New Roman" w:cs="Times New Roman" w:ascii="Times New Roman" w:hAnsi="Times New Roman"/>
          <w:color w:val="111111"/>
          <w:sz w:val="28"/>
          <w:szCs w:val="28"/>
          <w:lang w:val="en-US" w:bidi="en-US"/>
        </w:rPr>
        <w:t>American Bible Society</w:t>
      </w:r>
    </w:p>
    <w:p>
      <w:pPr>
        <w:pStyle w:val="BookText"/>
        <w:rPr/>
      </w:pPr>
      <w:r>
        <w:rPr>
          <w:rFonts w:ascii="IRNazanin" w:hAnsi="IRNazanin" w:eastAsia="IRNazanin"/>
          <w:color w:val="111111"/>
          <w:sz w:val="28"/>
          <w:sz w:val="28"/>
          <w:szCs w:val="28"/>
          <w:rtl w:val="true"/>
          <w:lang w:bidi="fa-IR"/>
        </w:rPr>
        <w:t>انجمن تهیه‌کنندگان و پخش‌کنندگان تصویر متحرک آمریکا</w:t>
      </w:r>
    </w:p>
    <w:p>
      <w:pPr>
        <w:pStyle w:val="BookText"/>
        <w:rPr/>
      </w:pPr>
      <w:r>
        <w:rPr>
          <w:rFonts w:eastAsia="Times New Roman" w:cs="Times New Roman" w:ascii="Times New Roman" w:hAnsi="Times New Roman"/>
          <w:color w:val="111111"/>
          <w:sz w:val="28"/>
          <w:szCs w:val="28"/>
          <w:lang w:val="en-US" w:bidi="en-US"/>
        </w:rPr>
        <w:t>Motion Picture Producers and Distributors of America</w:t>
      </w:r>
    </w:p>
    <w:p>
      <w:pPr>
        <w:pStyle w:val="BookText"/>
        <w:rPr/>
      </w:pPr>
      <w:r>
        <w:rPr>
          <w:rFonts w:ascii="IRNazanin" w:hAnsi="IRNazanin" w:eastAsia="IRNazanin"/>
          <w:color w:val="111111"/>
          <w:sz w:val="28"/>
          <w:sz w:val="28"/>
          <w:szCs w:val="28"/>
          <w:rtl w:val="true"/>
          <w:lang w:bidi="fa-IR"/>
        </w:rPr>
        <w:t>انجمن حراست ملی</w:t>
      </w:r>
    </w:p>
    <w:p>
      <w:pPr>
        <w:pStyle w:val="BookText"/>
        <w:rPr/>
      </w:pPr>
      <w:r>
        <w:rPr>
          <w:rFonts w:eastAsia="Times New Roman" w:cs="Times New Roman" w:ascii="Times New Roman" w:hAnsi="Times New Roman"/>
          <w:color w:val="111111"/>
          <w:sz w:val="28"/>
          <w:szCs w:val="28"/>
          <w:lang w:val="en-US" w:bidi="en-US"/>
        </w:rPr>
        <w:t>National Vigilance Association</w:t>
      </w:r>
    </w:p>
    <w:p>
      <w:pPr>
        <w:pStyle w:val="BookText"/>
        <w:rPr/>
      </w:pPr>
      <w:r>
        <w:rPr>
          <w:rFonts w:ascii="IRNazanin" w:hAnsi="IRNazanin" w:eastAsia="IRNazanin"/>
          <w:color w:val="111111"/>
          <w:sz w:val="28"/>
          <w:sz w:val="28"/>
          <w:szCs w:val="28"/>
          <w:rtl w:val="true"/>
          <w:lang w:bidi="fa-IR"/>
        </w:rPr>
        <w:t>انجمن جهانی بنیادهای مسیحی</w:t>
      </w:r>
    </w:p>
    <w:p>
      <w:pPr>
        <w:pStyle w:val="BookText"/>
        <w:rPr/>
      </w:pPr>
      <w:r>
        <w:rPr>
          <w:rFonts w:eastAsia="Times New Roman" w:cs="Times New Roman" w:ascii="Times New Roman" w:hAnsi="Times New Roman"/>
          <w:color w:val="111111"/>
          <w:sz w:val="28"/>
          <w:szCs w:val="28"/>
          <w:lang w:val="en-US" w:bidi="en-US"/>
        </w:rPr>
        <w:t>WCFA, World’s Christian Fundamentals Association</w:t>
      </w:r>
    </w:p>
    <w:p>
      <w:pPr>
        <w:pStyle w:val="BookText"/>
        <w:rPr/>
      </w:pPr>
      <w:r>
        <w:rPr>
          <w:rFonts w:ascii="IRNazanin" w:hAnsi="IRNazanin" w:eastAsia="IRNazanin"/>
          <w:color w:val="111111"/>
          <w:sz w:val="28"/>
          <w:sz w:val="28"/>
          <w:szCs w:val="28"/>
          <w:rtl w:val="true"/>
          <w:lang w:bidi="fa-IR"/>
        </w:rPr>
        <w:t>انجمن رده‌بندی فیلم بریتانیا</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British Board of Film Classification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انجمن رهبری مسیحیت نواحی جنوب</w:t>
      </w:r>
    </w:p>
    <w:p>
      <w:pPr>
        <w:pStyle w:val="BookText"/>
        <w:rPr/>
      </w:pPr>
      <w:r>
        <w:rPr>
          <w:rFonts w:eastAsia="Times New Roman" w:cs="Times New Roman" w:ascii="Times New Roman" w:hAnsi="Times New Roman"/>
          <w:color w:val="111111"/>
          <w:sz w:val="28"/>
          <w:szCs w:val="28"/>
          <w:lang w:val="en-US" w:bidi="en-US"/>
        </w:rPr>
        <w:t>the Southern Christian Leadership Conference</w:t>
      </w:r>
    </w:p>
    <w:p>
      <w:pPr>
        <w:pStyle w:val="BookText"/>
        <w:rPr/>
      </w:pPr>
      <w:r>
        <w:rPr>
          <w:rFonts w:ascii="IRNazanin" w:hAnsi="IRNazanin" w:eastAsia="IRNazanin"/>
          <w:color w:val="111111"/>
          <w:sz w:val="28"/>
          <w:sz w:val="28"/>
          <w:szCs w:val="28"/>
          <w:rtl w:val="true"/>
          <w:lang w:bidi="fa-IR"/>
        </w:rPr>
        <w:t>انجمن مبارزه با منکرات</w:t>
      </w:r>
    </w:p>
    <w:p>
      <w:pPr>
        <w:pStyle w:val="BookText"/>
        <w:rPr/>
      </w:pPr>
      <w:r>
        <w:rPr>
          <w:rFonts w:eastAsia="Times New Roman" w:cs="Times New Roman" w:ascii="Times New Roman" w:hAnsi="Times New Roman"/>
          <w:color w:val="111111"/>
          <w:sz w:val="28"/>
          <w:szCs w:val="28"/>
          <w:lang w:val="en-US" w:bidi="en-US"/>
        </w:rPr>
        <w:t>Society for the Suppression of Vice</w:t>
      </w:r>
    </w:p>
    <w:p>
      <w:pPr>
        <w:pStyle w:val="BookText"/>
        <w:rPr/>
      </w:pPr>
      <w:r>
        <w:rPr>
          <w:rFonts w:ascii="IRNazanin" w:hAnsi="IRNazanin" w:eastAsia="IRNazanin"/>
          <w:color w:val="111111"/>
          <w:sz w:val="28"/>
          <w:sz w:val="28"/>
          <w:szCs w:val="28"/>
          <w:rtl w:val="true"/>
          <w:lang w:bidi="fa-IR"/>
        </w:rPr>
        <w:t>انجمن مراقبت و حراست</w:t>
      </w:r>
    </w:p>
    <w:p>
      <w:pPr>
        <w:pStyle w:val="BookText"/>
        <w:rPr/>
      </w:pPr>
      <w:r>
        <w:rPr>
          <w:rFonts w:eastAsia="Times New Roman" w:cs="Times New Roman" w:ascii="Times New Roman" w:hAnsi="Times New Roman"/>
          <w:color w:val="111111"/>
          <w:sz w:val="28"/>
          <w:szCs w:val="28"/>
          <w:lang w:val="en-US" w:bidi="en-US"/>
        </w:rPr>
        <w:t>Watch and Ward Society</w:t>
      </w:r>
    </w:p>
    <w:p>
      <w:pPr>
        <w:pStyle w:val="BookText"/>
        <w:rPr/>
      </w:pPr>
      <w:r>
        <w:rPr>
          <w:rFonts w:ascii="IRNazanin" w:hAnsi="IRNazanin" w:eastAsia="IRNazanin"/>
          <w:color w:val="111111"/>
          <w:sz w:val="28"/>
          <w:sz w:val="28"/>
          <w:szCs w:val="28"/>
          <w:rtl w:val="true"/>
          <w:lang w:bidi="fa-IR"/>
        </w:rPr>
        <w:t xml:space="preserve">انجمن ملی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National Board of (film) Censorship</w:t>
      </w:r>
    </w:p>
    <w:p>
      <w:pPr>
        <w:pStyle w:val="BookText"/>
        <w:rPr/>
      </w:pPr>
      <w:r>
        <w:rPr>
          <w:rFonts w:ascii="IRNazanin" w:hAnsi="IRNazanin" w:eastAsia="IRNazanin"/>
          <w:color w:val="111111"/>
          <w:sz w:val="28"/>
          <w:sz w:val="28"/>
          <w:szCs w:val="28"/>
          <w:rtl w:val="true"/>
          <w:lang w:bidi="fa-IR"/>
        </w:rPr>
        <w:t>انجمن ملّی شایستگی</w:t>
      </w:r>
    </w:p>
    <w:p>
      <w:pPr>
        <w:pStyle w:val="BookText"/>
        <w:rPr/>
      </w:pPr>
      <w:r>
        <w:rPr>
          <w:rFonts w:eastAsia="Times New Roman" w:cs="Times New Roman" w:ascii="Times New Roman" w:hAnsi="Times New Roman"/>
          <w:color w:val="111111"/>
          <w:sz w:val="28"/>
          <w:szCs w:val="28"/>
          <w:lang w:val="en-US" w:bidi="en-US"/>
        </w:rPr>
        <w:t>the National Legion of Decency</w:t>
      </w:r>
    </w:p>
    <w:p>
      <w:pPr>
        <w:pStyle w:val="BookText"/>
        <w:rPr/>
      </w:pPr>
      <w:r>
        <w:rPr>
          <w:rFonts w:ascii="IRNazanin" w:hAnsi="IRNazanin" w:eastAsia="IRNazanin"/>
          <w:color w:val="111111"/>
          <w:sz w:val="28"/>
          <w:sz w:val="28"/>
          <w:szCs w:val="28"/>
          <w:rtl w:val="true"/>
          <w:lang w:bidi="fa-IR"/>
        </w:rPr>
        <w:t>انجمن وایکلیف انجیل</w:t>
      </w:r>
    </w:p>
    <w:p>
      <w:pPr>
        <w:pStyle w:val="BookText"/>
        <w:rPr/>
      </w:pPr>
      <w:r>
        <w:rPr>
          <w:rFonts w:eastAsia="Times New Roman" w:cs="Times New Roman" w:ascii="Times New Roman" w:hAnsi="Times New Roman"/>
          <w:color w:val="111111"/>
          <w:sz w:val="28"/>
          <w:szCs w:val="28"/>
          <w:lang w:val="en-US" w:bidi="en-US"/>
        </w:rPr>
        <w:t>Wycliffe Bible Society</w:t>
      </w:r>
    </w:p>
    <w:p>
      <w:pPr>
        <w:pStyle w:val="BookText"/>
        <w:rPr/>
      </w:pPr>
      <w:r>
        <w:rPr>
          <w:rFonts w:ascii="IRNazanin" w:hAnsi="IRNazanin" w:eastAsia="IRNazanin"/>
          <w:color w:val="111111"/>
          <w:sz w:val="28"/>
          <w:sz w:val="28"/>
          <w:szCs w:val="28"/>
          <w:rtl w:val="true"/>
          <w:lang w:bidi="fa-IR"/>
        </w:rPr>
        <w:t>پروژۀ نیمکت اینترنتی و زندگی آمریکاییان</w:t>
      </w:r>
    </w:p>
    <w:p>
      <w:pPr>
        <w:pStyle w:val="BookText"/>
        <w:rPr/>
      </w:pPr>
      <w:r>
        <w:rPr>
          <w:rFonts w:eastAsia="Times New Roman" w:cs="Times New Roman" w:ascii="Times New Roman" w:hAnsi="Times New Roman"/>
          <w:color w:val="111111"/>
          <w:sz w:val="28"/>
          <w:szCs w:val="28"/>
          <w:lang w:val="en-US" w:bidi="en-US"/>
        </w:rPr>
        <w:t>the Pew Internet and American Life Project</w:t>
      </w:r>
    </w:p>
    <w:p>
      <w:pPr>
        <w:pStyle w:val="BookText"/>
        <w:rPr/>
      </w:pPr>
      <w:r>
        <w:rPr>
          <w:rFonts w:ascii="IRNazanin" w:hAnsi="IRNazanin" w:eastAsia="IRNazanin"/>
          <w:color w:val="111111"/>
          <w:sz w:val="28"/>
          <w:sz w:val="28"/>
          <w:szCs w:val="28"/>
          <w:rtl w:val="true"/>
          <w:lang w:bidi="fa-IR"/>
        </w:rPr>
        <w:t>جبهۀ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 ویلدمون برای تلویزیون بهتر</w:t>
      </w:r>
    </w:p>
    <w:p>
      <w:pPr>
        <w:pStyle w:val="BookText"/>
        <w:rPr/>
      </w:pPr>
      <w:r>
        <w:rPr>
          <w:rFonts w:eastAsia="Times New Roman" w:cs="Times New Roman" w:ascii="Times New Roman" w:hAnsi="Times New Roman"/>
          <w:color w:val="111111"/>
          <w:sz w:val="28"/>
          <w:szCs w:val="28"/>
          <w:lang w:val="en-US" w:bidi="en-US"/>
        </w:rPr>
        <w:t>Rev. Donald Wildmon’s Coalition for Better Television</w:t>
      </w:r>
    </w:p>
    <w:p>
      <w:pPr>
        <w:pStyle w:val="BookText"/>
        <w:rPr/>
      </w:pPr>
      <w:r>
        <w:rPr>
          <w:rFonts w:ascii="IRNazanin" w:hAnsi="IRNazanin" w:eastAsia="IRNazanin"/>
          <w:color w:val="111111"/>
          <w:sz w:val="28"/>
          <w:sz w:val="28"/>
          <w:szCs w:val="28"/>
          <w:rtl w:val="true"/>
          <w:lang w:bidi="fa-IR"/>
        </w:rPr>
        <w:t>جنبش ملی‌گرای راشتریا سوایامسواک سانگ</w:t>
      </w:r>
    </w:p>
    <w:p>
      <w:pPr>
        <w:pStyle w:val="BookText"/>
        <w:rPr/>
      </w:pPr>
      <w:r>
        <w:rPr>
          <w:rFonts w:eastAsia="Times New Roman" w:cs="Times New Roman" w:ascii="Times New Roman" w:hAnsi="Times New Roman"/>
          <w:color w:val="111111"/>
          <w:sz w:val="28"/>
          <w:szCs w:val="28"/>
          <w:lang w:val="en-US" w:bidi="en-US"/>
        </w:rPr>
        <w:t>Rashtriya Swayamsevak Sangh</w:t>
      </w:r>
    </w:p>
    <w:p>
      <w:pPr>
        <w:pStyle w:val="BookText"/>
        <w:rPr/>
      </w:pPr>
      <w:r>
        <w:rPr>
          <w:rFonts w:ascii="IRNazanin" w:hAnsi="IRNazanin" w:eastAsia="IRNazanin"/>
          <w:color w:val="111111"/>
          <w:sz w:val="28"/>
          <w:sz w:val="28"/>
          <w:szCs w:val="28"/>
          <w:rtl w:val="true"/>
          <w:lang w:bidi="fa-IR"/>
        </w:rPr>
        <w:t>دفتر ملی ادبیات فاخر</w:t>
      </w:r>
    </w:p>
    <w:p>
      <w:pPr>
        <w:pStyle w:val="BookText"/>
        <w:rPr/>
      </w:pPr>
      <w:r>
        <w:rPr>
          <w:rFonts w:eastAsia="Times New Roman" w:cs="Times New Roman" w:ascii="Times New Roman" w:hAnsi="Times New Roman"/>
          <w:color w:val="111111"/>
          <w:sz w:val="28"/>
          <w:szCs w:val="28"/>
          <w:lang w:val="en-US" w:bidi="en-US"/>
        </w:rPr>
        <w:t>National Office of Decent Literature</w:t>
      </w:r>
    </w:p>
    <w:p>
      <w:pPr>
        <w:pStyle w:val="BookText"/>
        <w:rPr/>
      </w:pPr>
      <w:r>
        <w:rPr>
          <w:rFonts w:ascii="IRNazanin" w:hAnsi="IRNazanin" w:eastAsia="IRNazanin"/>
          <w:color w:val="111111"/>
          <w:sz w:val="28"/>
          <w:sz w:val="28"/>
          <w:szCs w:val="28"/>
          <w:rtl w:val="true"/>
          <w:lang w:bidi="fa-IR"/>
        </w:rPr>
        <w:t>سازمان ملی ادبیات منزه</w:t>
      </w:r>
    </w:p>
    <w:p>
      <w:pPr>
        <w:pStyle w:val="BookText"/>
        <w:rPr/>
      </w:pPr>
      <w:r>
        <w:rPr>
          <w:rFonts w:eastAsia="Times New Roman" w:cs="Times New Roman" w:ascii="Times New Roman" w:hAnsi="Times New Roman"/>
          <w:color w:val="111111"/>
          <w:sz w:val="28"/>
          <w:szCs w:val="28"/>
          <w:lang w:val="en-US" w:bidi="en-US"/>
        </w:rPr>
        <w:t>National Organization for Decent Literature</w:t>
      </w:r>
    </w:p>
    <w:p>
      <w:pPr>
        <w:pStyle w:val="BookText"/>
        <w:rPr/>
      </w:pPr>
      <w:r>
        <w:rPr>
          <w:rFonts w:ascii="IRNazanin" w:hAnsi="IRNazanin" w:eastAsia="IRNazanin"/>
          <w:color w:val="111111"/>
          <w:sz w:val="28"/>
          <w:sz w:val="28"/>
          <w:szCs w:val="28"/>
          <w:rtl w:val="true"/>
          <w:lang w:bidi="fa-IR"/>
        </w:rPr>
        <w:t>سازمان ملی برنامه‌سازان مذهبی</w:t>
      </w:r>
    </w:p>
    <w:p>
      <w:pPr>
        <w:pStyle w:val="BookText"/>
        <w:rPr/>
      </w:pPr>
      <w:r>
        <w:rPr>
          <w:rFonts w:eastAsia="Times New Roman" w:cs="Times New Roman" w:ascii="Times New Roman" w:hAnsi="Times New Roman"/>
          <w:color w:val="111111"/>
          <w:sz w:val="28"/>
          <w:szCs w:val="28"/>
          <w:lang w:val="en-US" w:bidi="en-US"/>
        </w:rPr>
        <w:t>National Religious Broadcasters</w:t>
      </w:r>
    </w:p>
    <w:p>
      <w:pPr>
        <w:pStyle w:val="BookText"/>
        <w:rPr/>
      </w:pPr>
      <w:r>
        <w:rPr>
          <w:rFonts w:ascii="IRNazanin" w:hAnsi="IRNazanin" w:eastAsia="IRNazanin"/>
          <w:color w:val="111111"/>
          <w:sz w:val="28"/>
          <w:sz w:val="28"/>
          <w:szCs w:val="28"/>
          <w:rtl w:val="true"/>
          <w:lang w:bidi="fa-IR"/>
        </w:rPr>
        <w:t>سپاه نزاکت</w:t>
      </w:r>
    </w:p>
    <w:p>
      <w:pPr>
        <w:pStyle w:val="BookText"/>
        <w:rPr/>
      </w:pPr>
      <w:r>
        <w:rPr>
          <w:rFonts w:eastAsia="Times New Roman" w:cs="Times New Roman" w:ascii="Times New Roman" w:hAnsi="Times New Roman"/>
          <w:color w:val="111111"/>
          <w:sz w:val="28"/>
          <w:szCs w:val="28"/>
          <w:lang w:val="en-US" w:bidi="en-US"/>
        </w:rPr>
        <w:t>Legion of Decency</w:t>
      </w:r>
    </w:p>
    <w:p>
      <w:pPr>
        <w:pStyle w:val="BookText"/>
        <w:rPr/>
      </w:pPr>
      <w:r>
        <w:rPr>
          <w:rFonts w:ascii="IRNazanin" w:hAnsi="IRNazanin" w:eastAsia="IRNazanin"/>
          <w:color w:val="111111"/>
          <w:sz w:val="28"/>
          <w:sz w:val="28"/>
          <w:szCs w:val="28"/>
          <w:rtl w:val="true"/>
          <w:lang w:bidi="fa-IR"/>
        </w:rPr>
        <w:t>شبکۀ پخش ترینیتی</w:t>
      </w:r>
    </w:p>
    <w:p>
      <w:pPr>
        <w:pStyle w:val="BookText"/>
        <w:rPr/>
      </w:pPr>
      <w:r>
        <w:rPr>
          <w:rFonts w:eastAsia="Times New Roman" w:cs="Times New Roman" w:ascii="Times New Roman" w:hAnsi="Times New Roman"/>
          <w:color w:val="111111"/>
          <w:sz w:val="28"/>
          <w:szCs w:val="28"/>
          <w:lang w:val="en-US" w:bidi="en-US"/>
        </w:rPr>
        <w:t>Trinity Broadcasting Network</w:t>
      </w:r>
    </w:p>
    <w:p>
      <w:pPr>
        <w:pStyle w:val="BookText"/>
        <w:rPr/>
      </w:pPr>
      <w:r>
        <w:rPr>
          <w:rFonts w:ascii="IRNazanin" w:hAnsi="IRNazanin" w:eastAsia="IRNazanin"/>
          <w:color w:val="111111"/>
          <w:sz w:val="28"/>
          <w:sz w:val="28"/>
          <w:szCs w:val="28"/>
          <w:rtl w:val="true"/>
          <w:lang w:bidi="fa-IR"/>
        </w:rPr>
        <w:t>شبکۀ تلویزیونی ستارۀ روز</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DayStar Television network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شبکۀ تلویزیونی کلمۀ جاوید</w:t>
      </w:r>
    </w:p>
    <w:p>
      <w:pPr>
        <w:pStyle w:val="BookText"/>
        <w:rPr/>
      </w:pPr>
      <w:r>
        <w:rPr>
          <w:rFonts w:eastAsia="Times New Roman" w:cs="Times New Roman" w:ascii="Times New Roman" w:hAnsi="Times New Roman"/>
          <w:color w:val="111111"/>
          <w:sz w:val="28"/>
          <w:szCs w:val="28"/>
          <w:lang w:val="en-US" w:bidi="en-US"/>
        </w:rPr>
        <w:t>Eternal Word Television Network</w:t>
      </w:r>
    </w:p>
    <w:p>
      <w:pPr>
        <w:pStyle w:val="BookText"/>
        <w:rPr/>
      </w:pPr>
      <w:r>
        <w:rPr>
          <w:rFonts w:ascii="IRNazanin" w:hAnsi="IRNazanin" w:eastAsia="IRNazanin"/>
          <w:color w:val="111111"/>
          <w:sz w:val="28"/>
          <w:sz w:val="28"/>
          <w:szCs w:val="28"/>
          <w:rtl w:val="true"/>
          <w:lang w:bidi="fa-IR"/>
        </w:rPr>
        <w:t>شبکۀ خانوادۀ پیمان باپتیست جنوبی</w:t>
      </w:r>
    </w:p>
    <w:p>
      <w:pPr>
        <w:pStyle w:val="BookText"/>
        <w:rPr/>
      </w:pPr>
      <w:r>
        <w:rPr>
          <w:rFonts w:eastAsia="Times New Roman" w:cs="Times New Roman" w:ascii="Times New Roman" w:hAnsi="Times New Roman"/>
          <w:color w:val="111111"/>
          <w:sz w:val="28"/>
          <w:szCs w:val="28"/>
          <w:lang w:val="en-US" w:bidi="en-US"/>
        </w:rPr>
        <w:t>Southern Baptist Convention’s Family Net</w:t>
      </w:r>
    </w:p>
    <w:p>
      <w:pPr>
        <w:pStyle w:val="BookText"/>
        <w:rPr/>
      </w:pPr>
      <w:r>
        <w:rPr>
          <w:rFonts w:ascii="IRNazanin" w:hAnsi="IRNazanin" w:eastAsia="IRNazanin"/>
          <w:color w:val="111111"/>
          <w:sz w:val="28"/>
          <w:sz w:val="28"/>
          <w:szCs w:val="28"/>
          <w:rtl w:val="true"/>
          <w:lang w:bidi="fa-IR"/>
        </w:rPr>
        <w:t>شبکۀ دیش</w:t>
      </w:r>
    </w:p>
    <w:p>
      <w:pPr>
        <w:pStyle w:val="BookText"/>
        <w:rPr/>
      </w:pPr>
      <w:r>
        <w:rPr>
          <w:rFonts w:eastAsia="Times New Roman" w:cs="Times New Roman" w:ascii="Times New Roman" w:hAnsi="Times New Roman"/>
          <w:color w:val="111111"/>
          <w:sz w:val="28"/>
          <w:szCs w:val="28"/>
          <w:lang w:val="en-US" w:bidi="en-US"/>
        </w:rPr>
        <w:t>DISH Network</w:t>
      </w:r>
    </w:p>
    <w:p>
      <w:pPr>
        <w:pStyle w:val="BookText"/>
        <w:rPr/>
      </w:pPr>
      <w:r>
        <w:rPr>
          <w:rFonts w:ascii="IRNazanin" w:hAnsi="IRNazanin" w:eastAsia="IRNazanin"/>
          <w:color w:val="111111"/>
          <w:sz w:val="28"/>
          <w:sz w:val="28"/>
          <w:szCs w:val="28"/>
          <w:rtl w:val="true"/>
          <w:lang w:bidi="fa-IR"/>
        </w:rPr>
        <w:t>شبکۀ ماهواره‌ای بین‌الایمانی بصیرت</w:t>
      </w:r>
    </w:p>
    <w:p>
      <w:pPr>
        <w:pStyle w:val="BookText"/>
        <w:rPr/>
      </w:pPr>
      <w:r>
        <w:rPr>
          <w:rFonts w:eastAsia="Times New Roman" w:cs="Times New Roman" w:ascii="Times New Roman" w:hAnsi="Times New Roman"/>
          <w:color w:val="111111"/>
          <w:sz w:val="28"/>
          <w:szCs w:val="28"/>
          <w:lang w:val="en-US" w:bidi="en-US"/>
        </w:rPr>
        <w:t>Vision Interfaith Satellite Network</w:t>
      </w:r>
    </w:p>
    <w:p>
      <w:pPr>
        <w:pStyle w:val="BookText"/>
        <w:rPr/>
      </w:pPr>
      <w:r>
        <w:rPr>
          <w:rFonts w:ascii="IRNazanin" w:hAnsi="IRNazanin" w:eastAsia="IRNazanin"/>
          <w:color w:val="111111"/>
          <w:sz w:val="28"/>
          <w:sz w:val="28"/>
          <w:szCs w:val="28"/>
          <w:rtl w:val="true"/>
          <w:lang w:bidi="fa-IR"/>
        </w:rPr>
        <w:t>شرکت بیگ آیدیا</w:t>
      </w:r>
    </w:p>
    <w:p>
      <w:pPr>
        <w:pStyle w:val="BookText"/>
        <w:rPr/>
      </w:pPr>
      <w:r>
        <w:rPr>
          <w:rFonts w:eastAsia="Times New Roman" w:cs="Times New Roman" w:ascii="Times New Roman" w:hAnsi="Times New Roman"/>
          <w:color w:val="111111"/>
          <w:sz w:val="28"/>
          <w:szCs w:val="28"/>
          <w:lang w:val="en-US" w:bidi="en-US"/>
        </w:rPr>
        <w:t>Big Idea Inc</w:t>
      </w:r>
    </w:p>
    <w:p>
      <w:pPr>
        <w:pStyle w:val="BookText"/>
        <w:rPr/>
      </w:pPr>
      <w:r>
        <w:rPr>
          <w:rFonts w:ascii="IRNazanin" w:hAnsi="IRNazanin" w:eastAsia="IRNazanin"/>
          <w:color w:val="111111"/>
          <w:sz w:val="28"/>
          <w:sz w:val="28"/>
          <w:szCs w:val="28"/>
          <w:rtl w:val="true"/>
          <w:lang w:bidi="fa-IR"/>
        </w:rPr>
        <w:t>شرکت خانوادۀ بین‌المللی</w:t>
      </w:r>
    </w:p>
    <w:p>
      <w:pPr>
        <w:pStyle w:val="BookText"/>
        <w:rPr/>
      </w:pPr>
      <w:r>
        <w:rPr>
          <w:rFonts w:eastAsia="Times New Roman" w:cs="Times New Roman" w:ascii="Times New Roman" w:hAnsi="Times New Roman"/>
          <w:color w:val="111111"/>
          <w:sz w:val="28"/>
          <w:szCs w:val="28"/>
          <w:lang w:val="en-US" w:bidi="en-US"/>
        </w:rPr>
        <w:t>International Family Corporation</w:t>
      </w:r>
    </w:p>
    <w:p>
      <w:pPr>
        <w:pStyle w:val="BookText"/>
        <w:rPr/>
      </w:pPr>
      <w:r>
        <w:rPr>
          <w:rFonts w:ascii="IRNazanin" w:hAnsi="IRNazanin" w:eastAsia="IRNazanin"/>
          <w:color w:val="111111"/>
          <w:sz w:val="28"/>
          <w:sz w:val="28"/>
          <w:szCs w:val="28"/>
          <w:rtl w:val="true"/>
          <w:lang w:bidi="fa-IR"/>
        </w:rPr>
        <w:t>شورای روابط اسلام و آمریکا</w:t>
      </w:r>
    </w:p>
    <w:p>
      <w:pPr>
        <w:pStyle w:val="BookText"/>
        <w:rPr/>
      </w:pPr>
      <w:r>
        <w:rPr>
          <w:rFonts w:eastAsia="Times New Roman" w:cs="Times New Roman" w:ascii="Times New Roman" w:hAnsi="Times New Roman"/>
          <w:color w:val="111111"/>
          <w:sz w:val="28"/>
          <w:szCs w:val="28"/>
          <w:lang w:val="en-US" w:bidi="en-US"/>
        </w:rPr>
        <w:t>Council on American-Islamic Relations (CAIR)</w:t>
      </w:r>
    </w:p>
    <w:p>
      <w:pPr>
        <w:pStyle w:val="BookText"/>
        <w:rPr/>
      </w:pPr>
      <w:r>
        <w:rPr>
          <w:rFonts w:ascii="IRNazanin" w:hAnsi="IRNazanin" w:eastAsia="IRNazanin"/>
          <w:color w:val="111111"/>
          <w:sz w:val="28"/>
          <w:sz w:val="28"/>
          <w:szCs w:val="28"/>
          <w:rtl w:val="true"/>
          <w:lang w:bidi="fa-IR"/>
        </w:rPr>
        <w:t>صنعت معاصر موسیقی مسیحی</w:t>
      </w:r>
    </w:p>
    <w:p>
      <w:pPr>
        <w:pStyle w:val="BookText"/>
        <w:rPr/>
      </w:pPr>
      <w:r>
        <w:rPr>
          <w:rFonts w:eastAsia="Times New Roman" w:cs="Times New Roman" w:ascii="Times New Roman" w:hAnsi="Times New Roman"/>
          <w:color w:val="111111"/>
          <w:sz w:val="28"/>
          <w:szCs w:val="28"/>
          <w:lang w:val="en-US" w:bidi="en-US"/>
        </w:rPr>
        <w:t>contemporary Christian music: CCM</w:t>
      </w:r>
    </w:p>
    <w:p>
      <w:pPr>
        <w:pStyle w:val="BookText"/>
        <w:rPr/>
      </w:pPr>
      <w:r>
        <w:rPr>
          <w:rFonts w:ascii="IRNazanin" w:hAnsi="IRNazanin" w:eastAsia="IRNazanin"/>
          <w:color w:val="111111"/>
          <w:sz w:val="28"/>
          <w:sz w:val="28"/>
          <w:szCs w:val="28"/>
          <w:rtl w:val="true"/>
          <w:lang w:bidi="fa-IR"/>
        </w:rPr>
        <w:t>طریقت چانک سیندول برای زندگی</w:t>
      </w:r>
    </w:p>
    <w:p>
      <w:pPr>
        <w:pStyle w:val="BookText"/>
        <w:rPr/>
      </w:pPr>
      <w:r>
        <w:rPr>
          <w:rFonts w:eastAsia="Times New Roman" w:cs="Times New Roman" w:ascii="Times New Roman" w:hAnsi="Times New Roman"/>
          <w:color w:val="111111"/>
          <w:sz w:val="28"/>
          <w:szCs w:val="28"/>
          <w:lang w:val="en-US" w:bidi="en-US"/>
        </w:rPr>
        <w:t>Texan Chunk Swindoll's Insight for Living</w:t>
      </w:r>
    </w:p>
    <w:p>
      <w:pPr>
        <w:pStyle w:val="BookText"/>
        <w:rPr/>
      </w:pPr>
      <w:r>
        <w:rPr>
          <w:rFonts w:ascii="IRNazanin" w:hAnsi="IRNazanin" w:eastAsia="IRNazanin"/>
          <w:color w:val="111111"/>
          <w:sz w:val="28"/>
          <w:sz w:val="28"/>
          <w:szCs w:val="28"/>
          <w:rtl w:val="true"/>
          <w:lang w:bidi="fa-IR"/>
        </w:rPr>
        <w:t>کانال ادیسه</w:t>
      </w:r>
    </w:p>
    <w:p>
      <w:pPr>
        <w:pStyle w:val="BookText"/>
        <w:rPr/>
      </w:pPr>
      <w:r>
        <w:rPr>
          <w:rFonts w:eastAsia="Times New Roman" w:cs="Times New Roman" w:ascii="Times New Roman" w:hAnsi="Times New Roman"/>
          <w:color w:val="111111"/>
          <w:sz w:val="28"/>
          <w:szCs w:val="28"/>
          <w:lang w:val="en-US" w:bidi="en-US"/>
        </w:rPr>
        <w:t>Odyssey Channel</w:t>
      </w:r>
    </w:p>
    <w:p>
      <w:pPr>
        <w:pStyle w:val="BookText"/>
        <w:rPr/>
      </w:pPr>
      <w:r>
        <w:rPr>
          <w:rFonts w:ascii="IRNazanin" w:hAnsi="IRNazanin" w:eastAsia="IRNazanin"/>
          <w:color w:val="111111"/>
          <w:sz w:val="28"/>
          <w:sz w:val="28"/>
          <w:szCs w:val="28"/>
          <w:rtl w:val="true"/>
          <w:lang w:bidi="fa-IR"/>
        </w:rPr>
        <w:t>کانال ایمان و ارزش‌ها</w:t>
      </w:r>
    </w:p>
    <w:p>
      <w:pPr>
        <w:pStyle w:val="BookText"/>
        <w:rPr/>
      </w:pPr>
      <w:r>
        <w:rPr>
          <w:rFonts w:eastAsia="Times New Roman" w:cs="Times New Roman" w:ascii="Times New Roman" w:hAnsi="Times New Roman"/>
          <w:color w:val="111111"/>
          <w:sz w:val="28"/>
          <w:szCs w:val="28"/>
          <w:lang w:val="en-US" w:bidi="en-US"/>
        </w:rPr>
        <w:t>Faith and Values Channel</w:t>
      </w:r>
    </w:p>
    <w:p>
      <w:pPr>
        <w:pStyle w:val="BookText"/>
        <w:rPr/>
      </w:pPr>
      <w:r>
        <w:rPr>
          <w:rFonts w:ascii="IRNazanin" w:hAnsi="IRNazanin" w:eastAsia="IRNazanin"/>
          <w:color w:val="111111"/>
          <w:sz w:val="28"/>
          <w:sz w:val="28"/>
          <w:szCs w:val="28"/>
          <w:rtl w:val="true"/>
          <w:lang w:bidi="fa-IR"/>
        </w:rPr>
        <w:t>کانال بین‌المللی اسلام</w:t>
      </w:r>
    </w:p>
    <w:p>
      <w:pPr>
        <w:pStyle w:val="BookText"/>
        <w:rPr/>
      </w:pPr>
      <w:r>
        <w:rPr>
          <w:rFonts w:eastAsia="Times New Roman" w:cs="Times New Roman" w:ascii="Times New Roman" w:hAnsi="Times New Roman"/>
          <w:color w:val="111111"/>
          <w:sz w:val="28"/>
          <w:szCs w:val="28"/>
          <w:lang w:val="en-US" w:bidi="en-US"/>
        </w:rPr>
        <w:t>Channel Islam International</w:t>
      </w:r>
    </w:p>
    <w:p>
      <w:pPr>
        <w:pStyle w:val="BookText"/>
        <w:rPr/>
      </w:pPr>
      <w:r>
        <w:rPr>
          <w:rFonts w:ascii="IRNazanin" w:hAnsi="IRNazanin" w:eastAsia="IRNazanin"/>
          <w:color w:val="111111"/>
          <w:sz w:val="28"/>
          <w:sz w:val="28"/>
          <w:szCs w:val="28"/>
          <w:rtl w:val="true"/>
          <w:lang w:bidi="fa-IR"/>
        </w:rPr>
        <w:t>کانال خانواده</w:t>
      </w:r>
    </w:p>
    <w:p>
      <w:pPr>
        <w:pStyle w:val="BookText"/>
        <w:rPr/>
      </w:pPr>
      <w:r>
        <w:rPr>
          <w:rFonts w:eastAsia="Times New Roman" w:cs="Times New Roman" w:ascii="Times New Roman" w:hAnsi="Times New Roman"/>
          <w:color w:val="111111"/>
          <w:sz w:val="28"/>
          <w:szCs w:val="28"/>
          <w:lang w:val="en-US" w:bidi="en-US"/>
        </w:rPr>
        <w:t>The Family Channel</w:t>
      </w:r>
    </w:p>
    <w:p>
      <w:pPr>
        <w:pStyle w:val="BookText"/>
        <w:rPr/>
      </w:pPr>
      <w:r>
        <w:rPr>
          <w:rFonts w:ascii="IRNazanin" w:hAnsi="IRNazanin" w:eastAsia="IRNazanin"/>
          <w:color w:val="111111"/>
          <w:sz w:val="28"/>
          <w:sz w:val="28"/>
          <w:szCs w:val="28"/>
          <w:rtl w:val="true"/>
          <w:lang w:bidi="fa-IR"/>
        </w:rPr>
        <w:t>کمیسیون ارتباطات فدرال</w:t>
      </w:r>
    </w:p>
    <w:p>
      <w:pPr>
        <w:pStyle w:val="BookText"/>
        <w:rPr/>
      </w:pPr>
      <w:r>
        <w:rPr>
          <w:rFonts w:eastAsia="Times New Roman" w:cs="Times New Roman" w:ascii="Times New Roman" w:hAnsi="Times New Roman"/>
          <w:color w:val="111111"/>
          <w:sz w:val="28"/>
          <w:szCs w:val="28"/>
          <w:lang w:val="en-US" w:bidi="en-US"/>
        </w:rPr>
        <w:t>the Federal Communications Commission</w:t>
      </w:r>
    </w:p>
    <w:p>
      <w:pPr>
        <w:pStyle w:val="BookText"/>
        <w:rPr/>
      </w:pPr>
      <w:r>
        <w:rPr>
          <w:rFonts w:ascii="IRNazanin" w:hAnsi="IRNazanin" w:eastAsia="IRNazanin"/>
          <w:color w:val="111111"/>
          <w:sz w:val="28"/>
          <w:sz w:val="28"/>
          <w:szCs w:val="28"/>
          <w:rtl w:val="true"/>
          <w:lang w:bidi="fa-IR"/>
        </w:rPr>
        <w:t>کمیسیون تلویزیون مستقل</w:t>
      </w:r>
    </w:p>
    <w:p>
      <w:pPr>
        <w:pStyle w:val="BookText"/>
        <w:rPr/>
      </w:pPr>
      <w:r>
        <w:rPr>
          <w:rFonts w:eastAsia="Times New Roman" w:cs="Times New Roman" w:ascii="Times New Roman" w:hAnsi="Times New Roman"/>
          <w:color w:val="111111"/>
          <w:sz w:val="28"/>
          <w:szCs w:val="28"/>
          <w:lang w:val="en-US" w:bidi="en-US"/>
        </w:rPr>
        <w:t>the Independent Television Commission</w:t>
      </w:r>
    </w:p>
    <w:p>
      <w:pPr>
        <w:pStyle w:val="BookText"/>
        <w:rPr/>
      </w:pPr>
      <w:r>
        <w:rPr>
          <w:rFonts w:ascii="IRNazanin" w:hAnsi="IRNazanin" w:eastAsia="IRNazanin"/>
          <w:color w:val="111111"/>
          <w:sz w:val="28"/>
          <w:sz w:val="28"/>
          <w:szCs w:val="28"/>
          <w:rtl w:val="true"/>
          <w:lang w:bidi="fa-IR"/>
        </w:rPr>
        <w:t>گروه پژوهشی بارنا</w:t>
      </w:r>
    </w:p>
    <w:p>
      <w:pPr>
        <w:pStyle w:val="BookText"/>
        <w:rPr/>
      </w:pPr>
      <w:r>
        <w:rPr>
          <w:rFonts w:eastAsia="Times New Roman" w:cs="Times New Roman" w:ascii="Times New Roman" w:hAnsi="Times New Roman"/>
          <w:color w:val="111111"/>
          <w:sz w:val="28"/>
          <w:szCs w:val="28"/>
          <w:lang w:val="en-US" w:bidi="en-US"/>
        </w:rPr>
        <w:t>The Barna Research Group</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دیده‌بان رسانۀ عرب </w:t>
      </w:r>
    </w:p>
    <w:p>
      <w:pPr>
        <w:pStyle w:val="BookText"/>
        <w:rPr/>
      </w:pPr>
      <w:r>
        <w:rPr>
          <w:rFonts w:eastAsia="Times New Roman" w:cs="Times New Roman" w:ascii="Times New Roman" w:hAnsi="Times New Roman"/>
          <w:color w:val="111111"/>
          <w:sz w:val="28"/>
          <w:szCs w:val="28"/>
          <w:lang w:val="en-US" w:bidi="en-US"/>
        </w:rPr>
        <w:t>Arab Media Watch</w:t>
      </w:r>
    </w:p>
    <w:p>
      <w:pPr>
        <w:pStyle w:val="BookText"/>
        <w:rPr/>
      </w:pPr>
      <w:r>
        <w:rPr>
          <w:rFonts w:ascii="IRNazanin" w:hAnsi="IRNazanin" w:eastAsia="IRNazanin"/>
          <w:color w:val="111111"/>
          <w:sz w:val="28"/>
          <w:sz w:val="28"/>
          <w:szCs w:val="28"/>
          <w:rtl w:val="true"/>
          <w:lang w:bidi="fa-IR"/>
        </w:rPr>
        <w:t>ماهوارة ویدیویی سلطه</w:t>
      </w:r>
    </w:p>
    <w:p>
      <w:pPr>
        <w:pStyle w:val="BookText"/>
        <w:rPr/>
      </w:pPr>
      <w:r>
        <w:rPr>
          <w:rFonts w:eastAsia="Times New Roman" w:cs="Times New Roman" w:ascii="Times New Roman" w:hAnsi="Times New Roman"/>
          <w:color w:val="111111"/>
          <w:sz w:val="28"/>
          <w:szCs w:val="28"/>
          <w:lang w:val="en-US" w:bidi="en-US"/>
        </w:rPr>
        <w:t>Dominion Video Satellite</w:t>
      </w:r>
    </w:p>
    <w:p>
      <w:pPr>
        <w:pStyle w:val="BookText"/>
        <w:rPr/>
      </w:pPr>
      <w:r>
        <w:rPr>
          <w:rFonts w:ascii="IRNazanin" w:hAnsi="IRNazanin" w:eastAsia="IRNazanin"/>
          <w:color w:val="111111"/>
          <w:sz w:val="28"/>
          <w:sz w:val="28"/>
          <w:szCs w:val="28"/>
          <w:rtl w:val="true"/>
          <w:lang w:bidi="fa-IR"/>
        </w:rPr>
        <w:t>مجمع ملی اخلاق عمومی</w:t>
      </w:r>
    </w:p>
    <w:p>
      <w:pPr>
        <w:pStyle w:val="BookText"/>
        <w:rPr/>
      </w:pPr>
      <w:r>
        <w:rPr>
          <w:rFonts w:eastAsia="Times New Roman" w:cs="Times New Roman" w:ascii="Times New Roman" w:hAnsi="Times New Roman"/>
          <w:color w:val="111111"/>
          <w:sz w:val="28"/>
          <w:szCs w:val="28"/>
          <w:lang w:val="en-US" w:bidi="en-US"/>
        </w:rPr>
        <w:t>National Council of Public Morals</w:t>
      </w:r>
    </w:p>
    <w:p>
      <w:pPr>
        <w:pStyle w:val="BookText"/>
        <w:rPr/>
      </w:pPr>
      <w:r>
        <w:rPr>
          <w:rFonts w:ascii="IRNazanin" w:hAnsi="IRNazanin" w:eastAsia="IRNazanin"/>
          <w:color w:val="111111"/>
          <w:sz w:val="28"/>
          <w:sz w:val="28"/>
          <w:szCs w:val="28"/>
          <w:rtl w:val="true"/>
          <w:lang w:bidi="fa-IR"/>
        </w:rPr>
        <w:t>هیئت استانداردهای تبلیغاتی</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Advertising Standards Authority</w:t>
      </w:r>
      <w:r>
        <w:rPr>
          <w:rFonts w:eastAsia="Times New Roman" w:cs="Times New Roman" w:ascii="Times New Roman" w:hAnsi="Times New Roman"/>
          <w:color w:val="111111"/>
          <w:sz w:val="28"/>
          <w:szCs w:val="28"/>
          <w:rtl w:val="true"/>
          <w:lang w:val="en-US" w:bidi="en-US"/>
        </w:rPr>
        <w:t xml:space="preserve"> </w:t>
      </w:r>
      <w:bookmarkStart w:id="1138" w:name="pg3881_28267"/>
    </w:p>
    <w:p>
      <w:pPr>
        <w:pStyle w:val="Heading2"/>
        <w:numPr>
          <w:ilvl w:val="1"/>
          <w:numId w:val="1"/>
        </w:numPr>
        <w:rPr/>
      </w:pPr>
      <w:bookmarkStart w:id="1139" w:name="__RefHeading___Toc1656800_2281741623"/>
      <w:bookmarkStart w:id="1140" w:name="_Toc406"/>
      <w:bookmarkEnd w:id="1138"/>
      <w:bookmarkEnd w:id="1139"/>
      <w:r>
        <w:rPr>
          <w:rtl w:val="true"/>
        </w:rPr>
        <w:t xml:space="preserve">فهرست اَعلام </w:t>
      </w:r>
      <w:r>
        <w:rPr>
          <w:rtl w:val="true"/>
        </w:rPr>
        <w:t>(</w:t>
      </w:r>
      <w:r>
        <w:rPr>
          <w:rtl w:val="true"/>
        </w:rPr>
        <w:t>انگلیسی</w:t>
      </w:r>
      <w:r>
        <w:rPr>
          <w:rtl w:val="true"/>
        </w:rPr>
        <w:t>)</w:t>
      </w:r>
      <w:bookmarkEnd w:id="1140"/>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Abraham Yitzhak Kook</w:t>
      </w:r>
    </w:p>
    <w:p>
      <w:pPr>
        <w:pStyle w:val="BookText"/>
        <w:rPr/>
      </w:pPr>
      <w:r>
        <w:rPr>
          <w:rFonts w:eastAsia="Times New Roman" w:cs="Times New Roman" w:ascii="Times New Roman" w:hAnsi="Times New Roman"/>
          <w:color w:val="111111"/>
          <w:sz w:val="28"/>
          <w:szCs w:val="28"/>
          <w:lang w:val="en-US" w:bidi="en-US"/>
        </w:rPr>
        <w:t>Adolph Zukor</w:t>
      </w:r>
    </w:p>
    <w:p>
      <w:pPr>
        <w:pStyle w:val="BookText"/>
        <w:rPr/>
      </w:pPr>
      <w:r>
        <w:rPr>
          <w:rFonts w:eastAsia="Times New Roman" w:cs="Times New Roman" w:ascii="Times New Roman" w:hAnsi="Times New Roman"/>
          <w:color w:val="111111"/>
          <w:sz w:val="28"/>
          <w:szCs w:val="28"/>
          <w:lang w:val="en-US" w:bidi="en-US"/>
        </w:rPr>
        <w:t>Adolphe Appia</w:t>
      </w:r>
    </w:p>
    <w:p>
      <w:pPr>
        <w:pStyle w:val="BookText"/>
        <w:rPr/>
      </w:pPr>
      <w:r>
        <w:rPr>
          <w:rFonts w:eastAsia="Times New Roman" w:cs="Times New Roman" w:ascii="Times New Roman" w:hAnsi="Times New Roman"/>
          <w:color w:val="111111"/>
          <w:sz w:val="28"/>
          <w:szCs w:val="28"/>
          <w:lang w:val="en-US" w:bidi="en-US"/>
        </w:rPr>
        <w:t>Agnes Varda</w:t>
      </w:r>
    </w:p>
    <w:p>
      <w:pPr>
        <w:pStyle w:val="BookText"/>
        <w:rPr/>
      </w:pPr>
      <w:r>
        <w:rPr>
          <w:rFonts w:eastAsia="Times New Roman" w:cs="Times New Roman" w:ascii="Times New Roman" w:hAnsi="Times New Roman"/>
          <w:color w:val="111111"/>
          <w:sz w:val="28"/>
          <w:szCs w:val="28"/>
          <w:lang w:val="en-US" w:bidi="en-US"/>
        </w:rPr>
        <w:t>Aimee Semple McPherson</w:t>
      </w:r>
    </w:p>
    <w:p>
      <w:pPr>
        <w:pStyle w:val="BookText"/>
        <w:rPr/>
      </w:pPr>
      <w:r>
        <w:rPr>
          <w:rFonts w:eastAsia="Times New Roman" w:cs="Times New Roman" w:ascii="Times New Roman" w:hAnsi="Times New Roman"/>
          <w:color w:val="111111"/>
          <w:sz w:val="28"/>
          <w:szCs w:val="28"/>
          <w:lang w:val="en-US" w:bidi="en-US"/>
        </w:rPr>
        <w:t>Aleksandr Popov</w:t>
      </w:r>
    </w:p>
    <w:p>
      <w:pPr>
        <w:pStyle w:val="BookText"/>
        <w:rPr/>
      </w:pPr>
      <w:r>
        <w:rPr>
          <w:rFonts w:eastAsia="Times New Roman" w:cs="Times New Roman" w:ascii="Times New Roman" w:hAnsi="Times New Roman"/>
          <w:color w:val="111111"/>
          <w:sz w:val="28"/>
          <w:szCs w:val="28"/>
          <w:lang w:val="en-US" w:bidi="en-US"/>
        </w:rPr>
        <w:t>Alexander Dovzhenko</w:t>
      </w:r>
    </w:p>
    <w:p>
      <w:pPr>
        <w:pStyle w:val="BookText"/>
        <w:rPr/>
      </w:pPr>
      <w:r>
        <w:rPr>
          <w:rFonts w:eastAsia="Times New Roman" w:cs="Times New Roman" w:ascii="Times New Roman" w:hAnsi="Times New Roman"/>
          <w:color w:val="111111"/>
          <w:sz w:val="28"/>
          <w:szCs w:val="28"/>
          <w:lang w:val="en-US" w:bidi="en-US"/>
        </w:rPr>
        <w:t>Allen Ginsberg</w:t>
      </w:r>
    </w:p>
    <w:p>
      <w:pPr>
        <w:pStyle w:val="BookText"/>
        <w:rPr/>
      </w:pPr>
      <w:r>
        <w:rPr>
          <w:rFonts w:eastAsia="Times New Roman" w:cs="Times New Roman" w:ascii="Times New Roman" w:hAnsi="Times New Roman"/>
          <w:color w:val="111111"/>
          <w:sz w:val="28"/>
          <w:szCs w:val="28"/>
          <w:lang w:val="en-US" w:bidi="en-US"/>
        </w:rPr>
        <w:t>Amy Grant</w:t>
      </w:r>
    </w:p>
    <w:p>
      <w:pPr>
        <w:pStyle w:val="BookText"/>
        <w:rPr/>
      </w:pPr>
      <w:r>
        <w:rPr>
          <w:rFonts w:eastAsia="Times New Roman" w:cs="Times New Roman" w:ascii="Times New Roman" w:hAnsi="Times New Roman"/>
          <w:color w:val="111111"/>
          <w:sz w:val="28"/>
          <w:szCs w:val="28"/>
          <w:lang w:val="en-US" w:bidi="en-US"/>
        </w:rPr>
        <w:t>Amy Lowell</w:t>
      </w:r>
    </w:p>
    <w:p>
      <w:pPr>
        <w:pStyle w:val="BookText"/>
        <w:rPr/>
      </w:pPr>
      <w:r>
        <w:rPr>
          <w:rFonts w:eastAsia="Times New Roman" w:cs="Times New Roman" w:ascii="Times New Roman" w:hAnsi="Times New Roman"/>
          <w:color w:val="111111"/>
          <w:sz w:val="28"/>
          <w:szCs w:val="28"/>
          <w:lang w:val="en-US" w:bidi="en-US"/>
        </w:rPr>
        <w:t>Anatole Litvak</w:t>
      </w:r>
    </w:p>
    <w:p>
      <w:pPr>
        <w:pStyle w:val="BookText"/>
        <w:rPr/>
      </w:pPr>
      <w:r>
        <w:rPr>
          <w:rFonts w:eastAsia="Times New Roman" w:cs="Times New Roman" w:ascii="Times New Roman" w:hAnsi="Times New Roman"/>
          <w:color w:val="111111"/>
          <w:sz w:val="28"/>
          <w:szCs w:val="28"/>
          <w:lang w:val="en-US" w:bidi="en-US"/>
        </w:rPr>
        <w:t>Andreas Karlstadt</w:t>
      </w:r>
    </w:p>
    <w:p>
      <w:pPr>
        <w:pStyle w:val="BookText"/>
        <w:rPr/>
      </w:pPr>
      <w:r>
        <w:rPr>
          <w:rFonts w:eastAsia="Times New Roman" w:cs="Times New Roman" w:ascii="Times New Roman" w:hAnsi="Times New Roman"/>
          <w:color w:val="111111"/>
          <w:sz w:val="28"/>
          <w:szCs w:val="28"/>
          <w:lang w:val="en-US" w:bidi="en-US"/>
        </w:rPr>
        <w:t>Andrew Carega</w:t>
      </w:r>
    </w:p>
    <w:p>
      <w:pPr>
        <w:pStyle w:val="BookText"/>
        <w:rPr/>
      </w:pPr>
      <w:r>
        <w:rPr>
          <w:rFonts w:eastAsia="Times New Roman" w:cs="Times New Roman" w:ascii="Times New Roman" w:hAnsi="Times New Roman"/>
          <w:color w:val="111111"/>
          <w:sz w:val="28"/>
          <w:szCs w:val="28"/>
          <w:lang w:val="en-US" w:bidi="en-US"/>
        </w:rPr>
        <w:t>Ann Patchet</w:t>
      </w:r>
    </w:p>
    <w:p>
      <w:pPr>
        <w:pStyle w:val="BookText"/>
        <w:rPr/>
      </w:pPr>
      <w:r>
        <w:rPr>
          <w:rFonts w:eastAsia="Times New Roman" w:cs="Times New Roman" w:ascii="Times New Roman" w:hAnsi="Times New Roman"/>
          <w:color w:val="111111"/>
          <w:sz w:val="28"/>
          <w:szCs w:val="28"/>
          <w:lang w:val="en-US" w:bidi="en-US"/>
        </w:rPr>
        <w:t>Anne Hutchinson</w:t>
      </w:r>
    </w:p>
    <w:p>
      <w:pPr>
        <w:pStyle w:val="BookText"/>
        <w:rPr/>
      </w:pPr>
      <w:r>
        <w:rPr>
          <w:rFonts w:eastAsia="Times New Roman" w:cs="Times New Roman" w:ascii="Times New Roman" w:hAnsi="Times New Roman"/>
          <w:color w:val="111111"/>
          <w:sz w:val="28"/>
          <w:szCs w:val="28"/>
          <w:lang w:val="en-US" w:bidi="en-US"/>
        </w:rPr>
        <w:t>Anni Dillard</w:t>
      </w:r>
    </w:p>
    <w:p>
      <w:pPr>
        <w:pStyle w:val="BookText"/>
        <w:rPr/>
      </w:pPr>
      <w:r>
        <w:rPr>
          <w:rFonts w:eastAsia="Times New Roman" w:cs="Times New Roman" w:ascii="Times New Roman" w:hAnsi="Times New Roman"/>
          <w:color w:val="111111"/>
          <w:sz w:val="28"/>
          <w:szCs w:val="28"/>
          <w:lang w:val="en-US" w:bidi="en-US"/>
        </w:rPr>
        <w:t>Anthony Comstock</w:t>
      </w:r>
    </w:p>
    <w:p>
      <w:pPr>
        <w:pStyle w:val="BookText"/>
        <w:rPr/>
      </w:pPr>
      <w:r>
        <w:rPr>
          <w:rFonts w:eastAsia="Times New Roman" w:cs="Times New Roman" w:ascii="Times New Roman" w:hAnsi="Times New Roman"/>
          <w:color w:val="111111"/>
          <w:sz w:val="28"/>
          <w:szCs w:val="28"/>
          <w:lang w:val="en-US" w:bidi="en-US"/>
        </w:rPr>
        <w:t>Aphra Behn</w:t>
      </w:r>
    </w:p>
    <w:p>
      <w:pPr>
        <w:pStyle w:val="BookText"/>
        <w:rPr/>
      </w:pPr>
      <w:r>
        <w:rPr>
          <w:rFonts w:eastAsia="Times New Roman" w:cs="Times New Roman" w:ascii="Times New Roman" w:hAnsi="Times New Roman"/>
          <w:color w:val="111111"/>
          <w:sz w:val="28"/>
          <w:szCs w:val="28"/>
          <w:lang w:val="en-US" w:bidi="en-US"/>
        </w:rPr>
        <w:t>Arthur Charles Clarke</w:t>
      </w:r>
    </w:p>
    <w:p>
      <w:pPr>
        <w:pStyle w:val="BookText"/>
        <w:rPr/>
      </w:pPr>
      <w:r>
        <w:rPr>
          <w:rFonts w:eastAsia="Times New Roman" w:cs="Times New Roman" w:ascii="Times New Roman" w:hAnsi="Times New Roman"/>
          <w:color w:val="111111"/>
          <w:sz w:val="28"/>
          <w:szCs w:val="28"/>
          <w:lang w:val="en-US" w:bidi="en-US"/>
        </w:rPr>
        <w:t>Arundhati Roy</w:t>
      </w:r>
    </w:p>
    <w:p>
      <w:pPr>
        <w:pStyle w:val="BookText"/>
        <w:rPr/>
      </w:pPr>
      <w:r>
        <w:rPr>
          <w:rFonts w:eastAsia="Times New Roman" w:cs="Times New Roman" w:ascii="Times New Roman" w:hAnsi="Times New Roman"/>
          <w:color w:val="111111"/>
          <w:sz w:val="28"/>
          <w:szCs w:val="28"/>
          <w:lang w:val="en-US" w:bidi="en-US"/>
        </w:rPr>
        <w:t>Aurélien-Marie Lugné-Poë</w:t>
      </w:r>
    </w:p>
    <w:p>
      <w:pPr>
        <w:pStyle w:val="BookText"/>
        <w:rPr/>
      </w:pPr>
      <w:r>
        <w:rPr>
          <w:rFonts w:eastAsia="Times New Roman" w:cs="Times New Roman" w:ascii="Times New Roman" w:hAnsi="Times New Roman"/>
          <w:color w:val="111111"/>
          <w:sz w:val="28"/>
          <w:szCs w:val="28"/>
          <w:lang w:val="en-US" w:bidi="en-US"/>
        </w:rPr>
        <w:t>Axtell morren</w:t>
      </w:r>
    </w:p>
    <w:p>
      <w:pPr>
        <w:pStyle w:val="BookText"/>
        <w:rPr/>
      </w:pPr>
      <w:r>
        <w:rPr>
          <w:rFonts w:eastAsia="Times New Roman" w:cs="Times New Roman" w:ascii="Times New Roman" w:hAnsi="Times New Roman"/>
          <w:color w:val="111111"/>
          <w:sz w:val="28"/>
          <w:szCs w:val="28"/>
          <w:lang w:val="en-US" w:bidi="en-US"/>
        </w:rPr>
        <w:t>Barbara Kopple</w:t>
      </w:r>
    </w:p>
    <w:p>
      <w:pPr>
        <w:pStyle w:val="BookText"/>
        <w:rPr/>
      </w:pPr>
      <w:r>
        <w:rPr>
          <w:rFonts w:eastAsia="Times New Roman" w:cs="Times New Roman" w:ascii="Times New Roman" w:hAnsi="Times New Roman"/>
          <w:color w:val="111111"/>
          <w:sz w:val="28"/>
          <w:szCs w:val="28"/>
          <w:lang w:val="en-US" w:bidi="en-US"/>
        </w:rPr>
        <w:t>Baron d’Holbach</w:t>
      </w:r>
    </w:p>
    <w:p>
      <w:pPr>
        <w:pStyle w:val="BookText"/>
        <w:rPr/>
      </w:pPr>
      <w:r>
        <w:rPr>
          <w:rFonts w:eastAsia="Times New Roman" w:cs="Times New Roman" w:ascii="Times New Roman" w:hAnsi="Times New Roman"/>
          <w:color w:val="111111"/>
          <w:sz w:val="28"/>
          <w:szCs w:val="28"/>
          <w:lang w:val="en-US" w:bidi="en-US"/>
        </w:rPr>
        <w:t>Bartolome de Las Casas</w:t>
      </w:r>
    </w:p>
    <w:p>
      <w:pPr>
        <w:pStyle w:val="BookText"/>
        <w:rPr/>
      </w:pPr>
      <w:r>
        <w:rPr>
          <w:rFonts w:eastAsia="Times New Roman" w:cs="Times New Roman" w:ascii="Times New Roman" w:hAnsi="Times New Roman"/>
          <w:color w:val="111111"/>
          <w:sz w:val="28"/>
          <w:szCs w:val="28"/>
          <w:lang w:val="en-US" w:bidi="en-US"/>
        </w:rPr>
        <w:t>Beth Moore</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Brenda Brasher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Carl Laemmle</w:t>
      </w:r>
    </w:p>
    <w:p>
      <w:pPr>
        <w:pStyle w:val="BookText"/>
        <w:rPr/>
      </w:pPr>
      <w:r>
        <w:rPr>
          <w:rFonts w:eastAsia="Times New Roman" w:cs="Times New Roman" w:ascii="Times New Roman" w:hAnsi="Times New Roman"/>
          <w:color w:val="111111"/>
          <w:sz w:val="28"/>
          <w:szCs w:val="28"/>
          <w:lang w:val="en-US" w:bidi="en-US"/>
        </w:rPr>
        <w:t>Caryl Churchill</w:t>
      </w:r>
    </w:p>
    <w:p>
      <w:pPr>
        <w:pStyle w:val="BookText"/>
        <w:rPr/>
      </w:pPr>
      <w:r>
        <w:rPr>
          <w:rFonts w:eastAsia="Times New Roman" w:cs="Times New Roman" w:ascii="Times New Roman" w:hAnsi="Times New Roman"/>
          <w:color w:val="111111"/>
          <w:sz w:val="28"/>
          <w:szCs w:val="28"/>
          <w:lang w:val="en-US" w:bidi="en-US"/>
        </w:rPr>
        <w:t>Chaim Potok</w:t>
      </w:r>
    </w:p>
    <w:p>
      <w:pPr>
        <w:pStyle w:val="BookText"/>
        <w:rPr/>
      </w:pPr>
      <w:r>
        <w:rPr>
          <w:rFonts w:eastAsia="Times New Roman" w:cs="Times New Roman" w:ascii="Times New Roman" w:hAnsi="Times New Roman"/>
          <w:color w:val="111111"/>
          <w:sz w:val="28"/>
          <w:szCs w:val="28"/>
          <w:lang w:val="en-US" w:bidi="en-US"/>
        </w:rPr>
        <w:t>Charles Burnett</w:t>
      </w:r>
    </w:p>
    <w:p>
      <w:pPr>
        <w:pStyle w:val="BookText"/>
        <w:rPr/>
      </w:pPr>
      <w:r>
        <w:rPr>
          <w:rFonts w:eastAsia="Times New Roman" w:cs="Times New Roman" w:ascii="Times New Roman" w:hAnsi="Times New Roman"/>
          <w:color w:val="111111"/>
          <w:sz w:val="28"/>
          <w:szCs w:val="28"/>
          <w:lang w:val="en-US" w:bidi="en-US"/>
        </w:rPr>
        <w:t>Charles coughlin</w:t>
      </w:r>
    </w:p>
    <w:p>
      <w:pPr>
        <w:pStyle w:val="BookText"/>
        <w:rPr/>
      </w:pPr>
      <w:r>
        <w:rPr>
          <w:rFonts w:eastAsia="Times New Roman" w:cs="Times New Roman" w:ascii="Times New Roman" w:hAnsi="Times New Roman"/>
          <w:color w:val="111111"/>
          <w:sz w:val="28"/>
          <w:szCs w:val="28"/>
          <w:lang w:val="en-US" w:bidi="en-US"/>
        </w:rPr>
        <w:t>Charles Cunningham Boycott</w:t>
      </w:r>
    </w:p>
    <w:p>
      <w:pPr>
        <w:pStyle w:val="BookText"/>
        <w:rPr/>
      </w:pPr>
      <w:r>
        <w:rPr>
          <w:rFonts w:eastAsia="Times New Roman" w:cs="Times New Roman" w:ascii="Times New Roman" w:hAnsi="Times New Roman"/>
          <w:color w:val="111111"/>
          <w:sz w:val="28"/>
          <w:szCs w:val="28"/>
          <w:lang w:val="en-US" w:bidi="en-US"/>
        </w:rPr>
        <w:t>Charles E. Coughlin</w:t>
      </w:r>
    </w:p>
    <w:p>
      <w:pPr>
        <w:pStyle w:val="BookText"/>
        <w:rPr/>
      </w:pPr>
      <w:r>
        <w:rPr>
          <w:rFonts w:eastAsia="Times New Roman" w:cs="Times New Roman" w:ascii="Times New Roman" w:hAnsi="Times New Roman"/>
          <w:color w:val="111111"/>
          <w:sz w:val="28"/>
          <w:szCs w:val="28"/>
          <w:lang w:val="en-US" w:bidi="en-US"/>
        </w:rPr>
        <w:t>Charles Fuller</w:t>
      </w:r>
    </w:p>
    <w:p>
      <w:pPr>
        <w:pStyle w:val="BookText"/>
        <w:rPr/>
      </w:pPr>
      <w:r>
        <w:rPr>
          <w:rFonts w:eastAsia="Times New Roman" w:cs="Times New Roman" w:ascii="Times New Roman" w:hAnsi="Times New Roman"/>
          <w:color w:val="111111"/>
          <w:sz w:val="28"/>
          <w:szCs w:val="28"/>
          <w:lang w:val="en-US" w:bidi="en-US"/>
        </w:rPr>
        <w:t>Charles Olson</w:t>
      </w:r>
    </w:p>
    <w:p>
      <w:pPr>
        <w:pStyle w:val="BookText"/>
        <w:rPr/>
      </w:pPr>
      <w:r>
        <w:rPr>
          <w:rFonts w:eastAsia="Times New Roman" w:cs="Times New Roman" w:ascii="Times New Roman" w:hAnsi="Times New Roman"/>
          <w:color w:val="111111"/>
          <w:sz w:val="28"/>
          <w:szCs w:val="28"/>
          <w:lang w:val="en-US" w:bidi="en-US"/>
        </w:rPr>
        <w:t>Charles Peirce</w:t>
      </w:r>
    </w:p>
    <w:p>
      <w:pPr>
        <w:pStyle w:val="BookText"/>
        <w:rPr/>
      </w:pPr>
      <w:r>
        <w:rPr>
          <w:rFonts w:eastAsia="Times New Roman" w:cs="Times New Roman" w:ascii="Times New Roman" w:hAnsi="Times New Roman"/>
          <w:color w:val="111111"/>
          <w:sz w:val="28"/>
          <w:szCs w:val="28"/>
          <w:lang w:val="en-US" w:bidi="en-US"/>
        </w:rPr>
        <w:t>Charles Stanley</w:t>
      </w:r>
    </w:p>
    <w:p>
      <w:pPr>
        <w:pStyle w:val="BookText"/>
        <w:rPr/>
      </w:pPr>
      <w:r>
        <w:rPr>
          <w:rFonts w:eastAsia="Times New Roman" w:cs="Times New Roman" w:ascii="Times New Roman" w:hAnsi="Times New Roman"/>
          <w:color w:val="111111"/>
          <w:sz w:val="28"/>
          <w:szCs w:val="28"/>
          <w:lang w:val="en-US" w:bidi="en-US"/>
        </w:rPr>
        <w:t>Clarence Darrow</w:t>
      </w:r>
    </w:p>
    <w:p>
      <w:pPr>
        <w:pStyle w:val="BookText"/>
        <w:rPr/>
      </w:pPr>
      <w:r>
        <w:rPr>
          <w:rFonts w:eastAsia="Times New Roman" w:cs="Times New Roman" w:ascii="Times New Roman" w:hAnsi="Times New Roman"/>
          <w:color w:val="111111"/>
          <w:sz w:val="28"/>
          <w:szCs w:val="28"/>
          <w:lang w:val="en-US" w:bidi="en-US"/>
        </w:rPr>
        <w:t>Countee Cullen</w:t>
      </w:r>
    </w:p>
    <w:p>
      <w:pPr>
        <w:pStyle w:val="BookText"/>
        <w:rPr/>
      </w:pPr>
      <w:r>
        <w:rPr>
          <w:rFonts w:eastAsia="Times New Roman" w:cs="Times New Roman" w:ascii="Times New Roman" w:hAnsi="Times New Roman"/>
          <w:color w:val="111111"/>
          <w:sz w:val="28"/>
          <w:szCs w:val="28"/>
          <w:lang w:val="en-US" w:bidi="en-US"/>
        </w:rPr>
        <w:t>Daniel Bell</w:t>
      </w:r>
    </w:p>
    <w:p>
      <w:pPr>
        <w:pStyle w:val="BookText"/>
        <w:rPr/>
      </w:pPr>
      <w:r>
        <w:rPr>
          <w:rFonts w:eastAsia="Times New Roman" w:cs="Times New Roman" w:ascii="Times New Roman" w:hAnsi="Times New Roman"/>
          <w:color w:val="111111"/>
          <w:sz w:val="28"/>
          <w:szCs w:val="28"/>
          <w:lang w:val="en-US" w:bidi="en-US"/>
        </w:rPr>
        <w:t>Daniel Defoe</w:t>
      </w:r>
    </w:p>
    <w:p>
      <w:pPr>
        <w:pStyle w:val="BookText"/>
        <w:rPr/>
      </w:pPr>
      <w:r>
        <w:rPr>
          <w:rFonts w:eastAsia="Times New Roman" w:cs="Times New Roman" w:ascii="Times New Roman" w:hAnsi="Times New Roman"/>
          <w:color w:val="111111"/>
          <w:sz w:val="28"/>
          <w:szCs w:val="28"/>
          <w:lang w:val="en-US" w:bidi="en-US"/>
        </w:rPr>
        <w:t>Daniel Lord</w:t>
      </w:r>
    </w:p>
    <w:p>
      <w:pPr>
        <w:pStyle w:val="BookText"/>
        <w:rPr/>
      </w:pPr>
      <w:r>
        <w:rPr>
          <w:rFonts w:eastAsia="Times New Roman" w:cs="Times New Roman" w:ascii="Times New Roman" w:hAnsi="Times New Roman"/>
          <w:color w:val="111111"/>
          <w:sz w:val="28"/>
          <w:szCs w:val="28"/>
          <w:lang w:val="en-US" w:bidi="en-US"/>
        </w:rPr>
        <w:t>David Morgan</w:t>
      </w:r>
    </w:p>
    <w:p>
      <w:pPr>
        <w:pStyle w:val="BookText"/>
        <w:rPr/>
      </w:pPr>
      <w:r>
        <w:rPr>
          <w:rFonts w:eastAsia="Times New Roman" w:cs="Times New Roman" w:ascii="Times New Roman" w:hAnsi="Times New Roman"/>
          <w:color w:val="111111"/>
          <w:sz w:val="28"/>
          <w:szCs w:val="28"/>
          <w:lang w:val="en-US" w:bidi="en-US"/>
        </w:rPr>
        <w:t>David Naugle</w:t>
      </w:r>
    </w:p>
    <w:p>
      <w:pPr>
        <w:pStyle w:val="BookText"/>
        <w:rPr/>
      </w:pPr>
      <w:r>
        <w:rPr>
          <w:rFonts w:eastAsia="Times New Roman" w:cs="Times New Roman" w:ascii="Times New Roman" w:hAnsi="Times New Roman"/>
          <w:color w:val="111111"/>
          <w:sz w:val="28"/>
          <w:szCs w:val="28"/>
          <w:lang w:val="en-US" w:bidi="en-US"/>
        </w:rPr>
        <w:t>Dick Sheppard</w:t>
      </w:r>
    </w:p>
    <w:p>
      <w:pPr>
        <w:pStyle w:val="BookText"/>
        <w:rPr/>
      </w:pPr>
      <w:r>
        <w:rPr>
          <w:rFonts w:eastAsia="Times New Roman" w:cs="Times New Roman" w:ascii="Times New Roman" w:hAnsi="Times New Roman"/>
          <w:color w:val="111111"/>
          <w:sz w:val="28"/>
          <w:szCs w:val="28"/>
          <w:lang w:val="en-US" w:bidi="en-US"/>
        </w:rPr>
        <w:t>Dorothy L. Sayers</w:t>
      </w:r>
    </w:p>
    <w:p>
      <w:pPr>
        <w:pStyle w:val="BookText"/>
        <w:rPr/>
      </w:pPr>
      <w:r>
        <w:rPr>
          <w:rFonts w:eastAsia="Times New Roman" w:cs="Times New Roman" w:ascii="Times New Roman" w:hAnsi="Times New Roman"/>
          <w:color w:val="111111"/>
          <w:sz w:val="28"/>
          <w:szCs w:val="28"/>
          <w:lang w:val="en-US" w:bidi="en-US"/>
        </w:rPr>
        <w:t>Dwight D. Moody</w:t>
      </w:r>
    </w:p>
    <w:p>
      <w:pPr>
        <w:pStyle w:val="BookText"/>
        <w:rPr/>
      </w:pPr>
      <w:r>
        <w:rPr>
          <w:rFonts w:eastAsia="Times New Roman" w:cs="Times New Roman" w:ascii="Times New Roman" w:hAnsi="Times New Roman"/>
          <w:color w:val="111111"/>
          <w:sz w:val="28"/>
          <w:szCs w:val="28"/>
          <w:lang w:val="en-US" w:bidi="en-US"/>
        </w:rPr>
        <w:t>Dylan Thomas</w:t>
      </w:r>
    </w:p>
    <w:p>
      <w:pPr>
        <w:pStyle w:val="BookText"/>
        <w:rPr/>
      </w:pPr>
      <w:r>
        <w:rPr>
          <w:rFonts w:eastAsia="Times New Roman" w:cs="Times New Roman" w:ascii="Times New Roman" w:hAnsi="Times New Roman"/>
          <w:color w:val="111111"/>
          <w:sz w:val="28"/>
          <w:szCs w:val="28"/>
          <w:lang w:val="en-US" w:bidi="en-US"/>
        </w:rPr>
        <w:t>Edward R. Murrow</w:t>
      </w:r>
    </w:p>
    <w:p>
      <w:pPr>
        <w:pStyle w:val="BookText"/>
        <w:rPr/>
      </w:pPr>
      <w:r>
        <w:rPr>
          <w:rFonts w:eastAsia="Times New Roman" w:cs="Times New Roman" w:ascii="Times New Roman" w:hAnsi="Times New Roman"/>
          <w:color w:val="111111"/>
          <w:sz w:val="28"/>
          <w:szCs w:val="28"/>
          <w:lang w:val="en-US" w:bidi="en-US"/>
        </w:rPr>
        <w:t>Edwin Van Ettin</w:t>
      </w:r>
    </w:p>
    <w:p>
      <w:pPr>
        <w:pStyle w:val="BookText"/>
        <w:rPr/>
      </w:pPr>
      <w:r>
        <w:rPr>
          <w:rFonts w:eastAsia="Times New Roman" w:cs="Times New Roman" w:ascii="Times New Roman" w:hAnsi="Times New Roman"/>
          <w:color w:val="111111"/>
          <w:sz w:val="28"/>
          <w:szCs w:val="28"/>
          <w:lang w:val="en-US" w:bidi="en-US"/>
        </w:rPr>
        <w:t>Elizabeth Clare Prophet</w:t>
      </w:r>
    </w:p>
    <w:p>
      <w:pPr>
        <w:pStyle w:val="BookText"/>
        <w:rPr/>
      </w:pPr>
      <w:r>
        <w:rPr>
          <w:rFonts w:eastAsia="Times New Roman" w:cs="Times New Roman" w:ascii="Times New Roman" w:hAnsi="Times New Roman"/>
          <w:color w:val="111111"/>
          <w:sz w:val="28"/>
          <w:szCs w:val="28"/>
          <w:lang w:val="en-US" w:bidi="en-US"/>
        </w:rPr>
        <w:t>Elizabeth Eisenstein</w:t>
      </w:r>
    </w:p>
    <w:p>
      <w:pPr>
        <w:pStyle w:val="BookText"/>
        <w:rPr/>
      </w:pPr>
      <w:r>
        <w:rPr>
          <w:rFonts w:eastAsia="Times New Roman" w:cs="Times New Roman" w:ascii="Times New Roman" w:hAnsi="Times New Roman"/>
          <w:color w:val="111111"/>
          <w:sz w:val="28"/>
          <w:szCs w:val="28"/>
          <w:lang w:val="en-US" w:bidi="en-US"/>
        </w:rPr>
        <w:t>Elmer Rice</w:t>
      </w:r>
    </w:p>
    <w:p>
      <w:pPr>
        <w:pStyle w:val="BookText"/>
        <w:rPr/>
      </w:pPr>
      <w:r>
        <w:rPr>
          <w:rFonts w:eastAsia="Times New Roman" w:cs="Times New Roman" w:ascii="Times New Roman" w:hAnsi="Times New Roman"/>
          <w:color w:val="111111"/>
          <w:sz w:val="28"/>
          <w:szCs w:val="28"/>
          <w:lang w:val="en-US" w:bidi="en-US"/>
        </w:rPr>
        <w:t>Emeric Pressburger</w:t>
      </w:r>
    </w:p>
    <w:p>
      <w:pPr>
        <w:pStyle w:val="BookText"/>
        <w:rPr/>
      </w:pPr>
      <w:r>
        <w:rPr>
          <w:rFonts w:eastAsia="Times New Roman" w:cs="Times New Roman" w:ascii="Times New Roman" w:hAnsi="Times New Roman"/>
          <w:color w:val="111111"/>
          <w:sz w:val="28"/>
          <w:szCs w:val="28"/>
          <w:lang w:val="en-US" w:bidi="en-US"/>
        </w:rPr>
        <w:t>Ermanno Olmi</w:t>
      </w:r>
    </w:p>
    <w:p>
      <w:pPr>
        <w:pStyle w:val="BookText"/>
        <w:rPr/>
      </w:pPr>
      <w:r>
        <w:rPr>
          <w:rFonts w:eastAsia="Times New Roman" w:cs="Times New Roman" w:ascii="Times New Roman" w:hAnsi="Times New Roman"/>
          <w:color w:val="111111"/>
          <w:sz w:val="28"/>
          <w:szCs w:val="28"/>
          <w:lang w:val="en-US" w:bidi="en-US"/>
        </w:rPr>
        <w:t>Ernst Alexanderson</w:t>
      </w:r>
    </w:p>
    <w:p>
      <w:pPr>
        <w:pStyle w:val="BookText"/>
        <w:rPr/>
      </w:pPr>
      <w:r>
        <w:rPr>
          <w:rFonts w:eastAsia="Times New Roman" w:cs="Times New Roman" w:ascii="Times New Roman" w:hAnsi="Times New Roman"/>
          <w:color w:val="111111"/>
          <w:sz w:val="28"/>
          <w:szCs w:val="28"/>
          <w:lang w:val="en-US" w:bidi="en-US"/>
        </w:rPr>
        <w:t>Eugene O’Neill</w:t>
      </w:r>
    </w:p>
    <w:p>
      <w:pPr>
        <w:pStyle w:val="BookText"/>
        <w:rPr/>
      </w:pPr>
      <w:r>
        <w:rPr>
          <w:rFonts w:eastAsia="Times New Roman" w:cs="Times New Roman" w:ascii="Times New Roman" w:hAnsi="Times New Roman"/>
          <w:color w:val="111111"/>
          <w:sz w:val="28"/>
          <w:szCs w:val="28"/>
          <w:lang w:val="en-US" w:bidi="en-US"/>
        </w:rPr>
        <w:t>Ezra Pound</w:t>
      </w:r>
    </w:p>
    <w:p>
      <w:pPr>
        <w:pStyle w:val="BookText"/>
        <w:rPr/>
      </w:pPr>
      <w:r>
        <w:rPr>
          <w:rFonts w:eastAsia="Times New Roman" w:cs="Times New Roman" w:ascii="Times New Roman" w:hAnsi="Times New Roman"/>
          <w:color w:val="111111"/>
          <w:sz w:val="28"/>
          <w:szCs w:val="28"/>
          <w:lang w:val="en-US" w:bidi="en-US"/>
        </w:rPr>
        <w:t>Flannery Oconnor</w:t>
      </w:r>
    </w:p>
    <w:p>
      <w:pPr>
        <w:pStyle w:val="BookText"/>
        <w:rPr/>
      </w:pPr>
      <w:r>
        <w:rPr>
          <w:rFonts w:eastAsia="Times New Roman" w:cs="Times New Roman" w:ascii="Times New Roman" w:hAnsi="Times New Roman"/>
          <w:color w:val="111111"/>
          <w:sz w:val="28"/>
          <w:szCs w:val="28"/>
          <w:lang w:val="en-US" w:bidi="en-US"/>
        </w:rPr>
        <w:t>François-Joseph Talma</w:t>
      </w:r>
    </w:p>
    <w:p>
      <w:pPr>
        <w:pStyle w:val="BookText"/>
        <w:rPr/>
      </w:pPr>
      <w:r>
        <w:rPr>
          <w:rFonts w:eastAsia="Times New Roman" w:cs="Times New Roman" w:ascii="Times New Roman" w:hAnsi="Times New Roman"/>
          <w:color w:val="111111"/>
          <w:sz w:val="28"/>
          <w:szCs w:val="28"/>
          <w:lang w:val="en-US" w:bidi="en-US"/>
        </w:rPr>
        <w:t>Frank Borzage</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Frank Capra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Friedrich Schiller</w:t>
      </w:r>
    </w:p>
    <w:p>
      <w:pPr>
        <w:pStyle w:val="BookText"/>
        <w:rPr/>
      </w:pPr>
      <w:r>
        <w:rPr>
          <w:rFonts w:eastAsia="Times New Roman" w:cs="Times New Roman" w:ascii="Times New Roman" w:hAnsi="Times New Roman"/>
          <w:color w:val="111111"/>
          <w:sz w:val="28"/>
          <w:szCs w:val="28"/>
          <w:lang w:val="en-US" w:bidi="en-US"/>
        </w:rPr>
        <w:t>Friedrich Schiller</w:t>
      </w:r>
    </w:p>
    <w:p>
      <w:pPr>
        <w:pStyle w:val="BookText"/>
        <w:rPr/>
      </w:pPr>
      <w:r>
        <w:rPr>
          <w:rFonts w:eastAsia="Times New Roman" w:cs="Times New Roman" w:ascii="Times New Roman" w:hAnsi="Times New Roman"/>
          <w:color w:val="111111"/>
          <w:sz w:val="28"/>
          <w:szCs w:val="28"/>
          <w:lang w:val="en-US" w:bidi="en-US"/>
        </w:rPr>
        <w:t>G.K. Chesterton</w:t>
      </w:r>
    </w:p>
    <w:p>
      <w:pPr>
        <w:pStyle w:val="BookText"/>
        <w:rPr/>
      </w:pPr>
      <w:r>
        <w:rPr>
          <w:rFonts w:eastAsia="Times New Roman" w:cs="Times New Roman" w:ascii="Times New Roman" w:hAnsi="Times New Roman"/>
          <w:color w:val="111111"/>
          <w:sz w:val="28"/>
          <w:szCs w:val="28"/>
          <w:lang w:val="en-US" w:bidi="en-US"/>
        </w:rPr>
        <w:t>Gabriel Axel</w:t>
      </w:r>
    </w:p>
    <w:p>
      <w:pPr>
        <w:pStyle w:val="BookText"/>
        <w:rPr/>
      </w:pPr>
      <w:r>
        <w:rPr>
          <w:rFonts w:eastAsia="Times New Roman" w:cs="Times New Roman" w:ascii="Times New Roman" w:hAnsi="Times New Roman"/>
          <w:color w:val="111111"/>
          <w:sz w:val="28"/>
          <w:szCs w:val="28"/>
          <w:lang w:val="en-US" w:bidi="en-US"/>
        </w:rPr>
        <w:t>Geoffrey Chaucer</w:t>
      </w:r>
    </w:p>
    <w:p>
      <w:pPr>
        <w:pStyle w:val="BookText"/>
        <w:rPr/>
      </w:pPr>
      <w:r>
        <w:rPr>
          <w:rFonts w:eastAsia="Times New Roman" w:cs="Times New Roman" w:ascii="Times New Roman" w:hAnsi="Times New Roman"/>
          <w:color w:val="111111"/>
          <w:sz w:val="28"/>
          <w:szCs w:val="28"/>
          <w:lang w:val="en-US" w:bidi="en-US"/>
        </w:rPr>
        <w:t>Geoffrey Hughes</w:t>
      </w:r>
    </w:p>
    <w:p>
      <w:pPr>
        <w:pStyle w:val="BookText"/>
        <w:rPr/>
      </w:pPr>
      <w:r>
        <w:rPr>
          <w:rFonts w:eastAsia="Times New Roman" w:cs="Times New Roman" w:ascii="Times New Roman" w:hAnsi="Times New Roman"/>
          <w:color w:val="111111"/>
          <w:sz w:val="28"/>
          <w:szCs w:val="28"/>
          <w:lang w:val="en-US" w:bidi="en-US"/>
        </w:rPr>
        <w:t>Georg Kaiser</w:t>
      </w:r>
    </w:p>
    <w:p>
      <w:pPr>
        <w:pStyle w:val="BookText"/>
        <w:rPr/>
      </w:pPr>
      <w:r>
        <w:rPr>
          <w:rFonts w:eastAsia="Times New Roman" w:cs="Times New Roman" w:ascii="Times New Roman" w:hAnsi="Times New Roman"/>
          <w:color w:val="111111"/>
          <w:sz w:val="28"/>
          <w:szCs w:val="28"/>
          <w:lang w:val="en-US" w:bidi="en-US"/>
        </w:rPr>
        <w:t>George Carlin</w:t>
      </w:r>
    </w:p>
    <w:p>
      <w:pPr>
        <w:pStyle w:val="BookText"/>
        <w:rPr/>
      </w:pPr>
      <w:r>
        <w:rPr>
          <w:rFonts w:eastAsia="Times New Roman" w:cs="Times New Roman" w:ascii="Times New Roman" w:hAnsi="Times New Roman"/>
          <w:color w:val="111111"/>
          <w:sz w:val="28"/>
          <w:szCs w:val="28"/>
          <w:lang w:val="en-US" w:bidi="en-US"/>
        </w:rPr>
        <w:t>George Méliès</w:t>
      </w:r>
    </w:p>
    <w:p>
      <w:pPr>
        <w:pStyle w:val="BookText"/>
        <w:rPr/>
      </w:pPr>
      <w:r>
        <w:rPr>
          <w:rFonts w:eastAsia="Times New Roman" w:cs="Times New Roman" w:ascii="Times New Roman" w:hAnsi="Times New Roman"/>
          <w:color w:val="111111"/>
          <w:sz w:val="28"/>
          <w:szCs w:val="28"/>
          <w:lang w:val="en-US" w:bidi="en-US"/>
        </w:rPr>
        <w:t>George Whitefield</w:t>
      </w:r>
    </w:p>
    <w:p>
      <w:pPr>
        <w:pStyle w:val="BookText"/>
        <w:rPr/>
      </w:pPr>
      <w:r>
        <w:rPr>
          <w:rFonts w:eastAsia="Times New Roman" w:cs="Times New Roman" w:ascii="Times New Roman" w:hAnsi="Times New Roman"/>
          <w:color w:val="111111"/>
          <w:sz w:val="28"/>
          <w:szCs w:val="28"/>
          <w:lang w:val="en-US" w:bidi="en-US"/>
        </w:rPr>
        <w:t>Gertrude Stein</w:t>
      </w:r>
    </w:p>
    <w:p>
      <w:pPr>
        <w:pStyle w:val="BookText"/>
        <w:rPr/>
      </w:pPr>
      <w:r>
        <w:rPr>
          <w:rFonts w:eastAsia="Times New Roman" w:cs="Times New Roman" w:ascii="Times New Roman" w:hAnsi="Times New Roman"/>
          <w:color w:val="111111"/>
          <w:sz w:val="28"/>
          <w:szCs w:val="28"/>
          <w:lang w:val="en-US" w:bidi="en-US"/>
        </w:rPr>
        <w:t>Gian Lorenzo Bernini</w:t>
      </w:r>
    </w:p>
    <w:p>
      <w:pPr>
        <w:pStyle w:val="BookText"/>
        <w:rPr/>
      </w:pPr>
      <w:r>
        <w:rPr>
          <w:rFonts w:eastAsia="Times New Roman" w:cs="Times New Roman" w:ascii="Times New Roman" w:hAnsi="Times New Roman"/>
          <w:color w:val="111111"/>
          <w:sz w:val="28"/>
          <w:szCs w:val="28"/>
          <w:lang w:val="en-US" w:bidi="en-US"/>
        </w:rPr>
        <w:t>Graham Green</w:t>
      </w:r>
    </w:p>
    <w:p>
      <w:pPr>
        <w:pStyle w:val="BookText"/>
        <w:rPr/>
      </w:pPr>
      <w:r>
        <w:rPr>
          <w:rFonts w:eastAsia="Times New Roman" w:cs="Times New Roman" w:ascii="Times New Roman" w:hAnsi="Times New Roman"/>
          <w:color w:val="111111"/>
          <w:sz w:val="28"/>
          <w:szCs w:val="28"/>
          <w:lang w:val="en-US" w:bidi="en-US"/>
        </w:rPr>
        <w:t>Gretel ehrlich</w:t>
      </w:r>
    </w:p>
    <w:p>
      <w:pPr>
        <w:pStyle w:val="BookText"/>
        <w:rPr/>
      </w:pPr>
      <w:r>
        <w:rPr>
          <w:rFonts w:eastAsia="Times New Roman" w:cs="Times New Roman" w:ascii="Times New Roman" w:hAnsi="Times New Roman"/>
          <w:color w:val="111111"/>
          <w:sz w:val="28"/>
          <w:szCs w:val="28"/>
          <w:lang w:val="en-US" w:bidi="en-US"/>
        </w:rPr>
        <w:t>Gugliemo Marconi</w:t>
      </w:r>
    </w:p>
    <w:p>
      <w:pPr>
        <w:pStyle w:val="BookText"/>
        <w:rPr/>
      </w:pPr>
      <w:r>
        <w:rPr>
          <w:rFonts w:eastAsia="Times New Roman" w:cs="Times New Roman" w:ascii="Times New Roman" w:hAnsi="Times New Roman"/>
          <w:color w:val="111111"/>
          <w:sz w:val="28"/>
          <w:szCs w:val="28"/>
          <w:lang w:val="en-US" w:bidi="en-US"/>
        </w:rPr>
        <w:t>Gush Emunim</w:t>
      </w:r>
    </w:p>
    <w:p>
      <w:pPr>
        <w:pStyle w:val="BookText"/>
        <w:rPr/>
      </w:pPr>
      <w:r>
        <w:rPr>
          <w:rFonts w:eastAsia="Times New Roman" w:cs="Times New Roman" w:ascii="Times New Roman" w:hAnsi="Times New Roman"/>
          <w:color w:val="111111"/>
          <w:sz w:val="28"/>
          <w:szCs w:val="28"/>
          <w:lang w:val="en-US" w:bidi="en-US"/>
        </w:rPr>
        <w:t>Hal Lindsey</w:t>
      </w:r>
    </w:p>
    <w:p>
      <w:pPr>
        <w:pStyle w:val="BookText"/>
        <w:rPr/>
      </w:pPr>
      <w:r>
        <w:rPr>
          <w:rFonts w:eastAsia="Times New Roman" w:cs="Times New Roman" w:ascii="Times New Roman" w:hAnsi="Times New Roman"/>
          <w:color w:val="111111"/>
          <w:sz w:val="28"/>
          <w:szCs w:val="28"/>
          <w:lang w:val="en-US" w:bidi="en-US"/>
        </w:rPr>
        <w:t>Hans-Georg Gadamer</w:t>
      </w:r>
    </w:p>
    <w:p>
      <w:pPr>
        <w:pStyle w:val="BookText"/>
        <w:rPr/>
      </w:pPr>
      <w:r>
        <w:rPr>
          <w:rFonts w:eastAsia="Times New Roman" w:cs="Times New Roman" w:ascii="Times New Roman" w:hAnsi="Times New Roman"/>
          <w:color w:val="111111"/>
          <w:sz w:val="28"/>
          <w:szCs w:val="28"/>
          <w:lang w:val="en-US" w:bidi="en-US"/>
        </w:rPr>
        <w:t>Harlequin</w:t>
      </w:r>
    </w:p>
    <w:p>
      <w:pPr>
        <w:pStyle w:val="BookText"/>
        <w:rPr/>
      </w:pPr>
      <w:r>
        <w:rPr>
          <w:rFonts w:eastAsia="Times New Roman" w:cs="Times New Roman" w:ascii="Times New Roman" w:hAnsi="Times New Roman"/>
          <w:color w:val="111111"/>
          <w:sz w:val="28"/>
          <w:szCs w:val="28"/>
          <w:lang w:val="en-US" w:bidi="en-US"/>
        </w:rPr>
        <w:t>Harold Innis</w:t>
      </w:r>
    </w:p>
    <w:p>
      <w:pPr>
        <w:pStyle w:val="BookText"/>
        <w:rPr/>
      </w:pPr>
      <w:r>
        <w:rPr>
          <w:rFonts w:eastAsia="Times New Roman" w:cs="Times New Roman" w:ascii="Times New Roman" w:hAnsi="Times New Roman"/>
          <w:color w:val="111111"/>
          <w:sz w:val="28"/>
          <w:szCs w:val="28"/>
          <w:lang w:val="en-US" w:bidi="en-US"/>
        </w:rPr>
        <w:t>Harriet Monroe</w:t>
      </w:r>
    </w:p>
    <w:p>
      <w:pPr>
        <w:pStyle w:val="BookText"/>
        <w:rPr/>
      </w:pPr>
      <w:r>
        <w:rPr>
          <w:rFonts w:eastAsia="Times New Roman" w:cs="Times New Roman" w:ascii="Times New Roman" w:hAnsi="Times New Roman"/>
          <w:color w:val="111111"/>
          <w:sz w:val="28"/>
          <w:szCs w:val="28"/>
          <w:lang w:val="en-US" w:bidi="en-US"/>
        </w:rPr>
        <w:t>Heinrich Hertz</w:t>
      </w:r>
    </w:p>
    <w:p>
      <w:pPr>
        <w:pStyle w:val="BookText"/>
        <w:rPr/>
      </w:pPr>
      <w:r>
        <w:rPr>
          <w:rFonts w:eastAsia="Times New Roman" w:cs="Times New Roman" w:ascii="Times New Roman" w:hAnsi="Times New Roman"/>
          <w:color w:val="111111"/>
          <w:sz w:val="28"/>
          <w:szCs w:val="28"/>
          <w:lang w:val="en-US" w:bidi="en-US"/>
        </w:rPr>
        <w:t>Henry David Thoreau</w:t>
      </w:r>
    </w:p>
    <w:p>
      <w:pPr>
        <w:pStyle w:val="BookText"/>
        <w:rPr/>
      </w:pPr>
      <w:r>
        <w:rPr>
          <w:rFonts w:eastAsia="Times New Roman" w:cs="Times New Roman" w:ascii="Times New Roman" w:hAnsi="Times New Roman"/>
          <w:color w:val="111111"/>
          <w:sz w:val="28"/>
          <w:szCs w:val="28"/>
          <w:lang w:val="en-US" w:bidi="en-US"/>
        </w:rPr>
        <w:t>Henry King</w:t>
      </w:r>
    </w:p>
    <w:p>
      <w:pPr>
        <w:pStyle w:val="BookText"/>
        <w:rPr/>
      </w:pPr>
      <w:r>
        <w:rPr>
          <w:rFonts w:eastAsia="Times New Roman" w:cs="Times New Roman" w:ascii="Times New Roman" w:hAnsi="Times New Roman"/>
          <w:color w:val="111111"/>
          <w:sz w:val="28"/>
          <w:szCs w:val="28"/>
          <w:lang w:val="en-US" w:bidi="en-US"/>
        </w:rPr>
        <w:t>Herbert A. Jump</w:t>
      </w:r>
    </w:p>
    <w:p>
      <w:pPr>
        <w:pStyle w:val="BookText"/>
        <w:rPr/>
      </w:pPr>
      <w:r>
        <w:rPr>
          <w:rFonts w:eastAsia="Times New Roman" w:cs="Times New Roman" w:ascii="Times New Roman" w:hAnsi="Times New Roman"/>
          <w:color w:val="111111"/>
          <w:sz w:val="28"/>
          <w:szCs w:val="28"/>
          <w:lang w:val="en-US" w:bidi="en-US"/>
        </w:rPr>
        <w:t>Hiyao Miyazaki</w:t>
      </w:r>
    </w:p>
    <w:p>
      <w:pPr>
        <w:pStyle w:val="BookText"/>
        <w:rPr/>
      </w:pPr>
      <w:r>
        <w:rPr>
          <w:rFonts w:eastAsia="Times New Roman" w:cs="Times New Roman" w:ascii="Times New Roman" w:hAnsi="Times New Roman"/>
          <w:color w:val="111111"/>
          <w:sz w:val="28"/>
          <w:szCs w:val="28"/>
          <w:lang w:val="en-US" w:bidi="en-US"/>
        </w:rPr>
        <w:t>Humphrey Jennings</w:t>
      </w:r>
    </w:p>
    <w:p>
      <w:pPr>
        <w:pStyle w:val="BookText"/>
        <w:rPr/>
      </w:pPr>
      <w:r>
        <w:rPr>
          <w:rFonts w:eastAsia="Times New Roman" w:cs="Times New Roman" w:ascii="Times New Roman" w:hAnsi="Times New Roman"/>
          <w:color w:val="111111"/>
          <w:sz w:val="28"/>
          <w:szCs w:val="28"/>
          <w:lang w:val="en-US" w:bidi="en-US"/>
        </w:rPr>
        <w:t>Ian Watt</w:t>
      </w:r>
    </w:p>
    <w:p>
      <w:pPr>
        <w:pStyle w:val="BookText"/>
        <w:rPr/>
      </w:pPr>
      <w:r>
        <w:rPr>
          <w:rFonts w:eastAsia="Times New Roman" w:cs="Times New Roman" w:ascii="Times New Roman" w:hAnsi="Times New Roman"/>
          <w:color w:val="111111"/>
          <w:sz w:val="28"/>
          <w:szCs w:val="28"/>
          <w:lang w:val="en-US" w:bidi="en-US"/>
        </w:rPr>
        <w:t>Isao Takahata</w:t>
      </w:r>
    </w:p>
    <w:p>
      <w:pPr>
        <w:pStyle w:val="BookText"/>
        <w:rPr/>
      </w:pPr>
      <w:r>
        <w:rPr>
          <w:rFonts w:eastAsia="Times New Roman" w:cs="Times New Roman" w:ascii="Times New Roman" w:hAnsi="Times New Roman"/>
          <w:color w:val="111111"/>
          <w:sz w:val="28"/>
          <w:szCs w:val="28"/>
          <w:lang w:val="en-US" w:bidi="en-US"/>
        </w:rPr>
        <w:t>J. Alfred Prufrock</w:t>
      </w:r>
    </w:p>
    <w:p>
      <w:pPr>
        <w:pStyle w:val="BookText"/>
        <w:rPr/>
      </w:pPr>
      <w:r>
        <w:rPr>
          <w:rFonts w:eastAsia="Times New Roman" w:cs="Times New Roman" w:ascii="Times New Roman" w:hAnsi="Times New Roman"/>
          <w:color w:val="111111"/>
          <w:sz w:val="28"/>
          <w:szCs w:val="28"/>
          <w:lang w:val="en-US" w:bidi="en-US"/>
        </w:rPr>
        <w:t>J. Harold Ellens</w:t>
      </w:r>
    </w:p>
    <w:p>
      <w:pPr>
        <w:pStyle w:val="BookText"/>
        <w:rPr/>
      </w:pPr>
      <w:r>
        <w:rPr>
          <w:rFonts w:eastAsia="Times New Roman" w:cs="Times New Roman" w:ascii="Times New Roman" w:hAnsi="Times New Roman"/>
          <w:color w:val="111111"/>
          <w:sz w:val="28"/>
          <w:szCs w:val="28"/>
          <w:lang w:val="en-US" w:bidi="en-US"/>
        </w:rPr>
        <w:t>J.R.R. Tolkien</w:t>
      </w:r>
    </w:p>
    <w:p>
      <w:pPr>
        <w:pStyle w:val="BookText"/>
        <w:rPr/>
      </w:pPr>
      <w:r>
        <w:rPr>
          <w:rFonts w:eastAsia="Times New Roman" w:cs="Times New Roman" w:ascii="Times New Roman" w:hAnsi="Times New Roman"/>
          <w:color w:val="111111"/>
          <w:sz w:val="28"/>
          <w:szCs w:val="28"/>
          <w:lang w:val="en-US" w:bidi="en-US"/>
        </w:rPr>
        <w:t>Jack Kerouac</w:t>
      </w:r>
    </w:p>
    <w:p>
      <w:pPr>
        <w:pStyle w:val="BookText"/>
        <w:rPr/>
      </w:pPr>
      <w:r>
        <w:rPr>
          <w:rFonts w:eastAsia="Times New Roman" w:cs="Times New Roman" w:ascii="Times New Roman" w:hAnsi="Times New Roman"/>
          <w:color w:val="111111"/>
          <w:sz w:val="28"/>
          <w:szCs w:val="28"/>
          <w:lang w:val="en-US" w:bidi="en-US"/>
        </w:rPr>
        <w:t>Jack Van Impy</w:t>
      </w:r>
    </w:p>
    <w:p>
      <w:pPr>
        <w:pStyle w:val="BookText"/>
        <w:rPr/>
      </w:pPr>
      <w:r>
        <w:rPr>
          <w:rFonts w:eastAsia="Times New Roman" w:cs="Times New Roman" w:ascii="Times New Roman" w:hAnsi="Times New Roman"/>
          <w:color w:val="111111"/>
          <w:sz w:val="28"/>
          <w:szCs w:val="28"/>
          <w:lang w:val="en-US" w:bidi="en-US"/>
        </w:rPr>
        <w:t>James Clerk Maxwell</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James Dobson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James McGready</w:t>
      </w:r>
    </w:p>
    <w:p>
      <w:pPr>
        <w:pStyle w:val="BookText"/>
        <w:rPr/>
      </w:pPr>
      <w:r>
        <w:rPr>
          <w:rFonts w:eastAsia="Times New Roman" w:cs="Times New Roman" w:ascii="Times New Roman" w:hAnsi="Times New Roman"/>
          <w:color w:val="111111"/>
          <w:sz w:val="28"/>
          <w:szCs w:val="28"/>
          <w:lang w:val="en-US" w:bidi="en-US"/>
        </w:rPr>
        <w:t>James Weldon Johnson</w:t>
      </w:r>
    </w:p>
    <w:p>
      <w:pPr>
        <w:pStyle w:val="BookText"/>
        <w:rPr/>
      </w:pPr>
      <w:r>
        <w:rPr>
          <w:rFonts w:eastAsia="Times New Roman" w:cs="Times New Roman" w:ascii="Times New Roman" w:hAnsi="Times New Roman"/>
          <w:color w:val="111111"/>
          <w:sz w:val="28"/>
          <w:szCs w:val="28"/>
          <w:lang w:val="en-US" w:bidi="en-US"/>
        </w:rPr>
        <w:t>Jan van Eyck</w:t>
      </w:r>
    </w:p>
    <w:p>
      <w:pPr>
        <w:pStyle w:val="BookText"/>
        <w:rPr/>
      </w:pPr>
      <w:r>
        <w:rPr>
          <w:rFonts w:eastAsia="Times New Roman" w:cs="Times New Roman" w:ascii="Times New Roman" w:hAnsi="Times New Roman"/>
          <w:color w:val="111111"/>
          <w:sz w:val="28"/>
          <w:szCs w:val="28"/>
          <w:lang w:val="en-US" w:bidi="en-US"/>
        </w:rPr>
        <w:t>Janice Radway</w:t>
      </w:r>
    </w:p>
    <w:p>
      <w:pPr>
        <w:pStyle w:val="BookText"/>
        <w:rPr/>
      </w:pPr>
      <w:r>
        <w:rPr>
          <w:rFonts w:eastAsia="Times New Roman" w:cs="Times New Roman" w:ascii="Times New Roman" w:hAnsi="Times New Roman"/>
          <w:color w:val="111111"/>
          <w:sz w:val="28"/>
          <w:szCs w:val="28"/>
          <w:lang w:val="en-US" w:bidi="en-US"/>
        </w:rPr>
        <w:t>Jayber Crow</w:t>
      </w:r>
    </w:p>
    <w:p>
      <w:pPr>
        <w:pStyle w:val="BookText"/>
        <w:rPr/>
      </w:pPr>
      <w:r>
        <w:rPr>
          <w:rFonts w:eastAsia="Times New Roman" w:cs="Times New Roman" w:ascii="Times New Roman" w:hAnsi="Times New Roman"/>
          <w:color w:val="111111"/>
          <w:sz w:val="28"/>
          <w:szCs w:val="28"/>
          <w:lang w:val="en-US" w:bidi="en-US"/>
        </w:rPr>
        <w:t>Jean Cocteau</w:t>
      </w:r>
    </w:p>
    <w:p>
      <w:pPr>
        <w:pStyle w:val="BookText"/>
        <w:rPr/>
      </w:pPr>
      <w:r>
        <w:rPr>
          <w:rFonts w:eastAsia="Times New Roman" w:cs="Times New Roman" w:ascii="Times New Roman" w:hAnsi="Times New Roman"/>
          <w:color w:val="111111"/>
          <w:sz w:val="28"/>
          <w:szCs w:val="28"/>
          <w:lang w:val="en-US" w:bidi="en-US"/>
        </w:rPr>
        <w:t>Jean Rouch</w:t>
      </w:r>
    </w:p>
    <w:p>
      <w:pPr>
        <w:pStyle w:val="BookText"/>
        <w:rPr/>
      </w:pPr>
      <w:r>
        <w:rPr>
          <w:rFonts w:eastAsia="Times New Roman" w:cs="Times New Roman" w:ascii="Times New Roman" w:hAnsi="Times New Roman"/>
          <w:color w:val="111111"/>
          <w:sz w:val="28"/>
          <w:szCs w:val="28"/>
          <w:lang w:val="en-US" w:bidi="en-US"/>
        </w:rPr>
        <w:t>Jean Toomer</w:t>
      </w:r>
    </w:p>
    <w:p>
      <w:pPr>
        <w:pStyle w:val="BookText"/>
        <w:rPr/>
      </w:pPr>
      <w:r>
        <w:rPr>
          <w:rFonts w:eastAsia="Times New Roman" w:cs="Times New Roman" w:ascii="Times New Roman" w:hAnsi="Times New Roman"/>
          <w:color w:val="111111"/>
          <w:sz w:val="28"/>
          <w:szCs w:val="28"/>
          <w:lang w:val="en-US" w:bidi="en-US"/>
        </w:rPr>
        <w:t>Jerry Falwell</w:t>
      </w:r>
    </w:p>
    <w:p>
      <w:pPr>
        <w:pStyle w:val="BookText"/>
        <w:rPr/>
      </w:pPr>
      <w:r>
        <w:rPr>
          <w:rFonts w:eastAsia="Times New Roman" w:cs="Times New Roman" w:ascii="Times New Roman" w:hAnsi="Times New Roman"/>
          <w:color w:val="111111"/>
          <w:sz w:val="28"/>
          <w:szCs w:val="28"/>
          <w:lang w:val="en-US" w:bidi="en-US"/>
        </w:rPr>
        <w:t>Jerzy Grotowski</w:t>
      </w:r>
    </w:p>
    <w:p>
      <w:pPr>
        <w:pStyle w:val="BookText"/>
        <w:rPr/>
      </w:pPr>
      <w:r>
        <w:rPr>
          <w:rFonts w:eastAsia="Times New Roman" w:cs="Times New Roman" w:ascii="Times New Roman" w:hAnsi="Times New Roman"/>
          <w:color w:val="111111"/>
          <w:sz w:val="28"/>
          <w:szCs w:val="28"/>
          <w:lang w:val="en-US" w:bidi="en-US"/>
        </w:rPr>
        <w:t>Jimmy Swaggart</w:t>
      </w:r>
    </w:p>
    <w:p>
      <w:pPr>
        <w:pStyle w:val="BookText"/>
        <w:rPr/>
      </w:pPr>
      <w:r>
        <w:rPr>
          <w:rFonts w:eastAsia="Times New Roman" w:cs="Times New Roman" w:ascii="Times New Roman" w:hAnsi="Times New Roman"/>
          <w:color w:val="111111"/>
          <w:sz w:val="28"/>
          <w:szCs w:val="28"/>
          <w:lang w:val="en-US" w:bidi="en-US"/>
        </w:rPr>
        <w:t>Joe Riley</w:t>
      </w:r>
    </w:p>
    <w:p>
      <w:pPr>
        <w:pStyle w:val="BookText"/>
        <w:rPr/>
      </w:pPr>
      <w:r>
        <w:rPr>
          <w:rFonts w:eastAsia="Times New Roman" w:cs="Times New Roman" w:ascii="Times New Roman" w:hAnsi="Times New Roman"/>
          <w:color w:val="111111"/>
          <w:sz w:val="28"/>
          <w:szCs w:val="28"/>
          <w:lang w:val="en-US" w:bidi="en-US"/>
        </w:rPr>
        <w:t>John Ankerberg</w:t>
      </w:r>
    </w:p>
    <w:p>
      <w:pPr>
        <w:pStyle w:val="BookText"/>
        <w:rPr/>
      </w:pPr>
      <w:r>
        <w:rPr>
          <w:rFonts w:eastAsia="Times New Roman" w:cs="Times New Roman" w:ascii="Times New Roman" w:hAnsi="Times New Roman"/>
          <w:color w:val="111111"/>
          <w:sz w:val="28"/>
          <w:szCs w:val="28"/>
          <w:lang w:val="en-US" w:bidi="en-US"/>
        </w:rPr>
        <w:t>John Berryman</w:t>
      </w:r>
    </w:p>
    <w:p>
      <w:pPr>
        <w:pStyle w:val="BookText"/>
        <w:rPr/>
      </w:pPr>
      <w:r>
        <w:rPr>
          <w:rFonts w:eastAsia="Times New Roman" w:cs="Times New Roman" w:ascii="Times New Roman" w:hAnsi="Times New Roman"/>
          <w:color w:val="111111"/>
          <w:sz w:val="28"/>
          <w:szCs w:val="28"/>
          <w:lang w:val="en-US" w:bidi="en-US"/>
        </w:rPr>
        <w:t>John Bunyan</w:t>
      </w:r>
    </w:p>
    <w:p>
      <w:pPr>
        <w:pStyle w:val="BookText"/>
        <w:rPr/>
      </w:pPr>
      <w:r>
        <w:rPr>
          <w:rFonts w:eastAsia="Times New Roman" w:cs="Times New Roman" w:ascii="Times New Roman" w:hAnsi="Times New Roman"/>
          <w:color w:val="111111"/>
          <w:sz w:val="28"/>
          <w:szCs w:val="28"/>
          <w:lang w:val="en-US" w:bidi="en-US"/>
        </w:rPr>
        <w:t>John Calvin</w:t>
      </w:r>
    </w:p>
    <w:p>
      <w:pPr>
        <w:pStyle w:val="BookText"/>
        <w:rPr/>
      </w:pPr>
      <w:r>
        <w:rPr>
          <w:rFonts w:eastAsia="Times New Roman" w:cs="Times New Roman" w:ascii="Times New Roman" w:hAnsi="Times New Roman"/>
          <w:color w:val="111111"/>
          <w:sz w:val="28"/>
          <w:szCs w:val="28"/>
          <w:lang w:val="en-US" w:bidi="en-US"/>
        </w:rPr>
        <w:t>John Cassavetes</w:t>
      </w:r>
    </w:p>
    <w:p>
      <w:pPr>
        <w:pStyle w:val="BookText"/>
        <w:rPr/>
      </w:pPr>
      <w:r>
        <w:rPr>
          <w:rFonts w:eastAsia="Times New Roman" w:cs="Times New Roman" w:ascii="Times New Roman" w:hAnsi="Times New Roman"/>
          <w:color w:val="111111"/>
          <w:sz w:val="28"/>
          <w:szCs w:val="28"/>
          <w:lang w:val="en-US" w:bidi="en-US"/>
        </w:rPr>
        <w:t>John Grierson</w:t>
      </w:r>
    </w:p>
    <w:p>
      <w:pPr>
        <w:pStyle w:val="BookText"/>
        <w:rPr/>
      </w:pPr>
      <w:r>
        <w:rPr>
          <w:rFonts w:eastAsia="Times New Roman" w:cs="Times New Roman" w:ascii="Times New Roman" w:hAnsi="Times New Roman"/>
          <w:color w:val="111111"/>
          <w:sz w:val="28"/>
          <w:szCs w:val="28"/>
          <w:lang w:val="en-US" w:bidi="en-US"/>
        </w:rPr>
        <w:t>John Nelson Darby</w:t>
      </w:r>
    </w:p>
    <w:p>
      <w:pPr>
        <w:pStyle w:val="BookText"/>
        <w:rPr/>
      </w:pPr>
      <w:r>
        <w:rPr>
          <w:rFonts w:eastAsia="Times New Roman" w:cs="Times New Roman" w:ascii="Times New Roman" w:hAnsi="Times New Roman"/>
          <w:color w:val="111111"/>
          <w:sz w:val="28"/>
          <w:szCs w:val="28"/>
          <w:lang w:val="en-US" w:bidi="en-US"/>
        </w:rPr>
        <w:t>John Reith</w:t>
      </w:r>
    </w:p>
    <w:p>
      <w:pPr>
        <w:pStyle w:val="BookText"/>
        <w:rPr/>
      </w:pPr>
      <w:r>
        <w:rPr>
          <w:rFonts w:eastAsia="Times New Roman" w:cs="Times New Roman" w:ascii="Times New Roman" w:hAnsi="Times New Roman"/>
          <w:color w:val="111111"/>
          <w:sz w:val="28"/>
          <w:szCs w:val="28"/>
          <w:lang w:val="en-US" w:bidi="en-US"/>
        </w:rPr>
        <w:t>John Scopes</w:t>
      </w:r>
    </w:p>
    <w:p>
      <w:pPr>
        <w:pStyle w:val="BookText"/>
        <w:rPr/>
      </w:pPr>
      <w:r>
        <w:rPr>
          <w:rFonts w:eastAsia="Times New Roman" w:cs="Times New Roman" w:ascii="Times New Roman" w:hAnsi="Times New Roman"/>
          <w:color w:val="111111"/>
          <w:sz w:val="28"/>
          <w:szCs w:val="28"/>
          <w:lang w:val="en-US" w:bidi="en-US"/>
        </w:rPr>
        <w:t>Jonas Barish</w:t>
      </w:r>
    </w:p>
    <w:p>
      <w:pPr>
        <w:pStyle w:val="BookText"/>
        <w:rPr/>
      </w:pPr>
      <w:r>
        <w:rPr>
          <w:rFonts w:eastAsia="Times New Roman" w:cs="Times New Roman" w:ascii="Times New Roman" w:hAnsi="Times New Roman"/>
          <w:color w:val="111111"/>
          <w:sz w:val="28"/>
          <w:szCs w:val="28"/>
          <w:lang w:val="en-US" w:bidi="en-US"/>
        </w:rPr>
        <w:t>Joseph Heller</w:t>
      </w:r>
    </w:p>
    <w:p>
      <w:pPr>
        <w:pStyle w:val="BookText"/>
        <w:rPr/>
      </w:pPr>
      <w:r>
        <w:rPr>
          <w:rFonts w:eastAsia="Times New Roman" w:cs="Times New Roman" w:ascii="Times New Roman" w:hAnsi="Times New Roman"/>
          <w:color w:val="111111"/>
          <w:sz w:val="28"/>
          <w:szCs w:val="28"/>
          <w:lang w:val="en-US" w:bidi="en-US"/>
        </w:rPr>
        <w:t>Joy Harjio</w:t>
      </w:r>
    </w:p>
    <w:p>
      <w:pPr>
        <w:pStyle w:val="BookText"/>
        <w:rPr/>
      </w:pPr>
      <w:r>
        <w:rPr>
          <w:rFonts w:eastAsia="Times New Roman" w:cs="Times New Roman" w:ascii="Times New Roman" w:hAnsi="Times New Roman"/>
          <w:color w:val="111111"/>
          <w:sz w:val="28"/>
          <w:szCs w:val="28"/>
          <w:lang w:val="en-US" w:bidi="en-US"/>
        </w:rPr>
        <w:t>Joyce Meyer</w:t>
      </w:r>
    </w:p>
    <w:p>
      <w:pPr>
        <w:pStyle w:val="BookText"/>
        <w:rPr/>
      </w:pPr>
      <w:r>
        <w:rPr>
          <w:rFonts w:eastAsia="Times New Roman" w:cs="Times New Roman" w:ascii="Times New Roman" w:hAnsi="Times New Roman"/>
          <w:color w:val="111111"/>
          <w:sz w:val="28"/>
          <w:szCs w:val="28"/>
          <w:lang w:val="en-US" w:bidi="en-US"/>
        </w:rPr>
        <w:t>Jürgen Fehling</w:t>
      </w:r>
    </w:p>
    <w:p>
      <w:pPr>
        <w:pStyle w:val="BookText"/>
        <w:rPr/>
      </w:pPr>
      <w:r>
        <w:rPr>
          <w:rFonts w:eastAsia="Times New Roman" w:cs="Times New Roman" w:ascii="Times New Roman" w:hAnsi="Times New Roman"/>
          <w:color w:val="111111"/>
          <w:sz w:val="28"/>
          <w:szCs w:val="28"/>
          <w:lang w:val="en-US" w:bidi="en-US"/>
        </w:rPr>
        <w:t>Jurgen Habermas</w:t>
      </w:r>
    </w:p>
    <w:p>
      <w:pPr>
        <w:pStyle w:val="BookText"/>
        <w:rPr/>
      </w:pPr>
      <w:r>
        <w:rPr>
          <w:rFonts w:eastAsia="Times New Roman" w:cs="Times New Roman" w:ascii="Times New Roman" w:hAnsi="Times New Roman"/>
          <w:color w:val="111111"/>
          <w:sz w:val="28"/>
          <w:szCs w:val="28"/>
          <w:lang w:val="en-US" w:bidi="en-US"/>
        </w:rPr>
        <w:t>Jyllands - Posten</w:t>
      </w:r>
    </w:p>
    <w:p>
      <w:pPr>
        <w:pStyle w:val="BookText"/>
        <w:rPr/>
      </w:pPr>
      <w:r>
        <w:rPr>
          <w:rFonts w:eastAsia="Times New Roman" w:cs="Times New Roman" w:ascii="Times New Roman" w:hAnsi="Times New Roman"/>
          <w:color w:val="111111"/>
          <w:sz w:val="28"/>
          <w:szCs w:val="28"/>
          <w:lang w:val="en-US" w:bidi="en-US"/>
        </w:rPr>
        <w:t>Kai Hafez</w:t>
      </w:r>
    </w:p>
    <w:p>
      <w:pPr>
        <w:pStyle w:val="BookText"/>
        <w:rPr/>
      </w:pPr>
      <w:r>
        <w:rPr>
          <w:rFonts w:eastAsia="Times New Roman" w:cs="Times New Roman" w:ascii="Times New Roman" w:hAnsi="Times New Roman"/>
          <w:color w:val="111111"/>
          <w:sz w:val="28"/>
          <w:szCs w:val="28"/>
          <w:lang w:val="en-US" w:bidi="en-US"/>
        </w:rPr>
        <w:t>Kathleen Norris</w:t>
      </w:r>
    </w:p>
    <w:p>
      <w:pPr>
        <w:pStyle w:val="BookText"/>
        <w:rPr/>
      </w:pPr>
      <w:r>
        <w:rPr>
          <w:rFonts w:eastAsia="Times New Roman" w:cs="Times New Roman" w:ascii="Times New Roman" w:hAnsi="Times New Roman"/>
          <w:color w:val="111111"/>
          <w:sz w:val="28"/>
          <w:szCs w:val="28"/>
          <w:lang w:val="en-US" w:bidi="en-US"/>
        </w:rPr>
        <w:t>Kathryn Kuhlman</w:t>
      </w:r>
    </w:p>
    <w:p>
      <w:pPr>
        <w:pStyle w:val="BookText"/>
        <w:rPr/>
      </w:pPr>
      <w:r>
        <w:rPr>
          <w:rFonts w:eastAsia="Times New Roman" w:cs="Times New Roman" w:ascii="Times New Roman" w:hAnsi="Times New Roman"/>
          <w:color w:val="111111"/>
          <w:sz w:val="28"/>
          <w:szCs w:val="28"/>
          <w:lang w:val="en-US" w:bidi="en-US"/>
        </w:rPr>
        <w:t>Kenji Mizoguchi</w:t>
      </w:r>
    </w:p>
    <w:p>
      <w:pPr>
        <w:pStyle w:val="BookText"/>
        <w:rPr/>
      </w:pPr>
      <w:r>
        <w:rPr>
          <w:rFonts w:eastAsia="Times New Roman" w:cs="Times New Roman" w:ascii="Times New Roman" w:hAnsi="Times New Roman"/>
          <w:color w:val="111111"/>
          <w:sz w:val="28"/>
          <w:szCs w:val="28"/>
          <w:lang w:val="en-US" w:bidi="en-US"/>
        </w:rPr>
        <w:t>Kenneth Copeland</w:t>
      </w:r>
    </w:p>
    <w:p>
      <w:pPr>
        <w:pStyle w:val="BookText"/>
        <w:rPr/>
      </w:pPr>
      <w:r>
        <w:rPr>
          <w:rFonts w:eastAsia="Times New Roman" w:cs="Times New Roman" w:ascii="Times New Roman" w:hAnsi="Times New Roman"/>
          <w:color w:val="111111"/>
          <w:sz w:val="28"/>
          <w:szCs w:val="28"/>
          <w:lang w:val="en-US" w:bidi="en-US"/>
        </w:rPr>
        <w:t>Klaus Bruhn Jensen</w:t>
      </w:r>
    </w:p>
    <w:p>
      <w:pPr>
        <w:pStyle w:val="BookText"/>
        <w:rPr/>
      </w:pPr>
      <w:r>
        <w:rPr>
          <w:rFonts w:eastAsia="Times New Roman" w:cs="Times New Roman" w:ascii="Times New Roman" w:hAnsi="Times New Roman"/>
          <w:color w:val="111111"/>
          <w:sz w:val="28"/>
          <w:szCs w:val="28"/>
          <w:lang w:val="en-US" w:bidi="en-US"/>
        </w:rPr>
        <w:t>Lady Murasaki Shikibu</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Lawrence Ferlinghetti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Leo McCarey</w:t>
      </w:r>
    </w:p>
    <w:p>
      <w:pPr>
        <w:pStyle w:val="BookText"/>
        <w:rPr/>
      </w:pPr>
      <w:r>
        <w:rPr>
          <w:rFonts w:eastAsia="Times New Roman" w:cs="Times New Roman" w:ascii="Times New Roman" w:hAnsi="Times New Roman"/>
          <w:color w:val="111111"/>
          <w:sz w:val="28"/>
          <w:szCs w:val="28"/>
          <w:lang w:val="en-US" w:bidi="en-US"/>
        </w:rPr>
        <w:t>Leopold Jessner</w:t>
      </w:r>
    </w:p>
    <w:p>
      <w:pPr>
        <w:pStyle w:val="BookText"/>
        <w:rPr/>
      </w:pPr>
      <w:r>
        <w:rPr>
          <w:rFonts w:eastAsia="Times New Roman" w:cs="Times New Roman" w:ascii="Times New Roman" w:hAnsi="Times New Roman"/>
          <w:color w:val="111111"/>
          <w:sz w:val="28"/>
          <w:szCs w:val="28"/>
          <w:lang w:val="en-US" w:bidi="en-US"/>
        </w:rPr>
        <w:t>Louis B. Mayer</w:t>
      </w:r>
    </w:p>
    <w:p>
      <w:pPr>
        <w:pStyle w:val="BookText"/>
        <w:rPr/>
      </w:pPr>
      <w:r>
        <w:rPr>
          <w:rFonts w:eastAsia="Times New Roman" w:cs="Times New Roman" w:ascii="Times New Roman" w:hAnsi="Times New Roman"/>
          <w:color w:val="111111"/>
          <w:sz w:val="28"/>
          <w:szCs w:val="28"/>
          <w:lang w:val="en-US" w:bidi="en-US"/>
        </w:rPr>
        <w:t>Louis Zukofsky</w:t>
      </w:r>
    </w:p>
    <w:p>
      <w:pPr>
        <w:pStyle w:val="BookText"/>
        <w:rPr/>
      </w:pPr>
      <w:r>
        <w:rPr>
          <w:rFonts w:eastAsia="Times New Roman" w:cs="Times New Roman" w:ascii="Times New Roman" w:hAnsi="Times New Roman"/>
          <w:color w:val="111111"/>
          <w:sz w:val="28"/>
          <w:szCs w:val="28"/>
          <w:lang w:val="en-US" w:bidi="en-US"/>
        </w:rPr>
        <w:t>Ludwig Devrient</w:t>
      </w:r>
    </w:p>
    <w:p>
      <w:pPr>
        <w:pStyle w:val="BookText"/>
        <w:rPr/>
      </w:pPr>
      <w:r>
        <w:rPr>
          <w:rFonts w:eastAsia="Times New Roman" w:cs="Times New Roman" w:ascii="Times New Roman" w:hAnsi="Times New Roman"/>
          <w:color w:val="111111"/>
          <w:sz w:val="28"/>
          <w:szCs w:val="28"/>
          <w:lang w:val="en-US" w:bidi="en-US"/>
        </w:rPr>
        <w:t>Lyman Stewart</w:t>
      </w:r>
    </w:p>
    <w:p>
      <w:pPr>
        <w:pStyle w:val="BookText"/>
        <w:rPr/>
      </w:pPr>
      <w:r>
        <w:rPr>
          <w:rFonts w:eastAsia="Times New Roman" w:cs="Times New Roman" w:ascii="Times New Roman" w:hAnsi="Times New Roman"/>
          <w:color w:val="111111"/>
          <w:sz w:val="28"/>
          <w:szCs w:val="28"/>
          <w:lang w:val="en-US" w:bidi="en-US"/>
        </w:rPr>
        <w:t>M. Night Shyamalan</w:t>
      </w:r>
    </w:p>
    <w:p>
      <w:pPr>
        <w:pStyle w:val="BookText"/>
        <w:rPr/>
      </w:pPr>
      <w:r>
        <w:rPr>
          <w:rFonts w:eastAsia="Times New Roman" w:cs="Times New Roman" w:ascii="Times New Roman" w:hAnsi="Times New Roman"/>
          <w:color w:val="111111"/>
          <w:sz w:val="28"/>
          <w:szCs w:val="28"/>
          <w:lang w:val="en-US" w:bidi="en-US"/>
        </w:rPr>
        <w:t>Manuel Castell</w:t>
      </w:r>
    </w:p>
    <w:p>
      <w:pPr>
        <w:pStyle w:val="BookText"/>
        <w:rPr/>
      </w:pPr>
      <w:r>
        <w:rPr>
          <w:rFonts w:eastAsia="Times New Roman" w:cs="Times New Roman" w:ascii="Times New Roman" w:hAnsi="Times New Roman"/>
          <w:color w:val="111111"/>
          <w:sz w:val="28"/>
          <w:szCs w:val="28"/>
          <w:lang w:val="en-US" w:bidi="en-US"/>
        </w:rPr>
        <w:t>Marianne Williamson</w:t>
      </w:r>
    </w:p>
    <w:p>
      <w:pPr>
        <w:pStyle w:val="BookText"/>
        <w:rPr/>
      </w:pPr>
      <w:r>
        <w:rPr>
          <w:rFonts w:eastAsia="Times New Roman" w:cs="Times New Roman" w:ascii="Times New Roman" w:hAnsi="Times New Roman"/>
          <w:color w:val="111111"/>
          <w:sz w:val="28"/>
          <w:szCs w:val="28"/>
          <w:lang w:val="en-US" w:bidi="en-US"/>
        </w:rPr>
        <w:t>Mark pinsky</w:t>
      </w:r>
    </w:p>
    <w:p>
      <w:pPr>
        <w:pStyle w:val="BookText"/>
        <w:rPr/>
      </w:pPr>
      <w:r>
        <w:rPr>
          <w:rFonts w:eastAsia="Times New Roman" w:cs="Times New Roman" w:ascii="Times New Roman" w:hAnsi="Times New Roman"/>
          <w:color w:val="111111"/>
          <w:sz w:val="28"/>
          <w:szCs w:val="28"/>
          <w:lang w:val="en-US" w:bidi="en-US"/>
        </w:rPr>
        <w:t>Marshall McLuhan</w:t>
      </w:r>
    </w:p>
    <w:p>
      <w:pPr>
        <w:pStyle w:val="BookText"/>
        <w:rPr/>
      </w:pPr>
      <w:r>
        <w:rPr>
          <w:rFonts w:eastAsia="Times New Roman" w:cs="Times New Roman" w:ascii="Times New Roman" w:hAnsi="Times New Roman"/>
          <w:color w:val="111111"/>
          <w:sz w:val="28"/>
          <w:szCs w:val="28"/>
          <w:lang w:val="en-US" w:bidi="en-US"/>
        </w:rPr>
        <w:t>Martin Buber</w:t>
      </w:r>
    </w:p>
    <w:p>
      <w:pPr>
        <w:pStyle w:val="BookText"/>
        <w:rPr/>
      </w:pPr>
      <w:r>
        <w:rPr>
          <w:rFonts w:eastAsia="Times New Roman" w:cs="Times New Roman" w:ascii="Times New Roman" w:hAnsi="Times New Roman"/>
          <w:color w:val="111111"/>
          <w:sz w:val="28"/>
          <w:szCs w:val="28"/>
          <w:lang w:val="en-US" w:bidi="en-US"/>
        </w:rPr>
        <w:t>Martin Quigley</w:t>
      </w:r>
    </w:p>
    <w:p>
      <w:pPr>
        <w:pStyle w:val="BookText"/>
        <w:rPr/>
      </w:pPr>
      <w:r>
        <w:rPr>
          <w:rFonts w:eastAsia="Times New Roman" w:cs="Times New Roman" w:ascii="Times New Roman" w:hAnsi="Times New Roman"/>
          <w:color w:val="111111"/>
          <w:sz w:val="28"/>
          <w:szCs w:val="28"/>
          <w:lang w:val="en-US" w:bidi="en-US"/>
        </w:rPr>
        <w:t>Mary Baker Eddy</w:t>
      </w:r>
    </w:p>
    <w:p>
      <w:pPr>
        <w:pStyle w:val="BookText"/>
        <w:rPr/>
      </w:pPr>
      <w:r>
        <w:rPr>
          <w:rFonts w:eastAsia="Times New Roman" w:cs="Times New Roman" w:ascii="Times New Roman" w:hAnsi="Times New Roman"/>
          <w:color w:val="111111"/>
          <w:sz w:val="28"/>
          <w:szCs w:val="28"/>
          <w:lang w:val="en-US" w:bidi="en-US"/>
        </w:rPr>
        <w:t>Mary Pickford</w:t>
      </w:r>
    </w:p>
    <w:p>
      <w:pPr>
        <w:pStyle w:val="BookText"/>
        <w:rPr/>
      </w:pPr>
      <w:r>
        <w:rPr>
          <w:rFonts w:eastAsia="Times New Roman" w:cs="Times New Roman" w:ascii="Times New Roman" w:hAnsi="Times New Roman"/>
          <w:color w:val="111111"/>
          <w:sz w:val="28"/>
          <w:szCs w:val="28"/>
          <w:lang w:val="en-US" w:bidi="en-US"/>
        </w:rPr>
        <w:t>Matthias Grunewald</w:t>
      </w:r>
    </w:p>
    <w:p>
      <w:pPr>
        <w:pStyle w:val="BookText"/>
        <w:rPr/>
      </w:pPr>
      <w:r>
        <w:rPr>
          <w:rFonts w:eastAsia="Times New Roman" w:cs="Times New Roman" w:ascii="Times New Roman" w:hAnsi="Times New Roman"/>
          <w:color w:val="111111"/>
          <w:sz w:val="28"/>
          <w:szCs w:val="28"/>
          <w:lang w:val="en-US" w:bidi="en-US"/>
        </w:rPr>
        <w:t>Max Rheinhardt</w:t>
      </w:r>
    </w:p>
    <w:p>
      <w:pPr>
        <w:pStyle w:val="BookText"/>
        <w:rPr/>
      </w:pPr>
      <w:r>
        <w:rPr>
          <w:rFonts w:eastAsia="Times New Roman" w:cs="Times New Roman" w:ascii="Times New Roman" w:hAnsi="Times New Roman"/>
          <w:color w:val="111111"/>
          <w:sz w:val="28"/>
          <w:szCs w:val="28"/>
          <w:lang w:val="en-US" w:bidi="en-US"/>
        </w:rPr>
        <w:t>Michael Powell</w:t>
      </w:r>
    </w:p>
    <w:p>
      <w:pPr>
        <w:pStyle w:val="BookText"/>
        <w:rPr/>
      </w:pPr>
      <w:r>
        <w:rPr>
          <w:rFonts w:eastAsia="Times New Roman" w:cs="Times New Roman" w:ascii="Times New Roman" w:hAnsi="Times New Roman"/>
          <w:color w:val="111111"/>
          <w:sz w:val="28"/>
          <w:szCs w:val="28"/>
          <w:lang w:val="en-US" w:bidi="en-US"/>
        </w:rPr>
        <w:t>Michael W. Smith</w:t>
      </w:r>
    </w:p>
    <w:p>
      <w:pPr>
        <w:pStyle w:val="BookText"/>
        <w:rPr/>
      </w:pPr>
      <w:r>
        <w:rPr>
          <w:rFonts w:eastAsia="Times New Roman" w:cs="Times New Roman" w:ascii="Times New Roman" w:hAnsi="Times New Roman"/>
          <w:color w:val="111111"/>
          <w:sz w:val="28"/>
          <w:szCs w:val="28"/>
          <w:lang w:val="en-US" w:bidi="en-US"/>
        </w:rPr>
        <w:t>Milton Berle</w:t>
      </w:r>
    </w:p>
    <w:p>
      <w:pPr>
        <w:pStyle w:val="BookText"/>
        <w:rPr/>
      </w:pPr>
      <w:r>
        <w:rPr>
          <w:rFonts w:eastAsia="Times New Roman" w:cs="Times New Roman" w:ascii="Times New Roman" w:hAnsi="Times New Roman"/>
          <w:color w:val="111111"/>
          <w:sz w:val="28"/>
          <w:szCs w:val="28"/>
          <w:lang w:val="en-US" w:bidi="en-US"/>
        </w:rPr>
        <w:t>Moll Flanders</w:t>
      </w:r>
    </w:p>
    <w:p>
      <w:pPr>
        <w:pStyle w:val="BookText"/>
        <w:rPr/>
      </w:pPr>
      <w:r>
        <w:rPr>
          <w:rFonts w:eastAsia="Times New Roman" w:cs="Times New Roman" w:ascii="Times New Roman" w:hAnsi="Times New Roman"/>
          <w:color w:val="111111"/>
          <w:sz w:val="28"/>
          <w:szCs w:val="28"/>
          <w:lang w:val="en-US" w:bidi="en-US"/>
        </w:rPr>
        <w:t>Mordechai Eliahu</w:t>
      </w:r>
    </w:p>
    <w:p>
      <w:pPr>
        <w:pStyle w:val="BookText"/>
        <w:rPr/>
      </w:pPr>
      <w:r>
        <w:rPr>
          <w:rFonts w:eastAsia="Times New Roman" w:cs="Times New Roman" w:ascii="Times New Roman" w:hAnsi="Times New Roman"/>
          <w:color w:val="111111"/>
          <w:sz w:val="28"/>
          <w:szCs w:val="28"/>
          <w:lang w:val="en-US" w:bidi="en-US"/>
        </w:rPr>
        <w:t>Morris Cerullo</w:t>
      </w:r>
    </w:p>
    <w:p>
      <w:pPr>
        <w:pStyle w:val="BookText"/>
        <w:rPr/>
      </w:pPr>
      <w:r>
        <w:rPr>
          <w:rFonts w:eastAsia="Times New Roman" w:cs="Times New Roman" w:ascii="Times New Roman" w:hAnsi="Times New Roman"/>
          <w:color w:val="111111"/>
          <w:sz w:val="28"/>
          <w:szCs w:val="28"/>
          <w:lang w:val="en-US" w:bidi="en-US"/>
        </w:rPr>
        <w:t>Neil Postman</w:t>
      </w:r>
    </w:p>
    <w:p>
      <w:pPr>
        <w:pStyle w:val="BookText"/>
        <w:rPr/>
      </w:pPr>
      <w:r>
        <w:rPr>
          <w:rFonts w:eastAsia="Times New Roman" w:cs="Times New Roman" w:ascii="Times New Roman" w:hAnsi="Times New Roman"/>
          <w:color w:val="111111"/>
          <w:sz w:val="28"/>
          <w:szCs w:val="28"/>
          <w:lang w:val="en-US" w:bidi="en-US"/>
        </w:rPr>
        <w:t>Nicola Tesla</w:t>
      </w:r>
    </w:p>
    <w:p>
      <w:pPr>
        <w:pStyle w:val="BookText"/>
        <w:rPr/>
      </w:pPr>
      <w:r>
        <w:rPr>
          <w:rFonts w:eastAsia="Times New Roman" w:cs="Times New Roman" w:ascii="Times New Roman" w:hAnsi="Times New Roman"/>
          <w:color w:val="111111"/>
          <w:sz w:val="28"/>
          <w:szCs w:val="28"/>
          <w:lang w:val="en-US" w:bidi="en-US"/>
        </w:rPr>
        <w:t>Nicolas Eymerich</w:t>
      </w:r>
    </w:p>
    <w:p>
      <w:pPr>
        <w:pStyle w:val="BookText"/>
        <w:rPr/>
      </w:pPr>
      <w:r>
        <w:rPr>
          <w:rFonts w:eastAsia="Times New Roman" w:cs="Times New Roman" w:ascii="Times New Roman" w:hAnsi="Times New Roman"/>
          <w:color w:val="111111"/>
          <w:sz w:val="28"/>
          <w:szCs w:val="28"/>
          <w:lang w:val="en-US" w:bidi="en-US"/>
        </w:rPr>
        <w:t>Nicolas Negroponte</w:t>
      </w:r>
    </w:p>
    <w:p>
      <w:pPr>
        <w:pStyle w:val="BookText"/>
        <w:rPr/>
      </w:pPr>
      <w:r>
        <w:rPr>
          <w:rFonts w:eastAsia="Times New Roman" w:cs="Times New Roman" w:ascii="Times New Roman" w:hAnsi="Times New Roman"/>
          <w:color w:val="111111"/>
          <w:sz w:val="28"/>
          <w:szCs w:val="28"/>
          <w:lang w:val="en-US" w:bidi="en-US"/>
        </w:rPr>
        <w:t>Oral Roberts</w:t>
      </w:r>
    </w:p>
    <w:p>
      <w:pPr>
        <w:pStyle w:val="BookText"/>
        <w:rPr/>
      </w:pPr>
      <w:r>
        <w:rPr>
          <w:rFonts w:eastAsia="Times New Roman" w:cs="Times New Roman" w:ascii="Times New Roman" w:hAnsi="Times New Roman"/>
          <w:color w:val="111111"/>
          <w:sz w:val="28"/>
          <w:szCs w:val="28"/>
          <w:lang w:val="en-US" w:bidi="en-US"/>
        </w:rPr>
        <w:t>Ovadiah Yosef</w:t>
      </w:r>
    </w:p>
    <w:p>
      <w:pPr>
        <w:pStyle w:val="BookText"/>
        <w:rPr/>
      </w:pPr>
      <w:r>
        <w:rPr>
          <w:rFonts w:eastAsia="Times New Roman" w:cs="Times New Roman" w:ascii="Times New Roman" w:hAnsi="Times New Roman"/>
          <w:color w:val="111111"/>
          <w:sz w:val="28"/>
          <w:szCs w:val="28"/>
          <w:lang w:val="en-US" w:bidi="en-US"/>
        </w:rPr>
        <w:t>Pat Robertson</w:t>
      </w:r>
    </w:p>
    <w:p>
      <w:pPr>
        <w:pStyle w:val="BookText"/>
        <w:rPr/>
      </w:pPr>
      <w:r>
        <w:rPr>
          <w:rFonts w:eastAsia="Times New Roman" w:cs="Times New Roman" w:ascii="Times New Roman" w:hAnsi="Times New Roman"/>
          <w:color w:val="111111"/>
          <w:sz w:val="28"/>
          <w:szCs w:val="28"/>
          <w:lang w:val="en-US" w:bidi="en-US"/>
        </w:rPr>
        <w:t>Patricia Hampl</w:t>
      </w:r>
    </w:p>
    <w:p>
      <w:pPr>
        <w:pStyle w:val="BookText"/>
        <w:rPr/>
      </w:pPr>
      <w:r>
        <w:rPr>
          <w:rFonts w:eastAsia="Times New Roman" w:cs="Times New Roman" w:ascii="Times New Roman" w:hAnsi="Times New Roman"/>
          <w:color w:val="111111"/>
          <w:sz w:val="28"/>
          <w:szCs w:val="28"/>
          <w:lang w:val="en-US" w:bidi="en-US"/>
        </w:rPr>
        <w:t>Paul Crouch</w:t>
      </w:r>
    </w:p>
    <w:p>
      <w:pPr>
        <w:pStyle w:val="BookText"/>
        <w:rPr/>
      </w:pPr>
      <w:r>
        <w:rPr>
          <w:rFonts w:eastAsia="Times New Roman" w:cs="Times New Roman" w:ascii="Times New Roman" w:hAnsi="Times New Roman"/>
          <w:color w:val="111111"/>
          <w:sz w:val="28"/>
          <w:szCs w:val="28"/>
          <w:lang w:val="en-US" w:bidi="en-US"/>
        </w:rPr>
        <w:t>Paul Radar</w:t>
      </w:r>
    </w:p>
    <w:p>
      <w:pPr>
        <w:pStyle w:val="BookText"/>
        <w:rPr/>
      </w:pPr>
      <w:r>
        <w:rPr>
          <w:rFonts w:eastAsia="Times New Roman" w:cs="Times New Roman" w:ascii="Times New Roman" w:hAnsi="Times New Roman"/>
          <w:color w:val="111111"/>
          <w:sz w:val="28"/>
          <w:szCs w:val="28"/>
          <w:lang w:val="en-US" w:bidi="en-US"/>
        </w:rPr>
        <w:t>Paul Schrader</w:t>
      </w:r>
    </w:p>
    <w:p>
      <w:pPr>
        <w:pStyle w:val="BookText"/>
        <w:rPr/>
      </w:pPr>
      <w:r>
        <w:rPr>
          <w:rFonts w:eastAsia="Times New Roman" w:cs="Times New Roman" w:ascii="Times New Roman" w:hAnsi="Times New Roman"/>
          <w:color w:val="111111"/>
          <w:sz w:val="28"/>
          <w:szCs w:val="28"/>
          <w:lang w:val="en-US" w:bidi="en-US"/>
        </w:rPr>
        <w:t>Peter Annet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Peter Brook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Peter Hall</w:t>
      </w:r>
    </w:p>
    <w:p>
      <w:pPr>
        <w:pStyle w:val="BookText"/>
        <w:rPr/>
      </w:pPr>
      <w:r>
        <w:rPr>
          <w:rFonts w:eastAsia="Times New Roman" w:cs="Times New Roman" w:ascii="Times New Roman" w:hAnsi="Times New Roman"/>
          <w:color w:val="111111"/>
          <w:sz w:val="28"/>
          <w:szCs w:val="28"/>
          <w:lang w:val="en-US" w:bidi="en-US"/>
        </w:rPr>
        <w:t>Poul Tillich</w:t>
      </w:r>
    </w:p>
    <w:p>
      <w:pPr>
        <w:pStyle w:val="BookText"/>
        <w:rPr/>
      </w:pPr>
      <w:r>
        <w:rPr>
          <w:rFonts w:eastAsia="Times New Roman" w:cs="Times New Roman" w:ascii="Times New Roman" w:hAnsi="Times New Roman"/>
          <w:color w:val="111111"/>
          <w:sz w:val="28"/>
          <w:szCs w:val="28"/>
          <w:lang w:val="en-US" w:bidi="en-US"/>
        </w:rPr>
        <w:t>Rainer Maria Rilke</w:t>
      </w:r>
    </w:p>
    <w:p>
      <w:pPr>
        <w:pStyle w:val="BookText"/>
        <w:rPr/>
      </w:pPr>
      <w:r>
        <w:rPr>
          <w:rFonts w:eastAsia="Times New Roman" w:cs="Times New Roman" w:ascii="Times New Roman" w:hAnsi="Times New Roman"/>
          <w:color w:val="111111"/>
          <w:sz w:val="28"/>
          <w:szCs w:val="28"/>
          <w:lang w:val="en-US" w:bidi="en-US"/>
        </w:rPr>
        <w:t>Randy singer</w:t>
      </w:r>
    </w:p>
    <w:p>
      <w:pPr>
        <w:pStyle w:val="BookText"/>
        <w:rPr/>
      </w:pPr>
      <w:r>
        <w:rPr>
          <w:rFonts w:eastAsia="Times New Roman" w:cs="Times New Roman" w:ascii="Times New Roman" w:hAnsi="Times New Roman"/>
          <w:color w:val="111111"/>
          <w:sz w:val="28"/>
          <w:szCs w:val="28"/>
          <w:lang w:val="en-US" w:bidi="en-US"/>
        </w:rPr>
        <w:t>Reginald Fessenden</w:t>
      </w:r>
    </w:p>
    <w:p>
      <w:pPr>
        <w:pStyle w:val="BookText"/>
        <w:rPr/>
      </w:pPr>
      <w:r>
        <w:rPr>
          <w:rFonts w:eastAsia="Times New Roman" w:cs="Times New Roman" w:ascii="Times New Roman" w:hAnsi="Times New Roman"/>
          <w:color w:val="111111"/>
          <w:sz w:val="28"/>
          <w:szCs w:val="28"/>
          <w:lang w:val="en-US" w:bidi="en-US"/>
        </w:rPr>
        <w:t>Reginald Fessenden</w:t>
      </w:r>
    </w:p>
    <w:p>
      <w:pPr>
        <w:pStyle w:val="BookText"/>
        <w:rPr/>
      </w:pPr>
      <w:r>
        <w:rPr>
          <w:rFonts w:eastAsia="Times New Roman" w:cs="Times New Roman" w:ascii="Times New Roman" w:hAnsi="Times New Roman"/>
          <w:color w:val="111111"/>
          <w:sz w:val="28"/>
          <w:szCs w:val="28"/>
          <w:lang w:val="en-US" w:bidi="en-US"/>
        </w:rPr>
        <w:t>Rene Gutteridge</w:t>
      </w:r>
    </w:p>
    <w:p>
      <w:pPr>
        <w:pStyle w:val="BookText"/>
        <w:rPr/>
      </w:pPr>
      <w:r>
        <w:rPr>
          <w:rFonts w:eastAsia="Times New Roman" w:cs="Times New Roman" w:ascii="Times New Roman" w:hAnsi="Times New Roman"/>
          <w:color w:val="111111"/>
          <w:sz w:val="28"/>
          <w:szCs w:val="28"/>
          <w:lang w:val="en-US" w:bidi="en-US"/>
        </w:rPr>
        <w:t>Reuben Torrey</w:t>
      </w:r>
    </w:p>
    <w:p>
      <w:pPr>
        <w:pStyle w:val="BookText"/>
        <w:rPr/>
      </w:pPr>
      <w:r>
        <w:rPr>
          <w:rFonts w:eastAsia="Times New Roman" w:cs="Times New Roman" w:ascii="Times New Roman" w:hAnsi="Times New Roman"/>
          <w:color w:val="111111"/>
          <w:sz w:val="28"/>
          <w:szCs w:val="28"/>
          <w:lang w:val="en-US" w:bidi="en-US"/>
        </w:rPr>
        <w:t>Rex Humbard</w:t>
      </w:r>
    </w:p>
    <w:p>
      <w:pPr>
        <w:pStyle w:val="BookText"/>
        <w:rPr/>
      </w:pPr>
      <w:r>
        <w:rPr>
          <w:rFonts w:eastAsia="Times New Roman" w:cs="Times New Roman" w:ascii="Times New Roman" w:hAnsi="Times New Roman"/>
          <w:color w:val="111111"/>
          <w:sz w:val="28"/>
          <w:szCs w:val="28"/>
          <w:lang w:val="en-US" w:bidi="en-US"/>
        </w:rPr>
        <w:t>Rexella Van Impy</w:t>
      </w:r>
    </w:p>
    <w:p>
      <w:pPr>
        <w:pStyle w:val="BookText"/>
        <w:rPr/>
      </w:pPr>
      <w:r>
        <w:rPr>
          <w:rFonts w:eastAsia="Times New Roman" w:cs="Times New Roman" w:ascii="Times New Roman" w:hAnsi="Times New Roman"/>
          <w:color w:val="111111"/>
          <w:sz w:val="28"/>
          <w:szCs w:val="28"/>
          <w:lang w:val="en-US" w:bidi="en-US"/>
        </w:rPr>
        <w:t>Richard Brooks</w:t>
      </w:r>
    </w:p>
    <w:p>
      <w:pPr>
        <w:pStyle w:val="BookText"/>
        <w:rPr/>
      </w:pPr>
      <w:r>
        <w:rPr>
          <w:rFonts w:eastAsia="Times New Roman" w:cs="Times New Roman" w:ascii="Times New Roman" w:hAnsi="Times New Roman"/>
          <w:color w:val="111111"/>
          <w:sz w:val="28"/>
          <w:szCs w:val="28"/>
          <w:lang w:val="en-US" w:bidi="en-US"/>
        </w:rPr>
        <w:t>Richard Dutcher</w:t>
      </w:r>
    </w:p>
    <w:p>
      <w:pPr>
        <w:pStyle w:val="BookText"/>
        <w:rPr/>
      </w:pPr>
      <w:r>
        <w:rPr>
          <w:rFonts w:eastAsia="Times New Roman" w:cs="Times New Roman" w:ascii="Times New Roman" w:hAnsi="Times New Roman"/>
          <w:color w:val="111111"/>
          <w:sz w:val="28"/>
          <w:szCs w:val="28"/>
          <w:lang w:val="en-US" w:bidi="en-US"/>
        </w:rPr>
        <w:t>Richard Schechner</w:t>
      </w:r>
    </w:p>
    <w:p>
      <w:pPr>
        <w:pStyle w:val="BookText"/>
        <w:rPr/>
      </w:pPr>
      <w:r>
        <w:rPr>
          <w:rFonts w:eastAsia="Times New Roman" w:cs="Times New Roman" w:ascii="Times New Roman" w:hAnsi="Times New Roman"/>
          <w:color w:val="111111"/>
          <w:sz w:val="28"/>
          <w:szCs w:val="28"/>
          <w:lang w:val="en-US" w:bidi="en-US"/>
        </w:rPr>
        <w:t>Richard Weaver</w:t>
      </w:r>
    </w:p>
    <w:p>
      <w:pPr>
        <w:pStyle w:val="BookText"/>
        <w:rPr/>
      </w:pPr>
      <w:r>
        <w:rPr>
          <w:rFonts w:eastAsia="Times New Roman" w:cs="Times New Roman" w:ascii="Times New Roman" w:hAnsi="Times New Roman"/>
          <w:color w:val="111111"/>
          <w:sz w:val="28"/>
          <w:szCs w:val="28"/>
          <w:lang w:val="en-US" w:bidi="en-US"/>
        </w:rPr>
        <w:t>Robert Frost</w:t>
      </w:r>
    </w:p>
    <w:p>
      <w:pPr>
        <w:pStyle w:val="BookText"/>
        <w:rPr/>
      </w:pPr>
      <w:r>
        <w:rPr>
          <w:rFonts w:eastAsia="Times New Roman" w:cs="Times New Roman" w:ascii="Times New Roman" w:hAnsi="Times New Roman"/>
          <w:color w:val="111111"/>
          <w:sz w:val="28"/>
          <w:szCs w:val="28"/>
          <w:lang w:val="en-US" w:bidi="en-US"/>
        </w:rPr>
        <w:t>Robert Johnson</w:t>
      </w:r>
    </w:p>
    <w:p>
      <w:pPr>
        <w:pStyle w:val="BookText"/>
        <w:rPr/>
      </w:pPr>
      <w:r>
        <w:rPr>
          <w:rFonts w:eastAsia="Times New Roman" w:cs="Times New Roman" w:ascii="Times New Roman" w:hAnsi="Times New Roman"/>
          <w:color w:val="111111"/>
          <w:sz w:val="28"/>
          <w:szCs w:val="28"/>
          <w:lang w:val="en-US" w:bidi="en-US"/>
        </w:rPr>
        <w:t>Robert Lowell</w:t>
      </w:r>
    </w:p>
    <w:p>
      <w:pPr>
        <w:pStyle w:val="BookText"/>
        <w:rPr/>
      </w:pPr>
      <w:r>
        <w:rPr>
          <w:rFonts w:eastAsia="Times New Roman" w:cs="Times New Roman" w:ascii="Times New Roman" w:hAnsi="Times New Roman"/>
          <w:color w:val="111111"/>
          <w:sz w:val="28"/>
          <w:szCs w:val="28"/>
          <w:lang w:val="en-US" w:bidi="en-US"/>
        </w:rPr>
        <w:t>Robert Schuller</w:t>
      </w:r>
    </w:p>
    <w:p>
      <w:pPr>
        <w:pStyle w:val="BookText"/>
        <w:rPr/>
      </w:pPr>
      <w:r>
        <w:rPr>
          <w:rFonts w:eastAsia="Times New Roman" w:cs="Times New Roman" w:ascii="Times New Roman" w:hAnsi="Times New Roman"/>
          <w:color w:val="111111"/>
          <w:sz w:val="28"/>
          <w:szCs w:val="28"/>
          <w:lang w:val="en-US" w:bidi="en-US"/>
        </w:rPr>
        <w:t>Robert Tilton</w:t>
      </w:r>
    </w:p>
    <w:p>
      <w:pPr>
        <w:pStyle w:val="BookText"/>
        <w:rPr/>
      </w:pPr>
      <w:r>
        <w:rPr>
          <w:rFonts w:eastAsia="Times New Roman" w:cs="Times New Roman" w:ascii="Times New Roman" w:hAnsi="Times New Roman"/>
          <w:color w:val="111111"/>
          <w:sz w:val="28"/>
          <w:szCs w:val="28"/>
          <w:lang w:val="en-US" w:bidi="en-US"/>
        </w:rPr>
        <w:t>Robert Wilson</w:t>
      </w:r>
    </w:p>
    <w:p>
      <w:pPr>
        <w:pStyle w:val="BookText"/>
        <w:rPr/>
      </w:pPr>
      <w:r>
        <w:rPr>
          <w:rFonts w:eastAsia="Times New Roman" w:cs="Times New Roman" w:ascii="Times New Roman" w:hAnsi="Times New Roman"/>
          <w:color w:val="111111"/>
          <w:sz w:val="28"/>
          <w:szCs w:val="28"/>
          <w:lang w:val="en-US" w:bidi="en-US"/>
        </w:rPr>
        <w:t>Robinson Jeffers</w:t>
      </w:r>
    </w:p>
    <w:p>
      <w:pPr>
        <w:pStyle w:val="BookText"/>
        <w:rPr/>
      </w:pPr>
      <w:r>
        <w:rPr>
          <w:rFonts w:eastAsia="Times New Roman" w:cs="Times New Roman" w:ascii="Times New Roman" w:hAnsi="Times New Roman"/>
          <w:color w:val="111111"/>
          <w:sz w:val="28"/>
          <w:szCs w:val="28"/>
          <w:lang w:val="en-US" w:bidi="en-US"/>
        </w:rPr>
        <w:t>Rodjer Kamenetz</w:t>
      </w:r>
    </w:p>
    <w:p>
      <w:pPr>
        <w:pStyle w:val="BookText"/>
        <w:rPr/>
      </w:pPr>
      <w:r>
        <w:rPr>
          <w:rFonts w:eastAsia="Times New Roman" w:cs="Times New Roman" w:ascii="Times New Roman" w:hAnsi="Times New Roman"/>
          <w:color w:val="111111"/>
          <w:sz w:val="28"/>
          <w:szCs w:val="28"/>
          <w:lang w:val="en-US" w:bidi="en-US"/>
        </w:rPr>
        <w:t>Rollen Steward</w:t>
      </w:r>
    </w:p>
    <w:p>
      <w:pPr>
        <w:pStyle w:val="BookText"/>
        <w:rPr/>
      </w:pPr>
      <w:r>
        <w:rPr>
          <w:rFonts w:eastAsia="Times New Roman" w:cs="Times New Roman" w:ascii="Times New Roman" w:hAnsi="Times New Roman"/>
          <w:color w:val="111111"/>
          <w:sz w:val="28"/>
          <w:szCs w:val="28"/>
          <w:lang w:val="en-US" w:bidi="en-US"/>
        </w:rPr>
        <w:t>Ronald Selby Wright</w:t>
      </w:r>
    </w:p>
    <w:p>
      <w:pPr>
        <w:pStyle w:val="BookText"/>
        <w:rPr/>
      </w:pPr>
      <w:r>
        <w:rPr>
          <w:rFonts w:eastAsia="Times New Roman" w:cs="Times New Roman" w:ascii="Times New Roman" w:hAnsi="Times New Roman"/>
          <w:color w:val="111111"/>
          <w:sz w:val="28"/>
          <w:szCs w:val="28"/>
          <w:lang w:val="en-US" w:bidi="en-US"/>
        </w:rPr>
        <w:t>Rumer Godden</w:t>
      </w:r>
    </w:p>
    <w:p>
      <w:pPr>
        <w:pStyle w:val="BookText"/>
        <w:rPr/>
      </w:pPr>
      <w:r>
        <w:rPr>
          <w:rFonts w:eastAsia="Times New Roman" w:cs="Times New Roman" w:ascii="Times New Roman" w:hAnsi="Times New Roman"/>
          <w:color w:val="111111"/>
          <w:sz w:val="28"/>
          <w:szCs w:val="28"/>
          <w:lang w:val="en-US" w:bidi="en-US"/>
        </w:rPr>
        <w:t>Rupert Murdoch</w:t>
      </w:r>
    </w:p>
    <w:p>
      <w:pPr>
        <w:pStyle w:val="BookText"/>
        <w:rPr/>
      </w:pPr>
      <w:r>
        <w:rPr>
          <w:rFonts w:eastAsia="Times New Roman" w:cs="Times New Roman" w:ascii="Times New Roman" w:hAnsi="Times New Roman"/>
          <w:color w:val="111111"/>
          <w:sz w:val="28"/>
          <w:szCs w:val="28"/>
          <w:lang w:val="en-US" w:bidi="en-US"/>
        </w:rPr>
        <w:t>Ryan Gordon</w:t>
      </w:r>
    </w:p>
    <w:p>
      <w:pPr>
        <w:pStyle w:val="BookText"/>
        <w:rPr/>
      </w:pPr>
      <w:r>
        <w:rPr>
          <w:rFonts w:eastAsia="Times New Roman" w:cs="Times New Roman" w:ascii="Times New Roman" w:hAnsi="Times New Roman"/>
          <w:color w:val="111111"/>
          <w:sz w:val="28"/>
          <w:szCs w:val="28"/>
          <w:lang w:val="en-US" w:bidi="en-US"/>
        </w:rPr>
        <w:t>Ryan Little</w:t>
      </w:r>
    </w:p>
    <w:p>
      <w:pPr>
        <w:pStyle w:val="BookText"/>
        <w:rPr/>
      </w:pPr>
      <w:r>
        <w:rPr>
          <w:rFonts w:eastAsia="Times New Roman" w:cs="Times New Roman" w:ascii="Times New Roman" w:hAnsi="Times New Roman"/>
          <w:color w:val="111111"/>
          <w:sz w:val="28"/>
          <w:szCs w:val="28"/>
          <w:lang w:val="en-US" w:bidi="en-US"/>
        </w:rPr>
        <w:t>Sandra Moriarty</w:t>
      </w:r>
    </w:p>
    <w:p>
      <w:pPr>
        <w:pStyle w:val="BookText"/>
        <w:rPr/>
      </w:pPr>
      <w:r>
        <w:rPr>
          <w:rFonts w:eastAsia="Times New Roman" w:cs="Times New Roman" w:ascii="Times New Roman" w:hAnsi="Times New Roman"/>
          <w:color w:val="111111"/>
          <w:sz w:val="28"/>
          <w:szCs w:val="28"/>
          <w:lang w:val="en-US" w:bidi="en-US"/>
        </w:rPr>
        <w:t>Stan Brakhage</w:t>
      </w:r>
    </w:p>
    <w:p>
      <w:pPr>
        <w:pStyle w:val="BookText"/>
        <w:rPr/>
      </w:pPr>
      <w:r>
        <w:rPr>
          <w:rFonts w:eastAsia="Times New Roman" w:cs="Times New Roman" w:ascii="Times New Roman" w:hAnsi="Times New Roman"/>
          <w:color w:val="111111"/>
          <w:sz w:val="28"/>
          <w:szCs w:val="28"/>
          <w:lang w:val="en-US" w:bidi="en-US"/>
        </w:rPr>
        <w:t>Stanley Fish</w:t>
      </w:r>
    </w:p>
    <w:p>
      <w:pPr>
        <w:pStyle w:val="BookText"/>
        <w:rPr/>
      </w:pPr>
      <w:r>
        <w:rPr>
          <w:rFonts w:eastAsia="Times New Roman" w:cs="Times New Roman" w:ascii="Times New Roman" w:hAnsi="Times New Roman"/>
          <w:color w:val="111111"/>
          <w:sz w:val="28"/>
          <w:szCs w:val="28"/>
          <w:lang w:val="en-US" w:bidi="en-US"/>
        </w:rPr>
        <w:t>Stefano Maderno</w:t>
      </w:r>
    </w:p>
    <w:p>
      <w:pPr>
        <w:pStyle w:val="BookText"/>
        <w:rPr/>
      </w:pPr>
      <w:r>
        <w:rPr>
          <w:rFonts w:eastAsia="Times New Roman" w:cs="Times New Roman" w:ascii="Times New Roman" w:hAnsi="Times New Roman"/>
          <w:color w:val="111111"/>
          <w:sz w:val="28"/>
          <w:szCs w:val="28"/>
          <w:lang w:val="en-US" w:bidi="en-US"/>
        </w:rPr>
        <w:t>Susan Monk Kidd</w:t>
      </w:r>
    </w:p>
    <w:p>
      <w:pPr>
        <w:pStyle w:val="BookText"/>
        <w:rPr/>
      </w:pPr>
      <w:r>
        <w:rPr>
          <w:rFonts w:eastAsia="Times New Roman" w:cs="Times New Roman" w:ascii="Times New Roman" w:hAnsi="Times New Roman"/>
          <w:color w:val="111111"/>
          <w:sz w:val="28"/>
          <w:szCs w:val="28"/>
          <w:lang w:val="en-US" w:bidi="en-US"/>
        </w:rPr>
        <w:t>Susanne wolf</w:t>
      </w:r>
    </w:p>
    <w:p>
      <w:pPr>
        <w:pStyle w:val="BookText"/>
        <w:rPr/>
      </w:pPr>
      <w:r>
        <w:rPr>
          <w:rFonts w:eastAsia="Times New Roman" w:cs="Times New Roman" w:ascii="Times New Roman" w:hAnsi="Times New Roman"/>
          <w:color w:val="111111"/>
          <w:sz w:val="28"/>
          <w:szCs w:val="28"/>
          <w:lang w:val="en-US" w:bidi="en-US"/>
        </w:rPr>
        <w:t>Suzan-Lori Parks</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Suzanne Langer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Tammy Faye Bakke</w:t>
      </w:r>
    </w:p>
    <w:p>
      <w:pPr>
        <w:pStyle w:val="BookText"/>
        <w:rPr/>
      </w:pPr>
      <w:r>
        <w:rPr>
          <w:rFonts w:eastAsia="Times New Roman" w:cs="Times New Roman" w:ascii="Times New Roman" w:hAnsi="Times New Roman"/>
          <w:color w:val="111111"/>
          <w:sz w:val="28"/>
          <w:szCs w:val="28"/>
          <w:lang w:val="en-US" w:bidi="en-US"/>
        </w:rPr>
        <w:t>Teilhard de Chardin</w:t>
      </w:r>
    </w:p>
    <w:p>
      <w:pPr>
        <w:pStyle w:val="BookText"/>
        <w:rPr/>
      </w:pPr>
      <w:r>
        <w:rPr>
          <w:rFonts w:eastAsia="Times New Roman" w:cs="Times New Roman" w:ascii="Times New Roman" w:hAnsi="Times New Roman"/>
          <w:color w:val="111111"/>
          <w:sz w:val="28"/>
          <w:szCs w:val="28"/>
          <w:lang w:val="en-US" w:bidi="en-US"/>
        </w:rPr>
        <w:t>Thich Nhat hanh</w:t>
      </w:r>
    </w:p>
    <w:p>
      <w:pPr>
        <w:pStyle w:val="BookText"/>
        <w:rPr/>
      </w:pPr>
      <w:r>
        <w:rPr>
          <w:rFonts w:eastAsia="Times New Roman" w:cs="Times New Roman" w:ascii="Times New Roman" w:hAnsi="Times New Roman"/>
          <w:color w:val="111111"/>
          <w:sz w:val="28"/>
          <w:szCs w:val="28"/>
          <w:lang w:val="en-US" w:bidi="en-US"/>
        </w:rPr>
        <w:t>Thomas Aquinas</w:t>
      </w:r>
    </w:p>
    <w:p>
      <w:pPr>
        <w:pStyle w:val="BookText"/>
        <w:rPr/>
      </w:pPr>
      <w:r>
        <w:rPr>
          <w:rFonts w:eastAsia="Times New Roman" w:cs="Times New Roman" w:ascii="Times New Roman" w:hAnsi="Times New Roman"/>
          <w:color w:val="111111"/>
          <w:sz w:val="28"/>
          <w:szCs w:val="28"/>
          <w:lang w:val="en-US" w:bidi="en-US"/>
        </w:rPr>
        <w:t>Thomas Bowdler</w:t>
      </w:r>
    </w:p>
    <w:p>
      <w:pPr>
        <w:pStyle w:val="BookText"/>
        <w:rPr/>
      </w:pPr>
      <w:r>
        <w:rPr>
          <w:rFonts w:eastAsia="Times New Roman" w:cs="Times New Roman" w:ascii="Times New Roman" w:hAnsi="Times New Roman"/>
          <w:color w:val="111111"/>
          <w:sz w:val="28"/>
          <w:szCs w:val="28"/>
          <w:lang w:val="en-US" w:bidi="en-US"/>
        </w:rPr>
        <w:t>Thomas Hobbes</w:t>
      </w:r>
    </w:p>
    <w:p>
      <w:pPr>
        <w:pStyle w:val="BookText"/>
        <w:rPr/>
      </w:pPr>
      <w:r>
        <w:rPr>
          <w:rFonts w:eastAsia="Times New Roman" w:cs="Times New Roman" w:ascii="Times New Roman" w:hAnsi="Times New Roman"/>
          <w:color w:val="111111"/>
          <w:sz w:val="28"/>
          <w:szCs w:val="28"/>
          <w:lang w:val="en-US" w:bidi="en-US"/>
        </w:rPr>
        <w:t>Thomas Ilive</w:t>
      </w:r>
    </w:p>
    <w:p>
      <w:pPr>
        <w:pStyle w:val="BookText"/>
        <w:rPr/>
      </w:pPr>
      <w:r>
        <w:rPr>
          <w:rFonts w:eastAsia="Times New Roman" w:cs="Times New Roman" w:ascii="Times New Roman" w:hAnsi="Times New Roman"/>
          <w:color w:val="111111"/>
          <w:sz w:val="28"/>
          <w:szCs w:val="28"/>
          <w:lang w:val="en-US" w:bidi="en-US"/>
        </w:rPr>
        <w:t>Thomas Ince</w:t>
      </w:r>
    </w:p>
    <w:p>
      <w:pPr>
        <w:pStyle w:val="BookText"/>
        <w:rPr/>
      </w:pPr>
      <w:r>
        <w:rPr>
          <w:rFonts w:eastAsia="Times New Roman" w:cs="Times New Roman" w:ascii="Times New Roman" w:hAnsi="Times New Roman"/>
          <w:color w:val="111111"/>
          <w:sz w:val="28"/>
          <w:szCs w:val="28"/>
          <w:lang w:val="en-US" w:bidi="en-US"/>
        </w:rPr>
        <w:t>Thomas Kean</w:t>
      </w:r>
    </w:p>
    <w:p>
      <w:pPr>
        <w:pStyle w:val="BookText"/>
        <w:rPr/>
      </w:pPr>
      <w:r>
        <w:rPr>
          <w:rFonts w:eastAsia="Times New Roman" w:cs="Times New Roman" w:ascii="Times New Roman" w:hAnsi="Times New Roman"/>
          <w:color w:val="111111"/>
          <w:sz w:val="28"/>
          <w:szCs w:val="28"/>
          <w:lang w:val="en-US" w:bidi="en-US"/>
        </w:rPr>
        <w:t>Thomas Kinkade</w:t>
      </w:r>
    </w:p>
    <w:p>
      <w:pPr>
        <w:pStyle w:val="BookText"/>
        <w:rPr/>
      </w:pPr>
      <w:r>
        <w:rPr>
          <w:rFonts w:eastAsia="Times New Roman" w:cs="Times New Roman" w:ascii="Times New Roman" w:hAnsi="Times New Roman"/>
          <w:color w:val="111111"/>
          <w:sz w:val="28"/>
          <w:szCs w:val="28"/>
          <w:lang w:val="en-US" w:bidi="en-US"/>
        </w:rPr>
        <w:t>Thomas Lindlof</w:t>
      </w:r>
    </w:p>
    <w:p>
      <w:pPr>
        <w:pStyle w:val="BookText"/>
        <w:rPr/>
      </w:pPr>
      <w:r>
        <w:rPr>
          <w:rFonts w:eastAsia="Times New Roman" w:cs="Times New Roman" w:ascii="Times New Roman" w:hAnsi="Times New Roman"/>
          <w:color w:val="111111"/>
          <w:sz w:val="28"/>
          <w:szCs w:val="28"/>
          <w:lang w:val="en-US" w:bidi="en-US"/>
        </w:rPr>
        <w:t>Thomas Merton</w:t>
      </w:r>
    </w:p>
    <w:p>
      <w:pPr>
        <w:pStyle w:val="BookText"/>
        <w:rPr/>
      </w:pPr>
      <w:r>
        <w:rPr>
          <w:rFonts w:eastAsia="Times New Roman" w:cs="Times New Roman" w:ascii="Times New Roman" w:hAnsi="Times New Roman"/>
          <w:color w:val="111111"/>
          <w:sz w:val="28"/>
          <w:szCs w:val="28"/>
          <w:lang w:val="en-US" w:bidi="en-US"/>
        </w:rPr>
        <w:t>Thomas Nelson</w:t>
      </w:r>
    </w:p>
    <w:p>
      <w:pPr>
        <w:pStyle w:val="BookText"/>
        <w:rPr/>
      </w:pPr>
      <w:r>
        <w:rPr>
          <w:rFonts w:eastAsia="Times New Roman" w:cs="Times New Roman" w:ascii="Times New Roman" w:hAnsi="Times New Roman"/>
          <w:color w:val="111111"/>
          <w:sz w:val="28"/>
          <w:szCs w:val="28"/>
          <w:lang w:val="en-US" w:bidi="en-US"/>
        </w:rPr>
        <w:t>Thomas Paine</w:t>
      </w:r>
    </w:p>
    <w:p>
      <w:pPr>
        <w:pStyle w:val="BookText"/>
        <w:rPr/>
      </w:pPr>
      <w:r>
        <w:rPr>
          <w:rFonts w:eastAsia="Times New Roman" w:cs="Times New Roman" w:ascii="Times New Roman" w:hAnsi="Times New Roman"/>
          <w:color w:val="111111"/>
          <w:sz w:val="28"/>
          <w:szCs w:val="28"/>
          <w:lang w:val="en-US" w:bidi="en-US"/>
        </w:rPr>
        <w:t>Thomas Woolston</w:t>
      </w:r>
    </w:p>
    <w:p>
      <w:pPr>
        <w:pStyle w:val="BookText"/>
        <w:rPr/>
      </w:pPr>
      <w:r>
        <w:rPr>
          <w:rFonts w:eastAsia="Times New Roman" w:cs="Times New Roman" w:ascii="Times New Roman" w:hAnsi="Times New Roman"/>
          <w:color w:val="111111"/>
          <w:sz w:val="28"/>
          <w:szCs w:val="28"/>
          <w:lang w:val="en-US" w:bidi="en-US"/>
        </w:rPr>
        <w:t>Timothy lahaye</w:t>
      </w:r>
    </w:p>
    <w:p>
      <w:pPr>
        <w:pStyle w:val="BookText"/>
        <w:rPr/>
      </w:pPr>
      <w:r>
        <w:rPr>
          <w:rFonts w:eastAsia="Times New Roman" w:cs="Times New Roman" w:ascii="Times New Roman" w:hAnsi="Times New Roman"/>
          <w:color w:val="111111"/>
          <w:sz w:val="28"/>
          <w:szCs w:val="28"/>
          <w:lang w:val="en-US" w:bidi="en-US"/>
        </w:rPr>
        <w:t>Tom Daly</w:t>
      </w:r>
    </w:p>
    <w:p>
      <w:pPr>
        <w:pStyle w:val="BookText"/>
        <w:rPr/>
      </w:pPr>
      <w:r>
        <w:rPr>
          <w:rFonts w:eastAsia="Times New Roman" w:cs="Times New Roman" w:ascii="Times New Roman" w:hAnsi="Times New Roman"/>
          <w:color w:val="111111"/>
          <w:sz w:val="28"/>
          <w:szCs w:val="28"/>
          <w:lang w:val="en-US" w:bidi="en-US"/>
        </w:rPr>
        <w:t>Tracy Groot</w:t>
      </w:r>
    </w:p>
    <w:p>
      <w:pPr>
        <w:pStyle w:val="BookText"/>
        <w:rPr/>
      </w:pPr>
      <w:r>
        <w:rPr>
          <w:rFonts w:eastAsia="Times New Roman" w:cs="Times New Roman" w:ascii="Times New Roman" w:hAnsi="Times New Roman"/>
          <w:color w:val="111111"/>
          <w:sz w:val="28"/>
          <w:szCs w:val="28"/>
          <w:lang w:val="en-US" w:bidi="en-US"/>
        </w:rPr>
        <w:t>Ulrich Zwingli</w:t>
      </w:r>
    </w:p>
    <w:p>
      <w:pPr>
        <w:pStyle w:val="BookText"/>
        <w:rPr/>
      </w:pPr>
      <w:r>
        <w:rPr>
          <w:rFonts w:eastAsia="Times New Roman" w:cs="Times New Roman" w:ascii="Times New Roman" w:hAnsi="Times New Roman"/>
          <w:color w:val="111111"/>
          <w:sz w:val="28"/>
          <w:szCs w:val="28"/>
          <w:lang w:val="en-US" w:bidi="en-US"/>
        </w:rPr>
        <w:t>Umberto Eco</w:t>
      </w:r>
    </w:p>
    <w:p>
      <w:pPr>
        <w:pStyle w:val="BookText"/>
        <w:rPr/>
      </w:pPr>
      <w:r>
        <w:rPr>
          <w:rFonts w:eastAsia="Times New Roman" w:cs="Times New Roman" w:ascii="Times New Roman" w:hAnsi="Times New Roman"/>
          <w:color w:val="111111"/>
          <w:sz w:val="28"/>
          <w:szCs w:val="28"/>
          <w:lang w:val="en-US" w:bidi="en-US"/>
        </w:rPr>
        <w:t>Upton Sinclair</w:t>
      </w:r>
    </w:p>
    <w:p>
      <w:pPr>
        <w:pStyle w:val="BookText"/>
        <w:rPr/>
      </w:pPr>
      <w:r>
        <w:rPr>
          <w:rFonts w:eastAsia="Times New Roman" w:cs="Times New Roman" w:ascii="Times New Roman" w:hAnsi="Times New Roman"/>
          <w:color w:val="111111"/>
          <w:sz w:val="28"/>
          <w:szCs w:val="28"/>
          <w:lang w:val="en-US" w:bidi="en-US"/>
        </w:rPr>
        <w:t>V.S.Naipaul</w:t>
      </w:r>
    </w:p>
    <w:p>
      <w:pPr>
        <w:pStyle w:val="BookText"/>
        <w:rPr/>
      </w:pPr>
      <w:r>
        <w:rPr>
          <w:rFonts w:eastAsia="Times New Roman" w:cs="Times New Roman" w:ascii="Times New Roman" w:hAnsi="Times New Roman"/>
          <w:color w:val="111111"/>
          <w:sz w:val="28"/>
          <w:szCs w:val="28"/>
          <w:lang w:val="en-US" w:bidi="en-US"/>
        </w:rPr>
        <w:t>Victor Turner</w:t>
      </w:r>
    </w:p>
    <w:p>
      <w:pPr>
        <w:pStyle w:val="BookText"/>
        <w:rPr/>
      </w:pPr>
      <w:r>
        <w:rPr>
          <w:rFonts w:eastAsia="Times New Roman" w:cs="Times New Roman" w:ascii="Times New Roman" w:hAnsi="Times New Roman"/>
          <w:color w:val="111111"/>
          <w:sz w:val="28"/>
          <w:szCs w:val="28"/>
          <w:lang w:val="en-US" w:bidi="en-US"/>
        </w:rPr>
        <w:t>Vine Deloria</w:t>
      </w:r>
    </w:p>
    <w:p>
      <w:pPr>
        <w:pStyle w:val="BookText"/>
        <w:rPr/>
      </w:pPr>
      <w:r>
        <w:rPr>
          <w:rFonts w:eastAsia="Times New Roman" w:cs="Times New Roman" w:ascii="Times New Roman" w:hAnsi="Times New Roman"/>
          <w:color w:val="111111"/>
          <w:sz w:val="28"/>
          <w:szCs w:val="28"/>
          <w:lang w:val="en-US" w:bidi="en-US"/>
        </w:rPr>
        <w:t>Walden Pond</w:t>
      </w:r>
    </w:p>
    <w:p>
      <w:pPr>
        <w:pStyle w:val="BookText"/>
        <w:rPr/>
      </w:pPr>
      <w:r>
        <w:rPr>
          <w:rFonts w:eastAsia="Times New Roman" w:cs="Times New Roman" w:ascii="Times New Roman" w:hAnsi="Times New Roman"/>
          <w:color w:val="111111"/>
          <w:sz w:val="28"/>
          <w:szCs w:val="28"/>
          <w:lang w:val="en-US" w:bidi="en-US"/>
        </w:rPr>
        <w:t>Walker Percy</w:t>
      </w:r>
    </w:p>
    <w:p>
      <w:pPr>
        <w:pStyle w:val="BookText"/>
        <w:rPr/>
      </w:pPr>
      <w:r>
        <w:rPr>
          <w:rFonts w:eastAsia="Times New Roman" w:cs="Times New Roman" w:ascii="Times New Roman" w:hAnsi="Times New Roman"/>
          <w:color w:val="111111"/>
          <w:sz w:val="28"/>
          <w:szCs w:val="28"/>
          <w:lang w:val="en-US" w:bidi="en-US"/>
        </w:rPr>
        <w:t>Walt Whitman</w:t>
      </w:r>
    </w:p>
    <w:p>
      <w:pPr>
        <w:pStyle w:val="BookText"/>
        <w:rPr/>
      </w:pPr>
      <w:r>
        <w:rPr>
          <w:rFonts w:eastAsia="Times New Roman" w:cs="Times New Roman" w:ascii="Times New Roman" w:hAnsi="Times New Roman"/>
          <w:color w:val="111111"/>
          <w:sz w:val="28"/>
          <w:szCs w:val="28"/>
          <w:lang w:val="en-US" w:bidi="en-US"/>
        </w:rPr>
        <w:t>Walter Maier</w:t>
      </w:r>
    </w:p>
    <w:p>
      <w:pPr>
        <w:pStyle w:val="BookText"/>
        <w:rPr/>
      </w:pPr>
      <w:r>
        <w:rPr>
          <w:rFonts w:eastAsia="Times New Roman" w:cs="Times New Roman" w:ascii="Times New Roman" w:hAnsi="Times New Roman"/>
          <w:color w:val="111111"/>
          <w:sz w:val="28"/>
          <w:szCs w:val="28"/>
          <w:lang w:val="en-US" w:bidi="en-US"/>
        </w:rPr>
        <w:t>Walter Rauschenbuch</w:t>
      </w:r>
    </w:p>
    <w:p>
      <w:pPr>
        <w:pStyle w:val="BookText"/>
        <w:rPr/>
      </w:pPr>
      <w:r>
        <w:rPr>
          <w:rFonts w:eastAsia="Times New Roman" w:cs="Times New Roman" w:ascii="Times New Roman" w:hAnsi="Times New Roman"/>
          <w:color w:val="111111"/>
          <w:sz w:val="28"/>
          <w:szCs w:val="28"/>
          <w:lang w:val="en-US" w:bidi="en-US"/>
        </w:rPr>
        <w:t>Warner Sallman</w:t>
      </w:r>
    </w:p>
    <w:p>
      <w:pPr>
        <w:pStyle w:val="BookText"/>
        <w:rPr/>
      </w:pPr>
      <w:r>
        <w:rPr>
          <w:rFonts w:eastAsia="Times New Roman" w:cs="Times New Roman" w:ascii="Times New Roman" w:hAnsi="Times New Roman"/>
          <w:color w:val="111111"/>
          <w:sz w:val="28"/>
          <w:szCs w:val="28"/>
          <w:lang w:val="en-US" w:bidi="en-US"/>
        </w:rPr>
        <w:t>Wendel Berry</w:t>
      </w:r>
    </w:p>
    <w:p>
      <w:pPr>
        <w:pStyle w:val="BookText"/>
        <w:rPr/>
      </w:pPr>
      <w:r>
        <w:rPr>
          <w:rFonts w:eastAsia="Times New Roman" w:cs="Times New Roman" w:ascii="Times New Roman" w:hAnsi="Times New Roman"/>
          <w:color w:val="111111"/>
          <w:sz w:val="28"/>
          <w:szCs w:val="28"/>
          <w:lang w:val="en-US" w:bidi="en-US"/>
        </w:rPr>
        <w:t>William (Billy) F. Graham</w:t>
      </w:r>
    </w:p>
    <w:p>
      <w:pPr>
        <w:pStyle w:val="BookText"/>
        <w:rPr/>
      </w:pPr>
      <w:r>
        <w:rPr>
          <w:rFonts w:eastAsia="Times New Roman" w:cs="Times New Roman" w:ascii="Times New Roman" w:hAnsi="Times New Roman"/>
          <w:color w:val="111111"/>
          <w:sz w:val="28"/>
          <w:szCs w:val="28"/>
          <w:lang w:val="en-US" w:bidi="en-US"/>
        </w:rPr>
        <w:t>William Butler Yeats</w:t>
      </w:r>
    </w:p>
    <w:p>
      <w:pPr>
        <w:pStyle w:val="BookText"/>
        <w:rPr/>
      </w:pPr>
      <w:r>
        <w:rPr>
          <w:rFonts w:eastAsia="Times New Roman" w:cs="Times New Roman" w:ascii="Times New Roman" w:hAnsi="Times New Roman"/>
          <w:color w:val="111111"/>
          <w:sz w:val="28"/>
          <w:szCs w:val="28"/>
          <w:lang w:val="en-US" w:bidi="en-US"/>
        </w:rPr>
        <w:t>William Carlos Williams</w:t>
      </w:r>
    </w:p>
    <w:p>
      <w:pPr>
        <w:pStyle w:val="BookText"/>
        <w:rPr/>
      </w:pPr>
      <w:r>
        <w:rPr>
          <w:rFonts w:eastAsia="Times New Roman" w:cs="Times New Roman" w:ascii="Times New Roman" w:hAnsi="Times New Roman"/>
          <w:color w:val="111111"/>
          <w:sz w:val="28"/>
          <w:szCs w:val="28"/>
          <w:lang w:val="en-US" w:bidi="en-US"/>
        </w:rPr>
        <w:t>William Gibson</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William Jennings Bryan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William Riley</w:t>
      </w:r>
    </w:p>
    <w:p>
      <w:pPr>
        <w:pStyle w:val="BookText"/>
        <w:rPr/>
      </w:pPr>
      <w:r>
        <w:rPr>
          <w:rFonts w:eastAsia="Times New Roman" w:cs="Times New Roman" w:ascii="Times New Roman" w:hAnsi="Times New Roman"/>
          <w:color w:val="111111"/>
          <w:sz w:val="28"/>
          <w:szCs w:val="28"/>
          <w:lang w:val="en-US" w:bidi="en-US"/>
        </w:rPr>
        <w:t>William S. Burroughs</w:t>
      </w:r>
    </w:p>
    <w:p>
      <w:pPr>
        <w:pStyle w:val="BookText"/>
        <w:rPr/>
      </w:pPr>
      <w:r>
        <w:rPr>
          <w:rFonts w:eastAsia="Times New Roman" w:cs="Times New Roman" w:ascii="Times New Roman" w:hAnsi="Times New Roman"/>
          <w:color w:val="111111"/>
          <w:sz w:val="28"/>
          <w:szCs w:val="28"/>
          <w:lang w:val="en-US" w:bidi="en-US"/>
        </w:rPr>
        <w:t>Wole Soyinka</w:t>
      </w:r>
    </w:p>
    <w:p>
      <w:pPr>
        <w:pStyle w:val="BookText"/>
        <w:rPr/>
      </w:pPr>
      <w:r>
        <w:rPr>
          <w:rFonts w:eastAsia="Times New Roman" w:cs="Times New Roman" w:ascii="Times New Roman" w:hAnsi="Times New Roman"/>
          <w:color w:val="111111"/>
          <w:sz w:val="28"/>
          <w:szCs w:val="28"/>
          <w:lang w:val="en-US" w:bidi="en-US"/>
        </w:rPr>
        <w:t>Yan Martel</w:t>
      </w:r>
    </w:p>
    <w:p>
      <w:pPr>
        <w:pStyle w:val="BookText"/>
        <w:rPr/>
      </w:pPr>
      <w:r>
        <w:rPr>
          <w:rFonts w:eastAsia="Times New Roman" w:cs="Times New Roman" w:ascii="Times New Roman" w:hAnsi="Times New Roman"/>
          <w:color w:val="111111"/>
          <w:sz w:val="28"/>
          <w:szCs w:val="28"/>
          <w:lang w:val="en-US" w:bidi="en-US"/>
        </w:rPr>
        <w:t>Yasujiro Ozu</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Zvi Yehuda Kook</w:t>
      </w:r>
      <w:r>
        <w:rPr>
          <w:rFonts w:eastAsia="Times New Roman" w:cs="Times New Roman" w:ascii="Times New Roman" w:hAnsi="Times New Roman"/>
          <w:color w:val="111111"/>
          <w:sz w:val="28"/>
          <w:szCs w:val="28"/>
          <w:rtl w:val="true"/>
          <w:lang w:val="en-US" w:bidi="en-US"/>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mixed genre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interpration</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lived exprience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autobiography</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exercise of imagination</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address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Solitude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no-self</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Transformation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Forgiveness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Koan-Style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فرقة ذن بودیسیم چین، به تناقضی گفته می‌شود که شاگرد را در معرض آن قرار می‌دهند تا ذهنش فعال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bildungsroman</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Trappist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فرقه‌ای که قسم می‌خورند تا آخر عمر سخن نگویند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anachronism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 Journalism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Telepathy</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transmission</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dyad</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angelic communication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Dissemination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Centralized message-senders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broadcasting</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Ritual</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death</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profanity</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insolent communication</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minced oaths</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four-letter word</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Delete Expletives</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نک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www.asa.org.uk</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Seven Words You Can Never Say on Television</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geosynchronous orbit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to home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Television receive only (TVRO)</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Broadcasting Network</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Box Office</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ABC Family Channel</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Trinity Broadcasting Network</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Melton, Lucas, and Stone 1997,357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Holy Beamer</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uplink facilities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high-definition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TVRO earth stations</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fellowship</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address</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Legislator</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advocate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Christian Doctrine</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Meaning of Meaning</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Being Second Causes</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Otherness</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Absence</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Inauthenticity</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Empathetic Dialogue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Sociocultural</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Ritual Observance</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Accoustemological</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Catechism</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Moorish Science Temple</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نیست نویسندگان بر اساس کدام مطالعه یا تحقیق چنین نتیجه‌گیری خامی را به دست آورده و در چنین اثر علمی‌ای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در نظر همۀ آن‌ها که در برابر نشر و چاپ این کاریکاتورها برآشفته‌اند، در وهلۀ نخست اهانت روا داشتن به انسان برگزیدۀ خداوند، محمد امین صلی الله علیه و آله، آن هم از سوی کشورهای منادی آزادی بیان و رواداری سخت و تکان‌دهنده بوده است تا ایدۀ مخالفت با بت‌پرستی؛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Cyberspace</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www.ecunet.org</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www.h-net.org</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www.godweb.org</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www.christdesert.org</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Renaissance: A Monthly Islamic Journal (www.renaissance.com.pk)</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catless.ncl.ac.uk/vmg</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Technopaganism</w:t>
      </w:r>
      <w:r>
        <w:rPr>
          <w:rFonts w:ascii="IRNazanin" w:hAnsi="IRNazanin" w:eastAsia="IRNazanin"/>
          <w:b w:val="false"/>
          <w:b w:val="false"/>
          <w:bCs w:val="false"/>
          <w:i w:val="false"/>
          <w:i w:val="false"/>
          <w:iCs w:val="false"/>
          <w:color w:val="333333"/>
          <w:sz w:val="20"/>
          <w:sz w:val="20"/>
          <w:szCs w:val="20"/>
          <w:rtl w:val="true"/>
        </w:rPr>
        <w:t>الحاد نوین سازگارشده و آیینی‌شده در زمینه‌ای تکنولوژیک؛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www.biliefnet.com</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BBSs (bulletin board services)</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Church of Fools (www.shipoffool.com/church)</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Blessings of Cyberspace, www.namgyal.org/blessing.html</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Gospel Communication Network (www.gospelcom.net)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Billy Graham Center (www.gospelcom.net/bgc/)</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International Bible Society (www.gospelcom.net/ibs/)</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www.brigada.org/today/ articles/web-evangelism.htm</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 is Jesus</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Computer-mediated Communication</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Brasher 2001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Houston 1998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Cobb 1998; Wertheim 1999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Bunt 2000; Zaleski 1997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Davis 1998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Brooke 1997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Dixon 1997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Schultze 2002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idolatry</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idol</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totemism</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animism</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fetishism</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nonliterate religions</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polytheism</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خود به خوبی می‌داند که سامری در تهیۀ گوساله نقش داشته و هارون برادر و وصی پیامبر خدا در برابر او ایستادگی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Fundamentalism</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این‌که آن‌چه در متن انجیل آمده، عین واقع است و نباید از آن‌ها تفسیری تمثیلی یا غیر از آن به عمل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premillennial</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Scopes (1900 – 1970)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L. Mencken (1880 – 1956)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Kellstedt and Smitd 1991, 260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Perkin 2000, 79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Strozier 1994, 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رک 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Evangelicals</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منوال برو و پیروانی از هر قوم برگزین و آنان را به نام پدر، پسر و روح القدس تعمید ده و سپس آنان را بیاموزان که از هر چه به تو حکم کرده‌ام پیروی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ماتیوس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Christianity Today, October 15, 1956, 20–23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tent revival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پروتستان‌های آمریکایی به اشکال مختلف تلاش کرده‌اند که با برپایی گردهمایی‌هایی، هم مراسم و عبادات خود را برگزار کنند و هم به این ترتیب خارج از فضای مسدود کلیسا حضور خود را اعلام و اعلان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شیوه‌ها برپاکردن مراسم در زیر خیمه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سابقۀ برگزاری این نوع گردهمایی‌ها به برگزاری تجمعات مذهبی در قرن هیجدهم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به دلیل گستردگی جغرافیایی و در دسترس نبودن مکانی برای برپایی مراسم مذهبی، مشکلات ناشی از رفت‌و‌آمد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شیوه‌ای برای برگزاری مراسم و دعوت دینی شکل گرفت و آن هم تجمعاتی بود که حالت اردوگاهی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اردوگاه‌ها تعداد بسیار زیادی از مراسم مذهبی برگزار می‌شد و موقعیتی برای گرویدن به اعتقادات مسیحی یا تقویت ایمان دینی مومنان فراهم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برگزاری، بعدها به نوعی آیین فرهنگی و اجتماعی پروتستان برای هویت‌یابی در شهرهای بزرگ تبدیل شد و کارکردهای اجتماعی و سیاسی نیز پیدا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parade floats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شیوه‌های رایج در برگزاری جشن‌های عمومی، راه‌اندازی کارناوال‌هایی است که در آن‌ها سکوهای نمایشی و حجم‌سازی‌های جالب توجه با استفاده از یک ماشین حمل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سکوها و ماشین‌های حامل آن‌ها در قالب یک زنجیرۀ طولانی به راه می‌افتند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تبشیرگرایان از این شیوه نیز برای ترویج آرای خود استفاده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رولِن استیوارد یکی از مصادیق بارز استفاده از هر امکانی برای وارد کردن پیام‌های انجیل در زندگی روزمره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آیه‌های مشهور انجیل،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سوم از انجیل یوحنا یا جان است که می‌گوید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برندۀ تایوانی جایزۀ طلایی ملودی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Golden Melody Award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خواننده و مصنفی به نام یو هوشین چو و گروهی از موسیقی‌دانان شورمند و جوان، آلبوم موسیقی‌ای را به بازار ارائه کردند که به نظر آن‌ها اولین نمونۀ بومی آلبومی انجیلی 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روی جلد این آلبوم اشاره شده است که در آن از سبک‌های مختلف موسیقی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راک اند رول گرفته تا بلوز، فولک و پانک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 تا افراد نسل‌های متفاوت بتوانند از آن استفاده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تهیه‌کنندگان، این آلبوم، حاوی عطوفت مسیح در قالب کلام انگلیسی و زبان چینی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جونز که یک مسیحی بنیادگرا و تبشیرگراست به خاطر تاسیس دانشگاه باب جونز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BJU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دانشگاه به عنوان بزرگ‌ترین دانشگاه هنر لیبرال، یک مرکز خصوصی با عقاید پروتستان بنیادگرا اشتهار دارد و در شهر گرینویل در کالیفرنیای جنوبی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Texan Chunk Swindoll's Insight for Living</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اسکوپز در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خاطرات خود، اسناد بایگانی </w:t>
      </w:r>
      <w:r>
        <w:rPr>
          <w:rFonts w:eastAsia="IRNazanin" w:cs="IRNazanin"/>
          <w:b w:val="false"/>
          <w:bCs w:val="false"/>
          <w:i w:val="false"/>
          <w:iCs w:val="false"/>
          <w:color w:val="333333"/>
          <w:sz w:val="20"/>
          <w:szCs w:val="20"/>
        </w:rPr>
        <w:t>A.C.L.U</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نوشته‌های روزنامه‌ها و تعداد زیادی گفت‌وگو و مصاحبه با حاضران در محاکمات و دیگر منابع، به محاکمۀ معروف ویلیام جنینگز برایان که یکی از محاکمات مشهور در ارتباط با بنیادگرایی است،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برایان به عنوان یک پوپولیستِ معروف از مخالفان سرسخت بحث تکامل و داروینیسم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به محاکمه کشاندن یک معلم به دلیل بحث از تکامل، در زمینۀ سختگیری‌های بنیادگرایان بسیار مشهور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Great Commission</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28:19, 20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evangelos</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www.pearsoncustom.com/link/televangelism.html</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Inspirational Network</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transmitted unction</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Erikson 1992, ix</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گروه‌ها می‌توان این‌ها را نام برد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creating crisis</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unchurched</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رک 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boycott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Consumer Boycotts</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www.religious tolerance. Org/new1-966.htm</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tolerance</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virtue</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identity</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سو عدم تساهل در بیان حقیقت و از سوی دیگر خود را حقیقت پنداشتن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path</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Peace that passes understanding</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Vatican II Declaration of Religious freedom</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Dignitatis Humanae</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بیانیۀ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دینیِ واتیکان؛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Society</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tithes</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Haley, White, and Cunningham,2001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Perry and Wolfe, 2001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 Would Jesus Do? (WWJD)</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Hoover,2001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Campbell, 2004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Albanese, 1996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Interpretive Community</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reader-response</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Jensen 1987, 29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active audience</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reception analysis</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genre audience</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Harrington &amp; Bielby, 1995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Jenkins, 1992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Aden, Rahoi, and Beck’s (1995)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&amp; Kollock, 1999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transportable community</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discursive formation (Schroder 1994,339)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بینندگان سفیدپوست مذکرِ مسابقات ماشین‌سواری </w:t>
      </w:r>
      <w:r>
        <w:rPr>
          <w:rFonts w:eastAsia="IRNazanin" w:cs="IRNazanin"/>
          <w:b w:val="false"/>
          <w:bCs w:val="false"/>
          <w:i w:val="false"/>
          <w:iCs w:val="false"/>
          <w:color w:val="333333"/>
          <w:sz w:val="20"/>
          <w:szCs w:val="20"/>
        </w:rPr>
        <w:t>NASCAR</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consumer research</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brand community</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Muniz &amp; O’Guinn 2001, 412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mimetic representation</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pictographic aesthetic</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presumption of efficacy</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suspend disbelief</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Osiris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الهة مردگان در اسطوره‌های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liturgical dramas</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Corpus Christi</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miracle plays</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morality plays</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restrictive Catholicism</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autos sacramentales</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supersensuous transcendence</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Théâtre de l’Oeuvre</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non-illusionistic approach</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expressionism</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Living Theatre</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Theatre</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Poor Theatre</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Confessional Radio</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chaplain</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Radioland</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 Pedre</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Video Killed the Radio Star</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commodification</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B. (1997) just as I am: The Autobiography of Billy Graham (p.722) New York: Harper Collins Publisher</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 Eternal World Television Network</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 Benny Hinn</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Age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نویسنده گرایش‌ها و نحله‌های شبه‌عرفانی‌ای است که در چند دهۀ اخیر از تلفیق برخی عناصر ادیان و آیین‌های غربی و به ویژه شرقی با گرایش‌هایی چون طبیعت‌باوری، محیط‌زیست‌گرایی، علم‌گرایی، نظام‌های پزشکی بدیل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کشورهای غربی پدید آمده‌اند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material culture of religion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مادی یکی از زیر شاخه‌های مطالعات فرهنگی است که اخیراً در محافل دانشگاهی غرب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فرهنگ مادی‌مذهب، مطالعۀ جزءنگر و انضمامی رفتار‌ها، نهاد‌ها و اشیایی است که در یک فرهنگ خاص در بستری مذهبی معنا می‌یابند و در همان حال خود جزء سازنده‌ای از آن به شمار می‌آیند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instant messaging</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Dati leumi</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Yeshivot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Sabbath</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Kashrut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Pesukim</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Yediot AhaRonot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Maariv</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Sukkot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سایبان‌ها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Hamodia</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Agudat Israel</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Yated Neeman</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Degel Torah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پرچم های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Ponovezh Yeshiva</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Bnei Beraq</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Council of Torah Sages</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Shas</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Yom le Yom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روز به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Rabbi Ovadiah Yosef</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Hamahaneh Hahardi</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Belze</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Kfar Habad</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Habad</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Haedah</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Hahomah</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Neturei Kartya</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Satmar</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Erev Shabbat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Yom Shishi</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Mishpacha</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BeKehila</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Israel Defence Forces</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halakhah</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Israel Katzover</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Shearim</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 Syndrome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بیماری مونگولیسم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Kadosh</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Hatzofe</w:t>
      </w:r>
      <w:r>
        <w:rPr>
          <w:rFonts w:ascii="IRNazanin" w:hAnsi="IRNazanin" w:eastAsia="IRNazanin"/>
          <w:b w:val="false"/>
          <w:b w:val="false"/>
          <w:bCs w:val="false"/>
          <w:i w:val="false"/>
          <w:i w:val="false"/>
          <w:iCs w:val="false"/>
          <w:color w:val="333333"/>
          <w:sz w:val="20"/>
          <w:sz w:val="20"/>
          <w:szCs w:val="20"/>
          <w:rtl w:val="true"/>
        </w:rPr>
        <w:t xml:space="preserve">به معنای تماشاگر؛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BaSheva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 هفته؛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Mekor Rishon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دست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cantorial music and chassidic music</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modern Orthodox National Religious Party</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Artuz 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 Chai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صدای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رادیو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shiurim</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Techelet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Galei Zahal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مانند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 Neshama</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Maale</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Aish Torah</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پراکنده یا آواره معادل فارسی </w:t>
      </w:r>
      <w:r>
        <w:rPr>
          <w:rFonts w:eastAsia="IRNazanin" w:cs="IRNazanin"/>
          <w:b w:val="false"/>
          <w:bCs w:val="false"/>
          <w:i w:val="false"/>
          <w:iCs w:val="false"/>
          <w:color w:val="333333"/>
          <w:sz w:val="20"/>
          <w:szCs w:val="20"/>
        </w:rPr>
        <w:t>Diaspora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یهودیانی اشاره دارد که خارج از ارض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 al-Arab</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A-Sinara</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Shames</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Picaresque</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 a clef</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نویسندۀ مدخل در این‌جا فرازی از داستان المر گنتری را آورده بود که تنها برای خوانندگان داستان قابل فهم بود در نتیجه مترجم محترم به جای آن و به جهت تقریب به ذهن خوانندگان، خلاصۀ داستان را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رمان آیات شیطانی، اهانت‌ها به ساحت مقدس جبرییل امین، پیامبر گرامی اسلام و همسران ایشان روا داشته شده و توهینی به ساحت امام راحل دیده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نویسنده، محتوای فتوای امام رحمه الله را حمل بر وجود مطلبی علیه ایشان در کتاب کرده است تا شاید فتوا را به سطحی از خصومت شخصی امام عظیم‌الشان و نویسندۀ مرتد کتاب آیات شیطانی کاهش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باور نویسنده، این فتوا هم‌چنان نیز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هیچ‌وجه دولت جمهوری اسلامی ایران مسئولیت اجرای آن را بر عهده نگرفته بوده است و تنها بنیاد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که نهادی غیردولتی تلقی می‌شود، جایزه‌ای را برای اجراکنندۀ فتوای تاریخی امام راحل در نظر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Blasphemy Act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bowdlerization</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Indecent Advertisements Act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Obscene Publications Act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Video Recordings Act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Index Librorum Prohibitorum</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Monkey Trial</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Moralistic Motion Picture Code</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variable obscenity</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v. California 1973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Safe harbor</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communications Decency Act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V-chips</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samizdat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یک کتاب علمی چنین یافتۀ غیرمعتبری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 از آنکه در همان ایام دو فیلم خون‌بارش ساختۀ امیر قویدل و خط قرمز ساختۀ مسعود کیمیایی ساخته شده‌اند که نشان می‌دهد هنوز سینما در ایران حیات داشته است و جدای از سخنان رهبر انقلاب ایران که ما با سینما مخالف نیستیم ما با فحشا مخالفیم نویسندگان یک اثر علمی باید شرایط سیاسی یک کشور انقلابی را که در آن تغییراتی گسترده بر اساس ایدئولوژی اسلام رخ داده است را درک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شرایطی که کشوری چون ایران درگیر چندین مسئلۀ سیاسی، نظامی و اقتصادی بنیان‌افکن بوده بی‌شک بخش‌هایی چون سینما ناخواسته دچار رکود می‌شوند و حمل این مسئله بر سانسور و یا تعطیلی سینما جای شگفتی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معیارهای اتقان علمی مطلبی را می‌توان در کم بودن گزاره‌های مطلق آن دانست؛ چرا که یافتن چنین اطلاقاتی، نیازمند یک پژوهش میدانی و علمی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مطلق دربارۀ وجود مطبوعات آزاد تنها در کشور پادشاهی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خود حکایت از میزان اتقان علمی برخی مطالب این دانش‌نامه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برای نوشتن یک چنین دانش‌نامه‌هایی تحقیق گسترده دربارۀ موضوعات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کمترین تحقیق در فضای خاورمیانه به راحتی می‌شد دریافت که چه کشورهایی و با چه میزان بنیان و ریشه‌های عمیق، دارای دموکراسی و آزادی رسانه‌ای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Cold Warriors</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entertainment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Religious Possibilities of the Motion Picture</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Apocrypha</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Hollywood Production Code</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Hays Office</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کانون تهیه‌کنندگان و توزیع‌کنندگان سینما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MPPDA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بعد‌ها به کانون سینمای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MPAA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نام یافت، آیین‌نامه‌ا ی اخلاقی‌تنظیم کرد که سینماگران در فیلم‌ها موظف به رعایت آن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رییس این کانون، وکیلی جمهوری‌خواه به نام ویل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 بود و هیز آفیس یا آیین‌نامۀ هیز نیز به همین نهاد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درجه‌بندی جایگزین این آیین‌نامه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illustrated sermons</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Cat and the Canary</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faith-healing</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Hour Of Decision</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مترجم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نوشته‌های داخل پرانتز از مترجم هستند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مترجم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مترجم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Beats</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Ladies’Home Journal</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Poetry magazine</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Norton Anthology of Modern Poetry</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Imagism</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Red Wheelbarrow</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Gospel of Beauty</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Johnny Appleseed’s Hymn to the Sun</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healing of the cities</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Creation</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 Down Death</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 in Alabama</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Black Christ and Other Poems</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مترجم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Kaddish</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Howl</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Supermarket in California</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Leaves of Grass</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Homage to Mistress Bradstreet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Patterson</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Weary’s Castle</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Poetry magazine</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مترجم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 Vadis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است در زبان لاتین به معنای به کجا می‌روی که در الهیات مسیحی، اشاره به سئوالی دارد که سن‌پطرس از مسیح در هنگامی پرسید که او را به سوی صلیب می‌بردند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این‌جا از واژۀ </w:t>
      </w:r>
      <w:r>
        <w:rPr>
          <w:rFonts w:eastAsia="IRNazanin" w:cs="IRNazanin"/>
          <w:b w:val="false"/>
          <w:bCs w:val="false"/>
          <w:i w:val="false"/>
          <w:iCs w:val="false"/>
          <w:color w:val="333333"/>
          <w:sz w:val="20"/>
          <w:szCs w:val="20"/>
        </w:rPr>
        <w:t>Sunday school film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می‌کند که اشاره به فیلم‌های مورد تایید مدارسی است که کلیساها در روزهای یکشنبه برای آموزش مذهبی دایر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ecumenical</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 Legion of Decency</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Mutsuhito Meiji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امپراتور ژاپن بین سال‌های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راه را برای گذار ژاپن از فئودالیسم هموار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Eshnunna</w:t>
      </w:r>
      <w:r>
        <w:rPr>
          <w:rFonts w:ascii="IRNazanin" w:hAnsi="IRNazanin" w:eastAsia="IRNazanin"/>
          <w:b w:val="false"/>
          <w:b w:val="false"/>
          <w:bCs w:val="false"/>
          <w:i w:val="false"/>
          <w:i w:val="false"/>
          <w:iCs w:val="false"/>
          <w:color w:val="333333"/>
          <w:sz w:val="20"/>
          <w:sz w:val="20"/>
          <w:szCs w:val="20"/>
          <w:rtl w:val="true"/>
        </w:rPr>
        <w:t>، شهر باستانی سومری که نام کنونی‌اش تِل اسمر و در عراق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Sumerian Votive statues</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w:t>
      </w:r>
      <w:r>
        <w:rPr>
          <w:rFonts w:ascii="IRNazanin" w:hAnsi="IRNazanin" w:eastAsia="IRNazanin"/>
          <w:b w:val="false"/>
          <w:b w:val="false"/>
          <w:bCs w:val="false"/>
          <w:i w:val="false"/>
          <w:i w:val="false"/>
          <w:iCs w:val="false"/>
          <w:color w:val="333333"/>
          <w:sz w:val="20"/>
          <w:sz w:val="20"/>
          <w:szCs w:val="20"/>
          <w:rtl w:val="true"/>
        </w:rPr>
        <w:t>، مصریان باستان اعتقاد داشتند که نیروی حیات از چندین عنصر جسمی تشکیل شده بود که مهم‌ترینشان کا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به عنوان همزاد بدن، در سراسر دوران حیات همراه بدن بود و پس از مرگ از بدن جدا می‌شد تا در جایگاهش در قلمرو مرگ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هستی کا معطوف به وجود بدن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مصریان تمام تلاششان را می‌کردند تا جسد را سالم و محفوظ نگه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Cella</w:t>
      </w:r>
      <w:r>
        <w:rPr>
          <w:rFonts w:ascii="IRNazanin" w:hAnsi="IRNazanin" w:eastAsia="IRNazanin"/>
          <w:b w:val="false"/>
          <w:b w:val="false"/>
          <w:bCs w:val="false"/>
          <w:i w:val="false"/>
          <w:i w:val="false"/>
          <w:iCs w:val="false"/>
          <w:color w:val="333333"/>
          <w:sz w:val="20"/>
          <w:sz w:val="20"/>
          <w:szCs w:val="20"/>
          <w:rtl w:val="true"/>
        </w:rPr>
        <w:t>، واژه ای لاتین به معنی اتاق کوچک که در معماری کلاسیک به اتاق داخلی یا مرکزی یک معبد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Parthenon</w:t>
      </w:r>
      <w:r>
        <w:rPr>
          <w:rFonts w:ascii="IRNazanin" w:hAnsi="IRNazanin" w:eastAsia="IRNazanin"/>
          <w:b w:val="false"/>
          <w:b w:val="false"/>
          <w:bCs w:val="false"/>
          <w:i w:val="false"/>
          <w:i w:val="false"/>
          <w:iCs w:val="false"/>
          <w:color w:val="333333"/>
          <w:sz w:val="20"/>
          <w:sz w:val="20"/>
          <w:szCs w:val="20"/>
          <w:rtl w:val="true"/>
        </w:rPr>
        <w:t>، معبد مختص الهه‌ای به نام آتنا که در قرن پنجم قبل از میلاد بر آکروپولیس آتن ساخته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Athena</w:t>
      </w:r>
      <w:r>
        <w:rPr>
          <w:rFonts w:ascii="IRNazanin" w:hAnsi="IRNazanin" w:eastAsia="IRNazanin"/>
          <w:b w:val="false"/>
          <w:b w:val="false"/>
          <w:bCs w:val="false"/>
          <w:i w:val="false"/>
          <w:i w:val="false"/>
          <w:iCs w:val="false"/>
          <w:color w:val="333333"/>
          <w:sz w:val="20"/>
          <w:sz w:val="20"/>
          <w:szCs w:val="20"/>
          <w:rtl w:val="true"/>
        </w:rPr>
        <w:t>، یک از مهم‌ترین الهه‌ها در اسطوره‌شناسی یونانی است و یونانیان معبد پارتنون را برای پرستش او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Chi-Ro</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Relief Sculpture</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Conques</w:t>
      </w:r>
      <w:r>
        <w:rPr>
          <w:rFonts w:ascii="IRNazanin" w:hAnsi="IRNazanin" w:eastAsia="IRNazanin"/>
          <w:b w:val="false"/>
          <w:b w:val="false"/>
          <w:bCs w:val="false"/>
          <w:i w:val="false"/>
          <w:i w:val="false"/>
          <w:iCs w:val="false"/>
          <w:color w:val="333333"/>
          <w:sz w:val="20"/>
          <w:sz w:val="20"/>
          <w:szCs w:val="20"/>
          <w:rtl w:val="true"/>
        </w:rPr>
        <w:t>، روستایی در جنوب غربی فرانسه که اکنون تبدیل به شهر کوچکی با همین نام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 and Child</w:t>
      </w:r>
      <w:r>
        <w:rPr>
          <w:rFonts w:ascii="IRNazanin" w:hAnsi="IRNazanin" w:eastAsia="IRNazanin"/>
          <w:b w:val="false"/>
          <w:b w:val="false"/>
          <w:bCs w:val="false"/>
          <w:i w:val="false"/>
          <w:i w:val="false"/>
          <w:iCs w:val="false"/>
          <w:color w:val="333333"/>
          <w:sz w:val="20"/>
          <w:sz w:val="20"/>
          <w:szCs w:val="20"/>
          <w:rtl w:val="true"/>
        </w:rPr>
        <w:t>، یکی از مهم‌ترین موضوعات شمایل‌نگاری در مسیحیت که عبارت است از باز‌نمایی مدونا یا مریم، مادر عیسی به تنهایی یا بیشتر مواقع همراه با پسرش 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Pieta</w:t>
      </w:r>
      <w:r>
        <w:rPr>
          <w:rFonts w:ascii="IRNazanin" w:hAnsi="IRNazanin" w:eastAsia="IRNazanin"/>
          <w:b w:val="false"/>
          <w:b w:val="false"/>
          <w:bCs w:val="false"/>
          <w:i w:val="false"/>
          <w:i w:val="false"/>
          <w:iCs w:val="false"/>
          <w:color w:val="333333"/>
          <w:sz w:val="20"/>
          <w:sz w:val="20"/>
          <w:szCs w:val="20"/>
          <w:rtl w:val="true"/>
        </w:rPr>
        <w:t>، واژه‌ای ایتالیایی به معنای سوگواری و موضوعی در هنر مسیحی که عبارت است از به تصویر کشیدن مریم مقدس در حال بغل کردن بدن مردۀ پسرش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بیشتر مواقع در قالب مجسمه به اجرا در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Andachtsbilder</w:t>
      </w:r>
      <w:r>
        <w:rPr>
          <w:rFonts w:ascii="IRNazanin" w:hAnsi="IRNazanin" w:eastAsia="IRNazanin"/>
          <w:b w:val="false"/>
          <w:b w:val="false"/>
          <w:bCs w:val="false"/>
          <w:i w:val="false"/>
          <w:i w:val="false"/>
          <w:iCs w:val="false"/>
          <w:color w:val="333333"/>
          <w:sz w:val="20"/>
          <w:sz w:val="20"/>
          <w:szCs w:val="20"/>
          <w:rtl w:val="true"/>
        </w:rPr>
        <w:t>، واژه‌ای آلمانی به معنای تصویر عبادی و معمولاً به نقاشی یا مجسمه‌هایی اطلاق می‌شود که موضوعات اندوه و رنج مسیحی را از جمله به صلیب کشیدن یا سوگواری، به تصویر می‌کشند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St.Theresa in Ecstacy</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Carmelite</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Wheel of Law</w:t>
      </w:r>
      <w:r>
        <w:rPr>
          <w:rFonts w:ascii="IRNazanin" w:hAnsi="IRNazanin" w:eastAsia="IRNazanin"/>
          <w:b w:val="false"/>
          <w:b w:val="false"/>
          <w:bCs w:val="false"/>
          <w:i w:val="false"/>
          <w:i w:val="false"/>
          <w:iCs w:val="false"/>
          <w:color w:val="333333"/>
          <w:sz w:val="20"/>
          <w:sz w:val="20"/>
          <w:szCs w:val="20"/>
          <w:rtl w:val="true"/>
        </w:rPr>
        <w:t xml:space="preserve">، معادل واژۀ سانسکریت دارماچاکرا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Dharmachakra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نماد بازنمایی قانون در آیین هندو و بودا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mudras</w:t>
      </w:r>
      <w:r>
        <w:rPr>
          <w:rFonts w:ascii="IRNazanin" w:hAnsi="IRNazanin" w:eastAsia="IRNazanin"/>
          <w:b w:val="false"/>
          <w:b w:val="false"/>
          <w:bCs w:val="false"/>
          <w:i w:val="false"/>
          <w:i w:val="false"/>
          <w:iCs w:val="false"/>
          <w:color w:val="333333"/>
          <w:sz w:val="20"/>
          <w:sz w:val="20"/>
          <w:szCs w:val="20"/>
          <w:rtl w:val="true"/>
        </w:rPr>
        <w:t>، حرکت‌های نمادین و آیینی در آیین هندو و 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برخی مودرا‌ها همۀ بدن را شامل می‌شوند، ولی این حرکات بیشتر مواقع با دست‌ها و انگشتان انجام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urna</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ushina</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Gupta</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Borobudur</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Horyuji</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abhaya mudra</w:t>
      </w:r>
      <w:r>
        <w:rPr>
          <w:rFonts w:ascii="IRNazanin" w:hAnsi="IRNazanin" w:eastAsia="IRNazanin"/>
          <w:b w:val="false"/>
          <w:b w:val="false"/>
          <w:bCs w:val="false"/>
          <w:i w:val="false"/>
          <w:i w:val="false"/>
          <w:iCs w:val="false"/>
          <w:color w:val="333333"/>
          <w:sz w:val="20"/>
          <w:sz w:val="20"/>
          <w:szCs w:val="20"/>
          <w:rtl w:val="true"/>
        </w:rPr>
        <w:t>، مودرای بدون هراس که نشان‌دهندۀ حمایت، صلح، آرامش، خیر‌خواهی و برطرف کردن ترس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Tori Busshi</w:t>
      </w:r>
      <w:r>
        <w:rPr>
          <w:rFonts w:ascii="IRNazanin" w:hAnsi="IRNazanin" w:eastAsia="IRNazanin"/>
          <w:b w:val="false"/>
          <w:b w:val="false"/>
          <w:bCs w:val="false"/>
          <w:i w:val="false"/>
          <w:i w:val="false"/>
          <w:iCs w:val="false"/>
          <w:color w:val="333333"/>
          <w:sz w:val="20"/>
          <w:sz w:val="20"/>
          <w:szCs w:val="20"/>
          <w:rtl w:val="true"/>
        </w:rPr>
        <w:t>، مجسمه‌ساز ژاپنی اواخر قرن ششم و اوایل قرن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نام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Busshi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عنوانی است به معنای سازندۀ تصاویر بودایی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Buddhas of Bamiyan</w:t>
      </w:r>
      <w:r>
        <w:rPr>
          <w:rFonts w:ascii="IRNazanin" w:hAnsi="IRNazanin" w:eastAsia="IRNazanin"/>
          <w:b w:val="false"/>
          <w:b w:val="false"/>
          <w:bCs w:val="false"/>
          <w:i w:val="false"/>
          <w:i w:val="false"/>
          <w:iCs w:val="false"/>
          <w:color w:val="333333"/>
          <w:sz w:val="20"/>
          <w:sz w:val="20"/>
          <w:szCs w:val="20"/>
          <w:rtl w:val="true"/>
        </w:rPr>
        <w:t xml:space="preserve">، دو مجسمۀ بزرگ به بلندی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بودا در استان بامیان افغانستان که بزرگ‌ترین مجسمه‌های بودا و بلند‌ترین مجسمه‌های سنگی در جهان محسوب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عمر، رهبر طالبان در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تخریب این مجسمه‌ها را صادر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American Magazine or a Monthly view of the Political State of the British Colonies</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General Magazine and Historical Chronicle, for All the British plantations in America</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Christian History, Containing Accounts of the Revival and Propagation of Religion in Great-Britain and America</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Arminian Magazine</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Advocate</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Methodists Today</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of Zion</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Salvation Army</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congregations</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فرقه‌ای از پروتستان‌های منونیت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مخالفین تعمید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طی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أمریکا و کانادا سکنی گزیدند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lyceum and Chautauqua adult-education movements</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Cravens 2005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interactive television</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renewal</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oneness</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praying towns</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سرخ‌پوست دهکده‌نشین در آمریکای لاتین؛</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Half Moon Way</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Cross Fire Way</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Monahwec</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و متن ابتدای مدخل را، مترجم محترم به جهت تناسب، به مدخل اضافه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possession</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Day of the Dead</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احضارکنندگان ارواح و کسانی که توانایی برقراری ارتباط با جهان مردگان 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domestic altars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مکان‌هایی در خانه که به ویژه در فرهنگ‌های شرق آسیا به منزلة یادبودی برای فرد درگذشته عمل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vodoun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تک‌خدایی که در نواحی غربی آفریقا پیروان زیادی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Ouija board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planchette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ابزار، تخته‌هایی هستند که روی‌شان حروف الفبا و کلماتی مانند بله و خیر حک شده و به گونه‌های مختلف برای احضار ارواح و برقراری ارتباط با عالم مردگان مورد استفاده قرار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Prayer Rug</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نویسنده، مصلاهای بزرگ نماز است که در آن‌ها نمازهای عید قربان و عید فطر برگزار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این نوع مساجد را با عبارت انگلیسی </w:t>
      </w:r>
      <w:r>
        <w:rPr>
          <w:rFonts w:eastAsia="IRNazanin" w:cs="IRNazanin"/>
          <w:b w:val="false"/>
          <w:bCs w:val="false"/>
          <w:i w:val="false"/>
          <w:iCs w:val="false"/>
          <w:color w:val="333333"/>
          <w:sz w:val="20"/>
          <w:szCs w:val="20"/>
        </w:rPr>
        <w:t>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نویسندۀ مدخل، از مسجد دانشگاهی همان مدارس علمیه را قصد کرده است و البته آن‌ها را نیز نوعی مسجد به حساب آورده است، هم‌چنان‌که محل دفن علما و بزرگان دین را نیز مسجد در نظر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Miracles</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witnesses</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deity</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واژۀ والی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نویسنده، بیانگر مفهوم خلیفه یا امام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تلاش می‌کند باور توسل را برای خوانندۀ غیرمسلمان توضیح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باوری که جزو فرهنگ شیعه تلقی شده و نویسنده ناخوداگاه یا آگاهانه در حال تبیین آن به عنوان یک اصل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حضور اهل سنت و دیدگاه خاص آن‌ها در این‌باره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shamans</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Lourdes</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eye-witness</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Miracles Page</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legitimate</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گتیه تعریف سهوجهی معرفت را زیر سوال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طرح دو نمونه و بیان این‌که ظاهراً در این دو نمونه شرائطِ تعریفِ سهوجهی معرفت برقرار است نشان میدهد که واقعاً معرفتی در آن دو حالت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Directional epistemology</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sense realism</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foundationalism</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coherentism</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 of knowledge</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priori</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posteriori</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revelation</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theology</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theology; or evidences of the existence and attributes of the diety</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 the personality of the diety</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revelation</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Eschatological verification</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subjectivism</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relativism</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global village</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techno-phobe</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Luddite</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computational digitization</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de terminism</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reductionistic explanations</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Paleolithic</w:t>
      </w:r>
      <w:r>
        <w:rPr>
          <w:rFonts w:ascii="IRNazanin" w:hAnsi="IRNazanin" w:eastAsia="IRNazanin"/>
          <w:b w:val="false"/>
          <w:b w:val="false"/>
          <w:bCs w:val="false"/>
          <w:i w:val="false"/>
          <w:i w:val="false"/>
          <w:iCs w:val="false"/>
          <w:color w:val="333333"/>
          <w:sz w:val="20"/>
          <w:sz w:val="20"/>
          <w:szCs w:val="20"/>
          <w:rtl w:val="true"/>
        </w:rPr>
        <w:t>، اولین بخش از دوره‌های چهار‌گانۀ زمین‌شناسی که به عصر حجر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of Kells</w:t>
      </w:r>
      <w:r>
        <w:rPr>
          <w:rFonts w:ascii="IRNazanin" w:hAnsi="IRNazanin" w:eastAsia="IRNazanin"/>
          <w:b w:val="false"/>
          <w:b w:val="false"/>
          <w:bCs w:val="false"/>
          <w:i w:val="false"/>
          <w:i w:val="false"/>
          <w:iCs w:val="false"/>
          <w:color w:val="333333"/>
          <w:sz w:val="20"/>
          <w:sz w:val="20"/>
          <w:szCs w:val="20"/>
          <w:rtl w:val="true"/>
        </w:rPr>
        <w:t>، یک نسخۀ ایرلندیِ مُذهّب از اناجیل، شامل نگاره‌های با‌شکوهی که تصاویری از چهار انجیل‌نویس و طرح‌های انتزاعی مشبک را به نمایش می‌گذارند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incarnation</w:t>
      </w:r>
      <w:r>
        <w:rPr>
          <w:rFonts w:ascii="IRNazanin" w:hAnsi="IRNazanin" w:eastAsia="IRNazanin"/>
          <w:b w:val="false"/>
          <w:b w:val="false"/>
          <w:bCs w:val="false"/>
          <w:i w:val="false"/>
          <w:i w:val="false"/>
          <w:iCs w:val="false"/>
          <w:color w:val="333333"/>
          <w:sz w:val="20"/>
          <w:sz w:val="20"/>
          <w:szCs w:val="20"/>
          <w:rtl w:val="true"/>
        </w:rPr>
        <w:t>، حلول، تجسد یا اتحاد ذات خداوند با ذات بشر در شخص عیسی مسیح، که از اصول اساسی مسیحیت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Ghent</w:t>
      </w:r>
      <w:r>
        <w:rPr>
          <w:rFonts w:ascii="IRNazanin" w:hAnsi="IRNazanin" w:eastAsia="IRNazanin"/>
          <w:b w:val="false"/>
          <w:b w:val="false"/>
          <w:bCs w:val="false"/>
          <w:i w:val="false"/>
          <w:i w:val="false"/>
          <w:iCs w:val="false"/>
          <w:color w:val="333333"/>
          <w:sz w:val="20"/>
          <w:sz w:val="20"/>
          <w:szCs w:val="20"/>
          <w:rtl w:val="true"/>
        </w:rPr>
        <w:t>، از بزرگ‌ترین شهر‌های بلژیک که در شمال‌غربی این کشور قرار دارد و در قدیم پایتخت ناحیۀ شرقی فلاندر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Alsatian</w:t>
      </w:r>
      <w:r>
        <w:rPr>
          <w:rFonts w:ascii="IRNazanin" w:hAnsi="IRNazanin" w:eastAsia="IRNazanin"/>
          <w:b w:val="false"/>
          <w:b w:val="false"/>
          <w:bCs w:val="false"/>
          <w:i w:val="false"/>
          <w:i w:val="false"/>
          <w:iCs w:val="false"/>
          <w:color w:val="333333"/>
          <w:sz w:val="20"/>
          <w:sz w:val="20"/>
          <w:szCs w:val="20"/>
          <w:rtl w:val="true"/>
        </w:rPr>
        <w:t xml:space="preserve">، اهل اَلساس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Alsace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منطقه و استانی قدیمی در فرانسه که در غرب رود راین واقع شده است و بزرگ‌ترین شهر آن استراسبورگ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Scrovegni Chapel</w:t>
      </w:r>
      <w:r>
        <w:rPr>
          <w:rFonts w:ascii="IRNazanin" w:hAnsi="IRNazanin" w:eastAsia="IRNazanin"/>
          <w:b w:val="false"/>
          <w:b w:val="false"/>
          <w:bCs w:val="false"/>
          <w:i w:val="false"/>
          <w:i w:val="false"/>
          <w:iCs w:val="false"/>
          <w:color w:val="333333"/>
          <w:sz w:val="20"/>
          <w:sz w:val="20"/>
          <w:szCs w:val="20"/>
          <w:rtl w:val="true"/>
        </w:rPr>
        <w:t>، کلیسای کوچکی در شهر پادوآی ایتالیا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Giotto (1337- 1267)</w:t>
      </w:r>
      <w:r>
        <w:rPr>
          <w:rFonts w:ascii="IRNazanin" w:hAnsi="IRNazanin" w:eastAsia="IRNazanin"/>
          <w:b w:val="false"/>
          <w:b w:val="false"/>
          <w:bCs w:val="false"/>
          <w:i w:val="false"/>
          <w:i w:val="false"/>
          <w:iCs w:val="false"/>
          <w:color w:val="333333"/>
          <w:sz w:val="20"/>
          <w:sz w:val="20"/>
          <w:szCs w:val="20"/>
          <w:rtl w:val="true"/>
        </w:rPr>
        <w:t>، معروف‌ترین نقاش ایتالیایی در قرن چهاردهم میلادی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Brancacci Chapel</w:t>
      </w:r>
      <w:r>
        <w:rPr>
          <w:rFonts w:ascii="IRNazanin" w:hAnsi="IRNazanin" w:eastAsia="IRNazanin"/>
          <w:b w:val="false"/>
          <w:b w:val="false"/>
          <w:bCs w:val="false"/>
          <w:i w:val="false"/>
          <w:i w:val="false"/>
          <w:iCs w:val="false"/>
          <w:color w:val="333333"/>
          <w:sz w:val="20"/>
          <w:sz w:val="20"/>
          <w:szCs w:val="20"/>
          <w:rtl w:val="true"/>
        </w:rPr>
        <w:t>، کلیسای کوچکی در سانتا ماریا دل کارمینه در فلورانس ایتالیا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Masaccio (1428- 1401)</w:t>
      </w:r>
      <w:r>
        <w:rPr>
          <w:rFonts w:ascii="IRNazanin" w:hAnsi="IRNazanin" w:eastAsia="IRNazanin"/>
          <w:b w:val="false"/>
          <w:b w:val="false"/>
          <w:bCs w:val="false"/>
          <w:i w:val="false"/>
          <w:i w:val="false"/>
          <w:iCs w:val="false"/>
          <w:color w:val="333333"/>
          <w:sz w:val="20"/>
          <w:sz w:val="20"/>
          <w:szCs w:val="20"/>
          <w:rtl w:val="true"/>
        </w:rPr>
        <w:t>، اولین نقاش بزرگ رنسانس در ایتالیا که نامش در اصل، توماسو دی جیو‌وانی دی سیمونه دی گویدی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Sistine Chapel</w:t>
      </w:r>
      <w:r>
        <w:rPr>
          <w:rFonts w:ascii="IRNazanin" w:hAnsi="IRNazanin" w:eastAsia="IRNazanin"/>
          <w:b w:val="false"/>
          <w:b w:val="false"/>
          <w:bCs w:val="false"/>
          <w:i w:val="false"/>
          <w:i w:val="false"/>
          <w:iCs w:val="false"/>
          <w:color w:val="333333"/>
          <w:sz w:val="20"/>
          <w:sz w:val="20"/>
          <w:szCs w:val="20"/>
          <w:rtl w:val="true"/>
        </w:rPr>
        <w:t>، کلیسایی در واتیکان، بخش شمال غربی شهر رُم در ایتالیا، که محل استقرار پاپ یا اسقف شهر رُم، پیشوای کاتولیک‌های جهان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Michelangelo (1565- 1475)</w:t>
      </w:r>
      <w:r>
        <w:rPr>
          <w:rFonts w:ascii="IRNazanin" w:hAnsi="IRNazanin" w:eastAsia="IRNazanin"/>
          <w:b w:val="false"/>
          <w:b w:val="false"/>
          <w:bCs w:val="false"/>
          <w:i w:val="false"/>
          <w:i w:val="false"/>
          <w:iCs w:val="false"/>
          <w:color w:val="333333"/>
          <w:sz w:val="20"/>
          <w:sz w:val="20"/>
          <w:szCs w:val="20"/>
          <w:rtl w:val="true"/>
        </w:rPr>
        <w:t>، مجسمه‌ساز، نقاش، معمار و شاعر ایتالیایی دورۀ رنسانس که فضیلت‌های هنر‌مندانه‌اش تأثیر بسیار زیادی بر هنرمندان آن دوران و هنر اروپایی دوران پس از وی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او میکل‌آنجلو دی لُدُویکو بوناروتی سیمونی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Mother of God</w:t>
      </w:r>
      <w:r>
        <w:rPr>
          <w:rFonts w:ascii="IRNazanin" w:hAnsi="IRNazanin" w:eastAsia="IRNazanin"/>
          <w:b w:val="false"/>
          <w:b w:val="false"/>
          <w:bCs w:val="false"/>
          <w:i w:val="false"/>
          <w:i w:val="false"/>
          <w:iCs w:val="false"/>
          <w:color w:val="333333"/>
          <w:sz w:val="20"/>
          <w:sz w:val="20"/>
          <w:szCs w:val="20"/>
          <w:rtl w:val="true"/>
        </w:rPr>
        <w:t>، مسیحیان در قرن دوم میلادی با نام بردن از مریم مقدس تحت عنوان مادرِ خدا، او را مورد احترام قرار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که در اصل تأکید بر الوهیت مسیح دارد در جریان اختلافات قرن چهارم بر سر ذات الهی و بشری مسیح وارد نوشته‌های مربوط به علم الهیات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نِسطوریوس، سر‌اسقف شهر کنستانتینوپل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استانبول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طرز استفادۀ این اصطلاح اعتراض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اصرار داشت که مریم، مادر مسیح بود، نه مادر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شورای شهر اِفسوس عقاید نسطوری را محکوم نمود و همراه با تشریفات خاصی با صراحت اعلام کرد که مریم با واژۀ یونانی </w:t>
      </w:r>
      <w:r>
        <w:rPr>
          <w:rFonts w:eastAsia="IRNazanin" w:cs="IRNazanin"/>
          <w:b w:val="false"/>
          <w:bCs w:val="false"/>
          <w:i w:val="false"/>
          <w:iCs w:val="false"/>
          <w:color w:val="333333"/>
          <w:sz w:val="20"/>
          <w:szCs w:val="20"/>
        </w:rPr>
        <w:t>theotokos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 مادر خدا خوانده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Eucharist</w:t>
      </w:r>
      <w:r>
        <w:rPr>
          <w:rFonts w:ascii="IRNazanin" w:hAnsi="IRNazanin" w:eastAsia="IRNazanin"/>
          <w:b w:val="false"/>
          <w:b w:val="false"/>
          <w:bCs w:val="false"/>
          <w:i w:val="false"/>
          <w:i w:val="false"/>
          <w:iCs w:val="false"/>
          <w:color w:val="333333"/>
          <w:sz w:val="20"/>
          <w:sz w:val="20"/>
          <w:szCs w:val="20"/>
          <w:rtl w:val="true"/>
        </w:rPr>
        <w:t>، مهم‌ترین مراسم در مذهب مسیحی که در آن نان و شراب نمادین یا مقدس می‌خورند تا یاد آخرین شام پیش از مرگ حضرت مسیح را همراه حواریون گرامی بدارند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Counter Reformation</w:t>
      </w:r>
      <w:r>
        <w:rPr>
          <w:rFonts w:ascii="IRNazanin" w:hAnsi="IRNazanin" w:eastAsia="IRNazanin"/>
          <w:b w:val="false"/>
          <w:b w:val="false"/>
          <w:bCs w:val="false"/>
          <w:i w:val="false"/>
          <w:i w:val="false"/>
          <w:iCs w:val="false"/>
          <w:color w:val="333333"/>
          <w:sz w:val="20"/>
          <w:sz w:val="20"/>
          <w:szCs w:val="20"/>
          <w:rtl w:val="true"/>
        </w:rPr>
        <w:t>، نهضتی درون کلیسای کاتولیک روم در قرون شانزدهم و هفدهم که در پی احیاء کلیسا برای مقابله با قدرت فزایندۀ نهضت اصلاحات پروتستان در اروپا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Caravaggio (1910- 1573)</w:t>
      </w:r>
      <w:r>
        <w:rPr>
          <w:rFonts w:ascii="IRNazanin" w:hAnsi="IRNazanin" w:eastAsia="IRNazanin"/>
          <w:b w:val="false"/>
          <w:b w:val="false"/>
          <w:bCs w:val="false"/>
          <w:i w:val="false"/>
          <w:i w:val="false"/>
          <w:iCs w:val="false"/>
          <w:color w:val="333333"/>
          <w:sz w:val="20"/>
          <w:sz w:val="20"/>
          <w:szCs w:val="20"/>
          <w:rtl w:val="true"/>
        </w:rPr>
        <w:t>، نقاش ایتالیایی سبک باروک که در نقاشی طبیعت‌گرای اوایل قرن هفدهم همتا نداشت و نام اصلی او میکل‌آنجلو مریسی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Rubens (1640- 1577)</w:t>
      </w:r>
      <w:r>
        <w:rPr>
          <w:rFonts w:ascii="IRNazanin" w:hAnsi="IRNazanin" w:eastAsia="IRNazanin"/>
          <w:b w:val="false"/>
          <w:b w:val="false"/>
          <w:bCs w:val="false"/>
          <w:i w:val="false"/>
          <w:i w:val="false"/>
          <w:iCs w:val="false"/>
          <w:color w:val="333333"/>
          <w:sz w:val="20"/>
          <w:sz w:val="20"/>
          <w:szCs w:val="20"/>
          <w:rtl w:val="true"/>
        </w:rPr>
        <w:t>، نقاش فلاندری با نام کامل پیتر پائول روبنس، مهم‌ترین نقاش قرن هفدهم قلمداد می‌گردد که سبکش معرف وجوه بسیار احساسی و سر‌زندۀ نقاشی باروک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Rothko (1970- 1903)</w:t>
      </w:r>
      <w:r>
        <w:rPr>
          <w:rFonts w:ascii="IRNazanin" w:hAnsi="IRNazanin" w:eastAsia="IRNazanin"/>
          <w:b w:val="false"/>
          <w:b w:val="false"/>
          <w:bCs w:val="false"/>
          <w:i w:val="false"/>
          <w:i w:val="false"/>
          <w:iCs w:val="false"/>
          <w:color w:val="333333"/>
          <w:sz w:val="20"/>
          <w:sz w:val="20"/>
          <w:szCs w:val="20"/>
          <w:rtl w:val="true"/>
        </w:rPr>
        <w:t>، نقاش متولد روسیه که در ده سالگی همراه خانواده‌اش به آمریکا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معروفیت روتکو به خاطر نقاشی‌های انتزاعی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چهر‌ه‌ای شاخص در نهضت اکسپرسیونیسم انتزاعی بود و از رنگ برای القای طیفی از عواطف و طبق تعریف خود هنرمند تجربۀ مذهبی استفاده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Barnett Newman (1970- 1905)</w:t>
      </w:r>
      <w:r>
        <w:rPr>
          <w:rFonts w:ascii="IRNazanin" w:hAnsi="IRNazanin" w:eastAsia="IRNazanin"/>
          <w:b w:val="false"/>
          <w:b w:val="false"/>
          <w:bCs w:val="false"/>
          <w:i w:val="false"/>
          <w:i w:val="false"/>
          <w:iCs w:val="false"/>
          <w:color w:val="333333"/>
          <w:sz w:val="20"/>
          <w:sz w:val="20"/>
          <w:szCs w:val="20"/>
          <w:rtl w:val="true"/>
        </w:rPr>
        <w:t>، نقاش آمریکایی که هم جزو دستۀ نقاشان اکسپرسیونیسم انتزاعی و هم در زمرۀ نمایندگان شاخص نقاشی زمینه‌رنگی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معروفیت او بیشتر به خاطر بوم‌های ساده‌شده‌ای است که در آن‌ها توده‌ای بزرگ از رنگ یا زمینه‌رنگ با یک یا چند خط عمودی قطع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Ramayana</w:t>
      </w:r>
      <w:r>
        <w:rPr>
          <w:rFonts w:ascii="IRNazanin" w:hAnsi="IRNazanin" w:eastAsia="IRNazanin"/>
          <w:b w:val="false"/>
          <w:b w:val="false"/>
          <w:bCs w:val="false"/>
          <w:i w:val="false"/>
          <w:i w:val="false"/>
          <w:iCs w:val="false"/>
          <w:color w:val="333333"/>
          <w:sz w:val="20"/>
          <w:sz w:val="20"/>
          <w:szCs w:val="20"/>
          <w:rtl w:val="true"/>
        </w:rPr>
        <w:t>، واژه‌ای سانسکریت به معنای طریق راما، یکی از دو حماسۀ بزگ سانسکریت هند باستان که دیگری مهابهاراتا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حماسه توصیفات و زبان شاعرانه‌ای بسیار غنی دارد و شامل هفت کتاب و بالغ بر </w:t>
      </w:r>
      <w:r>
        <w:rPr>
          <w:rFonts w:eastAsia="IRNazanin" w:cs="IRNazanin"/>
          <w:b w:val="false"/>
          <w:bCs w:val="false"/>
          <w:i w:val="false"/>
          <w:iCs w:val="false"/>
          <w:color w:val="333333"/>
          <w:sz w:val="20"/>
          <w:szCs w:val="20"/>
        </w:rPr>
        <w:t>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دوبیتی است که به بسیاری از زبان‌های دنیا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Bhagavad Gita</w:t>
      </w:r>
      <w:r>
        <w:rPr>
          <w:rFonts w:ascii="IRNazanin" w:hAnsi="IRNazanin" w:eastAsia="IRNazanin"/>
          <w:b w:val="false"/>
          <w:b w:val="false"/>
          <w:bCs w:val="false"/>
          <w:i w:val="false"/>
          <w:i w:val="false"/>
          <w:iCs w:val="false"/>
          <w:color w:val="333333"/>
          <w:sz w:val="20"/>
          <w:sz w:val="20"/>
          <w:szCs w:val="20"/>
          <w:rtl w:val="true"/>
        </w:rPr>
        <w:t xml:space="preserve">، به معنی آواز خداوندگار و شعری به زبان سانسکریت مشتمل بر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است که بسیاری از هندو‌ها آن را مهم‌ترین نوشتار و جوهر اعتقادشان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همگی فیلسوفان برجستۀ هندو تفسیری بر گیتا نوشته‌اند و هم‌چنان تفاسیر و ترجمه‌های بیشتر از این اثر در حال پدید‌آمدن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Vishnu</w:t>
      </w:r>
      <w:r>
        <w:rPr>
          <w:rFonts w:ascii="IRNazanin" w:hAnsi="IRNazanin" w:eastAsia="IRNazanin"/>
          <w:b w:val="false"/>
          <w:b w:val="false"/>
          <w:bCs w:val="false"/>
          <w:i w:val="false"/>
          <w:i w:val="false"/>
          <w:iCs w:val="false"/>
          <w:color w:val="333333"/>
          <w:sz w:val="20"/>
          <w:sz w:val="20"/>
          <w:szCs w:val="20"/>
          <w:rtl w:val="true"/>
        </w:rPr>
        <w:t xml:space="preserve">، یا چو 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Chu 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ارشد‌خدای آیین هندو و اسطوره‌شناسی هندی است که به عنوان نگهدارندۀ کائنات شناخته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Krishna</w:t>
      </w:r>
      <w:r>
        <w:rPr>
          <w:rFonts w:ascii="IRNazanin" w:hAnsi="IRNazanin" w:eastAsia="IRNazanin"/>
          <w:b w:val="false"/>
          <w:b w:val="false"/>
          <w:bCs w:val="false"/>
          <w:i w:val="false"/>
          <w:i w:val="false"/>
          <w:iCs w:val="false"/>
          <w:color w:val="333333"/>
          <w:sz w:val="20"/>
          <w:sz w:val="20"/>
          <w:szCs w:val="20"/>
          <w:rtl w:val="true"/>
        </w:rPr>
        <w:t>، در آیین هندو و اسطوره‌شناسی هندی، هشتمین تجسد یا حلولِ ویشنو‌خدا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سنتی، ویشنو به شکل کریشنا در آمد تا دنیا را از وجود شاهی ظالم به نام کامسا، پسر یک اهریمن، پاک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Radha</w:t>
      </w:r>
      <w:r>
        <w:rPr>
          <w:rFonts w:ascii="IRNazanin" w:hAnsi="IRNazanin" w:eastAsia="IRNazanin"/>
          <w:b w:val="false"/>
          <w:b w:val="false"/>
          <w:bCs w:val="false"/>
          <w:i w:val="false"/>
          <w:i w:val="false"/>
          <w:iCs w:val="false"/>
          <w:color w:val="333333"/>
          <w:sz w:val="20"/>
          <w:sz w:val="20"/>
          <w:szCs w:val="20"/>
          <w:rtl w:val="true"/>
        </w:rPr>
        <w:t>، در حماسۀ هندویی مهابهاراتا، همسر یک گا‌وچران است که شوهرش را به خاطر عشق کریشنا رها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mandala</w:t>
      </w:r>
      <w:r>
        <w:rPr>
          <w:rFonts w:ascii="IRNazanin" w:hAnsi="IRNazanin" w:eastAsia="IRNazanin"/>
          <w:b w:val="false"/>
          <w:b w:val="false"/>
          <w:bCs w:val="false"/>
          <w:i w:val="false"/>
          <w:i w:val="false"/>
          <w:iCs w:val="false"/>
          <w:color w:val="333333"/>
          <w:sz w:val="20"/>
          <w:sz w:val="20"/>
          <w:szCs w:val="20"/>
          <w:rtl w:val="true"/>
        </w:rPr>
        <w:t>، نموداری هندسی در آیین هندو و بودایی است که به عنوان تمرکز یا راهنمایی برای مراقبه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ماندالا کائنات را به شکل تصویری باز‌نمایی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عبادت‌کننده به طور تخیلی وارد ماندالا می‌شود، با دقت تمام بر هر یک از مراحل آن تمرکز می‌کند و با نزدیک شدن به مرکز ماندالا، منطق شکل آن را درک و هضم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Dream time</w:t>
      </w:r>
      <w:r>
        <w:rPr>
          <w:rFonts w:ascii="IRNazanin" w:hAnsi="IRNazanin" w:eastAsia="IRNazanin"/>
          <w:b w:val="false"/>
          <w:b w:val="false"/>
          <w:bCs w:val="false"/>
          <w:i w:val="false"/>
          <w:i w:val="false"/>
          <w:iCs w:val="false"/>
          <w:color w:val="333333"/>
          <w:sz w:val="20"/>
          <w:sz w:val="20"/>
          <w:szCs w:val="20"/>
          <w:rtl w:val="true"/>
        </w:rPr>
        <w:t>، مذهب مردمان بومی استرالیا بر داستان‌هایی از منشأ آن‌ها و خلقت جهان تمرکز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زمان منشأ خود را جوکورپا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Jukurrpa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وُنگار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Wongar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زبان انگلیسی این داستان‌های خلقت چه به طور انفرادی و چه جمعاً به لحظۀ رؤیا معروفند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لحظۀ رؤیا به دورۀ شکل‌گیری زمین و آفرینش موجودات زنده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اسطوره‌شناسی بومیان استرالیا، </w:t>
      </w:r>
      <w:r>
        <w:rPr>
          <w:rFonts w:eastAsia="IRNazanin" w:cs="IRNazanin"/>
          <w:b w:val="false"/>
          <w:bCs w:val="false"/>
          <w:i w:val="false"/>
          <w:iCs w:val="false"/>
          <w:color w:val="333333"/>
          <w:sz w:val="20"/>
          <w:szCs w:val="20"/>
        </w:rPr>
        <w:t>Rainbow Serpent</w:t>
      </w:r>
      <w:r>
        <w:rPr>
          <w:rFonts w:ascii="IRNazanin" w:hAnsi="IRNazanin" w:eastAsia="IRNazanin"/>
          <w:b w:val="false"/>
          <w:b w:val="false"/>
          <w:bCs w:val="false"/>
          <w:i w:val="false"/>
          <w:i w:val="false"/>
          <w:iCs w:val="false"/>
          <w:color w:val="333333"/>
          <w:sz w:val="20"/>
          <w:sz w:val="20"/>
          <w:szCs w:val="20"/>
          <w:rtl w:val="true"/>
        </w:rPr>
        <w:t>، یک روح خلاق مشترک برای مذاهب سراسر کشور وجود دارد که بعضی وقت‌ها مذکر، برخی مواقع مؤنث و به شکل مار افعی غول‌پیکری است که به وسیلۀ رنگین‌کمان احاطه می‌شود و با آب و باروری همراه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semiotics</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symbolism</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Christian Doctrine</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Augustine, 1958</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Augustine, 1958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Augustine, 1958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 1991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رفتارگرایی، به عنوان یک مکتب فکری معتقد بود هر یک از کنش‌های آدمی را می‌توان پاسخی در برابر یک محرک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Meaning of Meaning</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engram</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sign-situation</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 1965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synecdoche</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 1965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behaviorist semiotics</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Langer, 1960</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Langer, 1960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abductive logic</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Defamation</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British Muslim Action Front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blasphemy law</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Established church</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B’nai B’rith</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Mormons</w:t>
      </w:r>
      <w:r>
        <w:rPr>
          <w:rFonts w:ascii="IRNazanin" w:hAnsi="IRNazanin" w:eastAsia="IRNazanin"/>
          <w:b w:val="false"/>
          <w:b w:val="false"/>
          <w:bCs w:val="false"/>
          <w:i w:val="false"/>
          <w:i w:val="false"/>
          <w:iCs w:val="false"/>
          <w:color w:val="333333"/>
          <w:sz w:val="20"/>
          <w:sz w:val="20"/>
          <w:szCs w:val="20"/>
          <w:rtl w:val="true"/>
        </w:rPr>
        <w:t xml:space="preserve">فرقه‌ای مذهبی در آمریکا که سال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پایه‌گذاری شد و پیروانش خود را نمونه‌های امروزی مؤمنان به کلیسای مسیح می‌دانند و معتقدند که دیگر فرقه‌های مسیحی به بیراهه 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 without My Daughter</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big brother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دیکتاتوری است با ظاهری مهربان که جزییات زندگی آحاد ملت را زیر نظر دارد و در جایی که لازم ببیند، اِعمال قدرت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عنوان نام یک برنامۀ پرطرفدار تلویزیونی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رمان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ماندگار جرج اورول، شخصیتی که بر همه چیز ناظر و همه چیز در کنترل وی است، برادر بزرگ خوانده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download</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Wiccans: ) (Wiccas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فرقه‌ای مذهبی معتقد به جادوگری مدرن و مبتنی بر طبیعت که در 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وسیلة جِرالد گاردنِر انگلیسی در سطح اجتماعی مطرح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Pornography</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Obscene</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Indecent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Erotic</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X-RATED</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Sexually Explicit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Steinem 1980, 37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آزارگری، آزارخواهی، سادومازوخیسم، تجاوز به عنف و تجاوز به فردی که به تخت‌خواب بسته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تماس جنسی با حیوانات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Jacobellis v. Ohio 1964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 v. United States, 1957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v. California 1973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Contract with the American Family</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interactive DVDs</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teen</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niche sites</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habituation hypothesis</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همان مشکل اخلاقی آزمودن فرضیه‌ها بر روی نوجوانان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Zillman &amp; Bryant 1988 b, 452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iconoclasts</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iconodules</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Buddhist landscape garden</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Resurrection</w:t>
      </w:r>
      <w:r>
        <w:rPr>
          <w:rFonts w:ascii="IRNazanin" w:hAnsi="IRNazanin" w:eastAsia="IRNazanin"/>
          <w:b w:val="false"/>
          <w:b w:val="false"/>
          <w:bCs w:val="false"/>
          <w:i w:val="false"/>
          <w:i w:val="false"/>
          <w:iCs w:val="false"/>
          <w:color w:val="333333"/>
          <w:sz w:val="20"/>
          <w:sz w:val="20"/>
          <w:szCs w:val="20"/>
          <w:rtl w:val="true"/>
        </w:rPr>
        <w:t>، در برخی نظام‌های اعتقادی از جمله مسیحیت، به معنی رستاخیز، قیام یا برخواستن کسی از مرگ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Nativity</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concrete symbolism</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satori</w:t>
      </w:r>
      <w:r>
        <w:rPr>
          <w:rFonts w:ascii="IRNazanin" w:hAnsi="IRNazanin" w:eastAsia="IRNazanin"/>
          <w:b w:val="false"/>
          <w:b w:val="false"/>
          <w:bCs w:val="false"/>
          <w:i w:val="false"/>
          <w:i w:val="false"/>
          <w:iCs w:val="false"/>
          <w:color w:val="333333"/>
          <w:sz w:val="20"/>
          <w:sz w:val="20"/>
          <w:szCs w:val="20"/>
          <w:rtl w:val="true"/>
        </w:rPr>
        <w:t>، واژۀ ژاپنی که به معنای بصیرت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Exodus</w:t>
      </w:r>
      <w:r>
        <w:rPr>
          <w:rFonts w:ascii="IRNazanin" w:hAnsi="IRNazanin" w:eastAsia="IRNazanin"/>
          <w:b w:val="false"/>
          <w:b w:val="false"/>
          <w:bCs w:val="false"/>
          <w:i w:val="false"/>
          <w:i w:val="false"/>
          <w:iCs w:val="false"/>
          <w:color w:val="333333"/>
          <w:sz w:val="20"/>
          <w:sz w:val="20"/>
          <w:szCs w:val="20"/>
          <w:rtl w:val="true"/>
        </w:rPr>
        <w:t>، دومین کتاب انجیل است که مهاجرت قوم بنی‌اسرائیل را از مصر و دریافت کردن ده فرمان را توسط حضرت موسی بالای کوه سینا شرح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Ark of the Covenant</w:t>
      </w:r>
      <w:r>
        <w:rPr>
          <w:rFonts w:ascii="IRNazanin" w:hAnsi="IRNazanin" w:eastAsia="IRNazanin"/>
          <w:b w:val="false"/>
          <w:b w:val="false"/>
          <w:bCs w:val="false"/>
          <w:i w:val="false"/>
          <w:i w:val="false"/>
          <w:iCs w:val="false"/>
          <w:color w:val="333333"/>
          <w:sz w:val="20"/>
          <w:sz w:val="20"/>
          <w:szCs w:val="20"/>
          <w:rtl w:val="true"/>
        </w:rPr>
        <w:t>، به نقل از کتاب مقدس، صندوقی است که موسی دو لوح سنگی حاوی ده فرمان را درون آن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Tabernacle</w:t>
      </w:r>
      <w:r>
        <w:rPr>
          <w:rFonts w:ascii="IRNazanin" w:hAnsi="IRNazanin" w:eastAsia="IRNazanin"/>
          <w:b w:val="false"/>
          <w:b w:val="false"/>
          <w:bCs w:val="false"/>
          <w:i w:val="false"/>
          <w:i w:val="false"/>
          <w:iCs w:val="false"/>
          <w:color w:val="333333"/>
          <w:sz w:val="20"/>
          <w:sz w:val="20"/>
          <w:szCs w:val="20"/>
          <w:rtl w:val="true"/>
        </w:rPr>
        <w:t>، طبق شرح عهد قدیم، خیمه‌ای است که موسی آن را در جریان مهاجرت بنی‌اسرائیل از مصر ساخت تا صندوق ده‌فرمان را با آن حمل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Bezalel</w:t>
      </w:r>
      <w:r>
        <w:rPr>
          <w:rFonts w:ascii="IRNazanin" w:hAnsi="IRNazanin" w:eastAsia="IRNazanin"/>
          <w:b w:val="false"/>
          <w:b w:val="false"/>
          <w:bCs w:val="false"/>
          <w:i w:val="false"/>
          <w:i w:val="false"/>
          <w:iCs w:val="false"/>
          <w:color w:val="333333"/>
          <w:sz w:val="20"/>
          <w:sz w:val="20"/>
          <w:szCs w:val="20"/>
          <w:rtl w:val="true"/>
        </w:rPr>
        <w:t>، طراح و سازندۀ اصلی خیمۀ 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Circumcision bench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640.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98314</Words>
  <Characters>407870</Characters>
  <CharactersWithSpaces>503653</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2026-08-18T06:19:30Z</dcterms:created>
  <dc:creator>ghaemiyeh.com</dc:creator>
  <dc:description/>
  <dc:language>en-US</dc:language>
  <cp:lastModifiedBy/>
  <dcterms:modified xsi:type="dcterms:W3CDTF">2026-08-18T09:49:43Z</dcterms:modified>
  <cp:revision>1</cp:revision>
  <dc:subject/>
  <dc:title>برگزیده دانش نامه دین ارتباطات و رسانه</dc:title>
</cp:coreProperties>
</file>

<file path=docProps/custom.xml><?xml version="1.0" encoding="utf-8"?>
<Properties xmlns="http://schemas.openxmlformats.org/officeDocument/2006/custom-properties" xmlns:vt="http://schemas.openxmlformats.org/officeDocument/2006/docPropsVTypes"/>
</file>