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ابحاث حول المهدویه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9985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29987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29989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129991_274958925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129993_2749589250">
            <w:r>
              <w:rPr>
                <w:webHidden/>
                <w:rStyle w:val="IndexLink"/>
              </w:rPr>
              <w:t>1</w:t>
            </w:r>
            <w:r>
              <w:rPr>
                <w:rStyle w:val="IndexLink"/>
                <w:rtl w:val="true"/>
              </w:rPr>
              <w:t xml:space="preserve">. </w:t>
            </w:r>
            <w:r>
              <w:rPr>
                <w:rStyle w:val="IndexLink"/>
                <w:rtl w:val="true"/>
              </w:rPr>
              <w:t>ضرورة البحث</w:t>
            </w:r>
            <w:r>
              <w:rPr>
                <w:rStyle w:val="IndexLink"/>
                <w:rtl w:val="true"/>
              </w:rPr>
              <w:tab/>
            </w:r>
            <w:r>
              <w:rPr>
                <w:rStyle w:val="IndexLink"/>
              </w:rPr>
              <w:t>12</w:t>
            </w:r>
          </w:hyperlink>
        </w:p>
        <w:p>
          <w:pPr>
            <w:pStyle w:val="Contents2"/>
            <w:tabs>
              <w:tab w:val="clear" w:pos="8743"/>
              <w:tab w:val="right" w:pos="9026" w:leader="dot"/>
            </w:tabs>
            <w:rPr/>
          </w:pPr>
          <w:hyperlink w:anchor="__RefHeading___Toc2129995_2749589250">
            <w:r>
              <w:rPr>
                <w:webHidden/>
                <w:rStyle w:val="IndexLink"/>
              </w:rPr>
              <w:t>2</w:t>
            </w:r>
            <w:r>
              <w:rPr>
                <w:rStyle w:val="IndexLink"/>
                <w:rtl w:val="true"/>
              </w:rPr>
              <w:t xml:space="preserve">. </w:t>
            </w:r>
            <w:r>
              <w:rPr>
                <w:rStyle w:val="IndexLink"/>
                <w:rtl w:val="true"/>
              </w:rPr>
              <w:t>المهدویة عند أهل السنة</w:t>
            </w:r>
            <w:r>
              <w:rPr>
                <w:rStyle w:val="IndexLink"/>
                <w:rtl w:val="true"/>
              </w:rPr>
              <w:tab/>
            </w:r>
            <w:r>
              <w:rPr>
                <w:rStyle w:val="IndexLink"/>
              </w:rPr>
              <w:t>20</w:t>
            </w:r>
          </w:hyperlink>
        </w:p>
        <w:p>
          <w:pPr>
            <w:pStyle w:val="Contents3"/>
            <w:tabs>
              <w:tab w:val="clear" w:pos="8459"/>
              <w:tab w:val="right" w:pos="9026" w:leader="dot"/>
            </w:tabs>
            <w:rPr/>
          </w:pPr>
          <w:hyperlink w:anchor="__RefHeading___Toc2129997_274958925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129999_2749589250">
            <w:r>
              <w:rPr>
                <w:webHidden/>
                <w:rStyle w:val="IndexLink"/>
                <w:rtl w:val="true"/>
              </w:rPr>
              <w:t>کلام أحد علماء أهل السنة</w:t>
            </w:r>
            <w:r>
              <w:rPr>
                <w:rStyle w:val="IndexLink"/>
                <w:rtl w:val="true"/>
              </w:rPr>
              <w:tab/>
            </w:r>
            <w:r>
              <w:rPr>
                <w:rStyle w:val="IndexLink"/>
              </w:rPr>
              <w:t>22</w:t>
            </w:r>
          </w:hyperlink>
        </w:p>
        <w:p>
          <w:pPr>
            <w:pStyle w:val="Contents3"/>
            <w:tabs>
              <w:tab w:val="clear" w:pos="8459"/>
              <w:tab w:val="right" w:pos="9026" w:leader="dot"/>
            </w:tabs>
            <w:rPr/>
          </w:pPr>
          <w:hyperlink w:anchor="__RefHeading___Toc2130001_2749589250">
            <w:r>
              <w:rPr>
                <w:webHidden/>
                <w:rStyle w:val="IndexLink"/>
                <w:rtl w:val="true"/>
              </w:rPr>
              <w:t>الإشارة الی بعض ما جاء فی کتب أهل السنة</w:t>
            </w:r>
            <w:r>
              <w:rPr>
                <w:rStyle w:val="IndexLink"/>
                <w:rtl w:val="true"/>
              </w:rPr>
              <w:tab/>
            </w:r>
            <w:r>
              <w:rPr>
                <w:rStyle w:val="IndexLink"/>
              </w:rPr>
              <w:t>24</w:t>
            </w:r>
          </w:hyperlink>
        </w:p>
        <w:p>
          <w:pPr>
            <w:pStyle w:val="Contents2"/>
            <w:tabs>
              <w:tab w:val="clear" w:pos="8743"/>
              <w:tab w:val="right" w:pos="9026" w:leader="dot"/>
            </w:tabs>
            <w:rPr/>
          </w:pPr>
          <w:hyperlink w:anchor="__RefHeading___Toc2130003_2749589250">
            <w:r>
              <w:rPr>
                <w:webHidden/>
                <w:rStyle w:val="IndexLink"/>
              </w:rPr>
              <w:t>3</w:t>
            </w:r>
            <w:r>
              <w:rPr>
                <w:rStyle w:val="IndexLink"/>
                <w:rtl w:val="true"/>
              </w:rPr>
              <w:t xml:space="preserve">. </w:t>
            </w:r>
            <w:r>
              <w:rPr>
                <w:rStyle w:val="IndexLink"/>
                <w:rtl w:val="true"/>
              </w:rPr>
              <w:t>القضیة المهدویة فی القرآن</w:t>
            </w:r>
            <w:r>
              <w:rPr>
                <w:rStyle w:val="IndexLink"/>
                <w:rtl w:val="true"/>
              </w:rPr>
              <w:tab/>
            </w:r>
            <w:r>
              <w:rPr>
                <w:rStyle w:val="IndexLink"/>
              </w:rPr>
              <w:t>26</w:t>
            </w:r>
          </w:hyperlink>
        </w:p>
        <w:p>
          <w:pPr>
            <w:pStyle w:val="Contents3"/>
            <w:tabs>
              <w:tab w:val="clear" w:pos="8459"/>
              <w:tab w:val="right" w:pos="9026" w:leader="dot"/>
            </w:tabs>
            <w:rPr/>
          </w:pPr>
          <w:hyperlink w:anchor="__RefHeading___Toc2130005_274958925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130007_2749589250">
            <w:r>
              <w:rPr>
                <w:webHidden/>
                <w:rStyle w:val="IndexLink"/>
                <w:rtl w:val="true"/>
              </w:rPr>
              <w:t>المشتهرون بالتفسیر</w:t>
            </w:r>
            <w:r>
              <w:rPr>
                <w:rStyle w:val="IndexLink"/>
                <w:rtl w:val="true"/>
              </w:rPr>
              <w:tab/>
            </w:r>
            <w:r>
              <w:rPr>
                <w:rStyle w:val="IndexLink"/>
              </w:rPr>
              <w:t>27</w:t>
            </w:r>
          </w:hyperlink>
        </w:p>
        <w:p>
          <w:pPr>
            <w:pStyle w:val="Contents3"/>
            <w:tabs>
              <w:tab w:val="clear" w:pos="8459"/>
              <w:tab w:val="right" w:pos="9026" w:leader="dot"/>
            </w:tabs>
            <w:rPr/>
          </w:pPr>
          <w:hyperlink w:anchor="__RefHeading___Toc2130009_2749589250">
            <w:r>
              <w:rPr>
                <w:webHidden/>
                <w:rStyle w:val="IndexLink"/>
                <w:rtl w:val="true"/>
              </w:rPr>
              <w:t>أبو موسی الأشعری</w:t>
            </w:r>
            <w:r>
              <w:rPr>
                <w:rStyle w:val="IndexLink"/>
                <w:rtl w:val="true"/>
              </w:rPr>
              <w:tab/>
            </w:r>
            <w:r>
              <w:rPr>
                <w:rStyle w:val="IndexLink"/>
              </w:rPr>
              <w:t>31</w:t>
            </w:r>
          </w:hyperlink>
        </w:p>
        <w:p>
          <w:pPr>
            <w:pStyle w:val="Contents4"/>
            <w:tabs>
              <w:tab w:val="clear" w:pos="8176"/>
              <w:tab w:val="right" w:pos="9026" w:leader="dot"/>
            </w:tabs>
            <w:rPr/>
          </w:pPr>
          <w:hyperlink w:anchor="__RefHeading___Toc2130011_274958925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130013_2749589250">
            <w:r>
              <w:rPr>
                <w:webHidden/>
                <w:rStyle w:val="IndexLink"/>
              </w:rPr>
              <w:t>1</w:t>
            </w:r>
            <w:r>
              <w:rPr>
                <w:rStyle w:val="IndexLink"/>
                <w:rtl w:val="true"/>
              </w:rPr>
              <w:t xml:space="preserve">- </w:t>
            </w:r>
            <w:r>
              <w:rPr>
                <w:rStyle w:val="IndexLink"/>
                <w:rtl w:val="true"/>
              </w:rPr>
              <w:t>مجاهد</w:t>
            </w:r>
            <w:r>
              <w:rPr>
                <w:rStyle w:val="IndexLink"/>
                <w:rtl w:val="true"/>
              </w:rPr>
              <w:tab/>
            </w:r>
            <w:r>
              <w:rPr>
                <w:rStyle w:val="IndexLink"/>
              </w:rPr>
              <w:t>33</w:t>
            </w:r>
          </w:hyperlink>
        </w:p>
        <w:p>
          <w:pPr>
            <w:pStyle w:val="Contents4"/>
            <w:tabs>
              <w:tab w:val="clear" w:pos="8176"/>
              <w:tab w:val="right" w:pos="9026" w:leader="dot"/>
            </w:tabs>
            <w:rPr/>
          </w:pPr>
          <w:hyperlink w:anchor="__RefHeading___Toc2130015_2749589250">
            <w:r>
              <w:rPr>
                <w:webHidden/>
                <w:rStyle w:val="IndexLink"/>
              </w:rPr>
              <w:t>2</w:t>
            </w:r>
            <w:r>
              <w:rPr>
                <w:rStyle w:val="IndexLink"/>
                <w:rtl w:val="true"/>
              </w:rPr>
              <w:t xml:space="preserve">- </w:t>
            </w:r>
            <w:r>
              <w:rPr>
                <w:rStyle w:val="IndexLink"/>
                <w:rtl w:val="true"/>
              </w:rPr>
              <w:t>کعب الأحبار</w:t>
            </w:r>
            <w:r>
              <w:rPr>
                <w:rStyle w:val="IndexLink"/>
                <w:rtl w:val="true"/>
              </w:rPr>
              <w:tab/>
            </w:r>
            <w:r>
              <w:rPr>
                <w:rStyle w:val="IndexLink"/>
              </w:rPr>
              <w:t>34</w:t>
            </w:r>
          </w:hyperlink>
        </w:p>
        <w:p>
          <w:pPr>
            <w:pStyle w:val="Contents4"/>
            <w:tabs>
              <w:tab w:val="clear" w:pos="8176"/>
              <w:tab w:val="right" w:pos="9026" w:leader="dot"/>
            </w:tabs>
            <w:rPr/>
          </w:pPr>
          <w:hyperlink w:anchor="__RefHeading___Toc2130017_2749589250">
            <w:r>
              <w:rPr>
                <w:webHidden/>
                <w:rStyle w:val="IndexLink"/>
              </w:rPr>
              <w:t>3</w:t>
            </w:r>
            <w:r>
              <w:rPr>
                <w:rStyle w:val="IndexLink"/>
                <w:rtl w:val="true"/>
              </w:rPr>
              <w:t xml:space="preserve">- </w:t>
            </w:r>
            <w:r>
              <w:rPr>
                <w:rStyle w:val="IndexLink"/>
                <w:rtl w:val="true"/>
              </w:rPr>
              <w:t>الشـعـبی</w:t>
            </w:r>
            <w:r>
              <w:rPr>
                <w:rStyle w:val="IndexLink"/>
                <w:rtl w:val="true"/>
              </w:rPr>
              <w:tab/>
            </w:r>
            <w:r>
              <w:rPr>
                <w:rStyle w:val="IndexLink"/>
              </w:rPr>
              <w:t>40</w:t>
            </w:r>
          </w:hyperlink>
        </w:p>
        <w:p>
          <w:pPr>
            <w:pStyle w:val="Contents4"/>
            <w:tabs>
              <w:tab w:val="clear" w:pos="8176"/>
              <w:tab w:val="right" w:pos="9026" w:leader="dot"/>
            </w:tabs>
            <w:rPr/>
          </w:pPr>
          <w:hyperlink w:anchor="__RefHeading___Toc2130019_2749589250">
            <w:r>
              <w:rPr>
                <w:webHidden/>
                <w:rStyle w:val="IndexLink"/>
              </w:rPr>
              <w:t>4</w:t>
            </w:r>
            <w:r>
              <w:rPr>
                <w:rStyle w:val="IndexLink"/>
                <w:rtl w:val="true"/>
              </w:rPr>
              <w:t xml:space="preserve">- </w:t>
            </w:r>
            <w:r>
              <w:rPr>
                <w:rStyle w:val="IndexLink"/>
                <w:rtl w:val="true"/>
              </w:rPr>
              <w:t>عکرمة</w:t>
            </w:r>
            <w:r>
              <w:rPr>
                <w:rStyle w:val="IndexLink"/>
                <w:rtl w:val="true"/>
              </w:rPr>
              <w:tab/>
            </w:r>
            <w:r>
              <w:rPr>
                <w:rStyle w:val="IndexLink"/>
              </w:rPr>
              <w:t>44</w:t>
            </w:r>
          </w:hyperlink>
        </w:p>
        <w:p>
          <w:pPr>
            <w:pStyle w:val="Contents4"/>
            <w:tabs>
              <w:tab w:val="clear" w:pos="8176"/>
              <w:tab w:val="right" w:pos="9026" w:leader="dot"/>
            </w:tabs>
            <w:rPr/>
          </w:pPr>
          <w:hyperlink w:anchor="__RefHeading___Toc2130021_2749589250">
            <w:r>
              <w:rPr>
                <w:webHidden/>
                <w:rStyle w:val="IndexLink"/>
              </w:rPr>
              <w:t>5</w:t>
            </w:r>
            <w:r>
              <w:rPr>
                <w:rStyle w:val="IndexLink"/>
                <w:rtl w:val="true"/>
              </w:rPr>
              <w:t xml:space="preserve">- </w:t>
            </w:r>
            <w:r>
              <w:rPr>
                <w:rStyle w:val="IndexLink"/>
                <w:rtl w:val="true"/>
              </w:rPr>
              <w:t>قتادة</w:t>
            </w:r>
            <w:r>
              <w:rPr>
                <w:rStyle w:val="IndexLink"/>
                <w:rtl w:val="true"/>
              </w:rPr>
              <w:tab/>
            </w:r>
            <w:r>
              <w:rPr>
                <w:rStyle w:val="IndexLink"/>
              </w:rPr>
              <w:t>45</w:t>
            </w:r>
          </w:hyperlink>
        </w:p>
        <w:p>
          <w:pPr>
            <w:pStyle w:val="Contents2"/>
            <w:tabs>
              <w:tab w:val="clear" w:pos="8743"/>
              <w:tab w:val="right" w:pos="9026" w:leader="dot"/>
            </w:tabs>
            <w:rPr/>
          </w:pPr>
          <w:hyperlink w:anchor="__RefHeading___Toc2130023_2749589250">
            <w:r>
              <w:rPr>
                <w:webHidden/>
                <w:rStyle w:val="IndexLink"/>
              </w:rPr>
              <w:t>4</w:t>
            </w:r>
            <w:r>
              <w:rPr>
                <w:rStyle w:val="IndexLink"/>
                <w:rtl w:val="true"/>
              </w:rPr>
              <w:t xml:space="preserve">. </w:t>
            </w:r>
            <w:r>
              <w:rPr>
                <w:rStyle w:val="IndexLink"/>
                <w:rtl w:val="true"/>
              </w:rPr>
              <w:t>المهدی فی الروایات</w:t>
            </w:r>
            <w:r>
              <w:rPr>
                <w:rStyle w:val="IndexLink"/>
                <w:rtl w:val="true"/>
              </w:rPr>
              <w:tab/>
            </w:r>
            <w:r>
              <w:rPr>
                <w:rStyle w:val="IndexLink"/>
              </w:rPr>
              <w:t>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4_36662"/>
      <w:bookmarkStart w:id="1" w:name="pg3274_36662"/>
      <w:bookmarkEnd w:id="1"/>
    </w:p>
    <w:p>
      <w:pPr>
        <w:pStyle w:val="Heading2"/>
        <w:numPr>
          <w:ilvl w:val="1"/>
          <w:numId w:val="1"/>
        </w:numPr>
        <w:rPr/>
      </w:pPr>
      <w:bookmarkStart w:id="2" w:name="pg3274_36662"/>
      <w:bookmarkStart w:id="3" w:name="__RefHeading___Toc2129985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حول المهدویه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الدین الطبسی؛ بقلم عامر الزرقی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الموعود عجل الله تعالی فرجهم الشریف الثقافیه،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احادیث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جنبه‌های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الزرفی،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224 Bp462/297</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۲۶۲۴۲۳۲</w:t>
      </w:r>
    </w:p>
    <w:p>
      <w:pPr>
        <w:pStyle w:val="BookText"/>
        <w:rPr/>
      </w:pPr>
      <w:r>
        <w:rPr>
          <w:rFonts w:eastAsia="Times New Roman" w:cs="Times New Roman" w:ascii="Times New Roman" w:hAnsi="Times New Roman"/>
          <w:color w:val="111111"/>
          <w:sz w:val="28"/>
          <w:szCs w:val="28"/>
          <w:lang w:val="en-US" w:bidi="en-US"/>
        </w:rPr>
        <w:t>ISBN: 9</w:t>
      </w:r>
    </w:p>
    <w:p>
      <w:pPr>
        <w:pStyle w:val="Heading2"/>
        <w:numPr>
          <w:ilvl w:val="1"/>
          <w:numId w:val="1"/>
        </w:numPr>
        <w:rPr/>
      </w:pPr>
      <w:bookmarkStart w:id="5" w:name="__RefHeading___Toc2129987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ابحاث حول المهدویّة</w:t>
      </w:r>
    </w:p>
    <w:p>
      <w:pPr>
        <w:pStyle w:val="BookText"/>
        <w:rPr/>
      </w:pPr>
      <w:r>
        <w:rPr>
          <w:rFonts w:ascii="IRNazanin" w:hAnsi="IRNazanin" w:eastAsia="IRNazanin"/>
          <w:color w:val="111111"/>
          <w:sz w:val="28"/>
          <w:sz w:val="28"/>
          <w:szCs w:val="28"/>
          <w:rtl w:val="true"/>
          <w:lang w:bidi="fa-IR"/>
        </w:rPr>
        <w:t>تقریر محاضرات العالم المحقق</w:t>
      </w:r>
    </w:p>
    <w:p>
      <w:pPr>
        <w:pStyle w:val="BookText"/>
        <w:rPr/>
      </w:pPr>
      <w:r>
        <w:rPr>
          <w:rFonts w:ascii="IRNazanin" w:hAnsi="IRNazanin" w:eastAsia="IRNazanin"/>
          <w:color w:val="111111"/>
          <w:sz w:val="28"/>
          <w:sz w:val="28"/>
          <w:szCs w:val="28"/>
          <w:rtl w:val="true"/>
          <w:lang w:bidi="fa-IR"/>
        </w:rPr>
        <w:t>سماحة الشیخ نجم الدین الطبسی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عامر الزرﻓﻰ </w:t>
      </w:r>
    </w:p>
    <w:p>
      <w:pPr>
        <w:pStyle w:val="BookText"/>
        <w:rPr/>
      </w:pPr>
      <w:r>
        <w:rPr>
          <w:rFonts w:ascii="IRNazanin" w:hAnsi="IRNazanin" w:eastAsia="IRNazanin"/>
          <w:color w:val="111111"/>
          <w:sz w:val="28"/>
          <w:sz w:val="28"/>
          <w:szCs w:val="28"/>
          <w:rtl w:val="true"/>
          <w:lang w:bidi="fa-IR"/>
        </w:rPr>
        <w:t>ابحاث حول المهدویّة</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الطبسی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عامر الزرفـی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w:t>
      </w:r>
    </w:p>
    <w:p>
      <w:pPr>
        <w:pStyle w:val="BookText"/>
        <w:rPr/>
      </w:pPr>
      <w:r>
        <w:rPr>
          <w:rFonts w:ascii="IRNazanin" w:hAnsi="IRNazanin" w:eastAsia="IRNazanin"/>
          <w:color w:val="111111"/>
          <w:sz w:val="28"/>
          <w:sz w:val="28"/>
          <w:szCs w:val="28"/>
          <w:rtl w:val="true"/>
          <w:lang w:bidi="fa-IR"/>
        </w:rPr>
        <w:t xml:space="preserve">الطبعة الاولی، شتاء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قم المقدسة، مرکز المهدویة للدراسات التخصصیة،</w:t>
      </w:r>
    </w:p>
    <w:p>
      <w:pPr>
        <w:pStyle w:val="BookText"/>
        <w:rPr/>
      </w:pPr>
      <w:r>
        <w:rPr>
          <w:rFonts w:ascii="IRNazanin" w:hAnsi="IRNazanin" w:eastAsia="IRNazanin"/>
          <w:color w:val="111111"/>
          <w:sz w:val="28"/>
          <w:sz w:val="28"/>
          <w:szCs w:val="28"/>
          <w:rtl w:val="true"/>
          <w:lang w:bidi="fa-IR"/>
        </w:rPr>
        <w:t xml:space="preserve">شارع شهداء، زقاق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الشهید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ـ 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37135</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ascii="IRNazanin" w:hAnsi="IRNazanin" w:eastAsia="IRNazanin"/>
          <w:color w:val="111111"/>
          <w:sz w:val="28"/>
          <w:sz w:val="28"/>
          <w:szCs w:val="28"/>
          <w:rtl w:val="true"/>
          <w:lang w:bidi="fa-IR"/>
        </w:rPr>
        <w:t>طهران، مؤسسة الامام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w:t>
      </w:r>
    </w:p>
    <w:p>
      <w:pPr>
        <w:pStyle w:val="BookText"/>
        <w:rPr/>
      </w:pPr>
      <w:r>
        <w:rPr>
          <w:rFonts w:ascii="IRNazanin" w:hAnsi="IRNazanin" w:eastAsia="IRNazanin"/>
          <w:color w:val="111111"/>
          <w:sz w:val="28"/>
          <w:sz w:val="28"/>
          <w:szCs w:val="28"/>
          <w:rtl w:val="true"/>
          <w:lang w:bidi="fa-IR"/>
        </w:rPr>
        <w:t>العنوان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طهران، ص ـ ب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74_36668"/>
      <w:bookmarkStart w:id="8" w:name="pg3274_36668"/>
      <w:bookmarkEnd w:id="8"/>
    </w:p>
    <w:p>
      <w:pPr>
        <w:pStyle w:val="Heading2"/>
        <w:numPr>
          <w:ilvl w:val="1"/>
          <w:numId w:val="1"/>
        </w:numPr>
        <w:rPr/>
      </w:pPr>
      <w:bookmarkStart w:id="9" w:name="pg3274_36668"/>
      <w:bookmarkStart w:id="10" w:name="__RefHeading___Toc2129989_274958925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البحث</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المهدویة عند أهل السنة</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بیان کلام أحد علماء أهل السنة</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الإشارة الی بعض ما جاء فی کتب أهل السنة</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القضیة المهدویة فی القرآن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المشتهرون بالتفسیر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الشـعـبی</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فی الروایات</w:t>
      </w:r>
      <w:r>
        <w:rPr>
          <w:rFonts w:eastAsia="IRNazanin" w:cs="IRNazanin"/>
          <w:color w:val="111111"/>
          <w:sz w:val="28"/>
          <w:szCs w:val="28"/>
          <w:lang w:bidi="fa-IR"/>
        </w:rPr>
        <w:t>45</w:t>
      </w:r>
      <w:bookmarkStart w:id="12" w:name="pg3274_36669"/>
    </w:p>
    <w:p>
      <w:pPr>
        <w:pStyle w:val="Heading2"/>
        <w:numPr>
          <w:ilvl w:val="1"/>
          <w:numId w:val="1"/>
        </w:numPr>
        <w:rPr/>
      </w:pPr>
      <w:bookmarkStart w:id="13" w:name="__RefHeading___Toc2129991_2749589250"/>
      <w:bookmarkStart w:id="14" w:name="_Toc4"/>
      <w:bookmarkEnd w:id="12"/>
      <w:bookmarkEnd w:id="13"/>
      <w:r>
        <w:rPr>
          <w:rtl w:val="true"/>
        </w:rPr>
        <w:t>المقدمة</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یدیک سلسلة من ا لبحوث حول الامام المهدی عجل الله تعالی فرجه الشریف القاها سماحة الاستاذ الشیخ نجم الدین الطبسی فی مرکز المهدویة للدراسات التخصصیة فی حوزة قم المقدسة فی شهر شعبان عام</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و لمدة خمسة عشر یوما علی جمع من الفضلاء و طلبة الحوزة المقدسة و قام بتقریرها و کتابتها، أحد الفضلاء المشارکین فی هذه الدروس، و هو سماحة الشیخ عامر الرزفی و قد طبعت و نشرت الحلقة الاولی من هذه البحوث ـ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 عرض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امل نشر باقی الحلقات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 التوفیق</w:t>
      </w:r>
      <w:r>
        <w:rPr>
          <w:rFonts w:eastAsia="IRNazanin" w:cs="IRNazanin"/>
          <w:color w:val="111111"/>
          <w:sz w:val="28"/>
          <w:szCs w:val="28"/>
          <w:rtl w:val="true"/>
          <w:lang w:bidi="fa-IR"/>
        </w:rPr>
        <w:t xml:space="preserve">. </w:t>
      </w:r>
      <w:bookmarkStart w:id="15" w:name="pg3274_36670"/>
    </w:p>
    <w:p>
      <w:pPr>
        <w:pStyle w:val="Heading2"/>
        <w:numPr>
          <w:ilvl w:val="1"/>
          <w:numId w:val="1"/>
        </w:numPr>
        <w:rPr/>
      </w:pPr>
      <w:bookmarkStart w:id="16" w:name="__RefHeading___Toc2129993_2749589250"/>
      <w:bookmarkStart w:id="17" w:name="_Toc5"/>
      <w:bookmarkEnd w:id="15"/>
      <w:bookmarkEnd w:id="16"/>
      <w:r>
        <w:rPr/>
        <w:t>1</w:t>
      </w:r>
      <w:r>
        <w:rPr>
          <w:rtl w:val="true"/>
        </w:rPr>
        <w:t xml:space="preserve">. </w:t>
      </w:r>
      <w:r>
        <w:rPr>
          <w:rtl w:val="true"/>
        </w:rPr>
        <w:t>ضرورة البحث</w:t>
      </w:r>
      <w:bookmarkEnd w:id="17"/>
    </w:p>
    <w:p>
      <w:pPr>
        <w:pStyle w:val="BookText"/>
        <w:rPr/>
      </w:pPr>
      <w:r>
        <w:rPr>
          <w:rFonts w:ascii="IRNazanin" w:hAnsi="IRNazanin" w:eastAsia="IRNazanin"/>
          <w:color w:val="111111"/>
          <w:sz w:val="28"/>
          <w:sz w:val="28"/>
          <w:szCs w:val="28"/>
          <w:rtl w:val="true"/>
          <w:lang w:bidi="fa-IR"/>
        </w:rPr>
        <w:t>نستهل البحث حول المهدی علیه السلام بنقاط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بحث المهدویة الیوم من الأبحاث الحیویة الأساسیة لا علی مستوی النجف الأشرف أو قم المقدسة أو البلدان الشیعیة بل علی صعید کل العالم، فالعالم الیوم کله یتحدث عن المهدویة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الکتب والمؤلفات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یستغرب البعض أن المؤلفات فی هذا المجال لا تقل عن خمسة آلاف کتاب فإن دل علی شیء لدلّ علی أهمیة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نتحدث مثلاً عن کمال الدین وتمام النعمة للشیخ الصدوق، فکم مرة طالعنا هذا الکتاب؟ و ما معرفتنا به و مضامینه؟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اننا و فی کتابة رسالة الماجستیر والدکتوراه نفتخر بالاستاذ المشرف، فهل تعلم أن المشرف علی هذا الکتاب هو الإمام المهدی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یذکر الشیخ الصدوق فی المقدمة أربع علل لتألیف هذا الکتاب، وفی طلیعتها إشارة ولی أمرنا وولی نعمتنا الإمام الحجة علیه السلام، نعم لا کل ما فی کمال الدین هو قطعی الصدور بل یخضع للدراسات السندیة والدلالیة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ونبحث مثلاً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ونبحث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مدی معرفتنا بمؤلفی الکتب فی هذا المجال قدیماً وحدیثاً من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العامة کثیراً ما نسمع عن إبن حمَّاد، من هو؟ وما أهمیته؟ وما قیمته؟ وما مدی اعتباره عند السنة والشیعة؟</w:t>
      </w:r>
    </w:p>
    <w:p>
      <w:pPr>
        <w:pStyle w:val="BookText"/>
        <w:rPr/>
      </w:pPr>
      <w:r>
        <w:rPr>
          <w:rFonts w:ascii="IRNazanin" w:hAnsi="IRNazanin" w:eastAsia="IRNazanin"/>
          <w:color w:val="111111"/>
          <w:sz w:val="28"/>
          <w:sz w:val="28"/>
          <w:szCs w:val="28"/>
          <w:rtl w:val="true"/>
          <w:lang w:bidi="fa-IR"/>
        </w:rPr>
        <w:t>ومع الأسف أبتلینا بظاهرة خطرة وهی أخذ بعض الروایات وإرسالها إرسال المسلمات وکأن الرسول الأکرم صلی الله علیه و آله و سلم أو الأئمةعلیهم السلام حدثونا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سمعنا ها عنهم مباشرة</w:t>
      </w:r>
    </w:p>
    <w:p>
      <w:pPr>
        <w:pStyle w:val="BookText"/>
        <w:rPr/>
      </w:pPr>
      <w:r>
        <w:rPr>
          <w:rFonts w:ascii="IRNazanin" w:hAnsi="IRNazanin" w:eastAsia="IRNazanin"/>
          <w:color w:val="111111"/>
          <w:sz w:val="28"/>
          <w:sz w:val="28"/>
          <w:szCs w:val="28"/>
          <w:rtl w:val="true"/>
          <w:lang w:bidi="fa-IR"/>
        </w:rPr>
        <w:t>و نسمع عن الحاکم النیشابوری أو النیسابوری، فما مدی اعتباره؟</w:t>
      </w:r>
    </w:p>
    <w:p>
      <w:pPr>
        <w:pStyle w:val="BookText"/>
        <w:rPr/>
      </w:pPr>
      <w:r>
        <w:rPr>
          <w:rFonts w:ascii="IRNazanin" w:hAnsi="IRNazanin" w:eastAsia="IRNazanin"/>
          <w:color w:val="111111"/>
          <w:sz w:val="28"/>
          <w:sz w:val="28"/>
          <w:szCs w:val="28"/>
          <w:rtl w:val="true"/>
          <w:lang w:bidi="fa-IR"/>
        </w:rPr>
        <w:t>وهناک رواة – دع عنک أحمد بن حنبل – من أمثال عکرمة والشعبی وعروة بن الزبیر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قیّمنا هؤلاء؟ وهل عرفناهم؟ </w:t>
      </w:r>
    </w:p>
    <w:p>
      <w:pPr>
        <w:pStyle w:val="BookText"/>
        <w:rPr/>
      </w:pPr>
      <w:r>
        <w:rPr>
          <w:rFonts w:ascii="IRNazanin" w:hAnsi="IRNazanin" w:eastAsia="IRNazanin"/>
          <w:color w:val="111111"/>
          <w:sz w:val="28"/>
          <w:sz w:val="28"/>
          <w:szCs w:val="28"/>
          <w:rtl w:val="true"/>
          <w:lang w:bidi="fa-IR"/>
        </w:rPr>
        <w:t>فإذا لم ندرس القضیة المهدویة دراسة معمقة و متقنة تکثر المشاکل و نواجه عاوی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دراسة موضوعیة لأن عدد الروایات هائل، فالروایات الموجودة فی معجم أحادیث الإمام المهدی علیه السلام – الذی ألفته مع أخویَّ وإبن أختی وبعض الأخوة وسماحة الشیخ الکورانی – کان فی الطبعة الأولی منه قرابة ألفی روایة وکان فی خمسة مجلدات، نعم تم دمج بعض الروایات، ویدعی البعض – ولعله الشیخ لطف الله الصافی – أنها ثلاثة آلاف، وأطلعت علی بعض آراء الشهید الصدر بأنها سبعة آلاف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فقراءة ألفی روایة تقریباً کم یستغرق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انا لا نستطیع أن نأتی بکل هذه الروایات لذلک نأتی بالدراسات الموضوعیة مثلاً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نبحث عن الیمانی، من أین هو؟ هل أن أصله من الیمن؟ أم أن ظهوره من الیمن؟ وهل هو سید أم لا؟ وتفاصیل أخری فی هذا البحث</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ونبحث عن السید الحسنی، من هو؟ ما ارتباطه مع النفس الزکیة؟ ومن هو النفس الزکیة؟ یستشهد قبل ظهور المهدی علیه السلام أم بعد ظهوره؟ فی العراق أم فی مکة؟</w:t>
      </w:r>
    </w:p>
    <w:p>
      <w:pPr>
        <w:pStyle w:val="BookText"/>
        <w:rPr/>
      </w:pPr>
      <w:r>
        <w:rPr>
          <w:rFonts w:ascii="IRNazanin" w:hAnsi="IRNazanin" w:eastAsia="IRNazanin"/>
          <w:color w:val="111111"/>
          <w:sz w:val="28"/>
          <w:sz w:val="28"/>
          <w:szCs w:val="28"/>
          <w:rtl w:val="true"/>
          <w:lang w:bidi="fa-IR"/>
        </w:rPr>
        <w:t>ونبحث عن الثورات التی تکون قبل ظهور المهدی علیه السلام، وهل أن کل رایة ترفع قبل ظهور المهدی علیه السلام صاحبها طاغوت أم أن هناک تفصیل؟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ونبحث عن مسألة القتل والدماء، فهناک من یدعی أنه تسفک الدماء حین الظهور، إذا البعض یصور المهدی علیه السلام بأنه إنسان ذباح و یتصرف بعنف و قسوة، نقول نعم قد یکون کذلک علی الأعداء کما نقرأ فی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مستأصل أهل العناد والعصیان والطغیان، أین مبید العتاة والمردة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 غیاث للمؤمنین وعون للمساکین، فقد شوهوا صورة الإمام المهدی علیه السلام، فهذا إبن العربی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السیف بیده لأفتی العلماء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یلتقی هذا مع مدح الأئمة للعلماء فقد ورد فی کتاب الاحتجاج فی نهایة احتجاج الإمام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یبقی بعد غیبة قائمکم علیه السلام من العلماء الداعین إلیه، والدالین علیه، والذابین عن دینه بحجج الله والمنقذین لضعفاء عباد الله من شباک </w:t>
      </w:r>
    </w:p>
    <w:p>
      <w:pPr>
        <w:pStyle w:val="BookText"/>
        <w:rPr/>
      </w:pPr>
      <w:r>
        <w:rPr>
          <w:rFonts w:ascii="IRNazanin" w:hAnsi="IRNazanin" w:eastAsia="IRNazanin"/>
          <w:color w:val="111111"/>
          <w:sz w:val="28"/>
          <w:sz w:val="28"/>
          <w:szCs w:val="28"/>
          <w:rtl w:val="true"/>
          <w:lang w:bidi="fa-IR"/>
        </w:rPr>
        <w:t>إبلیس ومردته، ومن فخاخ النواصب، لما بقی أحد إلا ارتد عن دین الله، ولکنهم الذین یمسکون أزمة قلوب ضعفاء الشیعة کما یمسک صاحب السفینة سکانها، أولئک هم الأفضلون عند الله عز وجل</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ونبحث عن التشرفات و اللقاءات، وهل أن اللقاء فی عصر الغیبة ممکن ومتحقق أم لا؟ وهذا بحث مهم لا بد من استعراضه حتی نسد الذرائع ودعوی من یدعی ذلک، واللقاءات أما اختیاریة بأن الشخص متی ما شاء یلتقی بالإمام علیه السلام، ومن یدعی هذه الدعوی فهو کاذب حتماً، الا نادراً أو غیر اختیاریة وإذا کان الشخص أمیناً وثقة نقبل منه هذه الدعوی کما حدث لبعض علمائنا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وضرورة البحث عن المهدویة لها أسباب ومن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المهدی علیه السلام هو سندنا وهو اعتبارنا وشرفنا واحترام الناس لنا إنّما هو لأجل المهدی علیه السلام، لذلک لابد أن نطلع ونبحث وندقق فی هذا الموضوع</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ما لا یقل عن ثلاثمائة آیة تفسیراً وتأویلاً ترتبط بالمهدویة، جمعناها فی الجزء السابع من معجم </w:t>
      </w:r>
    </w:p>
    <w:p>
      <w:pPr>
        <w:pStyle w:val="BookText"/>
        <w:rPr/>
      </w:pPr>
      <w:r>
        <w:rPr>
          <w:rFonts w:ascii="IRNazanin" w:hAnsi="IRNazanin" w:eastAsia="IRNazanin"/>
          <w:color w:val="111111"/>
          <w:sz w:val="28"/>
          <w:sz w:val="28"/>
          <w:szCs w:val="28"/>
          <w:rtl w:val="true"/>
          <w:lang w:bidi="fa-IR"/>
        </w:rPr>
        <w:t>الإمام المهدی علیه السلام، فوجود آیة واحدة یکفی لضرورة البحث فکیف بثلاثمائة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الحجم الهائل من الروایات کما بیّنا بما لا یقل عن ألفی روایة، یقتضی البحث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الکتب من الفریقین فی شأن المهدی عجل الله تعالی فرجه الشریف وقضیة المهدویة بما فیها کتب ألّفت قبل ولادة الإمام المهدی علیه السلام وأن المؤلف توفی قبل ولادته علیه السلام بسنین، ککتاب الفتن لنعیم إبن حمَّاد المروزی المتوفی سنة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لا نرید أن نصحح کل ما فی هذا الکتاب ولا نرید أن ندافع عن المؤلف وهو من السلف ولکن یهمنا أن المؤلف توفی قبل ولادة الإمام المهدی علیه السلام بست وعشرین سنة تقریباً – وککتاب المسند لأحمد بن حنبل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 أحادیث تتعلق بالإمام المهدی علیه السلام حوالی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 المکررات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کتب من السنة مختصة بهذا الموضوع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 بن یوسف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الجدیر بالذکر أن المؤلف یوصف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ضحیة لهذا الکتاب، وهناک محاولات یائسة من بعض </w:t>
      </w:r>
    </w:p>
    <w:p>
      <w:pPr>
        <w:pStyle w:val="BookText"/>
        <w:rPr/>
      </w:pPr>
      <w:r>
        <w:rPr>
          <w:rFonts w:ascii="IRNazanin" w:hAnsi="IRNazanin" w:eastAsia="IRNazanin"/>
          <w:color w:val="111111"/>
          <w:sz w:val="28"/>
          <w:sz w:val="28"/>
          <w:szCs w:val="28"/>
          <w:rtl w:val="true"/>
          <w:lang w:bidi="fa-IR"/>
        </w:rPr>
        <w:t xml:space="preserve">النواصب أن ینسبوه للشیعة ولکنا لو طالعنا ترجمة أساتذته لوجدناهم جمیعاً من اهل السنة وهو ایضاً سنی شافعی، ولکن کتاب بمثل هذه المعلومات لا یکون موافقاً لمزاجهم خصوصاً الباب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حیاته علیه السلام وما فیه من الأدلة، وممن طال عمره من الصالحین ومن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للسلمی المقدسی من أعلام القرن السابع أی معاصر للکنجی الشافعی، وهدفه لیس الجمع فقط بل جمعه بمنهجیة وأسلوب علمی، وطبع الکتاب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فوائد الفکر فی الإمام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مرعی بن یوسف المقدسی الحنبلی من علماء القرن الحادی عشر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هناک إفراط وتفریط، فالبخاری لم یذکر فی کتابه ـ المهم جداً عندهم ـ ولا روایة واحدة عن المهدی وصار هذا ذریعة و مستنداً للبعض</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إن الإساءات واستغلال القضیة المهدویة، ومن هذه الإساءات وسوء الفهم للقضیة المهدویة کما بیَّنا مسألة تهمه الذبح والقتل ومسألة اللقاءات والنتشرفات ومسائل کثیرة اخری فی الإساءة واستغلال فکر القضیة المهدویة کقصة الیمانی والحسنی والسفیانی، تقتضی البحث و التحقیق فی هذا المجال</w:t>
      </w:r>
      <w:r>
        <w:rPr>
          <w:rFonts w:eastAsia="IRNazanin" w:cs="IRNazanin"/>
          <w:color w:val="111111"/>
          <w:sz w:val="28"/>
          <w:szCs w:val="28"/>
          <w:rtl w:val="true"/>
          <w:lang w:bidi="fa-IR"/>
        </w:rPr>
        <w:t xml:space="preserve">. </w:t>
      </w:r>
      <w:bookmarkStart w:id="18" w:name="pg3274_36678"/>
    </w:p>
    <w:p>
      <w:pPr>
        <w:pStyle w:val="Heading2"/>
        <w:numPr>
          <w:ilvl w:val="1"/>
          <w:numId w:val="1"/>
        </w:numPr>
        <w:rPr/>
      </w:pPr>
      <w:bookmarkStart w:id="19" w:name="__RefHeading___Toc2129995_2749589250"/>
      <w:bookmarkStart w:id="20" w:name="_Toc6"/>
      <w:bookmarkEnd w:id="18"/>
      <w:bookmarkEnd w:id="19"/>
      <w:r>
        <w:rPr/>
        <w:t>2</w:t>
      </w:r>
      <w:r>
        <w:rPr>
          <w:rtl w:val="true"/>
        </w:rPr>
        <w:t xml:space="preserve">. </w:t>
      </w:r>
      <w:r>
        <w:rPr>
          <w:rtl w:val="true"/>
        </w:rPr>
        <w:t>المهدویة عند أهل السنة</w:t>
      </w:r>
      <w:bookmarkEnd w:id="20"/>
    </w:p>
    <w:p>
      <w:pPr>
        <w:pStyle w:val="Heading3"/>
        <w:numPr>
          <w:ilvl w:val="2"/>
          <w:numId w:val="1"/>
        </w:numPr>
        <w:rPr/>
      </w:pPr>
      <w:bookmarkStart w:id="21" w:name="__RefHeading___Toc2129997_2749589250"/>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هل أن قضیة المهدی والاعتقاد بالمهدویة فکرة شیعیة أم أنها مشترکة بین کل المسلمین؟</w:t>
      </w:r>
    </w:p>
    <w:p>
      <w:pPr>
        <w:pStyle w:val="BookText"/>
        <w:rPr/>
      </w:pPr>
      <w:r>
        <w:rPr>
          <w:rFonts w:ascii="IRNazanin" w:hAnsi="IRNazanin" w:eastAsia="IRNazanin"/>
          <w:color w:val="111111"/>
          <w:sz w:val="28"/>
          <w:sz w:val="28"/>
          <w:szCs w:val="28"/>
          <w:rtl w:val="true"/>
          <w:lang w:bidi="fa-IR"/>
        </w:rPr>
        <w:t>نشیر إلی کلام إبن خلدون 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الفاطمی وما یذهب إلیه الناس فی شأنه وکشف الغطاء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ینکر أصل المهدویة ویقول أن الروایات ضعیفة وأنها قضیة شیعیة بحتة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أحمد محمد شاکر ـ وهو سنی ـ شارح و معلق علی کتاب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مجموعة تعالیق نافعة وحینما یصل إلی روایات المهدویة یردّ علی ابن خلدون رداً مناسباً، ففی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إبن خلدون فقد قفا ما لیس له به علم واقتحم قحماً لم یکن من رجالها وغلبه ما شغله من السیاسة وأمور الدولة وخدمة من کان یخدم من الملوک والأمراء فأوهم أنَّ شأن المهدی عقیدة شیعیة أو أوهمته نفسه فعقد فی مقدمته المشهورة فصلاً طویلاً جعل </w:t>
      </w:r>
    </w:p>
    <w:p>
      <w:pPr>
        <w:pStyle w:val="BookText"/>
        <w:rPr/>
      </w:pPr>
      <w:r>
        <w:rPr>
          <w:rFonts w:ascii="IRNazanin" w:hAnsi="IRNazanin" w:eastAsia="IRNazanin"/>
          <w:color w:val="111111"/>
          <w:sz w:val="28"/>
          <w:sz w:val="28"/>
          <w:szCs w:val="28"/>
          <w:rtl w:val="true"/>
          <w:lang w:bidi="fa-IR"/>
        </w:rPr>
        <w:t xml:space="preserve">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الفاطمی وما یذهب إلیه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فتهافت فی هذا الفصل تهافتاً عجیباً وغلط فیه أغلاطاً واضحة ثم یقول إن إبن خلدون لم یحسن قول المحدثین – الجرح مقدم علی التعدیل – لو اطلع علی أقوالهم وفقهها لما قال شیئاً مما قال وقد یکون قرأ وعرف لکنه أراد تضعیف أحادیث المهدی بما غلب علیه من الرأی السیاسی فی عصره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آیت الله الشیخ الوالد فی کتابه الشیعة والرجعة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بعلة ثالثة – وأتصور أنها بیت القصید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هذا – النصب – أقرب الوجوه إلی الواقع فإن له مع آل محمد مواقف، قال فی مقدمته المطبوعة ببیروت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وشذَّ أهل البیت بمذاهب ابتدعوها وفقه انفردوا به وشذّ بمثلهم الخوارج ولم یحتفل الجمهور بمذاهبهم بل أوسعوها جانب الإنکار والقدح…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کأنه یریدان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إنـی وأمثالـی علی الهدی والسنة، وأن أهل البیت وشیعتهم أهل الضلالة والبدعة </w:t>
      </w:r>
      <w:r>
        <w:rPr>
          <w:rFonts w:eastAsia="IRNazanin" w:cs="IRNazanin"/>
          <w:color w:val="111111"/>
          <w:sz w:val="28"/>
          <w:szCs w:val="28"/>
          <w:rtl w:val="true"/>
          <w:lang w:bidi="fa-IR"/>
        </w:rPr>
        <w:t xml:space="preserve">"). </w:t>
      </w:r>
      <w:r>
        <w:rPr>
          <w:rStyle w:val="FootnoteAnchor"/>
          <w:rtl w:val="true"/>
        </w:rPr>
        <w:footnoteReference w:id="4"/>
      </w:r>
      <w:bookmarkStart w:id="23" w:name="pg3274_36680"/>
    </w:p>
    <w:p>
      <w:pPr>
        <w:pStyle w:val="Heading3"/>
        <w:numPr>
          <w:ilvl w:val="2"/>
          <w:numId w:val="1"/>
        </w:numPr>
        <w:rPr/>
      </w:pPr>
      <w:bookmarkStart w:id="24" w:name="__RefHeading___Toc2129999_2749589250"/>
      <w:bookmarkStart w:id="25" w:name="_Toc8"/>
      <w:bookmarkEnd w:id="23"/>
      <w:bookmarkEnd w:id="24"/>
      <w:r>
        <w:rPr>
          <w:rtl w:val="true"/>
        </w:rPr>
        <w:t>کلام أحد علماء أهل السنة</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لزاماً علینا نحن المسلمین أن نربط دیننا بهما – یعنی البخاری ومسلم – فلنفرض أنهما لم یکونا فهل تشل حرکتنا وتتوقف دورتنا؟ لا فالأمة بخیر والحمد 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جاءوا بعد البخاری ومسلم استدرکوا علیهما واستکملوا جهدهما و وزنوا عملهما، وکشفوا بعض الخلاف فی صحیحیهما وما زال المحدثون فـی تقدم علمی وبحث و 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المهدی فی نظری من هذا النوع رغم أن بعض المسلمین کإبن خلدون قد بالغ وضعفّها کلها وردّها وحکم علیها حکماً قاسیاً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اتهمّ کلّ هؤلاء الرواة و من رووا عنهم بما لا یلیق أن یظنّ منهم إنّ المشکلة لیست مشکلة حدیث او حدیثین، او راو او راویین، إنها مجموعة من الأحادیث و الآثار تبلغ الثمانین تقریبا، اجتمع علی تناقلها مئات الرواة، و اکثر من صاحب 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نردّ کلّ هذه الکمیة؟ أکلّها فاسدة؟ لوصحّ هذا الحکم لانهار الدین ـ و العیاذبالله ـ نتیجة تطرق الشک و الظن الفاسد الی ماعداها من سنّة رسول الله </w:t>
      </w:r>
    </w:p>
    <w:p>
      <w:pPr>
        <w:pStyle w:val="BookText"/>
        <w:rPr/>
      </w:pPr>
      <w:r>
        <w:rPr>
          <w:rFonts w:ascii="IRNazanin" w:hAnsi="IRNazanin" w:eastAsia="IRNazanin"/>
          <w:color w:val="111111"/>
          <w:sz w:val="28"/>
          <w:sz w:val="28"/>
          <w:szCs w:val="28"/>
          <w:rtl w:val="true"/>
          <w:lang w:bidi="fa-IR"/>
        </w:rPr>
        <w:t>ثم إنـی لا أجد خلافاً حول ظهور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حول حاجة العالم الیه، و انما الخلاف حول من هو، حسنی او حسینی؟ سیکون فی آخرالزمان، او موجود الأن، خفی و سیظهر؟ ظهر او سیظهر، و لا عبرة بالمدعین الکاذبین، فلیس لهم اعتبار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لم أجد مناقشة موضوعیة فی متن الأحادیث، والذی أجده إنما هو مناقشة و خلاف حول السند، و اتصاله و درجة رواته، و من خرّجوه و من قالوا فیه، و اذا نظرنا الی ظهور المهدی نظرة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نجد حرجا من قبولها و تصدیقها، او علی الأقل عدم رفضها، فاذا ما تأید ذلک بالأدلة الکثیرة، و الاحادیث المتعددة و رواتها مسلمون مؤتمنون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الکتب التی نقلتها الینا کتب قیّمة، و ا لترمذی من رجال التجریح و الحکم، بالاضافة الی أن احادیث المهدی لها یا مایصح أن یکون سنداً لها فی البخاری و مسلم، کحدیث جابر فی مسلم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امیرهم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و حدیث أبی هریرة فی البخاری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اذا نزل فیکم المسیح ابن مریم و امامکم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أن یکون هذا الأمیر و هذا الامام هو المهدی، یضاف الی هذا أن کثیرأ من السلف لم یعارضوا </w:t>
      </w:r>
      <w:bookmarkStart w:id="26" w:name="pg3274_36682"/>
    </w:p>
    <w:p>
      <w:pPr>
        <w:pStyle w:val="BookText"/>
        <w:rPr/>
      </w:pPr>
      <w:bookmarkEnd w:id="26"/>
      <w:r>
        <w:rPr>
          <w:rFonts w:ascii="IRNazanin" w:hAnsi="IRNazanin" w:eastAsia="IRNazanin"/>
          <w:color w:val="111111"/>
          <w:sz w:val="28"/>
          <w:sz w:val="28"/>
          <w:szCs w:val="28"/>
          <w:rtl w:val="true"/>
          <w:lang w:bidi="fa-IR"/>
        </w:rPr>
        <w:t>هذا القول، بل جاءت شروحهم و تقریراتهم موافقة لإثبات هذه العقیدة عند المسلمین</w:t>
      </w:r>
      <w:r>
        <w:rPr>
          <w:rFonts w:eastAsia="IRNazanin" w:cs="IRNazanin"/>
          <w:color w:val="111111"/>
          <w:sz w:val="28"/>
          <w:szCs w:val="28"/>
          <w:rtl w:val="true"/>
          <w:lang w:bidi="fa-IR"/>
        </w:rPr>
        <w:t>.</w:t>
      </w:r>
    </w:p>
    <w:p>
      <w:pPr>
        <w:pStyle w:val="Heading3"/>
        <w:numPr>
          <w:ilvl w:val="2"/>
          <w:numId w:val="1"/>
        </w:numPr>
        <w:rPr/>
      </w:pPr>
      <w:bookmarkStart w:id="27" w:name="__RefHeading___Toc2130001_2749589250"/>
      <w:bookmarkStart w:id="28" w:name="_Toc9"/>
      <w:bookmarkEnd w:id="27"/>
      <w:r>
        <w:rPr>
          <w:rtl w:val="true"/>
        </w:rPr>
        <w:t>الإشارة الی بعض ما جاء فی کتب أهل السنة</w:t>
      </w:r>
      <w:bookmarkEnd w:id="28"/>
    </w:p>
    <w:p>
      <w:pPr>
        <w:pStyle w:val="BookText"/>
        <w:rPr/>
      </w:pPr>
      <w:r>
        <w:rPr>
          <w:rFonts w:ascii="IRNazanin" w:hAnsi="IRNazanin" w:eastAsia="IRNazanin"/>
          <w:color w:val="111111"/>
          <w:sz w:val="28"/>
          <w:sz w:val="28"/>
          <w:szCs w:val="28"/>
          <w:rtl w:val="true"/>
          <w:lang w:bidi="fa-IR"/>
        </w:rPr>
        <w:t>هناک من ادعی التواتر من أهل السنة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الآبری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مناقب الشافعی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علی ما نقل عنه إبن حجر فی تهذیب التهذیب وفتح الباری والسیوطی، یقول الآبری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الأخبار واستفاضت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المهدی وأنه من أهل بیته ویملک سبع سنین وأنه یملأ الأرض عدلاً وأن عیسی یخرج فیساعده علی قتل الدجال، وأنه یؤم هذه الأمة ویصلی عیسی خلفه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کتابه الإشاعة فی أشراط الساعة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الأحادیث الواردة فیه علی اختلاف روایاتها لا تکاد تنحصر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أحادیث وجود المهدی وخروجه فی آخر الزمان وأنه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بلغت حد التواتر فلا معنی لإنکارها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 یثبت فی الأخبار الصحیحة والشهیرة التی بلغت التواتر المعنوی وجود الآیات العظام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یأتی فی آخر الزمان من ولد فاطمة یملأ الأرض قسطاً وعدلاً</w:t>
      </w:r>
      <w:r>
        <w:rPr>
          <w:rFonts w:eastAsia="IRNazanin" w:cs="IRNazanin"/>
          <w:color w:val="111111"/>
          <w:sz w:val="28"/>
          <w:szCs w:val="28"/>
          <w:rtl w:val="true"/>
          <w:lang w:bidi="fa-IR"/>
        </w:rPr>
        <w:t xml:space="preserve">). </w:t>
      </w:r>
      <w:bookmarkStart w:id="29" w:name="pg3274_36684"/>
    </w:p>
    <w:p>
      <w:pPr>
        <w:pStyle w:val="Heading2"/>
        <w:numPr>
          <w:ilvl w:val="1"/>
          <w:numId w:val="1"/>
        </w:numPr>
        <w:rPr/>
      </w:pPr>
      <w:bookmarkStart w:id="30" w:name="__RefHeading___Toc2130003_2749589250"/>
      <w:bookmarkStart w:id="31" w:name="_Toc10"/>
      <w:bookmarkEnd w:id="29"/>
      <w:bookmarkEnd w:id="30"/>
      <w:r>
        <w:rPr/>
        <w:t>3</w:t>
      </w:r>
      <w:r>
        <w:rPr>
          <w:rtl w:val="true"/>
        </w:rPr>
        <w:t xml:space="preserve">. </w:t>
      </w:r>
      <w:r>
        <w:rPr>
          <w:rtl w:val="true"/>
        </w:rPr>
        <w:t>القضیة المهدویة فی القرآن</w:t>
      </w:r>
      <w:bookmarkEnd w:id="31"/>
    </w:p>
    <w:p>
      <w:pPr>
        <w:pStyle w:val="Heading3"/>
        <w:numPr>
          <w:ilvl w:val="2"/>
          <w:numId w:val="1"/>
        </w:numPr>
        <w:rPr/>
      </w:pPr>
      <w:bookmarkStart w:id="32" w:name="__RefHeading___Toc2130005_2749589250"/>
      <w:bookmarkStart w:id="33" w:name="_Toc11"/>
      <w:bookmarkEnd w:id="32"/>
      <w:r>
        <w:rPr>
          <w:rtl w:val="true"/>
        </w:rPr>
        <w:t>اشارة</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حول الآیات المفسرة او المؤولة بشأن المهدی عجل الله تعالی فرجه الشریف و ما یتعلق بقضیة المهدی عجل الله تعالی فرجه الشریف بداً بسورة الحمد و حتماً بسورة الناس، کل ما ورد من آیة فسّرها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اوّلها او أشار الی نوع من الارتباط بالقضیة المهدویة اوردنا ها فی الجزء السابع من معجم احادیث الامام المهدی عجل الله تعالی فرجه الشریف و کان المجموع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 لاندعی أن کل ما ورد فی تفسیرها فهو صحیح السند بل یحتاج الی دراسة سندیة و لکن لنا تواتر اجمالی بصدور بعض هذه الروایات المرتبطة بهذه الآیات و الاغلب من کتبنا کتفسیر العیاشی الذی هو من اقدم مصادرنا، او کتاب الغیبة للنعمانی او کفایة الاثر و غیرها و لکنا نشیر من باب المقدمة إلی المفسرین ودور الکثیر منهم – مع الأسف‌ـ فی تغییب الحقائق</w:t>
      </w:r>
      <w:r>
        <w:rPr>
          <w:rFonts w:eastAsia="IRNazanin" w:cs="IRNazanin"/>
          <w:color w:val="111111"/>
          <w:sz w:val="28"/>
          <w:szCs w:val="28"/>
          <w:rtl w:val="true"/>
          <w:lang w:bidi="fa-IR"/>
        </w:rPr>
        <w:t xml:space="preserve">. </w:t>
      </w:r>
      <w:bookmarkStart w:id="34" w:name="pg3274_36685"/>
    </w:p>
    <w:p>
      <w:pPr>
        <w:pStyle w:val="Heading3"/>
        <w:numPr>
          <w:ilvl w:val="2"/>
          <w:numId w:val="1"/>
        </w:numPr>
        <w:rPr/>
      </w:pPr>
      <w:bookmarkStart w:id="35" w:name="__RefHeading___Toc2130007_2749589250"/>
      <w:bookmarkStart w:id="36" w:name="_Toc12"/>
      <w:bookmarkEnd w:id="34"/>
      <w:bookmarkEnd w:id="35"/>
      <w:r>
        <w:rPr>
          <w:rtl w:val="true"/>
        </w:rPr>
        <w:t>المشتهرون بالتفسیر</w:t>
      </w:r>
      <w:bookmarkEnd w:id="36"/>
    </w:p>
    <w:p>
      <w:pPr>
        <w:pStyle w:val="BookText"/>
        <w:rPr/>
      </w:pPr>
      <w:r>
        <w:rPr>
          <w:rFonts w:ascii="IRNazanin" w:hAnsi="IRNazanin" w:eastAsia="IRNazanin"/>
          <w:color w:val="111111"/>
          <w:sz w:val="28"/>
          <w:sz w:val="28"/>
          <w:szCs w:val="28"/>
          <w:rtl w:val="true"/>
          <w:lang w:bidi="fa-IR"/>
        </w:rPr>
        <w:t>هذا جلال الدین السیوطی فی کتابه الإتقان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بقائمة تتضمن أسماء المفسرین من الصحابة والتابعین وتابعی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 فیقول، اشتهر بالتفسیر من الصحابة عشرة 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جماعة من الصحابة غیر هؤلاء الیسیر من التفسیر، کانس بن مالک، وأبی هریرة، وإبن عمر، وجابر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عبد الله بن عمرو بن العاص أشیاء تتعلق بالقصص وأخبار الفتن والآخرة وما أشبهها بأن یکون مما تحمله من أهل الکتاب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السیوطی فی تفسیره الدر المنثور – أقول إنصافاً إنه رجل متتبع ومشتغل، نعم لا أقول أنه محقق –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أحفظ عن أبی بکر فی التفسیر إلاَّ آثاراً قلیلة جداً لا تکاد تجاوز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بذلک یذکرنا بکلام إبن حبَّان فی کتابه المجروحین حینما </w:t>
      </w:r>
    </w:p>
    <w:p>
      <w:pPr>
        <w:pStyle w:val="BookText"/>
        <w:rPr/>
      </w:pPr>
      <w:r>
        <w:rPr>
          <w:rFonts w:ascii="IRNazanin" w:hAnsi="IRNazanin" w:eastAsia="IRNazanin"/>
          <w:color w:val="111111"/>
          <w:sz w:val="28"/>
          <w:sz w:val="28"/>
          <w:szCs w:val="28"/>
          <w:rtl w:val="true"/>
          <w:lang w:bidi="fa-IR"/>
        </w:rPr>
        <w:t>یتکلم عن أبی حنیفة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رجلاً جدلاً ظاهر الورع لم یکن الحدیث صناعته، حدّث بمائة وثلاثین حدیثاً مسانید ماله حدیث فی الدنیا غیرها أخطأ منها فی مائة وعشرین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أقلب إسناده أو غیّر متنه من حیث لا یعلم فلما غلب خطؤه علی صوابه استحق ترک الاحتجاج به فی الأخبار</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المناوی فیتحدث عن إبن عباس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من تفسیره فعن علی</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البخاری فی فضائل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إبن سیرین یری أن عامة ما یروی عن علی الکذب</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فالبخاری أو إبن سیرین یهیئ الأرضیة لإبن تیمیة لیقول زوراً و حقداً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بأیدی المسلمین تفسیر ثابت عن علی</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فتح الشام أخذ عبد الله بن عمرو بن العاص حمل بعیر من کتب أهل الکتاب وکان یحدّث منها ولذا اتقاه </w:t>
      </w:r>
    </w:p>
    <w:p>
      <w:pPr>
        <w:pStyle w:val="BookText"/>
        <w:rPr/>
      </w:pPr>
      <w:r>
        <w:rPr>
          <w:rFonts w:ascii="IRNazanin" w:hAnsi="IRNazanin" w:eastAsia="IRNazanin"/>
          <w:color w:val="111111"/>
          <w:sz w:val="28"/>
          <w:sz w:val="28"/>
          <w:szCs w:val="28"/>
          <w:rtl w:val="true"/>
          <w:lang w:bidi="fa-IR"/>
        </w:rPr>
        <w:t>الناس وقلَّ حدیثه مع أنه کان أکثر حدیثاً من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لنفتح ملفات کل واحد من هؤلاء</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زید بن ثابت</w:t>
      </w:r>
    </w:p>
    <w:p>
      <w:pPr>
        <w:pStyle w:val="BookText"/>
        <w:rPr/>
      </w:pPr>
      <w:r>
        <w:rPr>
          <w:rFonts w:ascii="IRNazanin" w:hAnsi="IRNazanin" w:eastAsia="IRNazanin"/>
          <w:color w:val="111111"/>
          <w:sz w:val="28"/>
          <w:sz w:val="28"/>
          <w:szCs w:val="28"/>
          <w:rtl w:val="true"/>
          <w:lang w:bidi="fa-IR"/>
        </w:rPr>
        <w:t>أما بالنسبة إلی زید بن ثابت فقد کان ممن یُقدَم رأیه لو تعارض مع غیره – ذکره النووی فی المجموع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ترجیح قول زید بن ثابت علی قول غیره من الصحابة فی الفرائض – وکان زید بن ثابت فی زمن عثمان عاملاً علی بیت المال </w:t>
      </w:r>
      <w:r>
        <w:rPr>
          <w:rStyle w:val="FootnoteAnchor"/>
          <w:rtl w:val="true"/>
        </w:rPr>
        <w:footnoteReference w:id="9"/>
      </w:r>
      <w:r>
        <w:rPr>
          <w:rFonts w:ascii="IRNazanin" w:hAnsi="IRNazanin" w:eastAsia="IRNazanin"/>
          <w:color w:val="111111"/>
          <w:sz w:val="28"/>
          <w:sz w:val="28"/>
          <w:szCs w:val="28"/>
          <w:rtl w:val="true"/>
          <w:lang w:bidi="fa-IR"/>
        </w:rPr>
        <w:t xml:space="preserve">، وکان مدافعاً عن عثمان، وقال له أبو حسن المازنی حین قال– ای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الدار یا معشر الأنصار کونوا أنصار الله عز وجل مرتین فقال له أبو حسن لا والله لا نطیعک فنکون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أطعنا سادتنا وکبراءنا فأضلونا السبیلا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أما فی زمان عمر فقد کان کثیراً ما یستخلف زید بن ثابت إذا خرج إلی شیء من الأسفار وقلما رجع من سفر إلاَّ أقطعه حدیقة من نخل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سلیمان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عمر ولا عثمان یقدّمان علی زید بن </w:t>
      </w:r>
    </w:p>
    <w:p>
      <w:pPr>
        <w:pStyle w:val="BookText"/>
        <w:rPr/>
      </w:pPr>
      <w:r>
        <w:rPr>
          <w:rFonts w:ascii="IRNazanin" w:hAnsi="IRNazanin" w:eastAsia="IRNazanin"/>
          <w:color w:val="111111"/>
          <w:sz w:val="28"/>
          <w:sz w:val="28"/>
          <w:szCs w:val="28"/>
          <w:rtl w:val="true"/>
          <w:lang w:bidi="fa-IR"/>
        </w:rPr>
        <w:t xml:space="preserve">ثابت أحداً فی القضاء والفتوی والفرائض والقراءة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أنهم جعلوا زید بن ثابت الرجل الأول فی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نسأل من أین وصل زید بن ثابت إلی هذه المرتبة؟</w:t>
      </w:r>
    </w:p>
    <w:p>
      <w:pPr>
        <w:pStyle w:val="BookText"/>
        <w:rPr/>
      </w:pPr>
      <w:r>
        <w:rPr>
          <w:rFonts w:ascii="IRNazanin" w:hAnsi="IRNazanin" w:eastAsia="IRNazanin"/>
          <w:color w:val="111111"/>
          <w:sz w:val="28"/>
          <w:sz w:val="28"/>
          <w:szCs w:val="28"/>
          <w:rtl w:val="true"/>
          <w:lang w:bidi="fa-IR"/>
        </w:rPr>
        <w:t>والجواب ببساطة ما ذلک إلاَّ لرضا فلان وفلان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بن ثابت أخذ بید أبی بکر فقال هذا صاحبکم فبایعوه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هذا کان عنده کلاماً خطیراً علی خلاف قول رسول الله صلی الله علیه و آله و سلم، فقد ورد فی مسند أحمد عن أبی سعید الخدری قال لما توفی رسول الله صلی الله علیه و آله و سلم قام خطباء الأنصار فجعل منهم من یقول یا معشر المهاجرین أن رسول‌الله صلی الله علیه و آله و سلم کان إذا استعمل رجلاً منکم قَرَن معه رجلاً منا فنری أن یلی هذا الأمر رجلان أحدهما منکم والآخر منا قال فتتابعت خطباء الأنصار علی ذلک قال فقام زید بن ثابت فقال إن رسول الله صلی الله علیه و آله و سلم کان من المهاجرین وإنما الإمام یکون من المهاجرین ونحن أنصاره کما کنا أنصار رسول‌الله صلی الله علیه و آله و سلم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عند العامة</w:t>
      </w:r>
      <w:r>
        <w:rPr>
          <w:rFonts w:eastAsia="IRNazanin" w:cs="IRNazanin"/>
          <w:color w:val="111111"/>
          <w:sz w:val="28"/>
          <w:szCs w:val="28"/>
          <w:rtl w:val="true"/>
          <w:lang w:bidi="fa-IR"/>
        </w:rPr>
        <w:t xml:space="preserve">. </w:t>
      </w:r>
      <w:bookmarkStart w:id="37" w:name="pg3274_36689"/>
    </w:p>
    <w:p>
      <w:pPr>
        <w:pStyle w:val="BookText"/>
        <w:rPr/>
      </w:pPr>
      <w:bookmarkEnd w:id="37"/>
      <w:r>
        <w:rPr>
          <w:rFonts w:ascii="IRNazanin" w:hAnsi="IRNazanin" w:eastAsia="IRNazanin"/>
          <w:color w:val="111111"/>
          <w:sz w:val="28"/>
          <w:sz w:val="28"/>
          <w:szCs w:val="28"/>
          <w:rtl w:val="true"/>
          <w:lang w:bidi="fa-IR"/>
        </w:rPr>
        <w:t>ویذکر إبن شبَّة أنهم قالوا لعبد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تقرأ علی قراءة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ولزید ولقراءة زید، لقد أخذت من فی رسول الله صلی الله علیه و آله و سلم سبعین سورة، وإن زید بن ثابت لیهودی له ذؤابتان</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کونه عثمانیاً کفایة فی بیان حاله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ونختم هذا الکلام بکلام لباقر علوم الأولین والآخرین فقد ورد فی الکافی عن أبی بصیر،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حکمان حکم الله وحکم الجاهلیة،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من الله حکما لقوم یوقنون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وأشهدوا علی زید بن ثابت لقد حکم فی الفرائض بحکم الجاهلیة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130009_2749589250"/>
      <w:bookmarkStart w:id="39" w:name="_Toc13"/>
      <w:bookmarkEnd w:id="38"/>
      <w:r>
        <w:rPr>
          <w:rtl w:val="true"/>
        </w:rPr>
        <w:t>أبو موسی الأشعری</w:t>
      </w:r>
      <w:bookmarkEnd w:id="39"/>
    </w:p>
    <w:p>
      <w:pPr>
        <w:pStyle w:val="Heading4"/>
        <w:numPr>
          <w:ilvl w:val="3"/>
          <w:numId w:val="1"/>
        </w:numPr>
        <w:rPr/>
      </w:pPr>
      <w:bookmarkStart w:id="40" w:name="__RefHeading___Toc2130011_2749589250"/>
      <w:bookmarkStart w:id="41" w:name="_Toc14"/>
      <w:bookmarkEnd w:id="40"/>
      <w:r>
        <w:rPr>
          <w:rtl w:val="true"/>
        </w:rPr>
        <w:t>اشارة</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ضمن المتآمرین علی رسول الله صلی الله علیه و آله و سلم لیلة العقبة لاغتیاله صلی الله علیه و آله و سلم، 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عمَّار فجاء أبو موسی معاتباً لعمَّار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 ألستُ أخاک،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أدری إلاَّ أنی سمعت </w:t>
      </w:r>
    </w:p>
    <w:p>
      <w:pPr>
        <w:pStyle w:val="BookText"/>
        <w:rPr/>
      </w:pPr>
      <w:r>
        <w:rPr>
          <w:rFonts w:ascii="IRNazanin" w:hAnsi="IRNazanin" w:eastAsia="IRNazanin"/>
          <w:color w:val="111111"/>
          <w:sz w:val="28"/>
          <w:sz w:val="28"/>
          <w:szCs w:val="28"/>
          <w:rtl w:val="true"/>
          <w:lang w:bidi="fa-IR"/>
        </w:rPr>
        <w:t>رسول الله صلی الله علیه و آله و سلم یلعنک لیلة الجمل،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استغفر لی،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اللعن ولم أشهد الاستغفار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ثم تصریح إبن عبد البر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أبو موسی حینئذ بالکوفة وسکنها فلما دفع أهل الکوفة سعید بن العاص ولَّوا أبا موسی وکتبوا إلی عثمان یسألونه أن یولّیه فأقرّه عثمان علی الکوفة إلی أن مات وعزله علی ـ‌رضی الله عنه ـ عنها فلم یزل واجداً منها علی علی حتی جاء منه ما قال حذیفة فقد روی فیه لحذیفة کلام کرهت ذکره والله یغفر له– ای حذیفة</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الحاکم النیسابوری فی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ذر رضی الله عنه قال ما کنا نعرف المنافقین إلاَّ بتکذیبهم الله ورسوله والتخلف عن الصلوات والبغض لعلی بن أبی طالب رضی الله عنه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أبا موسی خیر مصداق لهذا الحدیث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إبن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أقرّ أبا موسی علی إمرة الکوفة فلما </w:t>
      </w:r>
      <w:bookmarkStart w:id="42" w:name="pg3274_36691"/>
    </w:p>
    <w:p>
      <w:pPr>
        <w:pStyle w:val="BookText"/>
        <w:rPr/>
      </w:pPr>
      <w:bookmarkEnd w:id="42"/>
      <w:r>
        <w:rPr>
          <w:rFonts w:ascii="IRNazanin" w:hAnsi="IRNazanin" w:eastAsia="IRNazanin"/>
          <w:color w:val="111111"/>
          <w:sz w:val="28"/>
          <w:sz w:val="28"/>
          <w:szCs w:val="28"/>
          <w:rtl w:val="true"/>
          <w:lang w:bidi="fa-IR"/>
        </w:rPr>
        <w:t>خرج من المدینة أرسل هاشم بن عتبة بن أبی وقاص إلیه أن انهض من قبلک من المسلمین وکن من أعوانی علی الحق فاستشار أبو موسی السائب بن مالک الأشعری فقال اتبع ما أمرک به قال إنی لا أری ذلک وأخذ فی تخذیل الناس عن النهوض</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فسحتم المجال للطبقة الثانیة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ولنبین حال کل واحد من هؤلاء</w:t>
      </w:r>
      <w:r>
        <w:rPr>
          <w:rFonts w:eastAsia="IRNazanin" w:cs="IRNazanin"/>
          <w:color w:val="111111"/>
          <w:sz w:val="28"/>
          <w:szCs w:val="28"/>
          <w:rtl w:val="true"/>
          <w:lang w:bidi="fa-IR"/>
        </w:rPr>
        <w:t>.</w:t>
      </w:r>
    </w:p>
    <w:p>
      <w:pPr>
        <w:pStyle w:val="Heading4"/>
        <w:numPr>
          <w:ilvl w:val="3"/>
          <w:numId w:val="1"/>
        </w:numPr>
        <w:rPr/>
      </w:pPr>
      <w:bookmarkStart w:id="43" w:name="__RefHeading___Toc2130013_2749589250"/>
      <w:bookmarkStart w:id="44" w:name="_Toc15"/>
      <w:bookmarkEnd w:id="43"/>
      <w:r>
        <w:rPr/>
        <w:t>1</w:t>
      </w:r>
      <w:r>
        <w:rPr>
          <w:rtl w:val="true"/>
        </w:rPr>
        <w:t xml:space="preserve">- </w:t>
      </w:r>
      <w:r>
        <w:rPr>
          <w:rtl w:val="true"/>
        </w:rPr>
        <w:t>مجاهد</w:t>
      </w:r>
      <w:bookmarkEnd w:id="44"/>
    </w:p>
    <w:p>
      <w:pPr>
        <w:pStyle w:val="BookText"/>
        <w:rPr/>
      </w:pPr>
      <w:r>
        <w:rPr>
          <w:rFonts w:ascii="IRNazanin" w:hAnsi="IRNazanin" w:eastAsia="IRNazanin"/>
          <w:color w:val="111111"/>
          <w:sz w:val="28"/>
          <w:sz w:val="28"/>
          <w:szCs w:val="28"/>
          <w:rtl w:val="true"/>
          <w:lang w:bidi="fa-IR"/>
        </w:rPr>
        <w:t>فیقول أبو بکر بن عیَّاش علی ما فی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تفسیر مجاهد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شئ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من أهل الکتاب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نخبة الفکر 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عرف بالنظر فی الإسرائیلیات کعبد الله بن سلام، وعبد الله بن عمر بن </w:t>
      </w:r>
      <w:bookmarkStart w:id="45" w:name="pg3274_36692"/>
    </w:p>
    <w:p>
      <w:pPr>
        <w:pStyle w:val="BookText"/>
        <w:rPr/>
      </w:pPr>
      <w:bookmarkEnd w:id="45"/>
      <w:r>
        <w:rPr>
          <w:rFonts w:ascii="IRNazanin" w:hAnsi="IRNazanin" w:eastAsia="IRNazanin"/>
          <w:color w:val="111111"/>
          <w:sz w:val="28"/>
          <w:sz w:val="28"/>
          <w:szCs w:val="28"/>
          <w:rtl w:val="true"/>
          <w:lang w:bidi="fa-IR"/>
        </w:rPr>
        <w:t>العاص حتی کان بعض أصحاب رسول الله ربما قال حدَّثْنا عن النبی ولا تحدثنا من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وتراهم الیوم یتهمون الشیعة ـ نعوذ بالله ـ بالارتباط بالیهود، فمن هو المرتبط بالیهود؟</w:t>
      </w:r>
    </w:p>
    <w:p>
      <w:pPr>
        <w:pStyle w:val="BookText"/>
        <w:rPr/>
      </w:pPr>
      <w:r>
        <w:rPr>
          <w:rFonts w:ascii="IRNazanin" w:hAnsi="IRNazanin" w:eastAsia="IRNazanin"/>
          <w:color w:val="111111"/>
          <w:sz w:val="28"/>
          <w:sz w:val="28"/>
          <w:szCs w:val="28"/>
          <w:rtl w:val="true"/>
          <w:lang w:bidi="fa-IR"/>
        </w:rPr>
        <w:t>وقال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مائلاً إلی رأی الخوارج</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46" w:name="__RefHeading___Toc2130015_2749589250"/>
      <w:bookmarkStart w:id="47" w:name="_Toc16"/>
      <w:bookmarkEnd w:id="46"/>
      <w:r>
        <w:rPr/>
        <w:t>2</w:t>
      </w:r>
      <w:r>
        <w:rPr>
          <w:rtl w:val="true"/>
        </w:rPr>
        <w:t xml:space="preserve">- </w:t>
      </w:r>
      <w:r>
        <w:rPr>
          <w:rtl w:val="true"/>
        </w:rPr>
        <w:t>کعب الأحبار</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المفسرین الذین ملأت کلماتهم التفاسیر وکتب الأحادیث هو کعب الأحبار، وأنقل لکم النصوص من کتاب سیر أعلام النبلاء للذهبی، وأؤکد علی هذا الکتاب لا لأنه من مؤلف سنی فحسب بل لأن أهل السنة یعتبرون أنفسهم عیال علیه – یقول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المحدثین عیال الأن فـی الرجال و غیرها من فنون الحدیث علی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و العراقـی و العسقلانـی و الذهبـی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الذهبی شافعی المذهب لکنه تتلمذ علی ید إبن تیمیة فأخذ النصب والعصبیة منه یقول صاحب فتح الملک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وردت روایة فی </w:t>
      </w:r>
    </w:p>
    <w:p>
      <w:pPr>
        <w:pStyle w:val="BookText"/>
        <w:rPr/>
      </w:pPr>
      <w:r>
        <w:rPr>
          <w:rFonts w:ascii="IRNazanin" w:hAnsi="IRNazanin" w:eastAsia="IRNazanin"/>
          <w:color w:val="111111"/>
          <w:sz w:val="28"/>
          <w:sz w:val="28"/>
          <w:szCs w:val="28"/>
          <w:rtl w:val="true"/>
          <w:lang w:bidi="fa-IR"/>
        </w:rPr>
        <w:t xml:space="preserve">فضل علی یردها بحق أو بباطل </w:t>
      </w:r>
      <w:r>
        <w:rPr>
          <w:rStyle w:val="FootnoteAnchor"/>
          <w:rtl w:val="true"/>
        </w:rPr>
        <w:footnoteReference w:id="27"/>
      </w:r>
      <w:r>
        <w:rPr>
          <w:rFonts w:ascii="IRNazanin" w:hAnsi="IRNazanin" w:eastAsia="IRNazanin"/>
          <w:color w:val="111111"/>
          <w:sz w:val="28"/>
          <w:sz w:val="28"/>
          <w:szCs w:val="28"/>
          <w:rtl w:val="true"/>
          <w:lang w:bidi="fa-IR"/>
        </w:rPr>
        <w:t>– یقول الذهبی عن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کعب بن ماتع الحمیری الیمانی العلامة الحبر، الذی کان یهودیاً فأسلم بعد وفاة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أصحاب محمد صلی الله علیه و آله و سلم، فکان یحدّثهم عن الکتب الإسرائیلیة، ویحفظ 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خبیرا بکتب الیهود، له ذوق فی معرفة صحیحها من باطلها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ومعاویة، وابن عباس، وذلک من قبیل روایة الصحابی عن التابعی، وحدّث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مولی عمر، وتبیع الحمیری ابن امرأة کعب، وأبو سلّام الأسود، وروی عنه عدة من التابعین، کعطاء بن یسار، وغیره مرسلا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بسطام بن مسلم، حدثنا معاویة بن قرة، أنهم تذاکروا ذلک الکتاب، فمر بهم شهر بن حوشب،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 إن کعباً لما احتضر،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أأتمنه علی أمانة؟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فدفع إلیه ذلک الکتاب،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البحیرة، فإذا بلغت مکان کذا </w:t>
      </w:r>
    </w:p>
    <w:p>
      <w:pPr>
        <w:pStyle w:val="BookText"/>
        <w:rPr/>
      </w:pPr>
      <w:r>
        <w:rPr>
          <w:rFonts w:ascii="IRNazanin" w:hAnsi="IRNazanin" w:eastAsia="IRNazanin"/>
          <w:color w:val="111111"/>
          <w:sz w:val="28"/>
          <w:sz w:val="28"/>
          <w:szCs w:val="28"/>
          <w:rtl w:val="true"/>
          <w:lang w:bidi="fa-IR"/>
        </w:rPr>
        <w:t>وکذا، فاقذفه، فخرج من عند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فیه علم، ویموت کعب لا أفرط به، فأتی کعباً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أمرتنی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شیئاً، فعلم کذبه، فلم یزل یناشده، ویطلب إلیه حتی رده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یؤدی أمانة؟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سفینة، فلما أتی ذلک المکان، ذهب لیقذفه، فانفرج له البحر، حتی رأی الارض، فقذفه، وأتاه،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التوراة کما أنزلها الله علی موسی ما غیّرت ولا بدلت، ولکن خشیت أن یتکل علی ما فیها، ولکن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ولقنوها موتاکم</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الذهبی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من کعب دالٌ علی أنَّ تیکَ النسخة ما غیّرت و لا بُدِّلت و أنَّ ما عداها بخلاف ذلک، فمن الذی یستحل أن یورد الیوم من التوراة شیئاً علی وجه الاحتجاج معتقداً انها التوراه المنزلة؟ کلاّ و الله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الشهرستانی فی الملل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کثیر من الیهود الذین اعتنقوا الإسلام أحادیث متعددة فی مسائل التجسیم والتشبیه وهی کلها مستمدة من التوراة</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إبن خلدون – الذی یقول ـ نستجیر بالله من الزندقه ـ شذ أهل البیت بمذاهب ابتدعوها – لیقول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وصار التفسیر علی صنفین تفسیر نقلی مسند إلی الآثار المنقولة عن السلف وهی معرفة الناسخ والمنسوخ وأسباب النزول ومقاصد الآی وکل ذلک لا یعرف إلا بالنقل عن الصحابة والتابعین وقد جمع المتقدمون فی ذلک وأوعوا إلا أن کتبهم ومنقولاتهم تشتمل علی الغث والسمین والمقبول والمردود والسبب فی ذلک أن العرب لم یکونوا أهل کتاب ولا علم وإنما غلبت علیهم البداوة والأمیة وإذا تشوقوا إلی معرفة شیء مما تتشوق إلیه النفوس البشریة فی أسباب المکونات وبدء الخلیقة وأسرار الوجود فإنما یسألون عنه أهل الکتاب قبلهم ویستفیدونه منهم وهم أهل التوراة من الیهود ومن تبع دینهم من النصاری وأهل التوراة الذین بین العرب یومئذ بادیة مثلهم ولا یعرفون من ذلک إلا ما تعرفه العامة من أهل الکتاب ومعظمهم من حمیر الذین أخذوا بدین الیهودیة فلما أسلموا بقوا علی ما کان عندهم مما لا تعلق له بالأحکام الشرعیة التی یحتاطون لها مثل أخبار بدء الخلیقة وما یرجع إلی الحدثان والملاحم </w:t>
      </w:r>
    </w:p>
    <w:p>
      <w:pPr>
        <w:pStyle w:val="BookText"/>
        <w:rPr/>
      </w:pPr>
      <w:r>
        <w:rPr>
          <w:rFonts w:ascii="IRNazanin" w:hAnsi="IRNazanin" w:eastAsia="IRNazanin"/>
          <w:color w:val="111111"/>
          <w:sz w:val="28"/>
          <w:sz w:val="28"/>
          <w:szCs w:val="28"/>
          <w:rtl w:val="true"/>
          <w:lang w:bidi="fa-IR"/>
        </w:rPr>
        <w:t>وأمثال ذلک وهؤلاء مثل کعب الأحبار ووهب بن منبه وعبد الله بن سلام وأمثالهم فامتلأت التفاسیر من المنقولات عندهم فی أمثال هذه الأغراض أخبار موقوفة علیهم ولیست مما یرجع إلی الأحکام فتتحری فی الصحة التی یجب بها العمل وتساهل المفسرون فی مثل ذلک وملأوا کتب التفسیر بهذه المنقولات وأصلها کما قلنا عن أهل التوراة الذین یسکنون البادیة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إعرفه واعرف مدی احترامه عند السلطات، فکان فی یوم الجمعة قبل أن یبدأ إمام الجمعة کان یأتی ویخطب ساعة او ساعتین علی عهد الخلفاء، </w:t>
      </w:r>
      <w:r>
        <w:rPr>
          <w:rStyle w:val="FootnoteAnchor"/>
          <w:rtl w:val="true"/>
        </w:rPr>
        <w:footnoteReference w:id="31"/>
      </w:r>
      <w:r>
        <w:rPr>
          <w:rFonts w:ascii="IRNazanin" w:hAnsi="IRNazanin" w:eastAsia="IRNazanin"/>
          <w:color w:val="111111"/>
          <w:sz w:val="28"/>
          <w:sz w:val="28"/>
          <w:szCs w:val="28"/>
          <w:rtl w:val="true"/>
          <w:lang w:bidi="fa-IR"/>
        </w:rPr>
        <w:t>وهذا فی زمن کان أمثال أبو ذر رضوان الله علیه یُمنع عن نقل الحدیث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إبن کثیر مع أنه مع أنه تلمیذ إبن تیمیة عنده مؤاخذات علی تفاسیرهم قال فی تفسیره فی ذیل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نکَّروا لها عرشها</w:t>
      </w:r>
      <w:r>
        <w:rPr>
          <w:rFonts w:eastAsia="IRNazanin" w:cs="IRNazanin"/>
          <w:color w:val="111111"/>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فیذکر تفسیراً قبیحاً </w:t>
      </w:r>
      <w:r>
        <w:rPr>
          <w:rStyle w:val="FootnoteAnchor"/>
          <w:rtl w:val="true"/>
        </w:rPr>
        <w:footnoteReference w:id="33"/>
      </w:r>
      <w:r>
        <w:rPr>
          <w:rFonts w:ascii="IRNazanin" w:hAnsi="IRNazanin" w:eastAsia="IRNazanin"/>
          <w:color w:val="111111"/>
          <w:sz w:val="28"/>
          <w:sz w:val="28"/>
          <w:szCs w:val="28"/>
          <w:rtl w:val="true"/>
          <w:lang w:bidi="fa-IR"/>
        </w:rPr>
        <w:t xml:space="preserve">لا یصدر من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إنسان عادی فکیف بالنبی – وهو لا یرتضیه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منکر غریب جداً ولعله من أوهام عطاء بن السائب علی إبن عباس والله أعلم والأقرب فی مثل هذه السیاقات أنها متلقاة عن أهل الکتاب مما وجد فی صحفهم کروایات کعب ووهب سامحهما الله تعالی فیما نقلاه إلی هذه الأمة من أخبار بنی إسرائیل من الأوابد والغرائب والعجائب مما کان وما لم یکن ومما حرف وبدل ونسخ وقد أغنانا الله سبحانه عن ذلک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8" w:name="pg3274_36698"/>
    </w:p>
    <w:p>
      <w:pPr>
        <w:pStyle w:val="Heading4"/>
        <w:numPr>
          <w:ilvl w:val="3"/>
          <w:numId w:val="1"/>
        </w:numPr>
        <w:rPr/>
      </w:pPr>
      <w:bookmarkStart w:id="49" w:name="__RefHeading___Toc2130017_2749589250"/>
      <w:bookmarkStart w:id="50" w:name="_Toc17"/>
      <w:bookmarkEnd w:id="48"/>
      <w:bookmarkEnd w:id="49"/>
      <w:r>
        <w:rPr/>
        <w:t>3</w:t>
      </w:r>
      <w:r>
        <w:rPr>
          <w:rtl w:val="true"/>
        </w:rPr>
        <w:t xml:space="preserve">- </w:t>
      </w:r>
      <w:r>
        <w:rPr>
          <w:rtl w:val="true"/>
        </w:rPr>
        <w:t>الشـعـبی</w:t>
      </w:r>
      <w:bookmarkEnd w:id="50"/>
    </w:p>
    <w:p>
      <w:pPr>
        <w:pStyle w:val="BookText"/>
        <w:rPr/>
      </w:pPr>
      <w:r>
        <w:rPr>
          <w:rFonts w:ascii="IRNazanin" w:hAnsi="IRNazanin" w:eastAsia="IRNazanin"/>
          <w:color w:val="111111"/>
          <w:sz w:val="28"/>
          <w:sz w:val="28"/>
          <w:szCs w:val="28"/>
          <w:rtl w:val="true"/>
          <w:lang w:bidi="fa-IR"/>
        </w:rPr>
        <w:t>قال عنه السید الخوئی قدس سر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الخبیث الفاجر الکذاب المعلن بعدائه لأمیر المؤمنین علیه السلام، وقد ذکرنا شطراً من مخازیه فی تفسیرنا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عند التعرض لترجمة الحارث الأعور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الشعبی أول من أسلم أبو بکر وولی القضاء للولید ثم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بلغ من نصب </w:t>
      </w:r>
    </w:p>
    <w:p>
      <w:pPr>
        <w:pStyle w:val="BookText"/>
        <w:rPr/>
      </w:pPr>
      <w:r>
        <w:rPr>
          <w:rFonts w:ascii="IRNazanin" w:hAnsi="IRNazanin" w:eastAsia="IRNazanin"/>
          <w:color w:val="111111"/>
          <w:sz w:val="28"/>
          <w:sz w:val="28"/>
          <w:szCs w:val="28"/>
          <w:rtl w:val="true"/>
          <w:lang w:bidi="fa-IR"/>
        </w:rPr>
        <w:t>الشعبی وکذبه أنه کان یحلف بالله أن علیاً دخل اللحد ولم یحفظ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حنیفة أنه خرق ما سمع منه لما رأی خمره وقماره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إبن تیمیة فی الحاکم النیشابوری– وهو سنی وإن اتهم بالتشیع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تشیعه وتشیع أمثاله من أهل العلم بالحدیث کالنسائی وأبن عبد البر وأمثالهما لا یذهب إلی تفضیله علیاً علی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إنه شیعی ویقدم علیاً علی عثمان، وشیعی ویشجب طلحة والزبیر، أما أن یقدم علیاً علی الشیخین فلا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بأسلوبهم وطریقتهم هذه ربَّوا جیلاً مفسراً، فقیهاً، محدثاً ولکنه ناصبی، جیل حولوه بکامله إلی نواصب، ویشیر الذهبی إلی هذا المعنی فی سیر أعلام النبلاء فی ترجمة معاویة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وخلف معاویة خلق کثیر یحبونه ویتغالون فیه ویفضلونه، إما قد ملکهم بالکرم والحلم والعطاء، وإما قد ولدوا فی الشام علی حبه، وتربی أولادهم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جماعة یسیرة من الصحابة، وعدد کثیر من التابعین والفضلاء، وحاربوا معه أهل العراق، ونشأوا علی النصب</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هذا الناشیء ناصبیاً الی هذه الدرجة فهل </w:t>
      </w:r>
    </w:p>
    <w:p>
      <w:pPr>
        <w:pStyle w:val="BookText"/>
        <w:rPr/>
      </w:pPr>
      <w:r>
        <w:rPr>
          <w:rFonts w:ascii="IRNazanin" w:hAnsi="IRNazanin" w:eastAsia="IRNazanin"/>
          <w:color w:val="111111"/>
          <w:sz w:val="28"/>
          <w:sz w:val="28"/>
          <w:szCs w:val="28"/>
          <w:rtl w:val="true"/>
          <w:lang w:bidi="fa-IR"/>
        </w:rPr>
        <w:t>تتوقع أن ینقل روایة واحدة عن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النیشابوری– وهو سنی شافعی ولکنه إنسان معتدل – ألف کتاباً بعنوان فضائل الزهراء – لا أقول أن الکتاب من أوله إلی آخره مقبول فقد طالعته و لدیّ علیه ملاحظات – و یهمنا منه المقدمة التی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تألیفی لهذا الکتاب أن زماننا قد خلفنا فی رعاة یتقرب الناس ببغض آل محمد والوضع عن أهل البیت فکل من یتوسل إلیهم فتوسله بذکر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نسال الله أن یبدلنا بالخوارج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حملنی علی تحریر هذه الرسالة أن حضرت مجلساً حضره أعیان الفقهاء والقضاة والأمناء من المزکین وجری بحضرتهم ذکر أمیر المؤمنین علی بن أبی طالب رضی الله عنه فانتدب عین من أعیان الفقهاء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لا یحفظ القرآن، هذا الشعبی 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هذا فإن الصحابة الذین هم أعلم من الشعبی قد شهدوا له بحفظ القرآن، فهذا أبو عبد الرحمن السلمی سید القراء من التابعین قرأ علی علی علیه السلام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الشعبی أعرف به من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 لم یسمع من علی، إنما رآه رؤیة ثم انقلب میله إلی عدائه، فیقول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زاده کل ما ذکرته من ذلک إلاَّ تمادیاً بالباطل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بدأوا بالانتقاص من فاطمة، ثم جاء فی المجلس ذکر بنات النبی زینب، رقیة وأم کلثوم، فانتدب بعض من اختلف إلیَّ قدیماً –‌ای تلمیذی – وطالت ملازمته لی، وقام للتقرب بالنصب إلی بعض الحاضرین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البخاری روی فی صحیحه أن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بناتی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فی‌ای مورد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حضرة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أنی جمعت هذا الکتاب أربع مرات وأملیته علیک فوالله ما مر بی‌هذا الحدیث فی کتابه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الصدر– المتقرب إلیه التلمیذ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عنی خیراً فالآن ظهر لی وصح عندی أنک سنی ومتعصب للسنة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طالعت وجدت الحدیث یذکره عروة بن الزبیر فی کتاب آخر والخبر هو کان رسول الله یقول فی حق زینب هی أفضل بناتی أصیبت فیَّ، فبلغ ذلک زین العابدین فانطلق إلی عروة فقال ما حدیثاً بلغنی أن تحدث </w:t>
      </w:r>
      <w:bookmarkStart w:id="51" w:name="pg3274_36702"/>
    </w:p>
    <w:p>
      <w:pPr>
        <w:pStyle w:val="BookText"/>
        <w:rPr/>
      </w:pPr>
      <w:bookmarkEnd w:id="51"/>
      <w:r>
        <w:rPr>
          <w:rFonts w:ascii="IRNazanin" w:hAnsi="IRNazanin" w:eastAsia="IRNazanin"/>
          <w:color w:val="111111"/>
          <w:sz w:val="28"/>
          <w:sz w:val="28"/>
          <w:szCs w:val="28"/>
          <w:rtl w:val="true"/>
          <w:lang w:bidi="fa-IR"/>
        </w:rPr>
        <w:t>به وتنتقص فیه فاطمة،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لأحب لو أن لی ما بین المشرق والمغرب علی أن انتقص فاطمة حقها، ولا أحدّث بعد ذلک أبداً أحد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52" w:name="__RefHeading___Toc2130019_2749589250"/>
      <w:bookmarkStart w:id="53" w:name="_Toc18"/>
      <w:bookmarkEnd w:id="52"/>
      <w:r>
        <w:rPr/>
        <w:t>4</w:t>
      </w:r>
      <w:r>
        <w:rPr>
          <w:rtl w:val="true"/>
        </w:rPr>
        <w:t xml:space="preserve">- </w:t>
      </w:r>
      <w:r>
        <w:rPr>
          <w:rtl w:val="true"/>
        </w:rPr>
        <w:t>عکرمة</w:t>
      </w:r>
      <w:bookmarkEnd w:id="53"/>
    </w:p>
    <w:p>
      <w:pPr>
        <w:pStyle w:val="BookText"/>
        <w:rPr/>
      </w:pPr>
      <w:r>
        <w:rPr>
          <w:rFonts w:ascii="IRNazanin" w:hAnsi="IRNazanin" w:eastAsia="IRNazanin"/>
          <w:color w:val="111111"/>
          <w:sz w:val="28"/>
          <w:sz w:val="28"/>
          <w:szCs w:val="28"/>
          <w:rtl w:val="true"/>
          <w:lang w:bidi="fa-IR"/>
        </w:rPr>
        <w:t xml:space="preserve">أما عکرمة فقد کان ینادی فی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نساء النبی خاصة </w:t>
      </w:r>
      <w:r>
        <w:rPr>
          <w:rStyle w:val="FootnoteAnchor"/>
          <w:rtl w:val="true"/>
        </w:rPr>
        <w:footnoteReference w:id="39"/>
      </w:r>
      <w:r>
        <w:rPr>
          <w:rFonts w:ascii="IRNazanin" w:hAnsi="IRNazanin" w:eastAsia="IRNazanin"/>
          <w:color w:val="111111"/>
          <w:sz w:val="28"/>
          <w:sz w:val="28"/>
          <w:szCs w:val="28"/>
          <w:rtl w:val="true"/>
          <w:lang w:bidi="fa-IR"/>
        </w:rPr>
        <w:t>، مع أنه لم نجد‌ای مورد لنساء النبی تدعی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إبن کثیر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عکرمة من شاء باهلته إنها نزلت فی شأن نساء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ولننقل بعض النصوص فی شأنه من میزان الاعتدال للذهبی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مولی إبن عباس، أحد أوعیة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لرأیه لا لحفظه فاتهم برأی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جماعة، واعتمده البخاری وأما مسلم فتجنبه، وروی له قلیلاً مقروناً بغیره، وأعرض عنه مالک وتحایده إلاَّ فی حدیث أو حدیثین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bookmarkStart w:id="54" w:name="pg3274_36703"/>
    </w:p>
    <w:p>
      <w:pPr>
        <w:pStyle w:val="BookText"/>
        <w:rPr/>
      </w:pPr>
      <w:bookmarkEnd w:id="54"/>
      <w:r>
        <w:rPr>
          <w:rFonts w:ascii="IRNazanin" w:hAnsi="IRNazanin" w:eastAsia="IRNazanin"/>
          <w:color w:val="111111"/>
          <w:sz w:val="28"/>
          <w:sz w:val="28"/>
          <w:szCs w:val="28"/>
          <w:rtl w:val="true"/>
          <w:lang w:bidi="fa-IR"/>
        </w:rPr>
        <w:t>وقال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عبد الله فإذا عکرمة فی وثاق عند باب الحش – الکنیف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الخبیث یکذب علی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 الحضرمی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عکرمة علی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إلا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 رأی الأباضیة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عکرمة مصر، وهو یرید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فالخوارج الذین بالمغرب عنه أخذوا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عکرمة من أعلم الناس، ولکنه کان یری رأی الصفریة – فرقة من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یدع موضعاً إلا 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والشام، والیمن، ومصر، وإفریقیة، کان یأتی الأمراء فیطلب جوائزهم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وبعد کل هذا النصب و الحقد والعداء لأهل البیت علیهم السلام یتوقع منه هذا أن یقول أن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أو فی فاطمةعلیهما السلام</w:t>
      </w:r>
      <w:r>
        <w:rPr>
          <w:rFonts w:eastAsia="IRNazanin" w:cs="IRNazanin"/>
          <w:color w:val="111111"/>
          <w:sz w:val="28"/>
          <w:szCs w:val="28"/>
          <w:rtl w:val="true"/>
          <w:lang w:bidi="fa-IR"/>
        </w:rPr>
        <w:t>.</w:t>
      </w:r>
    </w:p>
    <w:p>
      <w:pPr>
        <w:pStyle w:val="Heading4"/>
        <w:numPr>
          <w:ilvl w:val="3"/>
          <w:numId w:val="1"/>
        </w:numPr>
        <w:rPr/>
      </w:pPr>
      <w:bookmarkStart w:id="55" w:name="__RefHeading___Toc2130021_2749589250"/>
      <w:bookmarkStart w:id="56" w:name="_Toc19"/>
      <w:bookmarkEnd w:id="55"/>
      <w:r>
        <w:rPr/>
        <w:t>5</w:t>
      </w:r>
      <w:r>
        <w:rPr>
          <w:rtl w:val="true"/>
        </w:rPr>
        <w:t xml:space="preserve">- </w:t>
      </w:r>
      <w:r>
        <w:rPr>
          <w:rtl w:val="true"/>
        </w:rPr>
        <w:t>قتادة</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خارجی وله رأی الخوارج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وننقل هذه المحاورة بینه وبین الإمام الباقر فیما یرویه أبو حمزة الثمالی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فی مسجد الرسول صلی الله علیه و آله و سلم إذا أقبل رجل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عبد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الکوفة،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أبا جعفر محمد بن علی علیه السلام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حاجتک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له أربعین مسألة أسأله عنها فما کان من حق أخذته وما کان من باطل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ما بین الحق والباطل؟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إلیه إذا کنت تعرف مابین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أنتم قوم ما تطاقون إذا رأیت أبا جعفر علیه السلام فأخبرنی، فما انقطع کلامی معه حتی أقبل أبو جعفر علیه السلام وحوله أهل خراسان و غیرهم یسألونه عن مناسک الحج فمضی حتی جلس مجلسه وجلس الرجل قریباً منه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حیث أسمع الکلام وحوله عالم من الناس فلما قضی حوائجهم وانصرفوا التفت إلی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قتادة بن دعامة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البصرة؟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إن الله جل وعز خلق خلقاً من خلقه فجعلهم حججاً علی خلقه فهم أوتاد فی أرضه، قوام بأمره، نجباء فی علمه، اصطفاهم قبل خلقه أظلة عن یمین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قتادة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والله لقد جلست بین یدی الفقهاء وقدّام ابن عباس فما اضطرب قلبی قدّام واحد منهم ما اضطرب قدّامک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أتدری أین أنت؟ أنت بین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أذن الله أن ترفع ویذکر فیها اسمه یسبح له فیها بالغدو والآصال رجال لا تلهیهم تجارة ولا بیع عن ذکر الله وإقام الصلوة وإیتاء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ثمَّ ونحن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جعلنی الله فداک والله ما هی بیوت حجارة ولا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أبو جعفر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مسائلک إلی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علی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جعلت فیه أنفحة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بأس إن الأنفحة لیس لها عروق ولا فیها دم ولا لها عظم إنما تخرج من بین فرث 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الانفحة بمنزلة دجاجة میتة أخرجت منها بیضة فهل تؤکل تلک البیضة؟</w:t>
      </w:r>
    </w:p>
    <w:p>
      <w:pPr>
        <w:pStyle w:val="BookText"/>
        <w:rPr/>
      </w:pP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آمر بأکلها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حضنت تلک البیضة فخرجت منها دجاجة أتأکلها؟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حرم علیک البیضة وحلل لک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الأنفحة مثل البیضة فاشتر الجبن من أسواق المسلمین من أیدی المصلین ولا تسأل عنه، إلا أن یأتیک من یخبرک عنه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العرض نقول أن المدرسة التفسیریة والفقهیة للعامة لیست أقل ولا أکثر من ذلک ومدرسة الحدیث کذلک، ومع ذلک إذا رأینا روایات أو کلمات من هذه المدرسة فی شأن أهل البیت فلا نحتاج إلی الدراسة السندیة لأنها أقاریر فلتت من أیدیهم، ولأنه لیس من </w:t>
      </w:r>
    </w:p>
    <w:p>
      <w:pPr>
        <w:pStyle w:val="BookText"/>
        <w:rPr/>
      </w:pPr>
      <w:r>
        <w:rPr>
          <w:rFonts w:ascii="IRNazanin" w:hAnsi="IRNazanin" w:eastAsia="IRNazanin"/>
          <w:color w:val="111111"/>
          <w:sz w:val="28"/>
          <w:sz w:val="28"/>
          <w:szCs w:val="28"/>
          <w:rtl w:val="true"/>
          <w:lang w:bidi="fa-IR"/>
        </w:rPr>
        <w:t>دأبهم مدح أهل البیت أو نقل روایات فی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ظلموا التاریخ، وظلموا الدین والعقیدة، ظلموا التفسیر، وظلموا الأجیال ولا زالوا یظلمون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تقولون فی کتبکم أن لعلی مئة وعشرون </w:t>
      </w:r>
      <w:r>
        <w:rPr>
          <w:rStyle w:val="FootnoteAnchor"/>
          <w:rtl w:val="true"/>
        </w:rPr>
        <w:footnoteReference w:id="43"/>
      </w:r>
      <w:r>
        <w:rPr>
          <w:rFonts w:ascii="IRNazanin" w:hAnsi="IRNazanin" w:eastAsia="IRNazanin"/>
          <w:color w:val="111111"/>
          <w:sz w:val="28"/>
          <w:sz w:val="28"/>
          <w:szCs w:val="28"/>
          <w:rtl w:val="true"/>
          <w:lang w:bidi="fa-IR"/>
        </w:rPr>
        <w:t xml:space="preserve">منقبة لم یشارکه فیها أحد وما من منقبة لصحابی إلاَّ وشارکه فیها علی، وأنتم تقولون ما من آیة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ولبها ولبابها علی بن أبی طالب </w:t>
      </w:r>
      <w:r>
        <w:rPr>
          <w:rStyle w:val="FootnoteAnchor"/>
          <w:rtl w:val="true"/>
        </w:rPr>
        <w:footnoteReference w:id="44"/>
      </w:r>
      <w:r>
        <w:rPr>
          <w:rFonts w:ascii="IRNazanin" w:hAnsi="IRNazanin" w:eastAsia="IRNazanin"/>
          <w:color w:val="111111"/>
          <w:sz w:val="28"/>
          <w:sz w:val="28"/>
          <w:szCs w:val="28"/>
          <w:rtl w:val="true"/>
          <w:lang w:bidi="fa-IR"/>
        </w:rPr>
        <w:t xml:space="preserve">، وأنتم تقولون أن ربع </w:t>
      </w:r>
    </w:p>
    <w:p>
      <w:pPr>
        <w:pStyle w:val="BookText"/>
        <w:rPr/>
      </w:pPr>
      <w:r>
        <w:rPr>
          <w:rFonts w:ascii="IRNazanin" w:hAnsi="IRNazanin" w:eastAsia="IRNazanin"/>
          <w:color w:val="111111"/>
          <w:sz w:val="28"/>
          <w:sz w:val="28"/>
          <w:szCs w:val="28"/>
          <w:rtl w:val="true"/>
          <w:lang w:bidi="fa-IR"/>
        </w:rPr>
        <w:t xml:space="preserve">القرآن فی شأن علی </w:t>
      </w:r>
      <w:r>
        <w:rPr>
          <w:rStyle w:val="FootnoteAnchor"/>
          <w:rtl w:val="true"/>
        </w:rPr>
        <w:footnoteReference w:id="45"/>
      </w:r>
      <w:r>
        <w:rPr>
          <w:rFonts w:ascii="IRNazanin" w:hAnsi="IRNazanin" w:eastAsia="IRNazanin"/>
          <w:color w:val="111111"/>
          <w:sz w:val="28"/>
          <w:sz w:val="28"/>
          <w:szCs w:val="28"/>
          <w:rtl w:val="true"/>
          <w:lang w:bidi="fa-IR"/>
        </w:rPr>
        <w:t>، فلماذا تغیّبون حدیثه وتفسیره؟ ومن أظلم ممن افتری علی الله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یذکرنا بکلام أبو ریة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أنصفوک یا أبا الحسن،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کتبنا خالیة من کلماته وفقهنا خالٍ من کلماته؟</w:t>
      </w:r>
    </w:p>
    <w:p>
      <w:pPr>
        <w:pStyle w:val="BookText"/>
        <w:rPr/>
      </w:pPr>
      <w:r>
        <w:rPr>
          <w:rFonts w:ascii="IRNazanin" w:hAnsi="IRNazanin" w:eastAsia="IRNazanin"/>
          <w:color w:val="111111"/>
          <w:sz w:val="28"/>
          <w:sz w:val="28"/>
          <w:szCs w:val="28"/>
          <w:rtl w:val="true"/>
          <w:lang w:bidi="fa-IR"/>
        </w:rPr>
        <w:t>والجواب واضح فعلی الذی کانوا ینالون منه ویسبونه علی المنابر – استغفر الله – فهل کانت السلطة تسمح بذکر فقهه فی الحوزات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نقول إننا إذ لم نحصل إلاَّ علی النزر الیسیر فی کتب تفاسیرهم فیما یخص الإمام المهدی علیه السلام أو القضیة المهدویة، فلا بد أن نعرف ما هو السبب بعد ما تقدم من هذا البحث</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3274_36710"/>
      <w:bookmarkStart w:id="58" w:name="pg3274_36710"/>
      <w:bookmarkEnd w:id="58"/>
    </w:p>
    <w:p>
      <w:pPr>
        <w:pStyle w:val="Heading2"/>
        <w:numPr>
          <w:ilvl w:val="1"/>
          <w:numId w:val="1"/>
        </w:numPr>
        <w:rPr/>
      </w:pPr>
      <w:bookmarkStart w:id="59" w:name="pg3274_36710"/>
      <w:bookmarkStart w:id="60" w:name="__RefHeading___Toc2130023_2749589250"/>
      <w:bookmarkStart w:id="61" w:name="_Toc20"/>
      <w:bookmarkEnd w:id="59"/>
      <w:bookmarkEnd w:id="60"/>
      <w:r>
        <w:rPr/>
        <w:t>4</w:t>
      </w:r>
      <w:r>
        <w:rPr>
          <w:rtl w:val="true"/>
        </w:rPr>
        <w:t xml:space="preserve">. </w:t>
      </w:r>
      <w:r>
        <w:rPr>
          <w:rtl w:val="true"/>
        </w:rPr>
        <w:t>المهدی فی الروایات</w:t>
      </w:r>
      <w:bookmarkEnd w:id="61"/>
    </w:p>
    <w:p>
      <w:pPr>
        <w:pStyle w:val="BookText"/>
        <w:rPr/>
      </w:pPr>
      <w:r>
        <w:rPr>
          <w:rFonts w:ascii="IRNazanin" w:hAnsi="IRNazanin" w:eastAsia="IRNazanin"/>
          <w:color w:val="111111"/>
          <w:sz w:val="28"/>
          <w:sz w:val="28"/>
          <w:szCs w:val="28"/>
          <w:rtl w:val="true"/>
          <w:lang w:bidi="fa-IR"/>
        </w:rPr>
        <w:t>هناک من ادعی التواتر من أهل السنة فیما یخص روایات المهدی علیه السلام کالآبری والبرزنجی والشوکانی والقنوجی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 کلماتهم</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الآبری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مناقب الشافعی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علی ما نقل عنه إبن حجر فی تهذیب التهذیب وفتح الباری والسیوطی، یقول الآبری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الأخبار واستفاضت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المهدی وأنه من أهل بیته ویملک سبع سنین وأنه یملأ الأرض عدلاً وأن عیسی یخرج فیساعده علی قتل الدجال، وأنه یؤم هذه الأمة ویصلی عیسی 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کتابه الإشاعة فی أشراط الساعة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الأحادیث الواردة فیه علی </w:t>
      </w:r>
    </w:p>
    <w:p>
      <w:pPr>
        <w:pStyle w:val="BookText"/>
        <w:rPr/>
      </w:pPr>
      <w:r>
        <w:rPr>
          <w:rFonts w:ascii="IRNazanin" w:hAnsi="IRNazanin" w:eastAsia="IRNazanin"/>
          <w:color w:val="111111"/>
          <w:sz w:val="28"/>
          <w:sz w:val="28"/>
          <w:szCs w:val="28"/>
          <w:rtl w:val="true"/>
          <w:lang w:bidi="fa-IR"/>
        </w:rPr>
        <w:t>اختلاف روایاتها لا تکاد تنحصر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أحادیث وجود المهدی وخروجه فی آخر الزمان وأنه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بلغت حد التواتر فلا معنی لإنکارها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یثبت فی الأخبار الصحیحة والشهیرة التی بلغت التواتر المعنوی وجود الآیات العظام وأنه یأتی فی آخر الزمان من ولد فاطمة یملأ الأرض قسطاً وعدلاً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الواردة فی المهدی علی اختلاف روایاتها کثیرة جداً تبلغ حد التواتر المعنوی وهی فی السنن غیرها من دواوین الإسلام من المعاجم والمسانید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المهدی یخرج فی آخر الزمان من غیر تعیین لشهر وعام لما تواتر من الأخبار فی الباب واتفق علیه جمهور الأمة خلفاً عن سلف إلاَّ من لا یعتد بخلافه، فلا معنی للریب فی أمر ذلک الفاطمی الموعود المنتظر المدلول علیه بالأدلة بل إنکار ذلک جرأة عظیمة فی مقابلة النصوص المستفیضة المشهورة البالغة حد 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السفارینی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کثرت بخروجه – أی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حتی بلغت حد </w:t>
      </w:r>
    </w:p>
    <w:p>
      <w:pPr>
        <w:pStyle w:val="BookText"/>
        <w:rPr/>
      </w:pPr>
      <w:r>
        <w:rPr>
          <w:rFonts w:ascii="IRNazanin" w:hAnsi="IRNazanin" w:eastAsia="IRNazanin"/>
          <w:color w:val="111111"/>
          <w:sz w:val="28"/>
          <w:sz w:val="28"/>
          <w:szCs w:val="28"/>
          <w:rtl w:val="true"/>
          <w:lang w:bidi="fa-IR"/>
        </w:rPr>
        <w:t>التواتر المعنوی، وشاع ذلک بین علماء السنة حتی عد من معتقداتهم، وقال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عمن ذکر من الصحابة وغیر من ذکر منهم روایات متعددة، وعن التابعین من بعدهم مما یفید مجموعه العلم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بخروج المهدی واجب، کما هو مقرر عند أهل العلم ومدون فی عقائد أهل السنة والجماعة</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حجر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ذلک یعتبر من إنکار السنة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الحموینی أو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أستاذ الذهبی ومتوفی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کتابه فرائد السمطین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المنکرون للمهدی کفار یجب قتلهم، وإن کان محل عناد لأئمة الإسلام لا للسنة فهو یقتضی تعزیرهم البلیغ وإهانتهم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کثیر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المهدی الذی یکون فی آخر الزمان وهو أحد الخلفاء الراشدین الأئمة المهدیین فقد نطقت به الأحادیث المرویة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أنه من النواصب والمعاندین وهو تلمیذ إبن تیمیة </w:t>
      </w:r>
    </w:p>
    <w:p>
      <w:pPr>
        <w:pStyle w:val="BookText"/>
        <w:rPr/>
      </w:pPr>
      <w:r>
        <w:rPr>
          <w:rFonts w:ascii="IRNazanin" w:hAnsi="IRNazanin" w:eastAsia="IRNazanin"/>
          <w:color w:val="111111"/>
          <w:sz w:val="28"/>
          <w:sz w:val="28"/>
          <w:szCs w:val="28"/>
          <w:rtl w:val="true"/>
          <w:lang w:bidi="fa-IR"/>
        </w:rPr>
        <w:t xml:space="preserve">ویقول فی قضیة کربلاء أن یزید لیس بظالم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بخروج الإمام المهدی وظهوره هو القول الحق والصواب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فی المشهور بین الکافة من أهل الإسلام علی ممر الإعصار أنه لابد فی آخر الزمان من ظهور رجل من أهل البیت یؤید الدین ویظهر العدل ویتبعه المسلمون ویستولی علی الممالک الإسلامیة ویسمی بالمهدی</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العجیب أنه فی حدیث آخر یصفه بأنه من معتقدات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فإن الله تعالی مکَّنه – أی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وملَّکه ودانت له الملوک، فروی أن جمیع ملوک الدنیا کلها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وکافران، فالمؤمنان سلیمان بن داود وإسکندر، والکافران نمرود وبختنصر، وسیملکها من هذه الأمة خامس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المهدی</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آیات فی مقابل ما نزل فی شان أهل البیت استدل بها الطرف الآخر علی أفضلیة رموزهم بل بأحقیتهم بالخلافة وهی تقریباً عشر آیات جمعها النباطی ومن بینها هذه الآیة، ویعد </w:t>
      </w:r>
    </w:p>
    <w:p>
      <w:pPr>
        <w:pStyle w:val="BookText"/>
        <w:rPr/>
      </w:pPr>
      <w:r>
        <w:rPr>
          <w:rFonts w:ascii="IRNazanin" w:hAnsi="IRNazanin" w:eastAsia="IRNazanin"/>
          <w:color w:val="111111"/>
          <w:sz w:val="28"/>
          <w:sz w:val="28"/>
          <w:szCs w:val="28"/>
          <w:rtl w:val="true"/>
          <w:lang w:bidi="fa-IR"/>
        </w:rPr>
        <w:t>القرطبی من نوادر أهل السنة الذی قال أن هذه الآیة نزلت فی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بالحجة والبراهین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 خروج المهدی لا یبقی أحد إلاَّ دخل فی الإسلام أو أدی الجزیة، وقیل المهدی هو عیسی فقط وهو غیر صحیح لأن الأخبار قد تواترت فلا یجوز حمله علی عیسی والحدیث الذی ورد فیه أنه لا مهدی إلاَّ عیسی غیر صحیح</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صلاة عیسی خلف رجل من هذه الأمة مع کونه فی آخر الزمان وقرب قیام الساعة دلالة للصحیح من الاقوال أن الأرض لا تخلو عن قائم لله بحجة والله أعلم</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لاحظ أن هذا الکلام من إبن حجر أکثر مغزی من الکلمات التی نقلناها سابقاً فالکلمات السابقة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 الحث علی التمسک بأهل البیت إشارة إلی عدم انقطاع متأهل منهم للتمسک به إلی یوم القیامة، کما أن الکتاب العزیز کذلک ولهذا کانوا أماناً لأهل الأرض</w:t>
      </w:r>
    </w:p>
    <w:p>
      <w:pPr>
        <w:pStyle w:val="BookText"/>
        <w:rPr/>
      </w:pPr>
      <w:r>
        <w:rPr>
          <w:rFonts w:ascii="IRNazanin" w:hAnsi="IRNazanin" w:eastAsia="IRNazanin"/>
          <w:color w:val="111111"/>
          <w:sz w:val="28"/>
          <w:sz w:val="28"/>
          <w:szCs w:val="28"/>
          <w:rtl w:val="true"/>
          <w:lang w:bidi="fa-IR"/>
        </w:rPr>
        <w:t>کما یأتی ویشهد بذلک الخبر السابق فی کل خلف من أمتی عدول من أهل بیتی ینفون عن هذا الدین تحریف الظالمین وانتحال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التصریحات لا قیمة لکلمات البعض الذی یحاول أن یربط هذه العقیدة بخصوص الشیعة ونذکر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محمد عثمان فی تعلیقه علی تحفة الأحوذی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الکثیرون من العلماء أن کل ما ورد من أحادیث عن المهدی إنما هی موضع شک وأنها لا تصح عن رسول الله بل أنها من وضع الشیعة، ثم یعلِّق بشأن المهدی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الکثیرون من العلماء الثقات أن ما ورد من أحادیث خاصة بالمهدی لیست إلاَّ من وضع الباطنیة والشیعة وأضرابهم وأنها لا تصح نسبتها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ومحیی الدین عبد الحمید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بعض الباحثین أن کل ما ورد عن المهدی وعن الدجال من 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نری جمعاً کبیراً من الصحابة یذکرون شأن المهدی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حبیبة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بن أیاس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الطفیل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الطرفی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المخرجون لأحادیث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جملة من أصحاب الصحاح والمسانید أحادیث الإمام المهدی علیه السلام ومنهم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أخرج فی السنن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المهدی،فقد أتی باثنتی عشرة روایة فی شأن الإمام المهدی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ماجة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النسائی فی السنن الکبری، شهد بذلک إثنان من السنة هما السفارینی فی اللوامع والمناوی فی فیض القدیر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فی المسند، استخرجها أحد علمائنا فی کتاب أحادیث المهدی فی المسند وهی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حبَّان، وهذا الکتاب غیر موجود بأیدینا والموجود هو ترتیب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فی المستدرک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أبی شیبة فی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إبن حمَّاد فی کتاب 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صاحب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نعیم الأصفهانی – جد العلاَّمة المجلسی – فی کتابه حلیة الأولیاء</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فی المعجم الکبیر والأوسط والصغیر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البارودی فی معرفة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 فی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الموصلی فی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أسامة – وهو من القدماء – فی مسنده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 فی التلخیص المتشابه والمتفق والمفترق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عساکر فی تاریخ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مندة فی تاریخ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الحربی فی الحربیات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الرازی فی 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جریر فی تهذیب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سعد فی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خزیمة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عبد الحمید الحمَّانی فی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الرویانی فی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غانم الکوفی فی 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الدیلمی فی مسند الفردوس</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 فی دلائل النبوة، وهذا ینقل عن المجاهیل ولا ینقل عن الکاظم والرضاعلیهما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الجوزی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المؤلفون فی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نذکر بعض من ألف فی المهدی علیه السلام ومنهم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حرب وکنیته أبو بکر بن خثیمة ویقال عنه أمیر المؤمنین فی الحدیث وهو من الشخصیات المرموقة ومن مشایخ مسلم وکثیراً ما یشیر فی کتابه لهذا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عنه إبن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توغل أبو بکر – بن خثیمة – فی جمعه للأحادیث الواردة فی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نعیم الأصفهانی، لخص السیوطی الأحادیث التی جمعها أبو نعیم وجعلها ضمن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علیها أحادیث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جزء جمعت فیه الأحادیث والآثار الواردة فی المهدی لخصت فیه الأربعین التی جمعها أبو نعیم وزدت علیه ما 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کثیر کتاب الفتن والملاحم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حجر المکی کتابه القول المختصر فی علامات المهدی 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 علی قاری کتابه المشرب الوردی فی مذهب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مرعی بن یوسف الحنبلی کتابه فرائد فوائد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 کتابه التوضیح فی تواتر ما جاء فی المهدی المنتظر والدجال والمسیح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الصنعانی کتابه سبل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أجوبة هذه الأسئلة عند البحث عن الیمانی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روایات الیمانی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اورد القول بألفاظه سیدنا و مولانا المصلح والمجاهد الاکبر آیة الحق و الیقین السید عبد الحسین شرف الدین دام ظله فی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المهمة و قال بعد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فیاموت زر أن الحیاة ذمیمةو یا نفس جدّی إن سبقک هازل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 المناوی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 إبن تیمیة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 النمیری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الایة</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مدینةدمشق،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ذکره الحاکم بهذا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احمد بن عبید الحافظ بهمدان ثنا الحسن بن علی الفسوی ثنا إسحاق بن بشر الکاهلی ثنا شریک عن قیس بن مسلم عن أبی عبد الله الجدلی عن أبی ذر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الحاکم فی ذیله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علی شرط مسلم ولم یخرجاه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انظر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الشیخ نجم الدین الطبسـی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الطبعة الاولی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التفسیر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نکروا لها عرشها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جاءت قیل أهکذا عرشک قالت کأنه هو قال فسألته حین جاءته عن أمرین قالت لسلیمان أرید ماء لیس من أرض ولا سماء وکان سلیمان إذا سئل عن شیء سأل الإنس ثم الجن ثم الشیاطین قال فقالت الشیاطین هذا هین أجر الخیل ثم خذ عرقها ثم املأ منه الآنیة قال فأمر بالخیل فجریت ثم أخذ عرقها فملأ منه الآنیة قال وسألت عن لون الله عز وجل قال فوثب سلیمان عن سریره فخر ساجداً فقال یا رب لقد سألتنی عن أمر إنه لیتعاظم فی قلبی أن أذکره لک فقال ارجع فقد کفیتکم قال فرجع إلی سریره قال ما سألت عنه؟ قالت ما سألتک إلا عن الماء فقال لجنوده ما سألت عنه؟ فقالوا ما سألتک إلا عن الماء قال ونسوه کلهم قال وقالت الشیاطین إن سلیمان یرید أن یتخذها لنفسه فإن اتخذها لنفسه ثم ولد بینهما ولد لم ننفک من عبودیته فقال فجعلوا صرحاً ممرداً من قواریر فیه السمک قال فقیل لها أدخلی الصرح فلما رأته حسبته لجة وکشفت عن ساقیها فإذا هی شعراء فقال سلیمان هذا قبیح فما یذهبه؟ قالوا یذهبه الموسی فقال أثر الموسی قبیح قال فجعلت الشیاطین النورة قال فهو أول من جعلت له النورة ثم قال أبو بکر بن أبی شیبة ما أحسنه من حدیث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إبن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السید الخوئی قدس سر ّه فی تفسیره البیان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الثانیة من قسم التعلیقات فی ترجمة الحارث وافتراء الشعبی علیه، یذکر ترجمة الحارث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الحارث بن عبد الله الأعور الهمدانی، وقد اتفقت کلمات علماء الامامیة علی أنه من أعاظم أصحاب أمیر المؤمنین علیه السلام وعلی نزاهته ومکانته السامیة، ووصفوه بالورع والتقوی، والقیام بخدمة سیده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یذکر قدس سر ّه مدح وتوثیق علماء العامة له، إلی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شاء التعصب والهوی أن یقول الشعبی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الحارث الأعور وکان کذابا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یتابعه جماعة علی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القرطبی فی الجزء الأول من تفسیره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الحارث رماه الشعبی بالکذب ولیس بشئ ولم یبین من الحارث کذب، وإنما نقم علیه إفراطه فی حب علی علیه السلام وتفضیله له علی غیره، ومن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کذبه الشعبی لان الشعبی یذهب إلی تفضیل أبی بکر وإلی أنه أول من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یقول قدس سر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لیس من الغریب أن یفتری الشعبی علی الحارث، ویصفه بالکذب فقد کان من صنایع الأمویین یرتع فی دنیاهم، ویسیر علی رغباتهم، فقد بعثه عبد الملک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کتاب النجوم الزاهرة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مصر بسبب البیعة للولید بن عبد الملک، ثم تولی المظالم بالکوفة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کتاب الأغانی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قبل بشر بن مروان أیام ولایته علیها من قبل عبد الملک، ثم تولی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الطبری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عمر بن عبد العزیز فی الکوفة، فهو مروانی النزعة، یقول ویفعل بما یشاء له الهوی، لا یتحرج من کذبه، ولا یتبرم من 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یذکره قدس سر ّه من مثالب هذا الرجل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الزهراء، المقدمه، طبع 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أکثر من ذلک والشاهد علی ذلک ما أخرجه الحاکم الحسکانی فی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أبو عمر الزعفرانی وکتبته من أصل سماعه وهو عندی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عمرو الحمدانی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عمار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عن عبد الملک بن أبی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شریک کان لأبی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عن عبد الله بن عبد الرحمان قاضی الری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 کان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أحدثک وهی أکثر من أن تحصی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أحادیث کثیرة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المعتمر عن ابیه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لعلی بن ابیطالب عشرون و مأته منقبة لم یشترک معهه فیها أحدٌ من اصحاب محمد صلی الله علیه و آله و قد ا شترک فی مناقب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مثله عن ابن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کتاب مناقب أمیر المؤمنین للخوارزمی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شواهد التنزیل للحاکم 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علی بن موسی بن إسحاق عن محمد بن مسعود بن محمد المفسر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خلف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یعلی، عن هارون بن الحکم، عن علی بن بذیمة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عن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القران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وعلی أمیرها وشریفها، وما من أصحاب محمد رجل إلا وقد عاتبه الله وما ذکر علیا إلا بخیر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الحاکم الحسکانی فی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القاسم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أبی أبو الحسن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المحاربی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السلولی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بن أبی الأسود، عن جمیل بن عبد الله النخعی عن زکریا بن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أرباعا فربع فینا، وربع فی عدونا، وربع سنن وأمثال وربع فرائض وأحکام فلنا کرائم القران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 هذه النصوص حتی یعرف زیف مثل کلام إبن خلدون الذی یدعی أن روایات المهدی صنیعة شیعیة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الرد علی من کذب بالمهدی عجل الله تعالی فرجه الشریف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والملاحم،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 المناوی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ذیل الآیة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لیظهره علی الدین کله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نزول عیسی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المهدی، أخرج ثلاثة أحادیث تخص المهدی علیه 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المهدی، أخرج سبعة أحادیث عن المهدی علیه السلام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الحاکم النیسابوری،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خروج المهدی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مؤلفاته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المهدی، ونعت المهدی،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الکتب غیر موجودة ولکن نقل منها الأربلی فی کشف الغمة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مصادر البحار، وهذا الکتاب عبارة عن عشرة آلاف حدیث، وفی الطبعة الاولی حذفوا ألف حدیث وفی طبعة أخری حذفوا ألف آخر فبقیت ثمانیة آلاف حدیث، ولکن نسوا أن یحذفوا المقدمة فالمذکور فیها أن مجموع احادیث الکتاب عشرة آلاف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8591</Words>
  <Characters>36429</Characters>
  <CharactersWithSpaces>44595</CharactersWithSpaces>
  <Paragraphs>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2026-08-17T21:52:31Z</dcterms:created>
  <dc:creator>ghaemiyeh.com</dc:creator>
  <dc:description/>
  <dc:language>en-US</dc:language>
  <cp:lastModifiedBy/>
  <dcterms:modified xsi:type="dcterms:W3CDTF">2026-08-18T01:22:33Z</dcterms:modified>
  <cp:revision>1</cp:revision>
  <dc:subject/>
  <dc:title>ابحاث حول المهدویه</dc:title>
</cp:coreProperties>
</file>

<file path=docProps/custom.xml><?xml version="1.0" encoding="utf-8"?>
<Properties xmlns="http://schemas.openxmlformats.org/officeDocument/2006/custom-properties" xmlns:vt="http://schemas.openxmlformats.org/officeDocument/2006/docPropsVTypes"/>
</file>