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نخبه النظار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033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035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037_2749589250">
            <w:r>
              <w:rPr>
                <w:webHidden/>
                <w:rStyle w:val="IndexLink"/>
                <w:rtl w:val="true"/>
              </w:rPr>
              <w:t>المدخل</w:t>
            </w:r>
            <w:r>
              <w:rPr>
                <w:rStyle w:val="IndexLink"/>
                <w:rtl w:val="true"/>
              </w:rPr>
              <w:tab/>
            </w:r>
            <w:r>
              <w:rPr>
                <w:rStyle w:val="IndexLink"/>
              </w:rPr>
              <w:t>5</w:t>
            </w:r>
          </w:hyperlink>
        </w:p>
        <w:p>
          <w:pPr>
            <w:pStyle w:val="Contents2"/>
            <w:tabs>
              <w:tab w:val="clear" w:pos="8743"/>
              <w:tab w:val="right" w:pos="9026" w:leader="dot"/>
            </w:tabs>
            <w:rPr/>
          </w:pPr>
          <w:hyperlink w:anchor="__RefHeading___Toc95039_2749589250">
            <w:r>
              <w:rPr>
                <w:webHidden/>
                <w:rStyle w:val="IndexLink"/>
                <w:rtl w:val="true"/>
              </w:rPr>
              <w:t>خلفیّة البحث</w:t>
            </w:r>
            <w:r>
              <w:rPr>
                <w:rStyle w:val="IndexLink"/>
                <w:rtl w:val="true"/>
              </w:rPr>
              <w:tab/>
            </w:r>
            <w:r>
              <w:rPr>
                <w:rStyle w:val="IndexLink"/>
              </w:rPr>
              <w:t>8</w:t>
            </w:r>
          </w:hyperlink>
        </w:p>
        <w:p>
          <w:pPr>
            <w:pStyle w:val="Contents3"/>
            <w:tabs>
              <w:tab w:val="clear" w:pos="8459"/>
              <w:tab w:val="right" w:pos="9026" w:leader="dot"/>
            </w:tabs>
            <w:rPr/>
          </w:pPr>
          <w:hyperlink w:anchor="__RefHeading___Toc95041_274958925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5043_2749589250">
            <w:r>
              <w:rPr>
                <w:webHidden/>
                <w:rStyle w:val="IndexLink"/>
                <w:rtl w:val="true"/>
              </w:rPr>
              <w:t>النزاع الأوّل</w:t>
            </w:r>
            <w:r>
              <w:rPr>
                <w:rStyle w:val="IndexLink"/>
                <w:rtl w:val="true"/>
              </w:rPr>
              <w:t xml:space="preserve">: </w:t>
            </w:r>
            <w:r>
              <w:rPr>
                <w:rStyle w:val="IndexLink"/>
                <w:rtl w:val="true"/>
              </w:rPr>
              <w:t>فیما تحرم الزوجة منه</w:t>
            </w:r>
            <w:r>
              <w:rPr>
                <w:rStyle w:val="IndexLink"/>
                <w:rtl w:val="true"/>
              </w:rPr>
              <w:tab/>
            </w:r>
            <w:r>
              <w:rPr>
                <w:rStyle w:val="IndexLink"/>
              </w:rPr>
              <w:t>11</w:t>
            </w:r>
          </w:hyperlink>
        </w:p>
        <w:p>
          <w:pPr>
            <w:pStyle w:val="Contents4"/>
            <w:tabs>
              <w:tab w:val="clear" w:pos="8176"/>
              <w:tab w:val="right" w:pos="9026" w:leader="dot"/>
            </w:tabs>
            <w:rPr/>
          </w:pPr>
          <w:hyperlink w:anchor="__RefHeading___Toc95045_2749589250">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95047_2749589250">
            <w:r>
              <w:rPr>
                <w:webHidden/>
                <w:rStyle w:val="IndexLink"/>
                <w:rtl w:val="true"/>
              </w:rPr>
              <w:t>النتیجة فی النزاع الأوّل</w:t>
            </w:r>
            <w:r>
              <w:rPr>
                <w:rStyle w:val="IndexLink"/>
                <w:rtl w:val="true"/>
              </w:rPr>
              <w:tab/>
            </w:r>
            <w:r>
              <w:rPr>
                <w:rStyle w:val="IndexLink"/>
              </w:rPr>
              <w:t>18</w:t>
            </w:r>
          </w:hyperlink>
        </w:p>
        <w:p>
          <w:pPr>
            <w:pStyle w:val="Contents3"/>
            <w:tabs>
              <w:tab w:val="clear" w:pos="8459"/>
              <w:tab w:val="right" w:pos="9026" w:leader="dot"/>
            </w:tabs>
            <w:rPr/>
          </w:pPr>
          <w:hyperlink w:anchor="__RefHeading___Toc95049_2749589250">
            <w:r>
              <w:rPr>
                <w:webHidden/>
                <w:rStyle w:val="IndexLink"/>
                <w:rtl w:val="true"/>
              </w:rPr>
              <w:t>النزاع الثانی</w:t>
            </w:r>
            <w:r>
              <w:rPr>
                <w:rStyle w:val="IndexLink"/>
                <w:rtl w:val="true"/>
              </w:rPr>
              <w:t xml:space="preserve">: </w:t>
            </w:r>
            <w:r>
              <w:rPr>
                <w:rStyle w:val="IndexLink"/>
                <w:rtl w:val="true"/>
              </w:rPr>
              <w:t>فیمن تحرم من الزوجات</w:t>
            </w:r>
            <w:r>
              <w:rPr>
                <w:rStyle w:val="IndexLink"/>
                <w:rtl w:val="true"/>
              </w:rPr>
              <w:tab/>
            </w:r>
            <w:r>
              <w:rPr>
                <w:rStyle w:val="IndexLink"/>
              </w:rPr>
              <w:t>21</w:t>
            </w:r>
          </w:hyperlink>
        </w:p>
        <w:p>
          <w:pPr>
            <w:pStyle w:val="Contents4"/>
            <w:tabs>
              <w:tab w:val="clear" w:pos="8176"/>
              <w:tab w:val="right" w:pos="9026" w:leader="dot"/>
            </w:tabs>
            <w:rPr/>
          </w:pPr>
          <w:hyperlink w:anchor="__RefHeading___Toc95051_274958925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95053_2749589250">
            <w:r>
              <w:rPr>
                <w:webHidden/>
                <w:rStyle w:val="IndexLink"/>
                <w:rtl w:val="true"/>
              </w:rPr>
              <w:t>التحقیق حول رأی الشیخ فی المقام</w:t>
            </w:r>
            <w:r>
              <w:rPr>
                <w:rStyle w:val="IndexLink"/>
                <w:rtl w:val="true"/>
              </w:rPr>
              <w:tab/>
            </w:r>
            <w:r>
              <w:rPr>
                <w:rStyle w:val="IndexLink"/>
              </w:rPr>
              <w:t>22</w:t>
            </w:r>
          </w:hyperlink>
        </w:p>
        <w:p>
          <w:pPr>
            <w:pStyle w:val="Contents4"/>
            <w:tabs>
              <w:tab w:val="clear" w:pos="8176"/>
              <w:tab w:val="right" w:pos="9026" w:leader="dot"/>
            </w:tabs>
            <w:rPr/>
          </w:pPr>
          <w:hyperlink w:anchor="__RefHeading___Toc95055_2749589250">
            <w:r>
              <w:rPr>
                <w:webHidden/>
                <w:rStyle w:val="IndexLink"/>
                <w:rtl w:val="true"/>
              </w:rPr>
              <w:t>اعتراض بعض المعاصرین علی کلام ابن ادریس والمناقشة فیه</w:t>
            </w:r>
            <w:r>
              <w:rPr>
                <w:rStyle w:val="IndexLink"/>
                <w:rtl w:val="true"/>
              </w:rPr>
              <w:tab/>
            </w:r>
            <w:r>
              <w:rPr>
                <w:rStyle w:val="IndexLink"/>
              </w:rPr>
              <w:t>24</w:t>
            </w:r>
          </w:hyperlink>
        </w:p>
        <w:p>
          <w:pPr>
            <w:pStyle w:val="Contents4"/>
            <w:tabs>
              <w:tab w:val="clear" w:pos="8176"/>
              <w:tab w:val="right" w:pos="9026" w:leader="dot"/>
            </w:tabs>
            <w:rPr/>
          </w:pPr>
          <w:hyperlink w:anchor="__RefHeading___Toc95057_2749589250">
            <w:r>
              <w:rPr>
                <w:webHidden/>
                <w:rStyle w:val="IndexLink"/>
                <w:rtl w:val="true"/>
              </w:rPr>
              <w:t>کلام صاحب الریاض</w:t>
            </w:r>
            <w:r>
              <w:rPr>
                <w:rStyle w:val="IndexLink"/>
                <w:rtl w:val="true"/>
              </w:rPr>
              <w:tab/>
            </w:r>
            <w:r>
              <w:rPr>
                <w:rStyle w:val="IndexLink"/>
              </w:rPr>
              <w:t>27</w:t>
            </w:r>
          </w:hyperlink>
        </w:p>
        <w:p>
          <w:pPr>
            <w:pStyle w:val="Contents4"/>
            <w:tabs>
              <w:tab w:val="clear" w:pos="8176"/>
              <w:tab w:val="right" w:pos="9026" w:leader="dot"/>
            </w:tabs>
            <w:rPr/>
          </w:pPr>
          <w:hyperlink w:anchor="__RefHeading___Toc95059_2749589250">
            <w:r>
              <w:rPr>
                <w:webHidden/>
                <w:rStyle w:val="IndexLink"/>
                <w:rtl w:val="true"/>
              </w:rPr>
              <w:t>النتیجة فی النزاع الثانی</w:t>
            </w:r>
            <w:r>
              <w:rPr>
                <w:rStyle w:val="IndexLink"/>
                <w:rtl w:val="true"/>
              </w:rPr>
              <w:tab/>
            </w:r>
            <w:r>
              <w:rPr>
                <w:rStyle w:val="IndexLink"/>
              </w:rPr>
              <w:t>28</w:t>
            </w:r>
          </w:hyperlink>
        </w:p>
        <w:p>
          <w:pPr>
            <w:pStyle w:val="Contents2"/>
            <w:tabs>
              <w:tab w:val="clear" w:pos="8743"/>
              <w:tab w:val="right" w:pos="9026" w:leader="dot"/>
            </w:tabs>
            <w:rPr/>
          </w:pPr>
          <w:hyperlink w:anchor="__RefHeading___Toc95061_2749589250">
            <w:r>
              <w:rPr>
                <w:webHidden/>
                <w:rStyle w:val="IndexLink"/>
                <w:rtl w:val="true"/>
              </w:rPr>
              <w:t>دراسة الروایات</w:t>
            </w:r>
            <w:r>
              <w:rPr>
                <w:rStyle w:val="IndexLink"/>
                <w:rtl w:val="true"/>
              </w:rPr>
              <w:tab/>
            </w:r>
            <w:r>
              <w:rPr>
                <w:rStyle w:val="IndexLink"/>
              </w:rPr>
              <w:t>31</w:t>
            </w:r>
          </w:hyperlink>
        </w:p>
        <w:p>
          <w:pPr>
            <w:pStyle w:val="Contents2"/>
            <w:tabs>
              <w:tab w:val="clear" w:pos="8743"/>
              <w:tab w:val="right" w:pos="9026" w:leader="dot"/>
            </w:tabs>
            <w:rPr/>
          </w:pPr>
          <w:hyperlink w:anchor="__RefHeading___Toc95063_2749589250">
            <w:r>
              <w:rPr>
                <w:webHidden/>
                <w:rStyle w:val="IndexLink"/>
                <w:rtl w:val="true"/>
              </w:rPr>
              <w:t>فی اتّحاد بعض الروایات مع بعضها الآخر</w:t>
            </w:r>
            <w:r>
              <w:rPr>
                <w:rStyle w:val="IndexLink"/>
                <w:rtl w:val="true"/>
              </w:rPr>
              <w:tab/>
            </w:r>
            <w:r>
              <w:rPr>
                <w:rStyle w:val="IndexLink"/>
              </w:rPr>
              <w:t>59</w:t>
            </w:r>
          </w:hyperlink>
        </w:p>
        <w:p>
          <w:pPr>
            <w:pStyle w:val="Contents2"/>
            <w:tabs>
              <w:tab w:val="clear" w:pos="8743"/>
              <w:tab w:val="right" w:pos="9026" w:leader="dot"/>
            </w:tabs>
            <w:rPr/>
          </w:pPr>
          <w:hyperlink w:anchor="__RefHeading___Toc95065_2749589250">
            <w:r>
              <w:rPr>
                <w:webHidden/>
                <w:rStyle w:val="IndexLink"/>
                <w:rtl w:val="true"/>
              </w:rPr>
              <w:t>العناوین الموجودة فی الروایات</w:t>
            </w:r>
            <w:r>
              <w:rPr>
                <w:rStyle w:val="IndexLink"/>
                <w:rtl w:val="true"/>
              </w:rPr>
              <w:tab/>
            </w:r>
            <w:r>
              <w:rPr>
                <w:rStyle w:val="IndexLink"/>
              </w:rPr>
              <w:t>60</w:t>
            </w:r>
          </w:hyperlink>
        </w:p>
        <w:p>
          <w:pPr>
            <w:pStyle w:val="Contents2"/>
            <w:tabs>
              <w:tab w:val="clear" w:pos="8743"/>
              <w:tab w:val="right" w:pos="9026" w:leader="dot"/>
            </w:tabs>
            <w:rPr/>
          </w:pPr>
          <w:hyperlink w:anchor="__RefHeading___Toc95067_2749589250">
            <w:r>
              <w:rPr>
                <w:webHidden/>
                <w:rStyle w:val="IndexLink"/>
                <w:rtl w:val="true"/>
              </w:rPr>
              <w:t>توضیح الألفاظ المذکورة فی الروایات</w:t>
            </w:r>
            <w:r>
              <w:rPr>
                <w:rStyle w:val="IndexLink"/>
                <w:rtl w:val="true"/>
              </w:rPr>
              <w:tab/>
            </w:r>
            <w:r>
              <w:rPr>
                <w:rStyle w:val="IndexLink"/>
              </w:rPr>
              <w:t>60</w:t>
            </w:r>
          </w:hyperlink>
        </w:p>
        <w:p>
          <w:pPr>
            <w:pStyle w:val="Contents2"/>
            <w:tabs>
              <w:tab w:val="clear" w:pos="8743"/>
              <w:tab w:val="right" w:pos="9026" w:leader="dot"/>
            </w:tabs>
            <w:rPr/>
          </w:pPr>
          <w:hyperlink w:anchor="__RefHeading___Toc95069_2749589250">
            <w:r>
              <w:rPr>
                <w:webHidden/>
                <w:rStyle w:val="IndexLink"/>
                <w:rtl w:val="true"/>
              </w:rPr>
              <w:t>تقسیم الروایات إلی طائفتین</w:t>
            </w:r>
            <w:r>
              <w:rPr>
                <w:rStyle w:val="IndexLink"/>
                <w:rtl w:val="true"/>
              </w:rPr>
              <w:tab/>
            </w:r>
            <w:r>
              <w:rPr>
                <w:rStyle w:val="IndexLink"/>
              </w:rPr>
              <w:t>64</w:t>
            </w:r>
          </w:hyperlink>
        </w:p>
        <w:p>
          <w:pPr>
            <w:pStyle w:val="Contents3"/>
            <w:tabs>
              <w:tab w:val="clear" w:pos="8459"/>
              <w:tab w:val="right" w:pos="9026" w:leader="dot"/>
            </w:tabs>
            <w:rPr/>
          </w:pPr>
          <w:hyperlink w:anchor="__RefHeading___Toc95071_274958925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95073_2749589250">
            <w:r>
              <w:rPr>
                <w:webHidden/>
                <w:rStyle w:val="IndexLink"/>
                <w:rtl w:val="true"/>
              </w:rPr>
              <w:t>مقتضی الحِکَم الثلاثة</w:t>
            </w:r>
            <w:r>
              <w:rPr>
                <w:rStyle w:val="IndexLink"/>
                <w:rtl w:val="true"/>
              </w:rPr>
              <w:tab/>
            </w:r>
            <w:r>
              <w:rPr>
                <w:rStyle w:val="IndexLink"/>
              </w:rPr>
              <w:t>71</w:t>
            </w:r>
          </w:hyperlink>
        </w:p>
        <w:p>
          <w:pPr>
            <w:pStyle w:val="Contents2"/>
            <w:tabs>
              <w:tab w:val="clear" w:pos="8743"/>
              <w:tab w:val="right" w:pos="9026" w:leader="dot"/>
            </w:tabs>
            <w:rPr/>
          </w:pPr>
          <w:hyperlink w:anchor="__RefHeading___Toc95075_2749589250">
            <w:r>
              <w:rPr>
                <w:webHidden/>
                <w:rStyle w:val="IndexLink"/>
                <w:rtl w:val="true"/>
              </w:rPr>
              <w:t>الفرق بین العلّة والحکمة</w:t>
            </w:r>
            <w:r>
              <w:rPr>
                <w:rStyle w:val="IndexLink"/>
                <w:rtl w:val="true"/>
              </w:rPr>
              <w:tab/>
            </w:r>
            <w:r>
              <w:rPr>
                <w:rStyle w:val="IndexLink"/>
              </w:rPr>
              <w:t>71</w:t>
            </w:r>
          </w:hyperlink>
        </w:p>
        <w:p>
          <w:pPr>
            <w:pStyle w:val="Contents3"/>
            <w:tabs>
              <w:tab w:val="clear" w:pos="8459"/>
              <w:tab w:val="right" w:pos="9026" w:leader="dot"/>
            </w:tabs>
            <w:rPr/>
          </w:pPr>
          <w:hyperlink w:anchor="__RefHeading___Toc95077_274958925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95079_2749589250">
            <w:r>
              <w:rPr>
                <w:webHidden/>
                <w:rStyle w:val="IndexLink"/>
                <w:rtl w:val="true"/>
              </w:rPr>
              <w:t>الفرق الأوّل</w:t>
            </w:r>
            <w:r>
              <w:rPr>
                <w:rStyle w:val="IndexLink"/>
                <w:rtl w:val="true"/>
              </w:rPr>
              <w:tab/>
            </w:r>
            <w:r>
              <w:rPr>
                <w:rStyle w:val="IndexLink"/>
              </w:rPr>
              <w:t>71</w:t>
            </w:r>
          </w:hyperlink>
        </w:p>
        <w:p>
          <w:pPr>
            <w:pStyle w:val="Contents3"/>
            <w:tabs>
              <w:tab w:val="clear" w:pos="8459"/>
              <w:tab w:val="right" w:pos="9026" w:leader="dot"/>
            </w:tabs>
            <w:rPr/>
          </w:pPr>
          <w:hyperlink w:anchor="__RefHeading___Toc95081_2749589250">
            <w:r>
              <w:rPr>
                <w:webHidden/>
                <w:rStyle w:val="IndexLink"/>
                <w:rtl w:val="true"/>
              </w:rPr>
              <w:t>الفرق الثانی</w:t>
            </w:r>
            <w:r>
              <w:rPr>
                <w:rStyle w:val="IndexLink"/>
                <w:rtl w:val="true"/>
              </w:rPr>
              <w:tab/>
            </w:r>
            <w:r>
              <w:rPr>
                <w:rStyle w:val="IndexLink"/>
              </w:rPr>
              <w:t>72</w:t>
            </w:r>
          </w:hyperlink>
        </w:p>
        <w:p>
          <w:pPr>
            <w:pStyle w:val="Contents3"/>
            <w:tabs>
              <w:tab w:val="clear" w:pos="8459"/>
              <w:tab w:val="right" w:pos="9026" w:leader="dot"/>
            </w:tabs>
            <w:rPr/>
          </w:pPr>
          <w:hyperlink w:anchor="__RefHeading___Toc95083_2749589250">
            <w:r>
              <w:rPr>
                <w:webHidden/>
                <w:rStyle w:val="IndexLink"/>
                <w:rtl w:val="true"/>
              </w:rPr>
              <w:t>الفرق الثالث</w:t>
            </w:r>
            <w:r>
              <w:rPr>
                <w:rStyle w:val="IndexLink"/>
                <w:rtl w:val="true"/>
              </w:rPr>
              <w:tab/>
            </w:r>
            <w:r>
              <w:rPr>
                <w:rStyle w:val="IndexLink"/>
              </w:rPr>
              <w:t>72</w:t>
            </w:r>
          </w:hyperlink>
        </w:p>
        <w:p>
          <w:pPr>
            <w:pStyle w:val="Contents2"/>
            <w:tabs>
              <w:tab w:val="clear" w:pos="8743"/>
              <w:tab w:val="right" w:pos="9026" w:leader="dot"/>
            </w:tabs>
            <w:rPr/>
          </w:pPr>
          <w:hyperlink w:anchor="__RefHeading___Toc95085_2749589250">
            <w:r>
              <w:rPr>
                <w:webHidden/>
                <w:rStyle w:val="IndexLink"/>
                <w:rtl w:val="true"/>
              </w:rPr>
              <w:t xml:space="preserve">کلام حول الآیة الشریفة </w:t>
            </w:r>
            <w:r>
              <w:rPr>
                <w:rStyle w:val="IndexLink"/>
              </w:rPr>
              <w:t>12</w:t>
            </w:r>
            <w:r>
              <w:rPr>
                <w:rStyle w:val="IndexLink"/>
                <w:rtl w:val="true"/>
              </w:rPr>
              <w:t xml:space="preserve"> </w:t>
            </w:r>
            <w:r>
              <w:rPr>
                <w:rStyle w:val="IndexLink"/>
                <w:rtl w:val="true"/>
              </w:rPr>
              <w:t>من سورة النساء</w:t>
            </w:r>
            <w:r>
              <w:rPr>
                <w:rStyle w:val="IndexLink"/>
                <w:rtl w:val="true"/>
              </w:rPr>
              <w:tab/>
            </w:r>
            <w:r>
              <w:rPr>
                <w:rStyle w:val="IndexLink"/>
              </w:rPr>
              <w:t>78</w:t>
            </w:r>
          </w:hyperlink>
        </w:p>
        <w:p>
          <w:pPr>
            <w:pStyle w:val="Contents3"/>
            <w:tabs>
              <w:tab w:val="clear" w:pos="8459"/>
              <w:tab w:val="right" w:pos="9026" w:leader="dot"/>
            </w:tabs>
            <w:rPr/>
          </w:pPr>
          <w:hyperlink w:anchor="__RefHeading___Toc95087_274958925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95089_2749589250">
            <w:r>
              <w:rPr>
                <w:webHidden/>
                <w:rStyle w:val="IndexLink"/>
                <w:rtl w:val="true"/>
              </w:rPr>
              <w:t>القرائن الدالّة علی أنّها روایة</w:t>
            </w:r>
            <w:r>
              <w:rPr>
                <w:rStyle w:val="IndexLink"/>
                <w:rtl w:val="true"/>
              </w:rPr>
              <w:tab/>
            </w:r>
            <w:r>
              <w:rPr>
                <w:rStyle w:val="IndexLink"/>
              </w:rPr>
              <w:t>86</w:t>
            </w:r>
          </w:hyperlink>
        </w:p>
        <w:p>
          <w:pPr>
            <w:pStyle w:val="Contents3"/>
            <w:tabs>
              <w:tab w:val="clear" w:pos="8459"/>
              <w:tab w:val="right" w:pos="9026" w:leader="dot"/>
            </w:tabs>
            <w:rPr/>
          </w:pPr>
          <w:hyperlink w:anchor="__RefHeading___Toc95091_2749589250">
            <w:r>
              <w:rPr>
                <w:webHidden/>
                <w:rStyle w:val="IndexLink"/>
                <w:rtl w:val="true"/>
              </w:rPr>
              <w:t>القرائن الدالّة علی أنّها فتواه ورأیه</w:t>
            </w:r>
            <w:r>
              <w:rPr>
                <w:rStyle w:val="IndexLink"/>
                <w:rtl w:val="true"/>
              </w:rPr>
              <w:tab/>
            </w:r>
            <w:r>
              <w:rPr>
                <w:rStyle w:val="IndexLink"/>
              </w:rPr>
              <w:t>91</w:t>
            </w:r>
          </w:hyperlink>
        </w:p>
        <w:p>
          <w:pPr>
            <w:pStyle w:val="Contents2"/>
            <w:tabs>
              <w:tab w:val="clear" w:pos="8743"/>
              <w:tab w:val="right" w:pos="9026" w:leader="dot"/>
            </w:tabs>
            <w:rPr/>
          </w:pPr>
          <w:hyperlink w:anchor="__RefHeading___Toc95093_2749589250">
            <w:r>
              <w:rPr>
                <w:webHidden/>
                <w:rStyle w:val="IndexLink"/>
                <w:rtl w:val="true"/>
              </w:rPr>
              <w:t>الدلیل الثانی للتفصیل</w:t>
            </w:r>
            <w:r>
              <w:rPr>
                <w:rStyle w:val="IndexLink"/>
                <w:rtl w:val="true"/>
              </w:rPr>
              <w:t xml:space="preserve">: </w:t>
            </w:r>
            <w:r>
              <w:rPr>
                <w:rStyle w:val="IndexLink"/>
                <w:rtl w:val="true"/>
              </w:rPr>
              <w:t>انقلاب النسبة</w:t>
            </w:r>
            <w:r>
              <w:rPr>
                <w:rStyle w:val="IndexLink"/>
                <w:rtl w:val="true"/>
              </w:rPr>
              <w:tab/>
            </w:r>
            <w:r>
              <w:rPr>
                <w:rStyle w:val="IndexLink"/>
              </w:rPr>
              <w:t>97</w:t>
            </w:r>
          </w:hyperlink>
        </w:p>
        <w:p>
          <w:pPr>
            <w:pStyle w:val="Contents2"/>
            <w:tabs>
              <w:tab w:val="clear" w:pos="8743"/>
              <w:tab w:val="right" w:pos="9026" w:leader="dot"/>
            </w:tabs>
            <w:rPr/>
          </w:pPr>
          <w:hyperlink w:anchor="__RefHeading___Toc95095_2749589250">
            <w:r>
              <w:rPr>
                <w:webHidden/>
                <w:rStyle w:val="IndexLink"/>
                <w:rtl w:val="true"/>
              </w:rPr>
              <w:t>الإشکال الأوّل</w:t>
            </w:r>
            <w:r>
              <w:rPr>
                <w:rStyle w:val="IndexLink"/>
                <w:rtl w:val="true"/>
              </w:rPr>
              <w:t xml:space="preserve">: </w:t>
            </w:r>
            <w:r>
              <w:rPr>
                <w:rStyle w:val="IndexLink"/>
                <w:rtl w:val="true"/>
              </w:rPr>
              <w:t>الإشکال الثبوتی فی المقام</w:t>
            </w:r>
            <w:r>
              <w:rPr>
                <w:rStyle w:val="IndexLink"/>
                <w:rtl w:val="true"/>
              </w:rPr>
              <w:tab/>
            </w:r>
            <w:r>
              <w:rPr>
                <w:rStyle w:val="IndexLink"/>
              </w:rPr>
              <w:t>104</w:t>
            </w:r>
          </w:hyperlink>
        </w:p>
        <w:p>
          <w:pPr>
            <w:pStyle w:val="Contents2"/>
            <w:tabs>
              <w:tab w:val="clear" w:pos="8743"/>
              <w:tab w:val="right" w:pos="9026" w:leader="dot"/>
            </w:tabs>
            <w:rPr/>
          </w:pPr>
          <w:hyperlink w:anchor="__RefHeading___Toc95097_2749589250">
            <w:r>
              <w:rPr>
                <w:webHidden/>
                <w:rStyle w:val="IndexLink"/>
                <w:rtl w:val="true"/>
              </w:rPr>
              <w:t>کلام المحقّق الشعرانی</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40_31592"/>
      <w:bookmarkStart w:id="1" w:name="pg2940_31592"/>
      <w:bookmarkEnd w:id="1"/>
    </w:p>
    <w:p>
      <w:pPr>
        <w:pStyle w:val="Heading2"/>
        <w:numPr>
          <w:ilvl w:val="1"/>
          <w:numId w:val="1"/>
        </w:numPr>
        <w:rPr/>
      </w:pPr>
      <w:bookmarkStart w:id="2" w:name="pg2940_31592"/>
      <w:bookmarkStart w:id="3" w:name="__RefHeading___Toc95033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محمدجواد،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النظار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الفاضل‌اللنکرانی؛ تحقیق و نشر مرکز فقه‌الائمه‌الاطهار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زوجه از زوج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۳۰۲۳۷۲۳۴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035_2749589250"/>
      <w:bookmarkStart w:id="6" w:name="_Toc2"/>
      <w:bookmarkEnd w:id="5"/>
      <w:r>
        <w:rPr>
          <w:rtl w:val="true"/>
        </w:rPr>
        <w:t>اشارة</w:t>
      </w:r>
      <w:bookmarkStart w:id="7" w:name="pg2940_31596"/>
      <w:bookmarkEnd w:id="6"/>
    </w:p>
    <w:p>
      <w:pPr>
        <w:pStyle w:val="Heading2"/>
        <w:numPr>
          <w:ilvl w:val="1"/>
          <w:numId w:val="1"/>
        </w:numPr>
        <w:rPr/>
      </w:pPr>
      <w:bookmarkStart w:id="8" w:name="__RefHeading___Toc95037_2749589250"/>
      <w:bookmarkStart w:id="9" w:name="_Toc3"/>
      <w:bookmarkEnd w:id="7"/>
      <w:bookmarkEnd w:id="8"/>
      <w:r>
        <w:rPr>
          <w:rtl w:val="true"/>
        </w:rPr>
        <w:t>المدخل</w:t>
      </w:r>
      <w:bookmarkEnd w:id="9"/>
    </w:p>
    <w:p>
      <w:pPr>
        <w:pStyle w:val="BookText"/>
        <w:rPr/>
      </w:pPr>
      <w:r>
        <w:rPr>
          <w:rFonts w:ascii="IRNazanin" w:hAnsi="IRNazanin" w:eastAsia="IRNazanin"/>
          <w:color w:val="111111"/>
          <w:sz w:val="28"/>
          <w:sz w:val="28"/>
          <w:szCs w:val="28"/>
          <w:rtl w:val="true"/>
          <w:lang w:bidi="fa-IR"/>
        </w:rPr>
        <w:t>الحمدللَّه الذی أذهب اللیل مظلماً بقدرته، وجاء بالنهار مبصراً برحمته وأرسل رسوله محمّداً هادیاً لأُمّته واصلّی واسلّم علیه وعلی عترته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الفقه من أعظم العلوم شأناً وأوسعها نطاقاً فی حیاة البشر، فإنّا لم نجد موضوعاً لا یتعلّق به حکم من الأحکام الشرعیة التکلیفیة أو الوضعیة، فللفقیه حقّ عظیم فی إرشاد الامّة الإسلامیّة إلی وظائفهم الإلهیّة ولم یصل أحد إلی هذه المنزلة إلّاإذا خالف الهوی واتّبع أمر مولاه، فإذا کان هکذا، أحبّه اللَّه وإذا أحبّه فقّهه فی الدین ویستطیع أن ینظر بنور اللَّه فی الأحکام الإلهیّة التی أوحی بها إلی سیّد المرسلین وکان ممّن اجتهد فی هذا المیدان، المجتهد البارع الاستاذ المعظّم لدروس الخارج فی الحوزة العلمیّة بقم، الشیخ محمّد جواد الفاضل اللنکرانی دامت افاضاته فقد جدّ کمال الجدّ حتّی بلغ بحمد اللَّه مرتبة الإجتهاد والإستنباط فی شباب عمره</w:t>
      </w:r>
    </w:p>
    <w:p>
      <w:pPr>
        <w:pStyle w:val="BookText"/>
        <w:rPr/>
      </w:pPr>
      <w:r>
        <w:rPr>
          <w:rFonts w:ascii="IRNazanin" w:hAnsi="IRNazanin" w:eastAsia="IRNazanin"/>
          <w:color w:val="111111"/>
          <w:sz w:val="28"/>
          <w:sz w:val="28"/>
          <w:szCs w:val="28"/>
          <w:rtl w:val="true"/>
          <w:lang w:bidi="fa-IR"/>
        </w:rPr>
        <w:t xml:space="preserve">بحیث صار مجلس درسه مورداً لتوجّه الفضلاء ووقعت کتبه محلّاً للبحث بین العلماء وهذا الکتاب حصیلة لمجموعة من أبحاثه فی شهر رمضان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موضوع إرث الزوجة من العقار والأبنیة ألقاها لعدّة من الفضلاء وهذا الموضوع من المباحث الهامّة فی هذا العصر فإنّه من المسائل الغامضة من حیث الدلیل والاستدلال وکثرة الروایات الواردة فیه وتعدّد العناوین المذکورة فیها من جانب ومن المباحث التی تکون نتیجتها مهمّة للثقافیین من جانب آخر وهذا الکتاب تحقیق جامع استدلالی قد روعی فیه ضوابط الاجتهاد عن دقّة عمیقة جدّاً ونحن نهضنا بنشره فی مرکز فقه الأئمّة الأطهار علیهم السلام الذی هو من جهود المرجع الأعلی آیة اللَّه العظمی الشیخ محمّد الفاضل اللنکرانی قدس سره إجابة لدعوة جمع من الأعزّاء الکرام وتعمیماً لفائدته للفضلاء العظام، وفی الختام نشکر من سماحة حجّة الإسلام والمسلمین الشیخ جعفر الطبسی وحجّة الإسلام السیّد جواد حسینی‌خواه دامت إفاضاتهما حیث بذلا جهدهما لمراجعة مصادر الکتاب ونسئل اللَّه تعالی أن یوفّقنا لمرضاته 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 الأئمّة الأطهار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الفاضل الکاشانی</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ونبیّنا إبی القاسم محمّد وعلی آله الطیّبین الطاهرین المعصومین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فلا شکّ بین المسلمین جمیعاً فی أنّ الزوج یرث من جمیع ما ترکته المرأة، ولکن الخلاف وقع فی أنّ الزوجة هل ترث من جمیع ما ترکه الزوج أم لا، بل کانت محرومة من بعض الأشیاء؟</w:t>
      </w:r>
    </w:p>
    <w:p>
      <w:pPr>
        <w:pStyle w:val="BookText"/>
        <w:rPr/>
      </w:pPr>
      <w:r>
        <w:rPr>
          <w:rFonts w:ascii="IRNazanin" w:hAnsi="IRNazanin" w:eastAsia="IRNazanin"/>
          <w:color w:val="111111"/>
          <w:sz w:val="28"/>
          <w:sz w:val="28"/>
          <w:szCs w:val="28"/>
          <w:rtl w:val="true"/>
          <w:lang w:bidi="fa-IR"/>
        </w:rPr>
        <w:t>ذهب العامّة إلی أنّه لا فرق بینهما من هذه الجهة؛ فکما یرث الزوج من جمیع ما ترکته زوجته، فکذلک ترث الزوجة من جمیع ما ترکه الزوج، فلا فرق بینهما فی الإرث من هذه الجهة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الإمامیّة وفقهائهم ذهبوا إلی أنّه لا شکّ فی أصل وجود الحرمان للزوجة بالنسبة إلی شی‌ء ممّا ترکه الزوج، ولا خلاف بینهم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النزاع فی موردین</w:t>
      </w:r>
      <w:r>
        <w:rPr>
          <w:rFonts w:eastAsia="IRNazanin" w:cs="IRNazanin"/>
          <w:color w:val="111111"/>
          <w:sz w:val="28"/>
          <w:szCs w:val="28"/>
          <w:rtl w:val="true"/>
          <w:lang w:bidi="fa-IR"/>
        </w:rPr>
        <w:t>:</w:t>
      </w:r>
      <w:bookmarkStart w:id="10" w:name="pg2940_31599"/>
    </w:p>
    <w:p>
      <w:pPr>
        <w:pStyle w:val="BookText"/>
        <w:rPr/>
      </w:pPr>
      <w:bookmarkEnd w:id="10"/>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تحرم الزوجة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تحرم من الزوجات</w:t>
      </w:r>
      <w:r>
        <w:rPr>
          <w:rFonts w:eastAsia="IRNazanin" w:cs="IRNazanin"/>
          <w:color w:val="111111"/>
          <w:sz w:val="28"/>
          <w:szCs w:val="28"/>
          <w:rtl w:val="true"/>
          <w:lang w:bidi="fa-IR"/>
        </w:rPr>
        <w:t>.</w:t>
      </w:r>
    </w:p>
    <w:p>
      <w:pPr>
        <w:pStyle w:val="Heading2"/>
        <w:numPr>
          <w:ilvl w:val="1"/>
          <w:numId w:val="1"/>
        </w:numPr>
        <w:rPr/>
      </w:pPr>
      <w:bookmarkStart w:id="11" w:name="__RefHeading___Toc95039_2749589250"/>
      <w:bookmarkStart w:id="12" w:name="_Toc4"/>
      <w:bookmarkEnd w:id="11"/>
      <w:r>
        <w:rPr>
          <w:rtl w:val="true"/>
        </w:rPr>
        <w:t>خلفیّة البحث</w:t>
      </w:r>
      <w:bookmarkEnd w:id="12"/>
    </w:p>
    <w:p>
      <w:pPr>
        <w:pStyle w:val="Heading3"/>
        <w:numPr>
          <w:ilvl w:val="2"/>
          <w:numId w:val="1"/>
        </w:numPr>
        <w:rPr/>
      </w:pPr>
      <w:bookmarkStart w:id="13" w:name="__RefHeading___Toc95041_2749589250"/>
      <w:bookmarkStart w:id="14" w:name="_Toc5"/>
      <w:bookmarkEnd w:id="13"/>
      <w:r>
        <w:rPr>
          <w:rtl w:val="true"/>
        </w:rPr>
        <w:t>اشارة</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الورود فی البحث لا بأس بالإشارة إلی خلفیّة البحث،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حول إرث الزوجة کان من قدیم الأیّام متداولًا بین علماء الإمامیّة، کما أنّه یعدّ من المسائل المهمّة التی قد وقعت الشیعة مورداً للطعن من المخالفین، وربما اتّهموهم بأنّهم قد خالفوا القرآن وعمومه وخرجوا عن إجماع الامّة، ففی زمن الشیخ المفید قدس سره قد أرسل إلیه وکیله فی صاغان</w:t>
      </w:r>
      <w:r>
        <w:rPr>
          <w:rStyle w:val="FootnoteAnchor"/>
          <w:rtl w:val="true"/>
        </w:rPr>
        <w:footnoteReference w:id="2"/>
      </w:r>
      <w:r>
        <w:rPr>
          <w:rFonts w:ascii="Amiri" w:hAnsi="Amiri" w:eastAsia="Amiri" w:cs="Amiri"/>
          <w:color w:val="111111"/>
          <w:sz w:val="28"/>
          <w:sz w:val="28"/>
          <w:szCs w:val="28"/>
          <w:rtl w:val="true"/>
          <w:lang w:bidi="ar-SA"/>
        </w:rPr>
        <w:t>شبهات وأسئلة من قِبل أبی العبّاس وهو الفقیه الحنفی المعاصر المقیم فی نیسابور وقد ذکر فیها سؤالًا حول هذا الموضوع وصرّح بأنّ القول بحرمان الزوجة من بعض ما ترکه الزوج مخالف لعموم القرآن حیث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تَرَکْتُمْ إِنْ لَمْ یَکُنْ لَکُمْ وَلَدٌ فَإِنْ کَانَ لَکُمْ وَلَدٌ فَلَهُنَّ الثُّمُنُ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فهذه الآیة عامّة تدلّ علی أنّ الزوجة ترث من جمیع ما ترکه الزوج، وصرّح أیضاً بأنّ هذه الفتوی موجبة للخروج عن</w:t>
      </w:r>
    </w:p>
    <w:p>
      <w:pPr>
        <w:pStyle w:val="BookText"/>
        <w:rPr/>
      </w:pPr>
      <w:r>
        <w:rPr>
          <w:rFonts w:ascii="Amiri" w:hAnsi="Amiri" w:eastAsia="Amiri" w:cs="Amiri"/>
          <w:color w:val="111111"/>
          <w:sz w:val="28"/>
          <w:sz w:val="28"/>
          <w:szCs w:val="28"/>
          <w:rtl w:val="true"/>
          <w:lang w:bidi="ar-SA"/>
        </w:rPr>
        <w:t>إجماع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الشیخ المفید بأنّه لا إشکال فی مخالفة العموم وتخصیصه بالخبر المتواتر، وهذا متّفقٌ علیه بین العامّة والخاصّة، وفیما نحن فیه تکون الروایات فوق حدّ التواتر، ثمّ اعترض علیهم بأنّکم تخصّصون الکتاب بالخبر الواحد الشاذّ وأیضاً أنتم ترفعون الید عن عموم القرآن بالخبر المرسل أو بالقیاس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أجابهم بجواب نقضی وهو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عامّ، مع أنّکم خصّصتموها بحدیثٍ مجعول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p>
    <w:p>
      <w:pPr>
        <w:pStyle w:val="BookText"/>
        <w:rPr/>
      </w:pP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وبعد هذا التخصیص منعتم الصدِّیقة الطاهرة سلام اللَّه علیها من حقّها، ألیس هذا مخالفة للکتاب وتخصیصاً للعموم بمخصّص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الحدیث المجعول قد خصّصتموا نفس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تَرَکْتُمْ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قد خصّصت وأئمّتک من قبلک عموم هذه الآیة بل رفعتم حکمها فی أزواج النبیّ صلی الله علیه و آله وحرمتموهنّ من استحقاق</w:t>
      </w:r>
    </w:p>
    <w:p>
      <w:pPr>
        <w:pStyle w:val="BookText"/>
        <w:rPr/>
      </w:pPr>
      <w:r>
        <w:rPr>
          <w:rFonts w:ascii="IRNazanin" w:hAnsi="IRNazanin" w:eastAsia="IRNazanin"/>
          <w:color w:val="111111"/>
          <w:sz w:val="28"/>
          <w:sz w:val="28"/>
          <w:szCs w:val="28"/>
          <w:rtl w:val="true"/>
          <w:lang w:bidi="fa-IR"/>
        </w:rPr>
        <w:t>برکات میراثه جملةً وحرّمتموهنّ شیئاً منها بخبر واحد ینقضه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زعمت أنّ الشیعة قد خالفت الامّة فی منعها النساء من ملک الرباع علی وجه المیراث من أزواجهنّ وکافّة آل محمّد صلی الله علیه و آله یروون ذلک عن رسول اللَّه ویعملون به وراثةً لسنّته فیه، فأیّ إجماع تخرج منه العترة وشیعتهم لولا عنادک وعصبیّتک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الکلام حول هذه الآیة الشریفة من حیث العموم والإطلاق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مراجعة الروایات التی هی الأساس الوحید فی هذا البحث یتّضح لنا أنّ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أکّدوا علی هذا الرأی ولم یتنازلوا عن هذه الحقیقة، وحینما اعترضوا علیهم بأنّ الناس لم یقبلوا هذا الحکم أجابوا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إذا ولّیناهم ضربناهم بالسوط فإن انتهوا وإلّا ضربناهم علیه بالسیف</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التعبیر کنایة عن شدّة اهتمامهم ولزوم إجراء هذا الحکم فی المجتمع الإسلامی، وإنّما صلاحهم ونفعهم فی هذا ومع عدمه ربما کان</w:t>
      </w:r>
      <w:bookmarkStart w:id="15" w:name="pg2940_31602"/>
    </w:p>
    <w:p>
      <w:pPr>
        <w:pStyle w:val="BookText"/>
        <w:rPr/>
      </w:pPr>
      <w:bookmarkEnd w:id="15"/>
      <w:r>
        <w:rPr>
          <w:rFonts w:ascii="IRNazanin" w:hAnsi="IRNazanin" w:eastAsia="IRNazanin"/>
          <w:color w:val="111111"/>
          <w:sz w:val="28"/>
          <w:sz w:val="28"/>
          <w:szCs w:val="28"/>
          <w:rtl w:val="true"/>
          <w:lang w:bidi="fa-IR"/>
        </w:rPr>
        <w:t>مورداً للخلاف والنزاع وموجباً لمفاسد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ذکره فی المقدّمة، وحینئذٍ نشرع البحث</w:t>
      </w:r>
      <w:r>
        <w:rPr>
          <w:rFonts w:eastAsia="IRNazanin" w:cs="IRNazanin"/>
          <w:color w:val="111111"/>
          <w:sz w:val="28"/>
          <w:szCs w:val="28"/>
          <w:rtl w:val="true"/>
          <w:lang w:bidi="fa-IR"/>
        </w:rPr>
        <w:t>:</w:t>
      </w:r>
    </w:p>
    <w:p>
      <w:pPr>
        <w:pStyle w:val="Heading3"/>
        <w:numPr>
          <w:ilvl w:val="2"/>
          <w:numId w:val="1"/>
        </w:numPr>
        <w:rPr/>
      </w:pPr>
      <w:bookmarkStart w:id="16" w:name="__RefHeading___Toc95043_2749589250"/>
      <w:bookmarkStart w:id="17" w:name="_Toc6"/>
      <w:bookmarkEnd w:id="16"/>
      <w:r>
        <w:rPr>
          <w:rtl w:val="true"/>
        </w:rPr>
        <w:t>النزاع الأوّل</w:t>
      </w:r>
      <w:r>
        <w:rPr>
          <w:rtl w:val="true"/>
        </w:rPr>
        <w:t xml:space="preserve">: </w:t>
      </w:r>
      <w:r>
        <w:rPr>
          <w:rtl w:val="true"/>
        </w:rPr>
        <w:t>فیما تحرم الزوجة منه</w:t>
      </w:r>
      <w:bookmarkEnd w:id="17"/>
    </w:p>
    <w:p>
      <w:pPr>
        <w:pStyle w:val="Heading4"/>
        <w:numPr>
          <w:ilvl w:val="3"/>
          <w:numId w:val="1"/>
        </w:numPr>
        <w:rPr/>
      </w:pPr>
      <w:bookmarkStart w:id="18" w:name="__RefHeading___Toc95045_2749589250"/>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أمّا المورد الأوّل فقد وقع الخلاف فیما تُحرم منه، والأقوال فیه متعدّدة، والظاهر أنّه لا شکّ فی أصل وجود الحرمان بمعنی أنّه لم یقل أحدٌ من علمائنا بما یقوله العامّة إلّاابن الجنید بناءً علی ما نقل عنه العلّامة فی المختلف</w:t>
      </w:r>
      <w:r>
        <w:rPr>
          <w:rStyle w:val="FootnoteAnchor"/>
          <w:rtl w:val="true"/>
        </w:rPr>
        <w:footnoteReference w:id="9"/>
      </w:r>
      <w:r>
        <w:rPr>
          <w:rFonts w:ascii="IRNazanin" w:hAnsi="IRNazanin" w:eastAsia="IRNazanin"/>
          <w:color w:val="111111"/>
          <w:sz w:val="28"/>
          <w:sz w:val="28"/>
          <w:szCs w:val="28"/>
          <w:rtl w:val="true"/>
          <w:lang w:bidi="fa-IR"/>
        </w:rPr>
        <w:t>عن کتابه المختصر الأحمدی فی الفقه المحمّدی، وتبعه قاضی نعمان المصری فی دعائم الإسلام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علمائنا حرمان الزوجة عن شی‌ء من میراث الزوج فی الجملة، وقال الشهید فی 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البیت أجمعوا علی حرمانها من شی‌ء ما ولم یخالف فی هذا علماؤنا الإمامیّة إلّا ابن الجنید وقد سبقه الإجماع وتأخّر عنه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غضّ النظر عن قول الشهید تکون الأقوال ثلاثة علی المشهور وأربعة بناءً علی ما فهمه الشهید الثانی فی رسائله، فاللّازم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حرمانها عیناً وقیمةً من جمیع الأراضی سواء کانت أرض رباع أم بستان أم ضیاع، وسواء کانت بیاضاً أم مشغولة ببناء أو زرع، وأیضاً حرمانها من عین الآلات والأبنیة لا من قیمتها، ذهب إلیه جمعٌ من المتقدّمین کالشیخ فی النهایة</w:t>
      </w:r>
      <w:r>
        <w:rPr>
          <w:rStyle w:val="FootnoteAnchor"/>
          <w:rtl w:val="true"/>
        </w:rPr>
        <w:footnoteReference w:id="12"/>
      </w:r>
      <w:r>
        <w:rPr>
          <w:rFonts w:ascii="IRNazanin" w:hAnsi="IRNazanin" w:eastAsia="IRNazanin"/>
          <w:color w:val="111111"/>
          <w:sz w:val="28"/>
          <w:sz w:val="28"/>
          <w:szCs w:val="28"/>
          <w:rtl w:val="true"/>
          <w:lang w:bidi="fa-IR"/>
        </w:rPr>
        <w:t>والمبسوط</w:t>
      </w:r>
      <w:r>
        <w:rPr>
          <w:rStyle w:val="FootnoteAnchor"/>
          <w:rtl w:val="true"/>
        </w:rPr>
        <w:footnoteReference w:id="13"/>
      </w:r>
      <w:r>
        <w:rPr>
          <w:rFonts w:ascii="IRNazanin" w:hAnsi="IRNazanin" w:eastAsia="IRNazanin"/>
          <w:color w:val="111111"/>
          <w:sz w:val="28"/>
          <w:sz w:val="28"/>
          <w:szCs w:val="28"/>
          <w:rtl w:val="true"/>
          <w:lang w:bidi="fa-IR"/>
        </w:rPr>
        <w:t>وابن البرّاج</w:t>
      </w:r>
      <w:r>
        <w:rPr>
          <w:rStyle w:val="FootnoteAnchor"/>
          <w:rtl w:val="true"/>
        </w:rPr>
        <w:footnoteReference w:id="14"/>
      </w:r>
      <w:r>
        <w:rPr>
          <w:rFonts w:ascii="IRNazanin" w:hAnsi="IRNazanin" w:eastAsia="IRNazanin"/>
          <w:color w:val="111111"/>
          <w:sz w:val="28"/>
          <w:sz w:val="28"/>
          <w:szCs w:val="28"/>
          <w:rtl w:val="true"/>
          <w:lang w:bidi="fa-IR"/>
        </w:rPr>
        <w:t>وأبو الصلاح التقی</w:t>
      </w:r>
      <w:r>
        <w:rPr>
          <w:rStyle w:val="FootnoteAnchor"/>
          <w:rtl w:val="true"/>
        </w:rPr>
        <w:footnoteReference w:id="15"/>
      </w:r>
      <w:r>
        <w:rPr>
          <w:rFonts w:ascii="Amiri" w:hAnsi="Amiri" w:eastAsia="Amiri" w:cs="Amiri"/>
          <w:color w:val="111111"/>
          <w:sz w:val="28"/>
          <w:sz w:val="28"/>
          <w:szCs w:val="28"/>
          <w:rtl w:val="true"/>
          <w:lang w:bidi="ar-SA"/>
        </w:rPr>
        <w:t>وابن حمزة</w:t>
      </w:r>
      <w:r>
        <w:rPr>
          <w:rStyle w:val="FootnoteAnchor"/>
          <w:rtl w:val="true"/>
        </w:rPr>
        <w:footnoteReference w:id="16"/>
      </w:r>
      <w:r>
        <w:rPr>
          <w:rFonts w:ascii="IRNazanin" w:hAnsi="IRNazanin" w:eastAsia="IRNazanin"/>
          <w:color w:val="111111"/>
          <w:sz w:val="28"/>
          <w:sz w:val="28"/>
          <w:szCs w:val="28"/>
          <w:rtl w:val="true"/>
          <w:lang w:bidi="fa-IR"/>
        </w:rPr>
        <w:t>، والمحقق الحلّی فی الشرائع</w:t>
      </w:r>
      <w:r>
        <w:rPr>
          <w:rStyle w:val="FootnoteAnchor"/>
          <w:rtl w:val="true"/>
        </w:rPr>
        <w:footnoteReference w:id="17"/>
      </w:r>
      <w:r>
        <w:rPr>
          <w:rFonts w:ascii="IRNazanin" w:hAnsi="IRNazanin" w:eastAsia="IRNazanin"/>
          <w:color w:val="111111"/>
          <w:sz w:val="28"/>
          <w:sz w:val="28"/>
          <w:szCs w:val="28"/>
          <w:rtl w:val="true"/>
          <w:lang w:bidi="fa-IR"/>
        </w:rPr>
        <w:t>، والعلّامة فی القواعد</w:t>
      </w:r>
      <w:r>
        <w:rPr>
          <w:rStyle w:val="FootnoteAnchor"/>
          <w:rtl w:val="true"/>
        </w:rPr>
        <w:footnoteReference w:id="18"/>
      </w:r>
      <w:r>
        <w:rPr>
          <w:rFonts w:ascii="IRNazanin" w:hAnsi="IRNazanin" w:eastAsia="IRNazanin"/>
          <w:color w:val="111111"/>
          <w:sz w:val="28"/>
          <w:sz w:val="28"/>
          <w:szCs w:val="28"/>
          <w:rtl w:val="true"/>
          <w:lang w:bidi="fa-IR"/>
        </w:rPr>
        <w:t>والإرشاد</w:t>
      </w:r>
      <w:r>
        <w:rPr>
          <w:rStyle w:val="FootnoteAnchor"/>
          <w:rtl w:val="true"/>
        </w:rPr>
        <w:footnoteReference w:id="19"/>
      </w:r>
      <w:r>
        <w:rPr>
          <w:rFonts w:ascii="IRNazanin" w:hAnsi="IRNazanin" w:eastAsia="IRNazanin"/>
          <w:color w:val="111111"/>
          <w:sz w:val="28"/>
          <w:sz w:val="28"/>
          <w:szCs w:val="28"/>
          <w:rtl w:val="true"/>
          <w:lang w:bidi="fa-IR"/>
        </w:rPr>
        <w:t>، وولده فخر المحقّقین فی الإیضاح</w:t>
      </w:r>
      <w:r>
        <w:rPr>
          <w:rStyle w:val="FootnoteAnchor"/>
          <w:rtl w:val="true"/>
        </w:rPr>
        <w:footnoteReference w:id="20"/>
      </w:r>
      <w:r>
        <w:rPr>
          <w:rFonts w:ascii="IRNazanin" w:hAnsi="IRNazanin" w:eastAsia="IRNazanin"/>
          <w:color w:val="111111"/>
          <w:sz w:val="28"/>
          <w:sz w:val="28"/>
          <w:szCs w:val="28"/>
          <w:rtl w:val="true"/>
          <w:lang w:bidi="fa-IR"/>
        </w:rPr>
        <w:t>والشهید فی غایة المراد</w:t>
      </w:r>
      <w:r>
        <w:rPr>
          <w:rStyle w:val="FootnoteAnchor"/>
          <w:rtl w:val="true"/>
        </w:rPr>
        <w:footnoteReference w:id="21"/>
      </w:r>
      <w:r>
        <w:rPr>
          <w:rFonts w:ascii="IRNazanin" w:hAnsi="IRNazanin" w:eastAsia="IRNazanin"/>
          <w:color w:val="111111"/>
          <w:sz w:val="28"/>
          <w:sz w:val="28"/>
          <w:szCs w:val="28"/>
          <w:rtl w:val="true"/>
          <w:lang w:bidi="fa-IR"/>
        </w:rPr>
        <w:t>والفاضل المقداد فی التنقیح الرائع</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الشهید الثانی فی رسائله</w:t>
      </w:r>
      <w:r>
        <w:rPr>
          <w:rStyle w:val="FootnoteAnchor"/>
          <w:rtl w:val="true"/>
        </w:rPr>
        <w:footnoteReference w:id="23"/>
      </w:r>
      <w:r>
        <w:rPr>
          <w:rFonts w:ascii="IRNazanin" w:hAnsi="IRNazanin" w:eastAsia="IRNazanin"/>
          <w:color w:val="111111"/>
          <w:sz w:val="28"/>
          <w:sz w:val="28"/>
          <w:szCs w:val="28"/>
          <w:rtl w:val="true"/>
          <w:lang w:bidi="fa-IR"/>
        </w:rPr>
        <w:t>إلی الفرق بین قول الشیخ ومن تبعه من المتقدّمین، وبین قول العلّامة ومَن تبعه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المتأخّرین قد صرّحوا بأنّ النخل والشجر فی حکم الآلات والأبنیة فتعطی قیمتهما، ولکن الشیخ ومن تبعه لم یذکرهما بل المستفاد من عبارات الشیخ وابن البرّاج وأبی الصلاح وابن حمزة أنّ المرأة ترث عین النخل والشجر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لا ترث من زوجها من الأرضین والقری والرباع من الدور والمنازل، بل یقوّم الطوب والخشب وغیر ذلک من الآلات وتعطی حصّتها منه ولا تعطی من نفس الأرض شیئاً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نظیر هذه العبارة فی المبسوط</w:t>
      </w:r>
      <w:r>
        <w:rPr>
          <w:rStyle w:val="FootnoteAnchor"/>
          <w:rtl w:val="true"/>
        </w:rPr>
        <w:footnoteReference w:id="25"/>
      </w:r>
      <w:r>
        <w:rPr>
          <w:rFonts w:ascii="IRNazanin" w:hAnsi="IRNazanin" w:eastAsia="IRNazanin"/>
          <w:color w:val="111111"/>
          <w:sz w:val="28"/>
          <w:sz w:val="28"/>
          <w:szCs w:val="28"/>
          <w:rtl w:val="true"/>
          <w:lang w:bidi="fa-IR"/>
        </w:rPr>
        <w:t>وتبعه ابن البرّاج</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العبارة لا تدلّ علی إرثها من قیمة النخل والشجر،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الآلات، لا یشملها فإنّ الآلة غیر صادقة علی النخل والشجر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عبارة أبی الصلاح الحلبی فی الکافی، فإنّه 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ترث الزوجة من رقاب الرباع والأرض شیئاً وترث من قیمة آلات الرباع من خشب وآجر کسائر الإرث</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صرّح فیها بآلات الرباع وفسّرها بالخشب والآجر فلم یذکر النخل والشجر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عبارة ابن حمزة فی الوسیلة ذلک، فراجع</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فبالنتیجة لا یستفاد من هذه الکلمات أنّ النخل والشجر فی حکم آلات الأبنیة، بل المستفاد منها إرثها من عینها، فیتحقّق الفرق بین قول القدماء والمتأخّرین من هذه الجهة فإنّ المتأخّرین عطفوا النخل والشجر إلی الآلات، ولأجل ذلک قد صرّح الشهید الثانی بالفرق بین قول المتقدّمین والمتأخّرین</w:t>
      </w:r>
      <w:r>
        <w:rPr>
          <w:rStyle w:val="FootnoteAnchor"/>
          <w:rtl w:val="true"/>
        </w:rPr>
        <w:footnoteReference w:id="29"/>
      </w:r>
      <w:r>
        <w:rPr>
          <w:rFonts w:ascii="IRNazanin" w:hAnsi="IRNazanin" w:eastAsia="IRNazanin"/>
          <w:color w:val="111111"/>
          <w:sz w:val="28"/>
          <w:sz w:val="28"/>
          <w:szCs w:val="28"/>
          <w:rtl w:val="true"/>
          <w:lang w:bidi="fa-IR"/>
        </w:rPr>
        <w:t>، مضافاً إلی أنّ لفظ الآلة لغةً وعرفاً لا یشمل النخل والشجر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السیّد المحقّق الحکیم قدس سره إلی أنّ لفظ الآلة لغةً شامل لهما، واستشهد بما ذکره فی القاموس</w:t>
      </w:r>
      <w:r>
        <w:rPr>
          <w:rStyle w:val="FootnoteAnchor"/>
          <w:rtl w:val="true"/>
        </w:rPr>
        <w:footnoteReference w:id="30"/>
      </w:r>
      <w:r>
        <w:rPr>
          <w:rFonts w:ascii="IRNazanin" w:hAnsi="IRNazanin" w:eastAsia="IRNazanin"/>
          <w:color w:val="111111"/>
          <w:sz w:val="28"/>
          <w:sz w:val="28"/>
          <w:szCs w:val="28"/>
          <w:rtl w:val="true"/>
          <w:lang w:bidi="fa-IR"/>
        </w:rPr>
        <w:t>من أنّ الآل الخشب والشخص وعمد الخیمة والشخص سواء الإنسان وغیره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فیه أنّنا لسنا بصدد تفسیر لفظ الآلة حتّی نرجع إلی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الرجوع إلی اللّغة إنّما یکون إذا کنّا بصدد تبیین</w:t>
      </w:r>
    </w:p>
    <w:p>
      <w:pPr>
        <w:pStyle w:val="BookText"/>
        <w:rPr/>
      </w:pPr>
      <w:r>
        <w:rPr>
          <w:rFonts w:ascii="IRNazanin" w:hAnsi="IRNazanin" w:eastAsia="IRNazanin"/>
          <w:color w:val="111111"/>
          <w:sz w:val="28"/>
          <w:sz w:val="28"/>
          <w:szCs w:val="28"/>
          <w:rtl w:val="true"/>
          <w:lang w:bidi="fa-IR"/>
        </w:rPr>
        <w:t>لفظ الآلة الواردة فی الروایات، مع أنّنا بصدد تفسیرها فی کلمات القوم، والظاهر أنّهم لم یریدوا منها النخل والشجر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کلّه فلا یمکن لنا أیضاً قبول ما قاله الشهید الثانی؛ وذلک من جهة أنّ مستند القدماء والمتأخّرین فی القول الأوّل مشترک وبعد الرجوع إلیه یتّضح أنّ النخل والشجر فی حکم سائر الآلات، ففی صحیح الأحول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یرثنّ النساء من العقار شیئاً ولهنّ قیمة البناء والشجر والنخل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صریحة فی اشتراک الحکم بین النخل والشجر والآلات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نوافق الشهید الثانی فی ذلک ولیس القول الأوّل منحلّاً إلی قولین، وهذا القول هو المشهور بین المتقدِّمین والمتأخّرین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الشهید الثانی قد اختار هذا القول فی رسائله وذهب إلی إرثها من عین الشجر والنخل،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أمتن الأقوال دلیلًا وأظهرها من جهة الروایة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هو القول الثانی فی المسألة وهو مختار الشهید الثانی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حرمانها من الرباع وهی الدور والمساکن دون البساتین والضیاع، وتُعطی قیمة الآلات والأبنیة من الدور؛ ذهب إلیه جمعٌ من القدماء کالشیخ المفید وابن إدریس والمحقّق فی النافع، مع</w:t>
      </w:r>
    </w:p>
    <w:p>
      <w:pPr>
        <w:pStyle w:val="BookText"/>
        <w:rPr/>
      </w:pPr>
      <w:r>
        <w:rPr>
          <w:rFonts w:ascii="IRNazanin" w:hAnsi="IRNazanin" w:eastAsia="IRNazanin"/>
          <w:color w:val="111111"/>
          <w:sz w:val="28"/>
          <w:sz w:val="28"/>
          <w:szCs w:val="28"/>
          <w:rtl w:val="true"/>
          <w:lang w:bidi="fa-IR"/>
        </w:rPr>
        <w:t>أنّه فی الشرائع من القائلین بالقول الأوّل، والفاضل الآبی فی کشف الرموز، وإلیک بعض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ترث الزوجة شیئاً ممّا یخلفه الزوج من الرباع وتُعطی قیمة الخشب والطوب والبناء والآلات، وهذا هو منصوص علیه عن نبیّ الهدی علیه وآله السلام وعن الأئمّة من عترته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والرباع هی الدور والمساکن دون البساتین والضیاع</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علی أنّها لا ترث من نفس تربة الرباع والمنازل شیئاً سواء کان لها من الزوج ولد أو لم یکن، وهو ظاهر قول شیخنا المفید فی مقنعته والسیّد المرتضی فی الانتصار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ما ذکره فی ذیل کلامه من أنّ السیّد المرتضی موافق للمفید غیر تامّ کما سیأتی ذلک، وقد التبس الأمر علی صاحب الجواهر فزعم أنّه موافق للمفید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السیّد المرتضی حسن ثمّ قول شیخنا المفید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کلّه فالفتوی علی ما قاله الشیخ</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حرمانها من عین الرباع خاصّة لا من قیمتها،</w:t>
      </w:r>
    </w:p>
    <w:p>
      <w:pPr>
        <w:pStyle w:val="BookText"/>
        <w:rPr/>
      </w:pPr>
      <w:r>
        <w:rPr>
          <w:rFonts w:ascii="IRNazanin" w:hAnsi="IRNazanin" w:eastAsia="IRNazanin"/>
          <w:color w:val="111111"/>
          <w:sz w:val="28"/>
          <w:sz w:val="28"/>
          <w:szCs w:val="28"/>
          <w:rtl w:val="true"/>
          <w:lang w:bidi="fa-IR"/>
        </w:rPr>
        <w:t>فالحرمان إنّما هو فی دائرة الرباع خاصّة ولا یشمل البساتین والضیاع وفی الرباع أیضاً محرومة من عینها لا من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السیّد المرتضی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انفردت به الإمامیّة أنّ الزوجة لا ترث من رباع المتوفّی شیئاً، بل تعطی بقیمة حقّها من البناء والآلات دون قیمة العراص، ثمّ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الرباع وإن لم تسلّم إلی الزوجات فقیمتها محسوبة لها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ابن إدریس لم یلتفت إلی ذیل کلامه وإنّما توجّه إلی صدر کلامه، وهو ظاهر فی مذهب المفید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لم یوافق علیه أحدٌ من الأصحاب کما صرّح به السیّد الحکیم</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بعض الاعاظم من المعاصرین حیث إنّه صرّح بموافقة الصدوق وأبی الصلاح الحلبی مع السیّد</w:t>
      </w:r>
      <w:r>
        <w:rPr>
          <w:rStyle w:val="FootnoteAnchor"/>
          <w:rtl w:val="true"/>
        </w:rPr>
        <w:footnoteReference w:id="39"/>
      </w:r>
      <w:r>
        <w:rPr>
          <w:rFonts w:ascii="IRNazanin" w:hAnsi="IRNazanin" w:eastAsia="IRNazanin"/>
          <w:color w:val="111111"/>
          <w:sz w:val="28"/>
          <w:sz w:val="28"/>
          <w:szCs w:val="28"/>
          <w:rtl w:val="true"/>
          <w:lang w:bidi="fa-IR"/>
        </w:rPr>
        <w:t>، وهذا غیر تامّ؛ فإنّ الصدوق فی الفقیه</w:t>
      </w:r>
      <w:r>
        <w:rPr>
          <w:rStyle w:val="FootnoteAnchor"/>
          <w:rtl w:val="true"/>
        </w:rPr>
        <w:footnoteReference w:id="40"/>
      </w:r>
      <w:r>
        <w:rPr>
          <w:rFonts w:ascii="IRNazanin" w:hAnsi="IRNazanin" w:eastAsia="IRNazanin"/>
          <w:color w:val="111111"/>
          <w:sz w:val="28"/>
          <w:sz w:val="28"/>
          <w:szCs w:val="28"/>
          <w:rtl w:val="true"/>
          <w:lang w:bidi="fa-IR"/>
        </w:rPr>
        <w:t>بعد أن تعرّض للروایات، ذکر روایة ابن أبی یعفور الدالّة علی إرثها من جمیع ما ترکه الزوج، وقال فی ذیل الروایة</w:t>
      </w:r>
      <w:r>
        <w:rPr>
          <w:rFonts w:eastAsia="IRNazanin" w:cs="IRNazanin"/>
          <w:color w:val="111111"/>
          <w:sz w:val="28"/>
          <w:szCs w:val="28"/>
          <w:rtl w:val="true"/>
          <w:lang w:bidi="fa-IR"/>
        </w:rPr>
        <w:t>:</w:t>
      </w:r>
      <w:bookmarkStart w:id="20" w:name="pg2940_31609"/>
    </w:p>
    <w:p>
      <w:pPr>
        <w:pStyle w:val="BookText"/>
        <w:rPr/>
      </w:pPr>
      <w:bookmarkEnd w:id="20"/>
      <w:r>
        <w:rPr>
          <w:rFonts w:ascii="IRNazanin" w:hAnsi="IRNazanin" w:eastAsia="IRNazanin"/>
          <w:color w:val="111111"/>
          <w:sz w:val="28"/>
          <w:sz w:val="28"/>
          <w:szCs w:val="28"/>
          <w:rtl w:val="true"/>
          <w:lang w:bidi="fa-IR"/>
        </w:rPr>
        <w:t>هذا إذا کان لها ولد، أمّا إذا لم یکن لها ولد فلا ترث من الاصول إلّاقیمتها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 ذلک بمقطوعة ابن اذینة الدالّة علی أنّ النساء إذا کان لهنّ ولد اعطین من الرباع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هذه العبارة بل صریحها إرثها من جمیع قیمة الاصول، والمراد منها الأراضی لا الآلات والتأیید بالمقطوعة، إنّما هو بالنسبة إلی التفصیل لا إلی خصوص الرباع،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الصلاح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ترث الزوجة من رقاب الرباع والأرضین شیئاً وترث من قیمة آلات الرباع من خشب وآجر کسائر الإرث</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العبارة صریحة فی حرمانها من الرباع وجمیع الأراضی عیناً وقیمةً، ولکن ترث من قیمة آلات الرباع کالخشب والآجر، وقد سبق أنّه من القائلین بالقول الأوّل</w:t>
      </w:r>
      <w:r>
        <w:rPr>
          <w:rFonts w:eastAsia="IRNazanin" w:cs="IRNazanin"/>
          <w:color w:val="111111"/>
          <w:sz w:val="28"/>
          <w:szCs w:val="28"/>
          <w:rtl w:val="true"/>
          <w:lang w:bidi="fa-IR"/>
        </w:rPr>
        <w:t>.</w:t>
      </w:r>
    </w:p>
    <w:p>
      <w:pPr>
        <w:pStyle w:val="Heading4"/>
        <w:numPr>
          <w:ilvl w:val="3"/>
          <w:numId w:val="1"/>
        </w:numPr>
        <w:rPr/>
      </w:pPr>
      <w:bookmarkStart w:id="21" w:name="__RefHeading___Toc95047_2749589250"/>
      <w:bookmarkStart w:id="22" w:name="_Toc8"/>
      <w:bookmarkEnd w:id="21"/>
      <w:r>
        <w:rPr>
          <w:rtl w:val="true"/>
        </w:rPr>
        <w:t>النتیجة فی النزاع الأوّل</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حرمان الزوجة من جمیع الأراضی وإن لم یکن إجماعیّاً لمخالفة جمع من القدماء کالمفید وابن إدریس والمحقّق وکاشف الرموز والسیّد، ولا ریب فی أنّ هذا القول هو المشهور بین المتقدّمین، کما أنّه</w:t>
      </w:r>
    </w:p>
    <w:p>
      <w:pPr>
        <w:pStyle w:val="BookText"/>
        <w:rPr/>
      </w:pPr>
      <w:r>
        <w:rPr>
          <w:rFonts w:ascii="IRNazanin" w:hAnsi="IRNazanin" w:eastAsia="IRNazanin"/>
          <w:color w:val="111111"/>
          <w:sz w:val="28"/>
          <w:sz w:val="28"/>
          <w:szCs w:val="28"/>
          <w:rtl w:val="true"/>
          <w:lang w:bidi="fa-IR"/>
        </w:rPr>
        <w:t>المشهور بین المتأخّرین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فی الخلاف قد ادّعی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الإجماع فی قبال الخلاف مع العامّة وبالنسبة إلی أصل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الجنید الإسکافی</w:t>
      </w:r>
      <w:r>
        <w:rPr>
          <w:rStyle w:val="FootnoteAnchor"/>
          <w:rtl w:val="true"/>
        </w:rPr>
        <w:footnoteReference w:id="42"/>
      </w:r>
      <w:r>
        <w:rPr>
          <w:rFonts w:ascii="IRNazanin" w:hAnsi="IRNazanin" w:eastAsia="IRNazanin"/>
          <w:color w:val="111111"/>
          <w:sz w:val="28"/>
          <w:sz w:val="28"/>
          <w:szCs w:val="28"/>
          <w:rtl w:val="true"/>
          <w:lang w:bidi="fa-IR"/>
        </w:rPr>
        <w:t>وقاضی نعمان المصری</w:t>
      </w:r>
      <w:r>
        <w:rPr>
          <w:rStyle w:val="FootnoteAnchor"/>
          <w:rtl w:val="true"/>
        </w:rPr>
        <w:footnoteReference w:id="43"/>
      </w:r>
      <w:r>
        <w:rPr>
          <w:rFonts w:ascii="IRNazanin" w:hAnsi="IRNazanin" w:eastAsia="IRNazanin"/>
          <w:color w:val="111111"/>
          <w:sz w:val="28"/>
          <w:sz w:val="28"/>
          <w:szCs w:val="28"/>
          <w:rtl w:val="true"/>
          <w:lang w:bidi="fa-IR"/>
        </w:rPr>
        <w:t>قد خالفا أصل الحرمان وذهبا إلی عدم حرمانها من ترکة الزوج لا من العقار ولا من شی‌ء آخر حتّی إنّ القاضی قد ادّعی إجماع الامّة والأئمّة علی ذلک فلیس أصل الحرمان إجماعیّاً، ویؤیّد ذلک 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جملة من کتب أصحابنا المتقدّمین کالمقنع والهدایة والمراسم والإیجاز والتبیان ومجمع البیان وجوامع الجامع والفرائض النصیریّة مع وقوع التصریح فی جمیعها بکون إرث الزوجة ربع الترکة أو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استظهر صاحب الجواهر، عدم تعرّض علی بن بابویه وابن أبی عقیل لذلک أیضاً وإلّا فی صورة التعرّض لنقل إلینا ولکان شایعاً واضحاً عند الجمیع لاعتنائهم بأقوالهما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الفقه الرضوی الذی هو الأصل والأساس عند علیّ</w:t>
      </w:r>
    </w:p>
    <w:p>
      <w:pPr>
        <w:pStyle w:val="BookText"/>
        <w:rPr/>
      </w:pPr>
      <w:r>
        <w:rPr>
          <w:rFonts w:ascii="IRNazanin" w:hAnsi="IRNazanin" w:eastAsia="IRNazanin"/>
          <w:color w:val="111111"/>
          <w:sz w:val="28"/>
          <w:sz w:val="28"/>
          <w:szCs w:val="28"/>
          <w:rtl w:val="true"/>
          <w:lang w:bidi="fa-IR"/>
        </w:rPr>
        <w:t>بن بابویه وکان معتمده، لعلّه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مذهب الراوی إنّما یفهم من الروایة التی نقلها، وعلی هذا یمکن أن یُقال إنّ مذهب جمیع رواة الصحیح الذی هو مستند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ابن أبی یعفور وأبان وفضل بن عبد الملک، من أنّ الزوجة ترث من جمیع ما ترکه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لمذهب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هذه الامور الأربعة قد تأمّل صاحب الجواهر رحمه الله فی سبق الإجماع ولحوقه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هو ما ذکره صاحب الجواهر رحمه الله فإنّه عدل عن ما ذکره وقال بعد ذکر کلام 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کما تری من غرائب الکلام، بل هو کلامٌ بعید عن الفقه والفقهاء والرواة والروایات وإنّما نقلناه لیقضی العجب منه وإلّا فهو لا یقدح فی دعوی سبق الإجماع ابن الجنید ولحوقه المستفاد ذلک من تسالم النصوص علیه التی هی فوق رتبة التواتر والفتاوی التی لا ینافیها عدم تعرّض بعض الکتب للمسألة ولعلّه لوضوحه وظهوره، بل العامّة تعرف ذلک من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اتّجه حمل الصحیح علی التقیّة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متین جدّاً، وعلیه لا یصحّ أن یقال بموافقة فقیه من</w:t>
      </w:r>
      <w:bookmarkStart w:id="23" w:name="pg2940_31612"/>
    </w:p>
    <w:p>
      <w:pPr>
        <w:pStyle w:val="BookText"/>
        <w:rPr/>
      </w:pPr>
      <w:bookmarkEnd w:id="23"/>
      <w:r>
        <w:rPr>
          <w:rFonts w:ascii="IRNazanin" w:hAnsi="IRNazanin" w:eastAsia="IRNazanin"/>
          <w:color w:val="111111"/>
          <w:sz w:val="28"/>
          <w:sz w:val="28"/>
          <w:szCs w:val="28"/>
          <w:rtl w:val="true"/>
          <w:lang w:bidi="fa-IR"/>
        </w:rPr>
        <w:t>الفقهاء الإمامیّة مع ابن الجنید والقاضی نعمان، فأصل الحرمان لا ریب فیه وهو إجماعی من 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مرّ أنّ الحرمان من جمیع الأراضی لیس إجماعیّاً بل هو المشهور بین القدماء</w:t>
      </w:r>
      <w:r>
        <w:rPr>
          <w:rFonts w:eastAsia="IRNazanin" w:cs="IRNazanin"/>
          <w:color w:val="111111"/>
          <w:sz w:val="28"/>
          <w:szCs w:val="28"/>
          <w:rtl w:val="true"/>
          <w:lang w:bidi="fa-IR"/>
        </w:rPr>
        <w:t>.</w:t>
      </w:r>
    </w:p>
    <w:p>
      <w:pPr>
        <w:pStyle w:val="Heading3"/>
        <w:numPr>
          <w:ilvl w:val="2"/>
          <w:numId w:val="1"/>
        </w:numPr>
        <w:rPr/>
      </w:pPr>
      <w:bookmarkStart w:id="24" w:name="__RefHeading___Toc95049_2749589250"/>
      <w:bookmarkStart w:id="25" w:name="_Toc9"/>
      <w:bookmarkEnd w:id="24"/>
      <w:r>
        <w:rPr>
          <w:rtl w:val="true"/>
        </w:rPr>
        <w:t>النزاع الثانی</w:t>
      </w:r>
      <w:r>
        <w:rPr>
          <w:rtl w:val="true"/>
        </w:rPr>
        <w:t xml:space="preserve">: </w:t>
      </w:r>
      <w:r>
        <w:rPr>
          <w:rtl w:val="true"/>
        </w:rPr>
        <w:t>فیمن تحرم من الزوجات</w:t>
      </w:r>
      <w:bookmarkEnd w:id="25"/>
    </w:p>
    <w:p>
      <w:pPr>
        <w:pStyle w:val="Heading4"/>
        <w:numPr>
          <w:ilvl w:val="3"/>
          <w:numId w:val="1"/>
        </w:numPr>
        <w:rPr/>
      </w:pPr>
      <w:bookmarkStart w:id="26" w:name="__RefHeading___Toc95051_2749589250"/>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والخلاف فی الزوجة الممنوعة وفی من تحرم من الزوجات، فهل الزوجة الممنوعة مطلقة من غیر فرق بین ذات الولد وغیره، أم لا بل الممنوعة مختصّة بغیر ذات الولد، وأمّا ذات الولد فترث من جمیع ما ترکه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الأصحاب فیه؛ فذهب المفید</w:t>
      </w:r>
      <w:r>
        <w:rPr>
          <w:rStyle w:val="FootnoteAnchor"/>
          <w:rtl w:val="true"/>
        </w:rPr>
        <w:footnoteReference w:id="45"/>
      </w:r>
      <w:r>
        <w:rPr>
          <w:rFonts w:ascii="IRNazanin" w:hAnsi="IRNazanin" w:eastAsia="IRNazanin"/>
          <w:color w:val="111111"/>
          <w:sz w:val="28"/>
          <w:sz w:val="28"/>
          <w:szCs w:val="28"/>
          <w:rtl w:val="true"/>
          <w:lang w:bidi="fa-IR"/>
        </w:rPr>
        <w:t>والمرتضی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والشیخ فی الاستبصار</w:t>
      </w:r>
      <w:r>
        <w:rPr>
          <w:rStyle w:val="FootnoteAnchor"/>
          <w:rtl w:val="true"/>
        </w:rPr>
        <w:footnoteReference w:id="47"/>
      </w:r>
      <w:r>
        <w:rPr>
          <w:rFonts w:ascii="IRNazanin" w:hAnsi="IRNazanin" w:eastAsia="IRNazanin"/>
          <w:color w:val="111111"/>
          <w:sz w:val="28"/>
          <w:sz w:val="28"/>
          <w:szCs w:val="28"/>
          <w:rtl w:val="true"/>
          <w:lang w:bidi="fa-IR"/>
        </w:rPr>
        <w:t>وأبو الصلاح</w:t>
      </w:r>
      <w:r>
        <w:rPr>
          <w:rStyle w:val="FootnoteAnchor"/>
          <w:rtl w:val="true"/>
        </w:rPr>
        <w:footnoteReference w:id="48"/>
      </w:r>
      <w:r>
        <w:rPr>
          <w:rFonts w:ascii="IRNazanin" w:hAnsi="IRNazanin" w:eastAsia="IRNazanin"/>
          <w:color w:val="111111"/>
          <w:sz w:val="28"/>
          <w:sz w:val="28"/>
          <w:szCs w:val="28"/>
          <w:rtl w:val="true"/>
          <w:lang w:bidi="fa-IR"/>
        </w:rPr>
        <w:t>وابن إدریس</w:t>
      </w:r>
      <w:r>
        <w:rPr>
          <w:rStyle w:val="FootnoteAnchor"/>
          <w:rtl w:val="true"/>
        </w:rPr>
        <w:footnoteReference w:id="49"/>
      </w:r>
      <w:r>
        <w:rPr>
          <w:rFonts w:ascii="Amiri" w:hAnsi="Amiri" w:eastAsia="Amiri" w:cs="Amiri"/>
          <w:color w:val="111111"/>
          <w:sz w:val="28"/>
          <w:sz w:val="28"/>
          <w:szCs w:val="28"/>
          <w:rtl w:val="true"/>
          <w:lang w:bidi="ar-SA"/>
        </w:rPr>
        <w:t>والمحقّق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النافع</w:t>
      </w:r>
      <w:r>
        <w:rPr>
          <w:rStyle w:val="FootnoteAnchor"/>
          <w:rtl w:val="true"/>
        </w:rPr>
        <w:footnoteReference w:id="50"/>
      </w:r>
      <w:r>
        <w:rPr>
          <w:rFonts w:ascii="IRNazanin" w:hAnsi="IRNazanin" w:eastAsia="IRNazanin"/>
          <w:color w:val="111111"/>
          <w:sz w:val="28"/>
          <w:sz w:val="28"/>
          <w:szCs w:val="28"/>
          <w:rtl w:val="true"/>
          <w:lang w:bidi="fa-IR"/>
        </w:rPr>
        <w:t>وتلمیذه الشارح</w:t>
      </w:r>
      <w:r>
        <w:rPr>
          <w:rStyle w:val="FootnoteAnchor"/>
          <w:rtl w:val="true"/>
        </w:rPr>
        <w:footnoteReference w:id="51"/>
      </w:r>
      <w:r>
        <w:rPr>
          <w:rFonts w:ascii="Amiri" w:hAnsi="Amiri" w:eastAsia="Amiri" w:cs="Amiri"/>
          <w:color w:val="111111"/>
          <w:sz w:val="28"/>
          <w:sz w:val="28"/>
          <w:szCs w:val="28"/>
          <w:rtl w:val="true"/>
          <w:lang w:bidi="ar-SA"/>
        </w:rPr>
        <w:t>، إلی أنّ هذا المنع عامّ فی کلّ</w:t>
      </w:r>
      <w:bookmarkStart w:id="28" w:name="pg2940_31613"/>
    </w:p>
    <w:p>
      <w:pPr>
        <w:pStyle w:val="BookText"/>
        <w:rPr/>
      </w:pPr>
      <w:bookmarkEnd w:id="28"/>
      <w:r>
        <w:rPr>
          <w:rFonts w:ascii="IRNazanin" w:hAnsi="IRNazanin" w:eastAsia="IRNazanin"/>
          <w:color w:val="111111"/>
          <w:sz w:val="28"/>
          <w:sz w:val="28"/>
          <w:szCs w:val="28"/>
          <w:rtl w:val="true"/>
          <w:lang w:bidi="fa-IR"/>
        </w:rPr>
        <w:t>زوجة سواء کان لها ولد من المیّت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ابن إدریس</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وصاحب الریاض</w:t>
      </w:r>
      <w:r>
        <w:rPr>
          <w:rStyle w:val="FootnoteAnchor"/>
          <w:rtl w:val="true"/>
        </w:rPr>
        <w:footnoteReference w:id="53"/>
      </w:r>
      <w:r>
        <w:rPr>
          <w:rFonts w:ascii="IRNazanin" w:hAnsi="IRNazanin" w:eastAsia="IRNazanin"/>
          <w:color w:val="111111"/>
          <w:sz w:val="28"/>
          <w:sz w:val="28"/>
          <w:szCs w:val="28"/>
          <w:rtl w:val="true"/>
          <w:lang w:bidi="fa-IR"/>
        </w:rPr>
        <w:t>وأیضاً النراقی</w:t>
      </w:r>
      <w:r>
        <w:rPr>
          <w:rStyle w:val="FootnoteAnchor"/>
          <w:rtl w:val="true"/>
        </w:rPr>
        <w:footnoteReference w:id="54"/>
      </w:r>
      <w:r>
        <w:rPr>
          <w:rFonts w:ascii="IRNazanin" w:hAnsi="IRNazanin" w:eastAsia="IRNazanin"/>
          <w:color w:val="111111"/>
          <w:sz w:val="28"/>
          <w:sz w:val="28"/>
          <w:szCs w:val="28"/>
          <w:rtl w:val="true"/>
          <w:lang w:bidi="fa-IR"/>
        </w:rPr>
        <w:t>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الصدوق</w:t>
      </w:r>
      <w:r>
        <w:rPr>
          <w:rStyle w:val="FootnoteAnchor"/>
          <w:rtl w:val="true"/>
        </w:rPr>
        <w:footnoteReference w:id="55"/>
      </w:r>
      <w:r>
        <w:rPr>
          <w:rFonts w:ascii="IRNazanin" w:hAnsi="IRNazanin" w:eastAsia="IRNazanin"/>
          <w:color w:val="111111"/>
          <w:sz w:val="28"/>
          <w:sz w:val="28"/>
          <w:szCs w:val="28"/>
          <w:rtl w:val="true"/>
          <w:lang w:bidi="fa-IR"/>
        </w:rPr>
        <w:t>والشیخ فی النهایة</w:t>
      </w:r>
      <w:r>
        <w:rPr>
          <w:rStyle w:val="FootnoteAnchor"/>
          <w:rtl w:val="true"/>
        </w:rPr>
        <w:footnoteReference w:id="56"/>
      </w:r>
      <w:r>
        <w:rPr>
          <w:rFonts w:ascii="IRNazanin" w:hAnsi="IRNazanin" w:eastAsia="IRNazanin"/>
          <w:color w:val="111111"/>
          <w:sz w:val="28"/>
          <w:sz w:val="28"/>
          <w:szCs w:val="28"/>
          <w:rtl w:val="true"/>
          <w:lang w:bidi="fa-IR"/>
        </w:rPr>
        <w:t>وابن البرّاج</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وابن حمزة</w:t>
      </w:r>
      <w:r>
        <w:rPr>
          <w:rStyle w:val="FootnoteAnchor"/>
          <w:rtl w:val="true"/>
        </w:rPr>
        <w:footnoteReference w:id="58"/>
      </w:r>
      <w:r>
        <w:rPr>
          <w:rFonts w:ascii="IRNazanin" w:hAnsi="IRNazanin" w:eastAsia="IRNazanin"/>
          <w:color w:val="111111"/>
          <w:sz w:val="28"/>
          <w:sz w:val="28"/>
          <w:szCs w:val="28"/>
          <w:rtl w:val="true"/>
          <w:lang w:bidi="fa-IR"/>
        </w:rPr>
        <w:t>والمحقّق فی الشرایع</w:t>
      </w:r>
      <w:r>
        <w:rPr>
          <w:rStyle w:val="FootnoteAnchor"/>
          <w:rtl w:val="true"/>
        </w:rPr>
        <w:footnoteReference w:id="59"/>
      </w:r>
      <w:r>
        <w:rPr>
          <w:rFonts w:ascii="IRNazanin" w:hAnsi="IRNazanin" w:eastAsia="IRNazanin"/>
          <w:color w:val="111111"/>
          <w:sz w:val="28"/>
          <w:sz w:val="28"/>
          <w:szCs w:val="28"/>
          <w:rtl w:val="true"/>
          <w:lang w:bidi="fa-IR"/>
        </w:rPr>
        <w:t>وابن عمّه یحیی فی</w:t>
      </w:r>
    </w:p>
    <w:p>
      <w:pPr>
        <w:pStyle w:val="BookText"/>
        <w:rPr/>
      </w:pPr>
      <w:r>
        <w:rPr>
          <w:rFonts w:ascii="IRNazanin" w:hAnsi="IRNazanin" w:eastAsia="IRNazanin"/>
          <w:color w:val="111111"/>
          <w:sz w:val="28"/>
          <w:sz w:val="28"/>
          <w:szCs w:val="28"/>
          <w:rtl w:val="true"/>
          <w:lang w:bidi="fa-IR"/>
        </w:rPr>
        <w:t>الجامع</w:t>
      </w:r>
      <w:r>
        <w:rPr>
          <w:rStyle w:val="FootnoteAnchor"/>
          <w:rtl w:val="true"/>
        </w:rPr>
        <w:footnoteReference w:id="60"/>
      </w:r>
      <w:r>
        <w:rPr>
          <w:rFonts w:ascii="Amiri" w:hAnsi="Amiri" w:eastAsia="Amiri" w:cs="Amiri"/>
          <w:color w:val="111111"/>
          <w:sz w:val="28"/>
          <w:sz w:val="28"/>
          <w:szCs w:val="28"/>
          <w:rtl w:val="true"/>
          <w:lang w:bidi="ar-SA"/>
        </w:rPr>
        <w:t>والعلّامة</w:t>
      </w:r>
      <w:r>
        <w:rPr>
          <w:rStyle w:val="FootnoteAnchor"/>
          <w:rtl w:val="true"/>
        </w:rPr>
        <w:footnoteReference w:id="61"/>
      </w:r>
      <w:r>
        <w:rPr>
          <w:rFonts w:ascii="IRNazanin" w:hAnsi="IRNazanin" w:eastAsia="IRNazanin"/>
          <w:color w:val="111111"/>
          <w:sz w:val="28"/>
          <w:sz w:val="28"/>
          <w:szCs w:val="28"/>
          <w:rtl w:val="true"/>
          <w:lang w:bidi="fa-IR"/>
        </w:rPr>
        <w:t>والشهید</w:t>
      </w:r>
      <w:r>
        <w:rPr>
          <w:rStyle w:val="FootnoteAnchor"/>
          <w:rtl w:val="true"/>
        </w:rPr>
        <w:footnoteReference w:id="62"/>
      </w:r>
      <w:r>
        <w:rPr>
          <w:rFonts w:ascii="IRNazanin" w:hAnsi="IRNazanin" w:eastAsia="IRNazanin"/>
          <w:color w:val="111111"/>
          <w:sz w:val="28"/>
          <w:sz w:val="28"/>
          <w:szCs w:val="28"/>
          <w:rtl w:val="true"/>
          <w:lang w:bidi="fa-IR"/>
        </w:rPr>
        <w:t>وباقی المتأخّرین إلی أنّ ذلک</w:t>
      </w:r>
    </w:p>
    <w:p>
      <w:pPr>
        <w:pStyle w:val="BookText"/>
        <w:rPr/>
      </w:pPr>
      <w:r>
        <w:rPr>
          <w:rFonts w:ascii="IRNazanin" w:hAnsi="IRNazanin" w:eastAsia="IRNazanin"/>
          <w:color w:val="111111"/>
          <w:sz w:val="28"/>
          <w:sz w:val="28"/>
          <w:szCs w:val="28"/>
          <w:rtl w:val="true"/>
          <w:lang w:bidi="fa-IR"/>
        </w:rPr>
        <w:t>مخصوص بغیر ذات الولد منه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95053_2749589250"/>
      <w:bookmarkStart w:id="30" w:name="_Toc11"/>
      <w:bookmarkEnd w:id="29"/>
      <w:r>
        <w:rPr>
          <w:rtl w:val="true"/>
        </w:rPr>
        <w:t>التحقیق حول رأی الشیخ فی المقام</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أنّ الشیخ الطوسی قد صرّح فی النهایة والمبسوط بوجود الفرق بین ذات الولد وغیرها، ولکنّه عدل عن ذلک فی الاستبصار،</w:t>
      </w:r>
    </w:p>
    <w:p>
      <w:pPr>
        <w:pStyle w:val="BookText"/>
        <w:rPr/>
      </w:pPr>
      <w:r>
        <w:rPr>
          <w:rFonts w:ascii="IRNazanin" w:hAnsi="IRNazanin" w:eastAsia="IRNazanin"/>
          <w:color w:val="111111"/>
          <w:sz w:val="28"/>
          <w:sz w:val="28"/>
          <w:szCs w:val="28"/>
          <w:rtl w:val="true"/>
          <w:lang w:bidi="fa-IR"/>
        </w:rPr>
        <w:t>وقد صرّح بذلک ابن إدریس فی سرائره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کان لها منه ولد اعطیت سهمها من نفس جمیع ذلک علی قول بعض أصحابنا وهو اختیار محمّد بن علی بن الحسین بن بابویه تمسّکاً بروایة شاذّة وخبر الواحد لا یوجب علماً ولا عملًا، وإلی هذا القول ذهب شیخنا أبو جعفر رحمه الله فی نهایته إلّاأنّه رجع عنه فی استبصاره وهو الذی یقوی عندی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الاستبصار بعد أن ذکر الأحادیث التی دلّت علی حرمان الزوجة عن جمیع الأراضی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روایة ابن أبی یعفور فلا تنافی الأخبار الأوّلة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نحمله علی التقیّة؛ لأنّ جمیع من خالفنا یخالف فی هذه المسألة ولیس یوافقنا علیها أحد من العامّة، وما یجری هذا المجری یجوز التقیّة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الآخر أنّ لهنّ میراثهن من کلّ شی‌ء ترک ما عدا تربة الأرض من القرایا والأرضین والرباع والمنازل، فنخصّ الخبر بالأخبار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أبو جعفر محمّد بن علی بن الحسین بن بابویه رحمه الله یتأوّل هذا الخبر</w:t>
      </w:r>
      <w:r>
        <w:rPr>
          <w:rStyle w:val="FootnoteAnchor"/>
          <w:rtl w:val="true"/>
        </w:rPr>
        <w:footnoteReference w:id="65"/>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لهنّ شی‌ء مع عدم الأولاد من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الأشیاء المذکورة، فإذا کان هناک ولد یرثن من کلّ شی‌ء</w:t>
      </w:r>
      <w:r>
        <w:rPr>
          <w:rFonts w:eastAsia="IRNazanin" w:cs="IRNazanin"/>
          <w:color w:val="111111"/>
          <w:sz w:val="28"/>
          <w:szCs w:val="28"/>
          <w:rtl w:val="true"/>
          <w:lang w:bidi="fa-IR"/>
        </w:rPr>
        <w:t>.</w:t>
      </w:r>
      <w:bookmarkStart w:id="31" w:name="pg2940_31615"/>
    </w:p>
    <w:p>
      <w:pPr>
        <w:pStyle w:val="BookText"/>
        <w:rPr/>
      </w:pPr>
      <w:bookmarkEnd w:id="3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الشیخ الصدوق استدلّ علی هذا التوجیه بما رواه محمّد بن أحمد بن یحیی عن یعقوب بن یزید عن ابن أبی عمیر عن ابن اذینة فی النساء إذا کان لهنّ ولد اعطین من الرباع</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فهمه ابن إدریس من کلامه تامّ، ویؤیّد ذلک أنّ العلّامة فی المختلف بعد نقل عبارة الشیخ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من الشیخ فی الاستبصار یشعر بأنّه لا یرتضیه وإلّا لکان یقول فی رحبة المتأوّل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أوجه ثمّ یسند الثالث إلی ابن بابویه، لکنّه لمّا جمع بوجهین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بابویه یجمع بکذا، فهذا یدلّ علی أنّه غیر قائل به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أنّ صاحب الریاض قد فهم من کلامه ما فهمه ابن إدریس والعلّامة</w:t>
      </w:r>
      <w:r>
        <w:rPr>
          <w:rFonts w:eastAsia="IRNazanin" w:cs="IRNazanin"/>
          <w:color w:val="111111"/>
          <w:sz w:val="28"/>
          <w:szCs w:val="28"/>
          <w:rtl w:val="true"/>
          <w:lang w:bidi="fa-IR"/>
        </w:rPr>
        <w:t>.</w:t>
      </w:r>
    </w:p>
    <w:p>
      <w:pPr>
        <w:pStyle w:val="Heading4"/>
        <w:numPr>
          <w:ilvl w:val="3"/>
          <w:numId w:val="1"/>
        </w:numPr>
        <w:rPr/>
      </w:pPr>
      <w:bookmarkStart w:id="32" w:name="__RefHeading___Toc95055_2749589250"/>
      <w:bookmarkStart w:id="33" w:name="_Toc12"/>
      <w:bookmarkEnd w:id="32"/>
      <w:r>
        <w:rPr>
          <w:rtl w:val="true"/>
        </w:rPr>
        <w:t>اعتراض بعض المعاصرین علی کلام ابن ادریس والمناقشة فیه</w:t>
      </w:r>
      <w:bookmarkEnd w:id="33"/>
    </w:p>
    <w:p>
      <w:pPr>
        <w:pStyle w:val="BookText"/>
        <w:rPr/>
      </w:pPr>
      <w:r>
        <w:rPr>
          <w:rFonts w:ascii="IRNazanin" w:hAnsi="IRNazanin" w:eastAsia="IRNazanin"/>
          <w:color w:val="111111"/>
          <w:sz w:val="28"/>
          <w:sz w:val="28"/>
          <w:szCs w:val="28"/>
          <w:rtl w:val="true"/>
          <w:lang w:bidi="fa-IR"/>
        </w:rPr>
        <w:t>ثمّ إنّ بعض أهل النظر من المعاصرین قد اعترض علی ابن إدریس وقال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ذکره من رجوع الشیخ فی الاستبصار عمّا ذکره فی</w:t>
      </w:r>
    </w:p>
    <w:p>
      <w:pPr>
        <w:pStyle w:val="BookText"/>
        <w:rPr/>
      </w:pPr>
      <w:r>
        <w:rPr>
          <w:rFonts w:ascii="IRNazanin" w:hAnsi="IRNazanin" w:eastAsia="IRNazanin"/>
          <w:color w:val="111111"/>
          <w:sz w:val="28"/>
          <w:sz w:val="28"/>
          <w:szCs w:val="28"/>
          <w:rtl w:val="true"/>
          <w:lang w:bidi="fa-IR"/>
        </w:rPr>
        <w:t xml:space="preserve">النهایة غیر تامّ، فإنّ عبارته فی الاستبصار لا دلالة فیها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تعبیره بأنّ الصدوق کان یتأوّل الخبر الدالّ علی إرث الزوجة من کلّ ما ترکه الزوج بحمله علی ذات ولد، قد یشعر بأنّه بهذا التأویل یرتفع التعارض والتنافی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تأویل الصدوق مرضیّاً عنده فلماذا قد فکّک بین التوجیهین وبین ما ذکره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لما کان وجهاً للتفکیک، مع أنّ الظاهر من کلامه أنّه قد ذکر التوجیه الذی ذهب إلیه الصدوق بعنوان إحدی طرق التخلّص عن التنافی لا بعنوان أنّ ذلک مختاره،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قد اعتمد علی التوجیه الأوّل وهو الحمل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ما ذکره ابن إدریس وأیّده العلّامة من عدم ارتضاء الشیخ لما ذهب إلیه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 المعترض عقّب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یشهد علی ذلک أنّ الشیخ بنفسه ذکر هذا التأویل واختاره فی التهذیب، وأیضاً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المدار والمعیار لاقتناص فتاوی الشیخ الأعظم إنّما هو کتاباه النهایة والمبسوط، کما أنّ تهذیبه الذی هو شرح لمقنعة المفید هو الکتاب الحدیثی الأهمّ والمعتمد لدیه، فکیف لا ینظر إلی ما أفتی به فی هذه الکتب المعتمدة والتی قد صرّح فیها بالتفصیل بین</w:t>
      </w:r>
    </w:p>
    <w:p>
      <w:pPr>
        <w:pStyle w:val="BookText"/>
        <w:rPr/>
      </w:pPr>
      <w:r>
        <w:rPr>
          <w:rFonts w:ascii="IRNazanin" w:hAnsi="IRNazanin" w:eastAsia="IRNazanin"/>
          <w:color w:val="111111"/>
          <w:sz w:val="28"/>
          <w:sz w:val="28"/>
          <w:szCs w:val="28"/>
          <w:rtl w:val="true"/>
          <w:lang w:bidi="fa-IR"/>
        </w:rPr>
        <w:t>ذات الولد وغیر ذات الولد، ثمّ یتشبّث بعبارة الاستبصار الذی ألّفه للجمع بین الأخبار ورفع التعارض بینها لا للإفتاء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الاستبصار متأخّر عن التهذیب ولا یکون المتقدّم مؤیّداً للمتأخّر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عدم کون المدار للاقتناص للفتوی علی المراجعة إلی الاستبصار، بل المدار للفتوی هو الرجوع إلی النهایة والمبسوط، غیر مطابق لما ذکره الشیخ نفسه فی مقدّمة الاستبصار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أبتدأ فی کلّ باب بإیراد ما اعتمده من الفتوی والأحادیث فیه، ثمّ أعقب بما یخالفها من الأخبار وأبین وجه الجمع بینها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الکلام صریح فی أنّ الشیخ فی استبصاره الذی هو متأخّر عن جمیع کتبه، یذکر ابتداءً مذهبه ومعتمده فی الفتوی وینقل الأخبار التی اعتمد علیها فی الفتوی، ثمّ یذکر ثانیاً الأخبار المتعارضة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اعتمده من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وکون المصنّف بصدد الفتوی شیئاً آخر</w:t>
      </w:r>
      <w:r>
        <w:rPr>
          <w:rFonts w:eastAsia="IRNazanin" w:cs="IRNazanin"/>
          <w:color w:val="111111"/>
          <w:sz w:val="28"/>
          <w:szCs w:val="28"/>
          <w:rtl w:val="true"/>
          <w:lang w:bidi="fa-IR"/>
        </w:rPr>
        <w:t>.</w:t>
      </w:r>
      <w:bookmarkStart w:id="34" w:name="pg2940_31618"/>
    </w:p>
    <w:p>
      <w:pPr>
        <w:pStyle w:val="BookText"/>
        <w:rPr/>
      </w:pPr>
      <w:bookmarkEnd w:id="34"/>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التفکیک مکابرة جدّاً خصوصاً التعبیر بأنّ الأخبار المتعارضة یذکرها ثانیاً، فما هو الوجه لذکرها، ألیس ذلک إلّا لتثبیت الفتوی؟</w:t>
      </w:r>
    </w:p>
    <w:p>
      <w:pPr>
        <w:pStyle w:val="BookText"/>
        <w:rPr/>
      </w:pPr>
      <w:r>
        <w:rPr>
          <w:rFonts w:ascii="IRNazanin" w:hAnsi="IRNazanin" w:eastAsia="IRNazanin"/>
          <w:color w:val="111111"/>
          <w:sz w:val="28"/>
          <w:sz w:val="28"/>
          <w:szCs w:val="28"/>
          <w:rtl w:val="true"/>
          <w:lang w:bidi="fa-IR"/>
        </w:rPr>
        <w:t>فظهر من جمیع ذلک أنّ مذهب الشیخ فی الاستبصار عدم الفرق فی الحرمان بین ذات الولد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ذکره فی الخلاف یستظهر منه الإجماع علی ذلک أیضاً، قال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ترث المرأة من الرباع والدور والأرضین شیئاً، بل یقوّم الطوب والخشب فتعطی حقّها منه وخالف جمیع الفقهاء فی ذلک</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وهذا ظاهر فی عدم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مرّ منّا آنفاً من أنّ الإجماع هو الإجماع علی أصل الحرمان فی قبال العامّة، مجرّد احتمال لا یساعده الظاهر، بل صاحب الریاض قد استظهر منه الإجماع علی ذلک، فتدبّر</w:t>
      </w:r>
      <w:r>
        <w:rPr>
          <w:rFonts w:eastAsia="IRNazanin" w:cs="IRNazanin"/>
          <w:color w:val="111111"/>
          <w:sz w:val="28"/>
          <w:szCs w:val="28"/>
          <w:rtl w:val="true"/>
          <w:lang w:bidi="fa-IR"/>
        </w:rPr>
        <w:t>.</w:t>
      </w:r>
    </w:p>
    <w:p>
      <w:pPr>
        <w:pStyle w:val="Heading4"/>
        <w:numPr>
          <w:ilvl w:val="3"/>
          <w:numId w:val="1"/>
        </w:numPr>
        <w:rPr/>
      </w:pPr>
      <w:bookmarkStart w:id="35" w:name="__RefHeading___Toc95057_2749589250"/>
      <w:bookmarkStart w:id="36" w:name="_Toc13"/>
      <w:bookmarkEnd w:id="35"/>
      <w:r>
        <w:rPr>
          <w:rtl w:val="true"/>
        </w:rPr>
        <w:t>کلام صاحب الریاض</w:t>
      </w:r>
      <w:bookmarkEnd w:id="36"/>
    </w:p>
    <w:p>
      <w:pPr>
        <w:pStyle w:val="BookText"/>
        <w:rPr/>
      </w:pPr>
      <w:r>
        <w:rPr>
          <w:rFonts w:ascii="IRNazanin" w:hAnsi="IRNazanin" w:eastAsia="IRNazanin"/>
          <w:color w:val="111111"/>
          <w:sz w:val="28"/>
          <w:sz w:val="28"/>
          <w:szCs w:val="28"/>
          <w:rtl w:val="true"/>
          <w:lang w:bidi="fa-IR"/>
        </w:rPr>
        <w:t>ثمّ إنّه قد صرّح بأنّ عدم الفرق مطابق لقول کثیر من المتقدّمین وقال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مقتضی إطلاق العبارة وغیرها من عبائر الجماعة ممّا اطلق فیه الزوجة عدم الفرق فیها بین کونها ذات ولد من زوجها أم لا، وفاقاً لکثیر من أصحابنا کالکلینی والمرتضی</w:t>
      </w:r>
      <w:bookmarkStart w:id="37" w:name="pg2940_31619"/>
    </w:p>
    <w:p>
      <w:pPr>
        <w:pStyle w:val="BookText"/>
        <w:rPr/>
      </w:pPr>
      <w:bookmarkEnd w:id="37"/>
      <w:r>
        <w:rPr>
          <w:rFonts w:ascii="IRNazanin" w:hAnsi="IRNazanin" w:eastAsia="IRNazanin"/>
          <w:color w:val="111111"/>
          <w:sz w:val="28"/>
          <w:sz w:val="28"/>
          <w:szCs w:val="28"/>
          <w:rtl w:val="true"/>
          <w:lang w:bidi="fa-IR"/>
        </w:rPr>
        <w:t>والشیخ فی الاستبصار والحلبی وابن زهرة ظاهراً والحلّی وجماعة من المتأخّرین صریحاً وفی السرائر وعن الخلاف الإجماع علیه وهو الحجّة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أیّد ذلک بامور أربعة،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إطلاق الأخبار السابقة بل عمومها الثابت من صیغة الجمع فی جملة منها وترک الاستفصال فی اخری وعموم التعلیل ووجه الحکمة فی ثالثة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95059_2749589250"/>
      <w:bookmarkStart w:id="39" w:name="_Toc14"/>
      <w:bookmarkEnd w:id="38"/>
      <w:r>
        <w:rPr>
          <w:rtl w:val="true"/>
        </w:rPr>
        <w:t>النتیجة فی النزاع الثانی</w:t>
      </w:r>
      <w:bookmarkEnd w:id="39"/>
    </w:p>
    <w:p>
      <w:pPr>
        <w:pStyle w:val="BookText"/>
        <w:rPr/>
      </w:pPr>
      <w:r>
        <w:rPr>
          <w:rFonts w:ascii="IRNazanin" w:hAnsi="IRNazanin" w:eastAsia="IRNazanin"/>
          <w:color w:val="111111"/>
          <w:sz w:val="28"/>
          <w:sz w:val="28"/>
          <w:szCs w:val="28"/>
          <w:rtl w:val="true"/>
          <w:lang w:bidi="fa-IR"/>
        </w:rPr>
        <w:t>إنّ المستفاد من إطلاق کلام المفید فی المقنعة والسیّد المرتضی فی الانتصار والشیخ الطوسی فی الاستبصار وأبو الصلاح الحلبی فی الکافی وتصریح ابن إدریس فی السرائر والمحقّق فی المختصر النافع، عدم الفرق فی الزوجة الممنوعة بین ذات الولد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والمخالف لهم من المتقدّمین هو الشیخ الصدوق فی الفقیه وابن حمزة فی الوسیلة والمحقّق فی الشرائع وابن عمّه یحیی فی الجامع، ومن المتأخّرین أکثرهم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أنّه لا یصحّ أن نجعل الشیخ الطوسی من الموافقین للتفصیل، کما أنّ المحقّق أیضاً له قولان فی المسألة، فعلی هذا یصحّ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القدماء عدم التفصیل فی الزوجة الممنوعة، فما ذکره بعض الفقهاء</w:t>
      </w:r>
      <w:r>
        <w:rPr>
          <w:rStyle w:val="FootnoteAnchor"/>
          <w:rtl w:val="true"/>
        </w:rPr>
        <w:footnoteReference w:id="73"/>
      </w:r>
      <w:r>
        <w:rPr>
          <w:rFonts w:ascii="IRNazanin" w:hAnsi="IRNazanin" w:eastAsia="IRNazanin"/>
          <w:color w:val="111111"/>
          <w:sz w:val="28"/>
          <w:sz w:val="28"/>
          <w:szCs w:val="28"/>
          <w:rtl w:val="true"/>
          <w:lang w:bidi="fa-IR"/>
        </w:rPr>
        <w:t>من أنّ الأشهر بل المشهور بین الفقهاء اختصاص الحکم بغیر ذات الولد، قریب جدّاً، غریب واقعاً لأنّ التتبّع فی کلمات القوم یدلّ بوضوح علی أنّ المشهور لا یفرّقون فی الزوجة الممنوعة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یقتضی أن لا یستفاد الإطلاق ونفی هذا التفصیل من عبارات الشیخ المفید والسیّد حیث لم یفصّلوا بین الشقّین أیضاً؛ لقوّة احتمال أنّهم غیر ناظرین فیها إلّاإلی أصل المسألة ولیس نظرهم إلی تفاصیل المسألة المختَلف فیها، فهی ساکتة عن التفصیل ولیست دالّة علی عدم ارتضائهم له، وهذا نظیر جملة من کتب القدماء التی لم تذکر أصل المسألة فی إرث الزوجة کالهدایة والمقنع والمراسم وفقه القرآن للراوندی وغیرها، فإنّ سکوتها عن ذلک قد لا یدلّ علی نفیهم لأصل حرمان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بهذا بعض أهل النظر من المعاصرین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یقتضی، مع أنّهم فی مقام الإفتاء والفتوی سیّما أنّ فتوی الصدوق کان بأیدیهم ومع ذلک لم یلتفتوا إلیه، فهذا یکشف عن</w:t>
      </w:r>
    </w:p>
    <w:p>
      <w:pPr>
        <w:pStyle w:val="BookText"/>
        <w:rPr/>
      </w:pPr>
      <w:r>
        <w:rPr>
          <w:rFonts w:ascii="IRNazanin" w:hAnsi="IRNazanin" w:eastAsia="IRNazanin"/>
          <w:color w:val="111111"/>
          <w:sz w:val="28"/>
          <w:sz w:val="28"/>
          <w:szCs w:val="28"/>
          <w:rtl w:val="true"/>
          <w:lang w:bidi="fa-IR"/>
        </w:rPr>
        <w:t>عدم ارتضائهم لهذا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تنظیر کلماتهم بکلمات مثل الصدوق فی المقنع والهدایة فی غایة البُعد،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عدم التفصیل هو المشهور بین القدماء، بل لا یبعد وجود الإجماع فیه لقلّة المخالف بینهم ومدّعی الإجماع فیه متعدّد کالشیخ فی الخلاف</w:t>
      </w:r>
      <w:r>
        <w:rPr>
          <w:rStyle w:val="FootnoteAnchor"/>
          <w:rtl w:val="true"/>
        </w:rPr>
        <w:footnoteReference w:id="75"/>
      </w:r>
      <w:r>
        <w:rPr>
          <w:rFonts w:ascii="IRNazanin" w:hAnsi="IRNazanin" w:eastAsia="IRNazanin"/>
          <w:color w:val="111111"/>
          <w:sz w:val="28"/>
          <w:sz w:val="28"/>
          <w:szCs w:val="28"/>
          <w:rtl w:val="true"/>
          <w:lang w:bidi="fa-IR"/>
        </w:rPr>
        <w:t>وصاحب الریاض</w:t>
      </w:r>
      <w:r>
        <w:rPr>
          <w:rStyle w:val="FootnoteAnchor"/>
          <w:rtl w:val="true"/>
        </w:rPr>
        <w:footnoteReference w:id="76"/>
      </w:r>
      <w:r>
        <w:rPr>
          <w:rFonts w:ascii="IRNazanin" w:hAnsi="IRNazanin" w:eastAsia="IRNazanin"/>
          <w:color w:val="111111"/>
          <w:sz w:val="28"/>
          <w:sz w:val="28"/>
          <w:szCs w:val="28"/>
          <w:rtl w:val="true"/>
          <w:lang w:bidi="fa-IR"/>
        </w:rPr>
        <w:t>والنراقی</w:t>
      </w:r>
      <w:r>
        <w:rPr>
          <w:rStyle w:val="FootnoteAnchor"/>
          <w:rtl w:val="true"/>
        </w:rPr>
        <w:footnoteReference w:id="77"/>
      </w:r>
      <w:r>
        <w:rPr>
          <w:rFonts w:ascii="IRNazanin" w:hAnsi="IRNazanin" w:eastAsia="IRNazanin"/>
          <w:color w:val="111111"/>
          <w:sz w:val="28"/>
          <w:sz w:val="28"/>
          <w:szCs w:val="28"/>
          <w:rtl w:val="true"/>
          <w:lang w:bidi="fa-IR"/>
        </w:rPr>
        <w:t>وصاحب الجواهر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یظهر الضعف فی ما ذکره بعض أهل النظر من المعاصرین فإنّه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تحصّل من مراجعة کلمات الأصحاب أنّ المقدار الممکن دعوی الإجماع فیه إنّما هو أصل حرمان الزوجة غیر ذات الولد من أعیان الرباع لا من قیمتها، فإنّ المسألة لو کانت إجماعیّة فکیف یحمل السیّد والصدوق والحلبی الروایات علی أنّ المراد منها حرمان الزوجة من عین الرباع لا من قیمتها، فإنّ المسألة إذا کانت إجماعیّة وقطعیّة لم یکن وجه لمثل هذا الحمل ولا لغیره</w:t>
      </w:r>
      <w:bookmarkStart w:id="40" w:name="pg2940_31622"/>
    </w:p>
    <w:p>
      <w:pPr>
        <w:pStyle w:val="BookText"/>
        <w:rPr/>
      </w:pPr>
      <w:bookmarkEnd w:id="40"/>
      <w:r>
        <w:rPr>
          <w:rFonts w:ascii="IRNazanin" w:hAnsi="IRNazanin" w:eastAsia="IRNazanin"/>
          <w:color w:val="111111"/>
          <w:sz w:val="28"/>
          <w:sz w:val="28"/>
          <w:szCs w:val="28"/>
          <w:rtl w:val="true"/>
          <w:lang w:bidi="fa-IR"/>
        </w:rPr>
        <w:t>من المحامل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أنّه کیف جعل الحمل منافیاً للإجماع؟ فنحن نری فی کثیر من موارد الإجماع، مخالفة بعض الفقهاء مع المجمعین ومع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مخالفة هؤلاء لا یکون مضرّاً بالإجماع</w:t>
      </w:r>
      <w:r>
        <w:rPr>
          <w:rFonts w:eastAsia="IRNazanin" w:cs="IRNazanin"/>
          <w:color w:val="111111"/>
          <w:sz w:val="28"/>
          <w:szCs w:val="28"/>
          <w:rtl w:val="true"/>
          <w:lang w:bidi="fa-IR"/>
        </w:rPr>
        <w:t>.</w:t>
      </w:r>
    </w:p>
    <w:p>
      <w:pPr>
        <w:pStyle w:val="Heading2"/>
        <w:numPr>
          <w:ilvl w:val="1"/>
          <w:numId w:val="1"/>
        </w:numPr>
        <w:rPr/>
      </w:pPr>
      <w:bookmarkStart w:id="41" w:name="__RefHeading___Toc95061_2749589250"/>
      <w:bookmarkStart w:id="42" w:name="_Toc15"/>
      <w:bookmarkEnd w:id="41"/>
      <w:r>
        <w:rPr>
          <w:rtl w:val="true"/>
        </w:rPr>
        <w:t>دراسة الروایات</w:t>
      </w:r>
      <w:bookmarkEnd w:id="42"/>
    </w:p>
    <w:p>
      <w:pPr>
        <w:pStyle w:val="BookText"/>
        <w:rPr/>
      </w:pPr>
      <w:r>
        <w:rPr>
          <w:rFonts w:ascii="IRNazanin" w:hAnsi="IRNazanin" w:eastAsia="IRNazanin"/>
          <w:color w:val="111111"/>
          <w:sz w:val="28"/>
          <w:sz w:val="28"/>
          <w:szCs w:val="28"/>
          <w:rtl w:val="true"/>
          <w:lang w:bidi="fa-IR"/>
        </w:rPr>
        <w:t>إلی هنا اتّضح للقاری دراسة الأقوال فی المسألة، واللّازم صرف الکلام إلی ذکر الروایات المتعدّدة فی المقام، وقبل التعرّض لها نذکر اموراً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الروایات الواردة نقلها المشایخ الثلاثة فی کتبهم الأربعة، وهذا یوجب الوثوق والاطمینان بصدور هذه الروایات عن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منها من الصحاح، وهی أیضاً بمقدار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منها موثّق والقسم الثالث منها ضعیف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بعد التأمّل، أن یحصل الوثوق باتّحاد بعض منها مع بعض آخر، ونتیجة ذلک أن نجعل بعضاً منها مفسّراً ومؤیّداً لما هی متّحدة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یوجد فی کلمات بعض أهل النظر من المعاصرین</w:t>
      </w:r>
      <w:r>
        <w:rPr>
          <w:rStyle w:val="FootnoteAnchor"/>
          <w:rtl w:val="true"/>
        </w:rPr>
        <w:footnoteReference w:id="80"/>
      </w:r>
      <w:r>
        <w:rPr>
          <w:rFonts w:ascii="IRNazanin" w:hAnsi="IRNazanin" w:eastAsia="IRNazanin"/>
          <w:color w:val="111111"/>
          <w:sz w:val="28"/>
          <w:sz w:val="28"/>
          <w:szCs w:val="28"/>
          <w:rtl w:val="true"/>
          <w:lang w:bidi="fa-IR"/>
        </w:rPr>
        <w:t>تقسیم الروایات الواردة إلی طوائف،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بحسب اختلاف دلالتها یمکن تقسیمها إلی عدّة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 حرمان الزوجة من إرث العقار والأراضی مطلقاً من دون تعرّض لکیفیّة إرثها من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 حرمان الزوجة من إرث العقار والضیاع وإرثها من نفس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التفصیل فی إرث الزوجة، فلا ترث من الدور والعقار والأراضی ولکن ترث من قیمة البناء والآلات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بعد ذکر الروایات أنّ هذا التقسیم لیس صناعیّاً ولا یترتّب علیه أثرٌ صحیح جدّاً، وإن استفاد منه أمراً فی مختاره وهو مردود علی 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الفقهاء قد ذکر تقسیماً آخر فی المقام وهو أنّ الروایات فی المقام علی قسمین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یستفاد منه العموم، إمّا لأنّه خاصّ، أو لأنّه ساکت عن حکم غیر أراضی الدور أو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استفادة العموم منه مع قطع النظر عن غیره، ولکن لاحتمال اتّحاده مع غیره، ممّا لا یستفاد منه ذلک إن لم نقل باستفادة خلافه یسقط الاستدلال به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التقسیم أحسن من التقسیم السابق وسیظهر لک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التعابیر الواردة فی الروایات متعدّدة جدّاً، واللّازم البحث حولها، کما أنّ التقسیم الثانی کان لأجل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قد ذکرها صاحب الوسائل فی باب أنّ الزوجة إذا لم یکن لها منه ولد لا ترث من العقار والدور والسلاح والدوابّ شیئاً ولها من قیمة ما عدا الأرض من الجذوع والأبواب والنقض والقصب والخشب والطوب والبناء والشجر والنخل، وأنّ البنات یرثن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فیه أنّ الروایات المذکورة فی هذا الباب لا یستفاد منها التفصیل فی الزوجة الممنوعة بین ذات ولد وغیرها،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الروایات المرتبطة بحرمان الزوجة أو عدم حرمانها علی طوائف ثلاث</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کثیرة، تدلّ علی حرمان الزوجة من خصوص عقار الدور والرباع أو من جمیع الأراضی کأرض البستان والزرع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روایات قلیلة تدلّ علی عدم حرمانها وأنّها ترث من جمیع ما ترکه الزوج، کما أنّ الزوج یرث من جمیع ما ترکته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منحصرة بواحدة تدلّ علی حرمان الزوجة غیر ذات الولد، وأمّا ذات الولد فتعطی من الرباع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الکلینی بطرق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عن ابن محبوب، عن علی بن رئاب، عن زرارة؛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یحیی، عن أحمد بن محمّد، عن ابن محبوب، عن علی ابن رئاب، عن زرارة؛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حمید بن زیاد، عن ابن سماعة، عن ابن محبوب، عن علی بن رئاب، عن زرارة؛</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لا ترث ممّا ترک زوجها من القری والدور والسلاح والدواب شیئاً وترث من المال والفرش والثیاب ومتاع البیت ممّا ترک وتقوّم النقض والأبواب والجذوع والقصب فتعطی حقّها منه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والطرق الثلاثة المذکورة عن طریق الکلینی موثّقة فإنّ محمّد بن</w:t>
      </w:r>
    </w:p>
    <w:p>
      <w:pPr>
        <w:pStyle w:val="BookText"/>
        <w:rPr/>
      </w:pPr>
      <w:r>
        <w:rPr>
          <w:rFonts w:ascii="IRNazanin" w:hAnsi="IRNazanin" w:eastAsia="IRNazanin"/>
          <w:color w:val="111111"/>
          <w:sz w:val="28"/>
          <w:sz w:val="28"/>
          <w:szCs w:val="28"/>
          <w:rtl w:val="true"/>
          <w:lang w:bidi="fa-IR"/>
        </w:rPr>
        <w:t>یحیی موثّق علی ما صرّح به النجاشی</w:t>
      </w:r>
      <w:r>
        <w:rPr>
          <w:rStyle w:val="FootnoteAnchor"/>
          <w:rtl w:val="true"/>
        </w:rPr>
        <w:footnoteReference w:id="83"/>
      </w:r>
      <w:r>
        <w:rPr>
          <w:rFonts w:ascii="IRNazanin" w:hAnsi="IRNazanin" w:eastAsia="IRNazanin"/>
          <w:color w:val="111111"/>
          <w:sz w:val="28"/>
          <w:sz w:val="28"/>
          <w:szCs w:val="28"/>
          <w:rtl w:val="true"/>
          <w:lang w:bidi="fa-IR"/>
        </w:rPr>
        <w:t>فإنّه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أصحابنا فی زمانه ثقة عین کثیر الحدیث، وأیضاً حمید بن زیاد وثّقه النجاشی</w:t>
      </w:r>
      <w:r>
        <w:rPr>
          <w:rStyle w:val="FootnoteAnchor"/>
          <w:rtl w:val="true"/>
        </w:rPr>
        <w:footnoteReference w:id="84"/>
      </w:r>
      <w:r>
        <w:rPr>
          <w:rFonts w:ascii="IRNazanin" w:hAnsi="IRNazanin" w:eastAsia="IRNazanin"/>
          <w:color w:val="111111"/>
          <w:sz w:val="28"/>
          <w:sz w:val="28"/>
          <w:szCs w:val="28"/>
          <w:rtl w:val="true"/>
          <w:lang w:bidi="fa-IR"/>
        </w:rPr>
        <w:t>، کما أنّ ما ذکره الشیخ الطوسی</w:t>
      </w:r>
      <w:r>
        <w:rPr>
          <w:rStyle w:val="FootnoteAnchor"/>
          <w:rtl w:val="true"/>
        </w:rPr>
        <w:footnoteReference w:id="85"/>
      </w:r>
      <w:r>
        <w:rPr>
          <w:rFonts w:ascii="IRNazanin" w:hAnsi="IRNazanin" w:eastAsia="IRNazanin"/>
          <w:color w:val="111111"/>
          <w:sz w:val="28"/>
          <w:sz w:val="28"/>
          <w:szCs w:val="28"/>
          <w:rtl w:val="true"/>
          <w:lang w:bidi="fa-IR"/>
        </w:rPr>
        <w:t>بسند آخر صحیح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 بسند رواه طربال بن رجاء مجهول، ولا یذهب علیک أنّ التعدّد فی الطریق لا یوجب التعدّد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إشکال من جهة الدلالة علی الحرمان من السلاح والدوابّ مع أنّه لم یفت أحدٌ من الفقهاء بحرمان الزوجة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الأعاظم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الشهید الثانی فی رسائله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تضمّنه الخبر من السلاح والدوابّ فلا یسقط عدم القول به بالاحتجاج بالخبر أصلًا، بل یُردّ ما ذکر من حیث إجماع الأصحاب علی ترک العمل به لا من حیث إنّه مروی، ویعمل بالباقی، ومثله کثیر خصوصاً فی روایات الحبوة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فخر المحقّقین</w:t>
      </w:r>
      <w:r>
        <w:rPr>
          <w:rStyle w:val="FootnoteAnchor"/>
          <w:rtl w:val="true"/>
        </w:rPr>
        <w:footnoteReference w:id="87"/>
      </w:r>
      <w:r>
        <w:rPr>
          <w:rFonts w:ascii="IRNazanin" w:hAnsi="IRNazanin" w:eastAsia="IRNazanin"/>
          <w:color w:val="111111"/>
          <w:sz w:val="28"/>
          <w:sz w:val="28"/>
          <w:szCs w:val="28"/>
          <w:rtl w:val="true"/>
          <w:lang w:bidi="fa-IR"/>
        </w:rPr>
        <w:t>فقد أجاب عن هذا الإشکال وحمل السلاح علی ما یحبی به الولد منه کالسیف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p>
    <w:p>
      <w:pPr>
        <w:pStyle w:val="BookText"/>
        <w:rPr/>
      </w:pPr>
      <w:r>
        <w:rPr>
          <w:rFonts w:ascii="IRNazanin" w:hAnsi="IRNazanin" w:eastAsia="IRNazanin"/>
          <w:color w:val="111111"/>
          <w:sz w:val="28"/>
          <w:sz w:val="28"/>
          <w:szCs w:val="28"/>
          <w:rtl w:val="true"/>
          <w:lang w:bidi="fa-IR"/>
        </w:rPr>
        <w:t>لا ترث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والدوابّ علی ما أوصی به منها أو وقفه أو عمل به ما یمنع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أنّ الجواب الأوّل أحسن من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القریة لغةً مستعملة فی الضیاع والعقار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القریة من المساکن والأبنیة والضیاع</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 فی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القریة من المساکن والأبنیة والضیاع وقد تُطلق علی المدن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شاملة للحرمان من الدور والضیاع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الروایة ظاهرة فی الحرمان من القری والدور عیناً وقیمةً، کما أنّ الإرث من المال والفرش والثیاب ومتاع البیت ظاهر فی العین والقیمة، والشاهد علی 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وتقوّم النقض والأبواب والجذوع والقصب</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یحیی العطّار، عن أحمد بن محمّد بن عیسی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علاء،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ترث المرأة من الطوب ولا ترث من الرباع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ترث من الفرع ولا ترث من الرباع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منه نسب ترث به وإنّما هی دخیل علیهم فترث من الفرع ولا ترث من الأصل ولا یدخل علیهم داخل بسببها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معتبرة وقد أثبتنا فی محلّه اعتبار سهل بن زیاد والاعتماد علی روایاته، نعم علی بن الحکم لم یرد فیه مدحٌ ولا ذمّ ولکن عمل المشهور یجبرها، ولا یبعد أن یکون المراد من الرباع مطلق الأرض والعقار لا خصوص المنزل والدار کما یؤیّد ذلک التعبیر بالأصل فی النقل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أیضاً ظاهرة فی الحرمان من العین والقیمة والتعلیل یناسب ذلک أیضاً سیّما التعلیل بأنّه لیس لها نسب ترث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عن علیّ بن الحکم، عن أبان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w:t>
      </w:r>
      <w:r>
        <w:rPr>
          <w:rStyle w:val="FootnoteAnchor"/>
          <w:rtl w:val="true"/>
        </w:rPr>
        <w:footnoteReference w:id="92"/>
      </w:r>
      <w:r>
        <w:rPr>
          <w:rFonts w:ascii="Amiri" w:hAnsi="Amiri" w:eastAsia="Amiri" w:cs="Amiri"/>
          <w:color w:val="111111"/>
          <w:sz w:val="28"/>
          <w:sz w:val="28"/>
          <w:szCs w:val="28"/>
          <w:rtl w:val="true"/>
          <w:lang w:bidi="ar-SA"/>
        </w:rPr>
        <w:t>إلّاعن مُیَسرٍ بَیّاع الزُطّی</w:t>
      </w:r>
      <w:r>
        <w:rPr>
          <w:rStyle w:val="FootnoteAnchor"/>
          <w:rtl w:val="true"/>
        </w:rPr>
        <w:footnoteReference w:id="93"/>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النساء ما لهنّ من</w:t>
      </w:r>
    </w:p>
    <w:p>
      <w:pPr>
        <w:pStyle w:val="BookText"/>
        <w:rPr/>
      </w:pPr>
      <w:r>
        <w:rPr>
          <w:rFonts w:ascii="IRNazanin" w:hAnsi="IRNazanin" w:eastAsia="IRNazanin"/>
          <w:color w:val="111111"/>
          <w:sz w:val="28"/>
          <w:sz w:val="28"/>
          <w:szCs w:val="28"/>
          <w:rtl w:val="true"/>
          <w:lang w:bidi="fa-IR"/>
        </w:rPr>
        <w:t>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قیمة الطوب والبناء والخشب والقصب، فأمّا الأرض والعقارات فلا میراث لهنّ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البنات لهنّ نصیبهنّ منه،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ذا ولهذه الثمن ولهذه الربع مسمّی؟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المرأة لیس لها نسب ترث به، وإنّما هی دخیل علیهم، إنّما صار هذا کذا لئلّا تتزوّج المرأة فیجی‌ء زوجها أو ولدها من قوم آخرین فیزاحم قوماً آخرین فی عقارهم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میسّر لم یرد فیه توثیق، فالروایة غیر معتبرة سنداً وإن کانت موثوقة صدوراً أو مجبورة بشهرة العمل بها، وهذا یکفی فی الحجّیة، وتدلّ علی الحرمان من جمیع الأراضی سواء کان منزلًا أم ضیعة سیّما بملاحظة الجمع فی العقار،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المحقّق البروجردی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کما تحتمل أن یُراد بها مطلق الأرض، کذلک تحتمل أن یُراد بها خصوص أرض المساکن بقرینة ذکر القیمة لأشیاء مخصوصة بأرض المساکن والدور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فیه؛ لأنّ ذکر القیمة بالنسبة إلی الأشیاء المخصوصة إنّما ذکر فی صدر الروایة والحال أنّ الضابط فی الحرمان جاء فی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قلنا بأنّ الألف واللّام فی الأرض یکون للعهد فیصحّ</w:t>
      </w:r>
    </w:p>
    <w:p>
      <w:pPr>
        <w:pStyle w:val="BookText"/>
        <w:rPr/>
      </w:pPr>
      <w:r>
        <w:rPr>
          <w:rFonts w:ascii="IRNazanin" w:hAnsi="IRNazanin" w:eastAsia="IRNazanin"/>
          <w:color w:val="111111"/>
          <w:sz w:val="28"/>
          <w:sz w:val="28"/>
          <w:szCs w:val="28"/>
          <w:rtl w:val="true"/>
          <w:lang w:bidi="fa-IR"/>
        </w:rPr>
        <w:t>ما ذکره واحتمله، ولکن هذا بعید جدّاً وسیأتی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الروایة أیضاً ظاهرة، بل کالصریح فی الحرمان من العین والعقار، فلو کان المراد خصوص الحرمان عن العین لما کان وجه للتفکیک والفرق بین الطوب والبناء والخشب والقصب وبین الأرض والعقارات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محمّد بن عیسی، عن یونس، عن محمّد بن حمران، عن زرارة،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لا یرثن من الأرض ولا من العقار شیئاً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وهی صریحة فی الحرمان من الأرض والعقار، ولا یتوهّم أنّ الأرض هی الأرض المعهودة وهی الدار، وأمّا العقار فهو عطف تفسیری لها، فتدلّ الروایة علی الحرمان عن الدور فقط، فإنّ هذا التوهّم لا مجال له أصلًا ولیس بین الإمام علیه السلام والمخاطب شی‌ء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بالنساء فیها هی الزوجات وذلک بقرینة بعض الروایات الآتیة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هذه الروایة أیضاً دالّة علی الحرمان من العین والقیمة سیّما من جهة وقوع النکرة فی سیاق النفی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عمر بن اذینة، عن زرارة وبکیر وفضیل وبرید ومحمّد بن مسلم عن أبی جعفر وأبی عبداللَّه علیهما السلام، ومنهم من رواه عن أحدهما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لا ترث من ترکة زوجها من تربة دار أو أرض إلّاأن یقوّم الطوب والخشب قیمة فتُعطی ربعها أو ثُمنها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المعروفة بصحیحة الفضلاء الخمسة لیست روایات متعدّدة، بل غایتها أنّها حدیثان أحدهما عن الباقر علیه السلام، والثانی عن الصادق علیه السلام، وقد مرّ أنّ تعدّد الراوی لا یوجب تعدّد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فالمروی عنه إذا کان واحداً والمضمون أیضاً کان مشترکاً یکون الحدیث متّحداً والتعدّد فی الراوی فی هذا الفرض، لا یوجب التعدّد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الوسائل فی ذیل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تصریح فیه بأنّ الولد منها، فیحمل علی وجود ولد للمیّت من غیرها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الحمل ولا تعرّض فی الروایة بالنسبة إلی الولد إلّا بقرینة ثمنها، وکیف کان لا وجه لحمل الروایة والحرمان الموجود فیها علی صورة وجود ولد للمیّت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بالثمن قرینة علی وجود الولد، ولکن هذا</w:t>
      </w:r>
    </w:p>
    <w:p>
      <w:pPr>
        <w:pStyle w:val="BookText"/>
        <w:rPr/>
      </w:pPr>
      <w:r>
        <w:rPr>
          <w:rFonts w:ascii="IRNazanin" w:hAnsi="IRNazanin" w:eastAsia="IRNazanin"/>
          <w:color w:val="111111"/>
          <w:sz w:val="28"/>
          <w:sz w:val="28"/>
          <w:szCs w:val="28"/>
          <w:rtl w:val="true"/>
          <w:lang w:bidi="fa-IR"/>
        </w:rPr>
        <w:t>لا یوجب حمل الروایة والحرمان علی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اضیفت فی بعض نسخ الکافی عبارة فی ذیل الروایة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لها ولد من قیمة الطوب والجذوع والخشب</w:t>
      </w:r>
      <w:r>
        <w:rPr>
          <w:rStyle w:val="FootnoteAnchor"/>
          <w:rtl w:val="true"/>
        </w:rPr>
        <w:footnoteReference w:id="99"/>
      </w:r>
      <w:r>
        <w:rPr>
          <w:rFonts w:ascii="IRNazanin" w:hAnsi="IRNazanin" w:eastAsia="IRNazanin"/>
          <w:color w:val="111111"/>
          <w:sz w:val="28"/>
          <w:sz w:val="28"/>
          <w:szCs w:val="28"/>
          <w:rtl w:val="true"/>
          <w:lang w:bidi="fa-IR"/>
        </w:rPr>
        <w:t>وأیضاً جاء فی التهذیب</w:t>
      </w:r>
      <w:r>
        <w:rPr>
          <w:rStyle w:val="FootnoteAnchor"/>
          <w:rtl w:val="true"/>
        </w:rPr>
        <w:footnoteReference w:id="100"/>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فتعطی ربعها أو ثمنها إن کان من قیمة الطوب والجذوع والخشب وقد علّق علیها المعلّق المرحوم الغفاری رحمه الله بأن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لها ولد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وهو الأصوب وذهب فی مفتاح الکرامة</w:t>
      </w:r>
      <w:r>
        <w:rPr>
          <w:rStyle w:val="FootnoteAnchor"/>
          <w:rtl w:val="true"/>
        </w:rPr>
        <w:footnoteReference w:id="101"/>
      </w:r>
      <w:r>
        <w:rPr>
          <w:rFonts w:ascii="IRNazanin" w:hAnsi="IRNazanin" w:eastAsia="IRNazanin"/>
          <w:color w:val="111111"/>
          <w:sz w:val="28"/>
          <w:sz w:val="28"/>
          <w:szCs w:val="28"/>
          <w:rtl w:val="true"/>
          <w:lang w:bidi="fa-IR"/>
        </w:rPr>
        <w:t>إلی عدم وجود هذه الإضافة فی‌النسخ الصحیحة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الزیادة من تفسیر الراوی ولیست فی الروایة ولا من کلام الإمام علیه السلام وهذا واضح، سیّما إذا قلنا بأنّ الروایة منقولة بالمعنی وکیف کان هذه الإضافة تکرار لما سبق وتوضیح لمورد الثمن ولا یوجب التغییر فی المعنی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کلمة الثمن قرینة علی فرض وجود الولد ولکن قلنا إنّ هذا الفرض لا یوجب التصرّف فی الصدر ولا یجعل الحرمان منحصراً بفرض وجود الولد فإنّ الاعتبار یناسب هذا، بمعنی أنّ وجود الولد یناسب عدم الحرمان لا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شککنا فی وجود هذه العبارة وعدمه فلا مجال لأصالة عدم الزیادة لتعارضها مع أصالة عدم النقیصة وعلیه نشکّ فی وجودها فلا مجال للاستناد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فهذه الروایة أیضاً ظاهرة فی الحرمان من العین والقیمة، فما ذکره بعض المعاصرین</w:t>
      </w:r>
      <w:r>
        <w:rPr>
          <w:rStyle w:val="FootnoteAnchor"/>
          <w:rtl w:val="true"/>
        </w:rPr>
        <w:footnoteReference w:id="102"/>
      </w:r>
      <w:r>
        <w:rPr>
          <w:rFonts w:ascii="IRNazanin" w:hAnsi="IRNazanin" w:eastAsia="IRNazanin"/>
          <w:color w:val="111111"/>
          <w:sz w:val="28"/>
          <w:sz w:val="28"/>
          <w:szCs w:val="28"/>
          <w:rtl w:val="true"/>
          <w:lang w:bidi="fa-IR"/>
        </w:rPr>
        <w:t>من أنّها ظاهرة فی الحرمان عن العین فقط غیر صحیح، وسیأتی تفصیل الکلام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جمیل، عن زرارة،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محمّد بن یعقوب، عن علی بن إبراهیم، عن أبیه، عن ابن أبی عمیر، عن جمیل، عن زرارة،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ترث النساء من عقار الأرض شیئاً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والعقار بالفتح بمعنی الأرض والضیاع والنخل کما فی الصحاح،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دار ولا عقار، 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عقار حسن أی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منظور فی لسان العرب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العَقر والعقار المنزل والضیعة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 بعضهم العقار بالنخل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w:t>
      </w:r>
    </w:p>
    <w:p>
      <w:pPr>
        <w:pStyle w:val="BookText"/>
        <w:rPr/>
      </w:pPr>
      <w:r>
        <w:rPr>
          <w:rFonts w:ascii="IRNazanin" w:hAnsi="IRNazanin" w:eastAsia="IRNazanin"/>
          <w:color w:val="111111"/>
          <w:sz w:val="28"/>
          <w:sz w:val="28"/>
          <w:szCs w:val="28"/>
          <w:rtl w:val="true"/>
          <w:lang w:bidi="fa-IR"/>
        </w:rPr>
        <w:t xml:space="preserve">داراً أو عقاراً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الضیعة والأرض والنخل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امّ سلمة لعائشة عند خروجها إلی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 اللَّه عُقیراک فلا تصحریها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أی أسکنک اللَّه بیتک وعقارک</w:t>
      </w:r>
    </w:p>
    <w:p>
      <w:pPr>
        <w:pStyle w:val="BookText"/>
        <w:rPr/>
      </w:pPr>
      <w:r>
        <w:rPr>
          <w:rFonts w:ascii="IRNazanin" w:hAnsi="IRNazanin" w:eastAsia="IRNazanin"/>
          <w:color w:val="111111"/>
          <w:sz w:val="28"/>
          <w:sz w:val="28"/>
          <w:szCs w:val="28"/>
          <w:rtl w:val="true"/>
          <w:lang w:bidi="fa-IR"/>
        </w:rPr>
        <w:t xml:space="preserve">وسترک فیه فلا تبرزیها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عقار البیت أی متاعه ونضده الذی لا یبتذل إلّافی الأعیاد والحقوق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عقار المتاع خیاره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وعقر الدار أصلها وتضمّ العین وتفتح فی الحجاز، وعن ابن فارس، العقر أصل کلّ شی‌ء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فالعقر یُقال علی کلّ شی‌ء له أصل، فهو بمنزلة 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یُقال فی الأرض الخالیة عقر بل یُقال عقر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بعض الفقهاء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الأصل فی استعمال العقر والعقار استعمالها فی کلّ شی‌ء له أصل کالدار وقد استعمل فی خصوص الدار وفی العقر الذی یکون معتمداً لأهل القریة، فلو لم یکن ظاهراً فی خصوص الأراضی المشغولة هنا وخصوص أرض الدار فی ما وقع مقابلًا للبناء والطوب والخشب ولم نقل بأنّ العقار اسم للأرض والبناء أو الأرض والشجر، لیس ظاهراً فی مطلق</w:t>
      </w:r>
    </w:p>
    <w:p>
      <w:pPr>
        <w:pStyle w:val="BookText"/>
        <w:rPr/>
      </w:pPr>
      <w:r>
        <w:rPr>
          <w:rFonts w:ascii="IRNazanin" w:hAnsi="IRNazanin" w:eastAsia="IRNazanin"/>
          <w:color w:val="111111"/>
          <w:sz w:val="28"/>
          <w:sz w:val="28"/>
          <w:szCs w:val="28"/>
          <w:rtl w:val="true"/>
          <w:lang w:bidi="fa-IR"/>
        </w:rPr>
        <w:t>الأراضی أیضاً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من بعض اللّغویّین کالراغب فی 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العقر یقال علی کلّ شی‌ء له أصل، فالعقر بمنزلة الفرع فلا یقال فی الأرض الخالیة عقر ولکن یُقال عقر الدار وعقر الحوض وعقر الروضة وعقر البستان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فیه، فإنّ هذا الکلام من قبیل الاجتهاد فی اللغة وهو ممنوع جدّاً، وقد عرفت أنّ أساطین اللغة قد صرّحوا باستعمال العقار فی مطلق الأرض سواء کانت مشغولة أم خالیة، کما أنّ استعمال هذا اللّفظ فی الروایات یدلّ علی أنّ العقار أعمّ من الدور، فجاء فی بعض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داراً أو عقاراً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الراغب فالظاهر أنّ المراد أنّ إطلاق العقار علی الفرع إنّما هو باعتبار الأصل فیطلق علی الدار باعتبار أرضه التی هی أصله ویطلق علی الضیعة باعتبار أرضها، فلا تدلّ علی أنّه لو لم یکن لها فرع فلا یطلق علیها عقار، ویؤیّد ذلک ما قاله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یُقال لفلان عقار أی أصل مال، 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داراً</w:t>
      </w:r>
    </w:p>
    <w:p>
      <w:pPr>
        <w:pStyle w:val="BookText"/>
        <w:rPr/>
      </w:pPr>
      <w:r>
        <w:rPr>
          <w:rFonts w:ascii="IRNazanin" w:hAnsi="IRNazanin" w:eastAsia="IRNazanin"/>
          <w:color w:val="111111"/>
          <w:sz w:val="28"/>
          <w:sz w:val="28"/>
          <w:szCs w:val="28"/>
          <w:rtl w:val="true"/>
          <w:lang w:bidi="fa-IR"/>
        </w:rPr>
        <w:t>أو عقاراً أی أصل مال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 إذا استعمل من غیر إضافة إلی شی‌ء فقد استعمل فی مطلق الأراضی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اضیف إلی الدور مثلًا فیدلّ علی أرض الدور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الفاضل الهندی</w:t>
      </w:r>
      <w:r>
        <w:rPr>
          <w:rStyle w:val="FootnoteAnchor"/>
          <w:rtl w:val="true"/>
        </w:rPr>
        <w:footnoteReference w:id="110"/>
      </w:r>
      <w:r>
        <w:rPr>
          <w:rFonts w:ascii="IRNazanin" w:hAnsi="IRNazanin" w:eastAsia="IRNazanin"/>
          <w:color w:val="111111"/>
          <w:sz w:val="28"/>
          <w:sz w:val="28"/>
          <w:szCs w:val="28"/>
          <w:rtl w:val="true"/>
          <w:lang w:bidi="fa-IR"/>
        </w:rPr>
        <w:t>بأنّ العقار فی غیر مورد إضافته إلی الدور یکون بمعنی الضیعة وجعله الأشهر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العقار هو الأرض والضیعة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المهمّة فی الروایة حول إضافة العقار إلی الأرض فهل الإضافة بیانیّة بتقدیر کلمة من فکأنّما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ترث الأرض أو تکون الإضافة بتقدیر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عقار فی الأرض، وعلی هذا تکون محدودة بنوع خاصّ من العقار، ولکن الظاهر والراجح هو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عامّة دالّة علی الحرمان من جمیع الأراضی عیناً وقیمةً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الروایة لیست روایتین لأنّ المروی عنه هو الإمام الباقر علیه السلام، والظاهر أنّ زرارة ومحمّد بن مسلم فی مجلس واحد قد أخذا الروایة من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بن عثمان، عن زرارة ومحمّد بن مسلم عن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ترث النساء من عقار الدور شیئاً ولکن یقوّم البناء والطوب وتعطی ثمنها أو ربعها،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لئلّا یتزوّجن فیفسدن علی أهل المواریث مواریثهم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ولکن مختصّة بالحرمان عن عقار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محمّد بن عیسی، عن یحیی الحلبی، عن شعیب، عن یزید الصائغ،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النساء، هل یرثن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یرثن قیمة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لا یرضون بذا،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ولّینا فلم یرضوا ضربناهم بالسوط فإن لم یستقیموا ضربناهم بالسیف</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ضعیفة من جهة أنّ یزید الصائغ من الکذّابین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الحسین بن محمّد، عن معلّی بن محمّد، عن الحسن ابن علی، عن حمّاد بن عثمان، عن أبی عبداللَّه علیه السلام، 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جعل للمرأة قیمة الخشب والطوب لئلّا یتزوّجن فیدخل</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یفسد مواریثهم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ضعیفة لأنّ فی طریق الکلینی معلّی بن محمّد وهو ضعیف مضطرب الحدیث والمذهب علی ما صرّح به النجاشی</w:t>
      </w:r>
      <w:r>
        <w:rPr>
          <w:rStyle w:val="FootnoteAnchor"/>
          <w:rtl w:val="true"/>
        </w:rPr>
        <w:footnoteReference w:id="115"/>
      </w:r>
      <w:r>
        <w:rPr>
          <w:rFonts w:ascii="IRNazanin" w:hAnsi="IRNazanin" w:eastAsia="IRNazanin"/>
          <w:color w:val="111111"/>
          <w:sz w:val="28"/>
          <w:sz w:val="28"/>
          <w:szCs w:val="28"/>
          <w:rtl w:val="true"/>
          <w:lang w:bidi="fa-IR"/>
        </w:rPr>
        <w:t>، مضافاً إلی أنّ معلی بن محمّد ینقل عن الحسن بن علی وهو مشترک بین موثّق ومجهول وضعیف، کما أنّ فی طریق الصدوق محمّد بن الولید الکرمانی وهو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اتّحادها مع الروایة السابقة من جهة اتّحاد المروی عنه الذی هو الإمام الصادق علیه السلام واتّحاد المضمون، مضافاً إلی اتّحاد الراوی الذی هو حمّاد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الروایة السابعة قد صرّح بالضابطة من أنّ النساء لا ترث من عقار الدور شیئاً، وفی هذه الروایة قد ذکر الراوی قسماً آخر من کلام الإمام علیه السلام، فالجامع ما ورد فی الروایة السابعة،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حمید بن زیاد، عن الحسن بن محمّد بن سماعة، عن عمّه جعفر بن سماعة، عن مثنّی، عن عبد الملک بن أعین، عن أحدهما علیهما السلام،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للنساء من الدور والعقار شی‌ء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موثّقة سنداً وعامّة دلالة ولیست مختصّة بالحرمان من الدور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أبی عبداللَّه، عن معاویة بن حکیم، عن علی بن الحسن بن رباط، عن مثنّی عن یزید الصائغ،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النساء لا یرثن من رباع الأرض شیئاً ولکن لهنّ قیمة الطوب والخشب،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لا یأخذون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ولّیناهم ضربناهم بالسوط فإن انتهوا وإلّا ضربناهم بالسیف علیه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ضعیفة، والظاهر اتّحادها مع الروایة الثامنة، ولا یبعد أن یُقال إنّ إضافة الرباع إلی الأرض بیانیّة بمعنی أنّه لا ترث من الأرض فإنّ الرباع جمع ربع وهو المنزل والدار بعینها، والظاهر أنّ الربع لا یطلق بنفسه علی الأرض إلّاإذا اضیف إلی الأرض</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الحسن بن محمّد بن سماعة، عن الحسن بن محبوب وهو ینقل تارةً عن علیّ بن رئاب، عن زرارة، عن أبی جعفر علیه السلام وتارةً عن خطّاب أبی محمّد الهمدانی عن طربال،</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لا ترث ممّا ترک زوجها من القری والدور والسلاح والدوابّ شیئاً وترث من المال والرقیق والثیاب ومتاع البیت ممّا ترک ویقوّم النقض والجذوع والقصب فتعطی حقّها منه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بسندها الأوّل صحیحة وبسندها الثانی ضعیفة، والظاهر اتّحادها مع الروایة الاولی فإنّ المضمون مشترک والمروی عنه هو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الحسن بن محمّد بن سماعة، عن محمّد ابن زیاد، عن محمّد بن حُمران، عن محمّد بن مسلم وزرارة،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النساء لا یرثن من الدور ولا من الضیاع شیئاً إلّا أن یکون أحدث بناء فیرثن ذلک البناء</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موثّقة، والظاهر اتّحادها مع الروایة الرابعة، فإنّ اشتراک الراوی الذی هو محمّد بن مسلم والمروی عنه الذی هو الإمام الباقر علیه السلام یدلّ علی وحدة الروایة، ولا یقال إنّ الموجود فی الروایة الرابعة هو العقار، والمذکور هنا هو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العقار یستعمل فی الضیاع، کما أنّ الضیاع أیضاً یستعمل فی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الفیّومی فی المصباح المنیر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الضیعة العقار، وکذلک فی المنجد، فلا شکّ فی استعمال الضیعة فی العقار والأرض الغلّة</w:t>
      </w:r>
    </w:p>
    <w:p>
      <w:pPr>
        <w:pStyle w:val="BookText"/>
        <w:rPr/>
      </w:pPr>
      <w:r>
        <w:rPr>
          <w:rFonts w:ascii="IRNazanin" w:hAnsi="IRNazanin" w:eastAsia="IRNazanin"/>
          <w:color w:val="111111"/>
          <w:sz w:val="28"/>
          <w:sz w:val="28"/>
          <w:szCs w:val="28"/>
          <w:rtl w:val="true"/>
          <w:lang w:bidi="fa-IR"/>
        </w:rPr>
        <w:t>والمنازل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الضیاع المنازل سمّیت ضیاعاً لأنّها إذا ترک تعهّدها وعمارتها تضیع</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منظور فی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الضیعة العقار والضیعة الأرض المُغلّة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هنا قد اتّضح اتّحاد معنی کلمة العقار والضیعة والقریة والأرض،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الرضا علیه السلام کتب إلیه فیما کتب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المرأة أنّها لا ترث من العقار شیئاً إلّاقیمة الطوب والنقض، لأنّ العقار لا یمکن تغییره وقلبه، والمرأة قد یجوز أن ینقطع ما بینها وبینه من العصمة ویجوز تغییرها وتبدیلها ولیس الولد والوالد کذلک، لأنّه لا یمکن التفصّی منهما، والمرأة یمکن الاستبدال بها، فما یجوز أن یجی‌ء ویذهب کان میراثه فیما یجوز تبدیله وتغییره إذا أشبهه وکان الثابت المقیم علی حاله کمَن کان مثله فی الثبات والقیام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الروایة ضعیفة من جهات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مکاتبة واحتمال التقیّة فیها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مختلفٌ فیه، وقیل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غال، وقد نقل عن صفوان أنّ ابن سنان قد همَّ أن یطیر غیر مرّة فقصصناه حتّی ثبت معنا، وربما هذا یدلّ علی اضطراب کان وزال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رجال الکشّی عن أحمد بن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صفوان بن یحیی فذکر محمّد بن 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سنان کان من الطیّارة فقصصناه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ضعّفه النجاشی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ضعیف جدّاً لا یعوّل علیه ولا یلتفت إلی ما تفرّد به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ابن الغضائری وذکر أنّه من أهل الغلوّ والجهل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وقد طعن علیه وضعّف</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الکشّی عن حمدویه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استحلّ أن أروی أحادیث محمّد بن سنان لأنّه قال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احدّثکم به لم یکن لی سماعاً ولا روایة إنّما وجدته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الکشّی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الکذّابین</w:t>
      </w:r>
    </w:p>
    <w:p>
      <w:pPr>
        <w:pStyle w:val="BookText"/>
        <w:rPr/>
      </w:pPr>
      <w:r>
        <w:rPr>
          <w:rFonts w:ascii="IRNazanin" w:hAnsi="IRNazanin" w:eastAsia="IRNazanin"/>
          <w:color w:val="111111"/>
          <w:sz w:val="28"/>
          <w:sz w:val="28"/>
          <w:szCs w:val="28"/>
          <w:rtl w:val="true"/>
          <w:lang w:bidi="fa-IR"/>
        </w:rPr>
        <w:t>المشهورین محمّد بن سنان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فی رسالته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مطعونٌ فیه لا تختلف العصابة فی تهمته وضعفه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قِبال ذلک فقد عدّه فی الإرشاد</w:t>
      </w:r>
      <w:r>
        <w:rPr>
          <w:rStyle w:val="FootnoteAnchor"/>
          <w:rtl w:val="true"/>
        </w:rPr>
        <w:footnoteReference w:id="130"/>
      </w:r>
      <w:r>
        <w:rPr>
          <w:rFonts w:ascii="IRNazanin" w:hAnsi="IRNazanin" w:eastAsia="IRNazanin"/>
          <w:color w:val="111111"/>
          <w:sz w:val="28"/>
          <w:sz w:val="28"/>
          <w:szCs w:val="28"/>
          <w:rtl w:val="true"/>
          <w:lang w:bidi="fa-IR"/>
        </w:rPr>
        <w:t>من أهل الورع والعلم والفقه ومن خاصّة الإمام علیه السلام وثقاته، وله توثیق عامّ ومن رجال کامل الزیارات</w:t>
      </w:r>
      <w:r>
        <w:rPr>
          <w:rStyle w:val="FootnoteAnchor"/>
          <w:rtl w:val="true"/>
        </w:rPr>
        <w:footnoteReference w:id="131"/>
      </w:r>
      <w:r>
        <w:rPr>
          <w:rFonts w:ascii="IRNazanin" w:hAnsi="IRNazanin" w:eastAsia="IRNazanin"/>
          <w:color w:val="111111"/>
          <w:sz w:val="28"/>
          <w:sz w:val="28"/>
          <w:szCs w:val="28"/>
          <w:rtl w:val="true"/>
          <w:lang w:bidi="fa-IR"/>
        </w:rPr>
        <w:t>وتفسیر علی بن إبراهیم القمّی ووثّقه صاحب الوسائل</w:t>
      </w:r>
      <w:r>
        <w:rPr>
          <w:rStyle w:val="FootnoteAnchor"/>
          <w:rtl w:val="true"/>
        </w:rPr>
        <w:footnoteReference w:id="132"/>
      </w:r>
      <w:r>
        <w:rPr>
          <w:rFonts w:ascii="IRNazanin" w:hAnsi="IRNazanin" w:eastAsia="IRNazanin"/>
          <w:color w:val="111111"/>
          <w:sz w:val="28"/>
          <w:sz w:val="28"/>
          <w:szCs w:val="28"/>
          <w:rtl w:val="true"/>
          <w:lang w:bidi="fa-IR"/>
        </w:rPr>
        <w:t>وابن طاووس</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توثیق صاحب الوسائل لا یقبل لأن یعارض مع تضعیف النجاشی والشیخ، کما أنّ التوثیق العامّ کاف إذا لم یکن معارضاً بالجرح الخاصّ، وعلیه لا یمکن أن یعتمد علیه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ذکر الشیخ الطوسی فی الاستبصار هذا الحدیث من تتمّة الحدیث السابق ولم یذکره مستقلّاً فقد جاء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حمران، عن محمّد بن مسلم، وزرارة،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النساء لا یرثن من الدور ولا من</w:t>
      </w:r>
    </w:p>
    <w:p>
      <w:pPr>
        <w:pStyle w:val="BookText"/>
        <w:rPr/>
      </w:pPr>
      <w:r>
        <w:rPr>
          <w:rFonts w:ascii="IRNazanin" w:hAnsi="IRNazanin" w:eastAsia="IRNazanin"/>
          <w:color w:val="111111"/>
          <w:sz w:val="28"/>
          <w:sz w:val="28"/>
          <w:szCs w:val="28"/>
          <w:rtl w:val="true"/>
          <w:lang w:bidi="fa-IR"/>
        </w:rPr>
        <w:t>الضیاع شیئاً إلّاأن یکون أحدث بناء فیرثن ذلک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الرضا علیه السلام إلی محمّد بن سنان فیما کتب من جواب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علّة المرأة أن لا ترث من العقار شیئاً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فالراوی عن محمّد بن سنان هو حسن بن محمّد بن سماعة عن طریقه إلیه، مع أنّ الحدیث علی ما أورده فی الوسائل، یکون الراوی هو الشیخ الطوسی، ولیس فی المشیخة طریق إلی محمّد بن سنان فراجع، ولکن مع ذلک فقد ذکر فی التهذیب علی نحو الاستقلال، والظاهر هو التعدّد وإن کان الراوی عنه لیس الشیخ الطوسی، بل هو حسن بن محمّد بن سماعة،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طریق الصدوق إلی محمّد بن سنان بعضاً من الضعفاء کعلی بن عبّاس</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المحقّق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تنادی بأعلی صوتها أنّها لیست بهذه الألفاظ من الإمام علیه السلام کما یعرف ذلک من کان له أدنی بصیرة فی ألفاظ الأحادیث المنقولة عنهم علیهم السلام</w:t>
      </w:r>
      <w:r>
        <w:rPr>
          <w:rStyle w:val="FootnoteAnchor"/>
          <w:rtl w:val="true"/>
        </w:rPr>
        <w:footnoteReference w:id="1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هذا الکلام بالنسبة إلی التعلیل الذی ذکره، وأمّا</w:t>
      </w:r>
    </w:p>
    <w:p>
      <w:pPr>
        <w:pStyle w:val="BookText"/>
        <w:rPr/>
      </w:pPr>
      <w:r>
        <w:rPr>
          <w:rFonts w:ascii="IRNazanin" w:hAnsi="IRNazanin" w:eastAsia="IRNazanin"/>
          <w:color w:val="111111"/>
          <w:sz w:val="28"/>
          <w:sz w:val="28"/>
          <w:szCs w:val="28"/>
          <w:rtl w:val="true"/>
          <w:lang w:bidi="fa-IR"/>
        </w:rPr>
        <w:t>المعلّل فالظاهر أنّه من الإمام علیه السلام والروایة ظاهرة فی الحرمان عن جمیع الأراضی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علی بن الحسن بن فضّال، عن أحمد بن الحسن، عن أبیه، عن عبد اللَّه بن المغیرة، عن موسی بن بکر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بکیراً حدّثنی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النساء لا ترث امرأة ممّا ترک زوجها من ترثة دار ولا أرض، إلّاأن یقوّم البناء والجذوع والخشب فتُعطی نصیبها من قیمة البناء، فأمّا التربة فلا تُعطی شیئاً من الأرض ولا تربة دار،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شکّ فیه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معتبرة من باب أنّ سند الشیخ إلی علیّ بن الحسن الفضّال معتبر من باب تبدیل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إلی موسی بن بکر إشکال حیث لم یوثّق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متّحدة مع الروایة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الحسن بن محبوب، عن الأحول،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یرثن النساء من العقار شیئاً، ولهنّ قیمة البناء والشجر والنخل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البناء الدور وإنّما عنی من النساء الزوجة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غیر معتبرة لأنّ طریق الصدوق إلی حسن بن محبوب ضعیف من جهة وجود محمّد بن موسی بن المتوکّل فإنّه لم یرد فیه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أحول لقب جمعٍ من أصحاب الصادق علیه السلام والموثّق من بینهم واحد منهم وهو محمّد بن علی بن النعمان المکنّی بأبی جعفر والملقّب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عیسی وحبیب الخثعمی والحسین بن عبد الملک الذین هم من المجاهیل والمهملین، هذا مضافاً إلی أنّ السیّد البروجردی علی حسب الطبقات التی اخترعها وابتکرها فی الرجال قد أورد اشکالًا فی السند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حسن بن محبوب من الطبقة السادسة، والأحول من الطبقة الرابعة، وعلیه یحتمل الإرسال فی السند، ولکن هذا لا یضرّ من جهة انجبار الضعف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ریب فی أنّ المراد من العقار جمیع الأراضی خصوصاً مع کون المراد من البناء الدور،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فی بصائر الدرجات، عن محمّد بن الحسین، عن جعفر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أبی مخلّد، والظاهر أنّ هذا العنوان محرّف والمراد حسین بن أبی العلاء الخفّاف عن أبی مخلّد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الملک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أبو جعفر علیه السلام بکتاب علیّ علیه السلام</w:t>
      </w:r>
    </w:p>
    <w:p>
      <w:pPr>
        <w:pStyle w:val="BookText"/>
        <w:rPr/>
      </w:pPr>
      <w:r>
        <w:rPr>
          <w:rFonts w:ascii="IRNazanin" w:hAnsi="IRNazanin" w:eastAsia="IRNazanin"/>
          <w:color w:val="111111"/>
          <w:sz w:val="28"/>
          <w:sz w:val="28"/>
          <w:szCs w:val="28"/>
          <w:rtl w:val="true"/>
          <w:lang w:bidi="fa-IR"/>
        </w:rPr>
        <w:t>فجاء به جعفر مثل فخذ الرجل مطویّاً،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لیس لهنّ من عقار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توفّی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خطّ علیّ علیه السلام بیده وإملاء رسول اللَّه صلی الله علیه و آله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وعبدالملک مشترک بین الثقة وغیره، وعلیه فالروایة ضعیفة ولکن منجبرة بعمل الأصحاب، أو یقال باتّحاد هذه الروایة مع السابعة، والمراد عبد الملک بن أعین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المهمّة فی هذه الروایة أنّ المستفاد من ظاهرها أنّ الراوی قد رأی کتاب علیّ علیه السلام والإمام الباقر علیه السلام قد حلف علی أنّ هذا خطّ علیّ علیه السلام وإملاء الرسول صلی الله علیه و آله و سلم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القارئ والمتأمّل فی هذا الحدیث انظر کیف أصبحت الظروف فی زمن الإمام علیه السلام، وإلی أیّ حدّ وصلت حتّی احتاج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أبرز مصادیق العدول وموثّق عند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الحلف والقسم وإلی إرائة مصحف أمیر المؤمنین علیه السلام وإلی إثبات أنّ ما یقوله لیس بکلامه فقط، بل هو المستفاد من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عندما قرأت الحدیث زاد تأسّفی وانتابنی الحزن، والأسف یغمر صدری، لما رأیت من وقع الظلم علیهم علیهم السلام من قِبل المعاندین إلی حدّ کان یوجد الشکّ عند بعض الأصحاب، ولأجل هذا اضطرّ الإمام إلی أن یکشف مصحف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عن أبان، عن الفضل بن عبد الملک وابن أبی یعفور،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هل یرث من دار امرأته أو أرضها من التربة شیئاً؟ أو یکون فی ذلک بمنزلة المرأة فلا یرث من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وترثه من کلّ شی‌ء ترک وترکت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ولکنّها تدلّ علی إرث الزوجة من جمیع ما ترکه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بأنّها مخصّصة بما دلّ علی عدم إرثها من العقار، أو یکون محمولًا علی التقیّة کما حمله الشیخ علیها، أو یکون محمولًا علی ما إذا کان للمرأة ولد کما ذکره الصدوق والشیخ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الوسائل</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 علی رضا الوارث إعطاء العین فیما عدا الأرض وبإعطاء العین أو القیمة من الأرض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أحمد بن عمران الأشعری، عن یعقوب بن زید، عن ابن أبی عمیر، عن ابن اذینة فی النساء إذا کان لهنّ ولد أعطین من الرباع</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محمّد بن أبی عمیر</w:t>
      </w:r>
      <w:r>
        <w:rPr>
          <w:rStyle w:val="FootnoteAnchor"/>
          <w:rtl w:val="true"/>
        </w:rPr>
        <w:footnoteReference w:id="143"/>
      </w:r>
      <w:r>
        <w:rPr>
          <w:rFonts w:ascii="IRNazanin" w:hAnsi="IRNazanin" w:eastAsia="IRNazanin"/>
          <w:color w:val="111111"/>
          <w:sz w:val="28"/>
          <w:sz w:val="28"/>
          <w:szCs w:val="28"/>
          <w:rtl w:val="true"/>
          <w:lang w:bidi="fa-IR"/>
        </w:rPr>
        <w:t>، والروایة مقطوعة وسیأتی الکلام حولها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الروایات المذکورة فی الوسائل من میراث الأزواج، وقد استدلّ أیضاً ببعض الروایات التی ذکرت فی مباحث المهور من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الحسین بن محمّد، عن المعلّی بن محمّد، عن الوشّاء، عن أبان بن عثمان، عن عبید بن زرارة وفضل بن عبد الملک أبو العبّاس البقباق،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تزوّج امرأة ثمّ مات عنها وقد فرض الصداق؟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نصف الصداق وترثه من کلّ شی‌ء وإن ماتت فهو کذلک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بهذا السند صحیحة، والحدیث له طریق آخر وهو صحیح أیضاً وهو ما رواه الشیخ بإسناده عن علی بن إسماعیل، عن فضالة بن أیّوب، عن أبان بن عثمان، عن عبید بن زرارة والفضل أبی العبّاس، عن أبی عبداللَّه علیه السلام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 هذه الروایة هی الروایة الحادیة عشرة والثانیة عشرة من هذا الباب والراوی عن الإمام علیه السلام هو عبید بن زرارة، والظاهر اتّحادها مع الروایة العاشرة وقد صرّح فیها بأنّها ترثه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الإمام علیه السلام کان فی مقام بیان الفرق بین الصداق والإرث، فبالنسبة إلی الأوّل لها نصف الصداق، وأمّا بالنسبة إلی</w:t>
      </w:r>
      <w:bookmarkStart w:id="43" w:name="pg2940_31650"/>
    </w:p>
    <w:p>
      <w:pPr>
        <w:pStyle w:val="BookText"/>
        <w:rPr/>
      </w:pPr>
      <w:bookmarkEnd w:id="43"/>
      <w:r>
        <w:rPr>
          <w:rFonts w:ascii="IRNazanin" w:hAnsi="IRNazanin" w:eastAsia="IRNazanin"/>
          <w:color w:val="111111"/>
          <w:sz w:val="28"/>
          <w:sz w:val="28"/>
          <w:szCs w:val="28"/>
          <w:rtl w:val="true"/>
          <w:lang w:bidi="fa-IR"/>
        </w:rPr>
        <w:t>الثانی فلها الإرث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الدالّة علی حرمانها من عقار الدور أو من مطلق العقار منقسمة إلی الصحاح والموثّقة والضعاف، والظاهر أنّها قد بلغت إلی حدّ التواتر، بل فوق التواتر، وقد صرّح بذلک بعض من الفقهاء المتقدّمین، والروایات الضعیفة منجبرة بعمل الأصحاب، وعلیه فلا شکّ فی صدور هذه الروایات عن الأئمّة المعصومین علیهم السلام</w:t>
      </w:r>
      <w:r>
        <w:rPr>
          <w:rFonts w:eastAsia="IRNazanin" w:cs="IRNazanin"/>
          <w:color w:val="111111"/>
          <w:sz w:val="28"/>
          <w:szCs w:val="28"/>
          <w:rtl w:val="true"/>
          <w:lang w:bidi="fa-IR"/>
        </w:rPr>
        <w:t>.</w:t>
      </w:r>
    </w:p>
    <w:p>
      <w:pPr>
        <w:pStyle w:val="Heading2"/>
        <w:numPr>
          <w:ilvl w:val="1"/>
          <w:numId w:val="1"/>
        </w:numPr>
        <w:rPr/>
      </w:pPr>
      <w:bookmarkStart w:id="44" w:name="__RefHeading___Toc95063_2749589250"/>
      <w:bookmarkStart w:id="45" w:name="_Toc16"/>
      <w:bookmarkEnd w:id="44"/>
      <w:r>
        <w:rPr>
          <w:rtl w:val="true"/>
        </w:rPr>
        <w:t>فی اتّحاد بعض الروایات مع بعضها الآخر</w:t>
      </w:r>
      <w:bookmarkEnd w:id="45"/>
    </w:p>
    <w:p>
      <w:pPr>
        <w:pStyle w:val="BookText"/>
        <w:rPr/>
      </w:pPr>
      <w:r>
        <w:rPr>
          <w:rFonts w:ascii="IRNazanin" w:hAnsi="IRNazanin" w:eastAsia="IRNazanin"/>
          <w:color w:val="111111"/>
          <w:sz w:val="28"/>
          <w:sz w:val="28"/>
          <w:szCs w:val="28"/>
          <w:rtl w:val="true"/>
          <w:lang w:bidi="fa-IR"/>
        </w:rPr>
        <w:t xml:space="preserve">هل الروایات متعدّدة بمعنی أنّ کلّاً منها مستقلٌّ عن الآخر أو یرجع بعضها إلی بعض، وقد ذکرنا حین نقلها ثبوت الاتّحاد بینها، فمثلًا ستّة من هذه الروایات وهی 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 ولیست متعدّدة، وقد سبق أنّ الملاک فی الاتّحاد هو الاتّحاد فی المضمون والمروی عنه، والتعدّد فی الراوی لا یکون موجباً لتعدّد الروایة؛ فمثلًا حدیث الغدیر وإن کان متواتراً ولکن یکون خبراً لا أخباراً متعدّدة، مع أنّ الراوی فیه تجاوز عن المئات، ولا یذهب علیک أنّ الخبر مع کونه متواتراً ولکن یکون خبراً لا أخبارً، فتدبّر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ولا یبعد اتّحاد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کما لا یبعد وحدة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الراوی فیهما هو عبد الملک</w:t>
      </w:r>
      <w:r>
        <w:rPr>
          <w:rFonts w:eastAsia="IRNazanin" w:cs="IRNazanin"/>
          <w:color w:val="111111"/>
          <w:sz w:val="28"/>
          <w:szCs w:val="28"/>
          <w:rtl w:val="true"/>
          <w:lang w:bidi="fa-IR"/>
        </w:rPr>
        <w:t>.</w:t>
      </w:r>
      <w:bookmarkStart w:id="46" w:name="pg2940_31651"/>
    </w:p>
    <w:p>
      <w:pPr>
        <w:pStyle w:val="BookText"/>
        <w:rPr/>
      </w:pPr>
      <w:bookmarkEnd w:id="46"/>
      <w:r>
        <w:rPr>
          <w:rFonts w:ascii="IRNazanin" w:hAnsi="IRNazanin" w:eastAsia="IRNazanin"/>
          <w:color w:val="111111"/>
          <w:sz w:val="28"/>
          <w:sz w:val="28"/>
          <w:szCs w:val="28"/>
          <w:rtl w:val="true"/>
          <w:lang w:bidi="fa-IR"/>
        </w:rPr>
        <w:t>وسیأتی ثمرة الفرق بین الاتّحاد وعدمه فانتظر</w:t>
      </w:r>
      <w:r>
        <w:rPr>
          <w:rFonts w:eastAsia="IRNazanin" w:cs="IRNazanin"/>
          <w:color w:val="111111"/>
          <w:sz w:val="28"/>
          <w:szCs w:val="28"/>
          <w:rtl w:val="true"/>
          <w:lang w:bidi="fa-IR"/>
        </w:rPr>
        <w:t>.</w:t>
      </w:r>
    </w:p>
    <w:p>
      <w:pPr>
        <w:pStyle w:val="Heading2"/>
        <w:numPr>
          <w:ilvl w:val="1"/>
          <w:numId w:val="1"/>
        </w:numPr>
        <w:rPr/>
      </w:pPr>
      <w:bookmarkStart w:id="47" w:name="__RefHeading___Toc95065_2749589250"/>
      <w:bookmarkStart w:id="48" w:name="_Toc17"/>
      <w:bookmarkEnd w:id="47"/>
      <w:r>
        <w:rPr>
          <w:rtl w:val="true"/>
        </w:rPr>
        <w:t>العناوین الموجودة فی الروایات</w:t>
      </w:r>
      <w:bookmarkEnd w:id="48"/>
    </w:p>
    <w:p>
      <w:pPr>
        <w:pStyle w:val="BookText"/>
        <w:rPr/>
      </w:pPr>
      <w:r>
        <w:rPr>
          <w:rFonts w:ascii="IRNazanin" w:hAnsi="IRNazanin" w:eastAsia="IRNazanin"/>
          <w:color w:val="111111"/>
          <w:sz w:val="28"/>
          <w:sz w:val="28"/>
          <w:szCs w:val="28"/>
          <w:rtl w:val="true"/>
          <w:lang w:bidi="fa-IR"/>
        </w:rPr>
        <w:t>فبعد الإحصاء یوجد فیها أحد عشر عنواناً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القری والدور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الأرض والعقارات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تربة دار أو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عقار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عقار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الدور والعقار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رباع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الدور والضیاع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49" w:name="__RefHeading___Toc95067_2749589250"/>
      <w:bookmarkStart w:id="50" w:name="_Toc18"/>
      <w:bookmarkEnd w:id="49"/>
      <w:r>
        <w:rPr>
          <w:rtl w:val="true"/>
        </w:rPr>
        <w:t>توضیح الألفاظ المذکورة فی الروایات</w:t>
      </w:r>
      <w:bookmarkEnd w:id="50"/>
    </w:p>
    <w:p>
      <w:pPr>
        <w:pStyle w:val="BookText"/>
        <w:rPr/>
      </w:pP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 فی لسان العرب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العقر والعقار المنزل والضیعة، یقال ما له دار ولا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 بعضهم العقار بالنخل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امّ سلمة لعائشة حینما أرادت الخروج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اللَّه عقیراک فلا تصحریها، أی أسکنک اللَّه بیتک وعقارک وسترک فیه فلا تبرزیه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متاعه ونضده الذی لا یبتذل إلّافی الأعیاد والحقوق الکبار، وقیل عقار المتاع، خیاره وشبیه هذا جاء فی الصحاح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العقار الأرض والضیاع والنخل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بعض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الأصل فی استعمال العقر والعقار استعمالهما فی کلّ شی‌ء له أصل کالدار، وقد استعمل فی خصوص الدار وفی العقر الذی یکون معتمداً للقریة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لم یکن ظاهراً فی خصوص الأراضی المشغولة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فی مطلق الأراضی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الراغب فی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العقر یُقال علی کلّ شی‌ء له أصل، فالعقر بمنزلة الفرع فلا یقال فی الأرض الخالیة عقر ولکن یُقال عقر الدار، عقر الحوض، عقر الروضة، عقر البستان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تأمّل فی معنی کلمة العقر قد استفاد من اللغة</w:t>
      </w:r>
    </w:p>
    <w:p>
      <w:pPr>
        <w:pStyle w:val="BookText"/>
        <w:rPr/>
      </w:pPr>
      <w:r>
        <w:rPr>
          <w:rFonts w:ascii="IRNazanin" w:hAnsi="IRNazanin" w:eastAsia="IRNazanin"/>
          <w:color w:val="111111"/>
          <w:sz w:val="28"/>
          <w:sz w:val="28"/>
          <w:szCs w:val="28"/>
          <w:rtl w:val="true"/>
          <w:lang w:bidi="fa-IR"/>
        </w:rPr>
        <w:t>أنّ هذه الکلمة منحصرة بالأرض المشغولة وفی النتیجة أفتی بالحرمان عن خصوص عقار الدور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لفظ العقار إذا استعمل بنحو مطلق من دون إضافة إلی البیت، یستعمل فی مطلق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اضیف إلی البیت یدلّ علی المتاع، وبالنتیجة یوجد الفرق بین الاستعمال علی نحو الإطلاق والاستعمال علی نحو الإضافة إلی خصوص الدور أو البیت، وأمّا إذا اضیفَ إلی الأرض أو إلی الرجل کما فی بعض الروایات فیدلّ علی المعنی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سوء الفهم من عبارة الراغب وغیرها ولیس مرادهم من أنّ العقار یستعمل فی کلّ شی‌ء له أصل، أنّه إذا لم یکن فی البین أصلٌ وفرع لم یصحّ استعمال لفظ العقار، بل المراد أنّ إطلاق العقار علی الفرع إنّما هو باعتبار الأصل فیُقال للبناء والدار والزرع والنخل، عقار باعتبار الأصل وهو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العقار عامّ شامل للأرض الخالیة والأرض المشغولة، ولکن فی الثانی قد یطلق علی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 باعتبار الأصل، فتدبّر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ما ذکره الهروی فی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العقار الأصل، ولم یذکر الأرض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ویقال لفلان عقار أی أصل مال، وفسّر حدیث من باع داراً أو عقاراً بأنّه من باع داراً أو أصل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وبالنتیجة لا یجب فی استعمال هذه الکلمة أن یکون الفرع موجوداً فی الأصل، فلا فرق فی الاستعمال بین وجود الفرع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ربع بمعنی المنزل والوطن کما فی العین</w:t>
      </w:r>
      <w:r>
        <w:rPr>
          <w:rStyle w:val="FootnoteAnchor"/>
          <w:rtl w:val="true"/>
        </w:rPr>
        <w:footnoteReference w:id="150"/>
      </w:r>
      <w:r>
        <w:rPr>
          <w:rFonts w:ascii="IRNazanin" w:hAnsi="IRNazanin" w:eastAsia="IRNazanin"/>
          <w:color w:val="111111"/>
          <w:sz w:val="28"/>
          <w:sz w:val="28"/>
          <w:szCs w:val="28"/>
          <w:rtl w:val="true"/>
          <w:lang w:bidi="fa-IR"/>
        </w:rPr>
        <w:t>، وقال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الربع الدار بعینها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وقال الفیّومی فی مصباح المنیر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الربع محلّة القوم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الرباع إذا اضیفت إلی الأرض بأن یقال رباع الأرض، تدلّ علی مطلق الأرض لا خصوص المنزل والدار، وبعبارة اخری الإضافة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ضیعة بمعنی العقار والأرض المغلّة، قال الفیّومی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الضیعة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قریة، المصر الجامع، أو کلّ مکان اتّصلت به الأبنیة واتّحد قراراً وتقع علی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القریة من المساکن والأبنیة الضیاع</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الألفاظ الأربعة تعود إلی معنی واحد، فالعقار والرباع والضیاع والقری تستعمل فی مطلق الأرض ولیس بینها تفاوت من حیث المعنی</w:t>
      </w:r>
      <w:r>
        <w:rPr>
          <w:rFonts w:eastAsia="IRNazanin" w:cs="IRNazanin"/>
          <w:color w:val="111111"/>
          <w:sz w:val="28"/>
          <w:szCs w:val="28"/>
          <w:rtl w:val="true"/>
          <w:lang w:bidi="fa-IR"/>
        </w:rPr>
        <w:t>.</w:t>
      </w:r>
      <w:bookmarkStart w:id="51" w:name="pg2940_31655"/>
    </w:p>
    <w:p>
      <w:pPr>
        <w:pStyle w:val="Heading2"/>
        <w:numPr>
          <w:ilvl w:val="1"/>
          <w:numId w:val="1"/>
        </w:numPr>
        <w:rPr/>
      </w:pPr>
      <w:bookmarkStart w:id="52" w:name="__RefHeading___Toc95069_2749589250"/>
      <w:bookmarkStart w:id="53" w:name="_Toc19"/>
      <w:bookmarkEnd w:id="51"/>
      <w:bookmarkEnd w:id="52"/>
      <w:r>
        <w:rPr>
          <w:rtl w:val="true"/>
        </w:rPr>
        <w:t>تقسیم الروایات إلی طائفتین</w:t>
      </w:r>
      <w:bookmarkEnd w:id="53"/>
    </w:p>
    <w:p>
      <w:pPr>
        <w:pStyle w:val="Heading3"/>
        <w:numPr>
          <w:ilvl w:val="2"/>
          <w:numId w:val="1"/>
        </w:numPr>
        <w:rPr/>
      </w:pPr>
      <w:bookmarkStart w:id="54" w:name="__RefHeading___Toc95071_2749589250"/>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حرمان الزوجة عن خصوص أرض الدور، وهی ثلاث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 المرأة الطوب ولا ترث من الرباع، وقد ذکرنا أنّ لفظ الرباع من دون إضافة إلی الأرض یستعمل فی خصوص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النساء من عقار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لا یرثن من رباع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الإضافة بیانیّة وإلّا یدخل الحدیث فی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حرمان الزوجة من مطلق العقار من دون فرق بین عقار الدور وسائر العقارات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 القری والدور، فإنّ العطف من قبیل عطف الخاصّ علی العامّ، وقد مرّ أنّ المراد من القریة هی الضیعة التی هی الأرض، فکأنّما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 الأرض والدور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المرأة من الأرض والعقارات، والجمع فی العقار یستفاد منه التأکید علی العموم ولا یصحّ أن یتوهّم أنّ الألف واللّام فی الأرض جاء للعهد والشاهد علی ذلک أیضاً هو الجمع فی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تقدّم من السیّد المحقّق البروجردی قدس سره</w:t>
      </w:r>
      <w:r>
        <w:rPr>
          <w:rStyle w:val="FootnoteAnchor"/>
          <w:rtl w:val="true"/>
        </w:rPr>
        <w:footnoteReference w:id="154"/>
      </w:r>
      <w:r>
        <w:rPr>
          <w:rFonts w:ascii="IRNazanin" w:hAnsi="IRNazanin" w:eastAsia="IRNazanin"/>
          <w:color w:val="111111"/>
          <w:sz w:val="28"/>
          <w:sz w:val="28"/>
          <w:szCs w:val="28"/>
          <w:rtl w:val="true"/>
          <w:lang w:bidi="fa-IR"/>
        </w:rPr>
        <w:t>من احتمال أن یُراد بها خصوص أرض المساکن بقرینة ذکر القیمة لأشیاء مخصوصة بأرض المساکن والدور، فغیر تامّ جدّاً؛ لأنّ الموضوع للآلات فی غیر أرض الدار منتف، وفی أرض الدار لا یمکن للشارع بیان آخر فی ما ترث الزوجة منها وفی ما لا ترث، وفی نظیر هذه الموارد التی لا یمکن للشارع لها طریق آخر، لا یصحّ أن نجعلها قرینة علی شی‌ء، وقد مرّ أنّ جعل العبارة السابقة قرینة علی العبارة الآتیة مناف للفصاحة والبلاغة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ممّا ترک زوجها من تربة دار أو أرض، وکلمة أولیست للتردید بل هی للتنویع والتعمیم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 عقار الأرض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یرثن من الأرض شیئاً؟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فیه لفظ الأرض علی نحو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 الدور والعقار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 الدور والضیاع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 العقار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ذلک أنّ ثلاثة من الروایات تدلّ علی خصوص عقار</w:t>
      </w:r>
    </w:p>
    <w:p>
      <w:pPr>
        <w:pStyle w:val="BookText"/>
        <w:rPr/>
      </w:pPr>
      <w:r>
        <w:rPr>
          <w:rFonts w:ascii="IRNazanin" w:hAnsi="IRNazanin" w:eastAsia="IRNazanin"/>
          <w:color w:val="111111"/>
          <w:sz w:val="28"/>
          <w:sz w:val="28"/>
          <w:szCs w:val="28"/>
          <w:rtl w:val="true"/>
          <w:lang w:bidi="fa-IR"/>
        </w:rPr>
        <w:t>الدور وثلاث عشر منها تدلّ علی الحرمان عن جمیع الأراضی، وحینئذٍ فالبحث یقع فی فروض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بتعدّد الروایات ولم یکن بین بعضها مع البعض الآخر اتّحاد، فهل یمکن أن یقال بجریان قاعدة حمل المطلق علی المقیّد بمعنی أن نحمل الطائفة الثانیة التی دلّت علی الحرمان عن جمیع الأراضی، علی خصوص الحرمان عن الدار؟</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الطائفة الاولی التی تدلّ علی الخصوص، فقد تدلّ بالمفهوم علی عدم الحرمان عن بقیّة الأراضی فإنّ قوله علیه السلام؛ لا ترث المرأة من الرباع، یدلّ علی إرثها من غیر الرباع، وبهذا المفهوم نقیّد الروایات فی الطائفة الثانیة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فیه أنّ هذا المفهوم من قبیل مفهوم اللقب ولا یقول به أحد، إلّاإذا کان المتکلّم فی مقام بیان المفهوم ولم یثبت ذلک، فإنّ الغالب فی الأسئلة فی هذه الروایات هو السؤال عن الدار المسکونة، وقد أجاب الإمام علیه السلام بالنسبة إلی مورد السؤال بأنّها لا ترث من الرباع وترث من قیمة البناء والخشب، فلا یحرز أنّه فی مقام إفادة المفهوم، کیف وقد صرّح بعض بأنّ ذکر الخشب والقصب فی الروایة الثالثة قرینة علی أنّ المراد بالعنوان العام فیه أی الأرض والعقارات، هو خصوص عقار الدور کما صرّح بذلک السیّد البروجردی</w:t>
      </w:r>
      <w:r>
        <w:rPr>
          <w:rStyle w:val="FootnoteAnchor"/>
          <w:rtl w:val="true"/>
        </w:rPr>
        <w:footnoteReference w:id="155"/>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وإن اختار فتوی المشهور فی هذه الرسالة ولکن قد نقل عنه أنّه قد عدل عن ذلک فی أواخر حیاته وأفتی بخلافه</w:t>
      </w:r>
      <w:r>
        <w:rPr>
          <w:rStyle w:val="FootnoteAnchor"/>
          <w:rtl w:val="true"/>
        </w:rPr>
        <w:footnoteReference w:id="156"/>
      </w:r>
      <w:r>
        <w:rPr>
          <w:rFonts w:ascii="IRNazanin" w:hAnsi="IRNazanin" w:eastAsia="IRNazanin"/>
          <w:color w:val="111111"/>
          <w:sz w:val="28"/>
          <w:sz w:val="28"/>
          <w:szCs w:val="28"/>
          <w:rtl w:val="true"/>
          <w:lang w:bidi="fa-IR"/>
        </w:rPr>
        <w:t>، وکیف کان إذا احتملنا قرینیّة الموجود فلا یمکن لنا إحراز کونه فی مقام بیان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الطائفة الثانیة علی الخصوص من طریق حمل المطلق علی المقیّد وقد ثبت فی محلّه أنّ حمل المطلق علی المقیّد لا یتوقّف علی ثبوت المفهوم،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عدم المفهوم ولکن مع ذلک یجب حمل المطلق علی المقیّد وحمل الأرض فی الروایات علی الرباع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المطلق علی المقیّد یصحّ فیما إذا کان بینهما تناف عند العرف، ومع عدم وجود التنافی لا یصحّ الحمل، وفی المقام لا تنافی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لا ترث من الرباع،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لا ترث من الأرض والعقارات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تنافی بین قول القائل لا تضرب</w:t>
      </w:r>
    </w:p>
    <w:p>
      <w:pPr>
        <w:pStyle w:val="BookText"/>
        <w:rPr/>
      </w:pPr>
      <w:r>
        <w:rPr>
          <w:rFonts w:ascii="IRNazanin" w:hAnsi="IRNazanin" w:eastAsia="IRNazanin"/>
          <w:color w:val="111111"/>
          <w:sz w:val="28"/>
          <w:sz w:val="28"/>
          <w:szCs w:val="28"/>
          <w:rtl w:val="true"/>
          <w:lang w:bidi="fa-IR"/>
        </w:rPr>
        <w:t>زیداً، وبین قوله 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بینهما تناف فیجب الحمل من دون فرق بین المتوافقین والمتخالفین کما حقّقناه فی مباحثنا الاصولیّة،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باتّحاد الروایات ورجوع بعضها إلی بعض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أحادیث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إلی حدیث واحد، کما أنّ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یرجعان إلی واحد وکذلک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ونلتزم بتغایر العناوین وعدم الوحدة بین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بالاضطراب بین التعابیر الأربعة أی العقار والقری والضیاع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الاضطراب أنّ بعضاً منها یدلّ علی معنی خاصّ وهو خصوص أرض الدور، والبعض الآخر یدلّ علی جمیع الأراضی والعقارات، أو یُقال إنّ قسماً منها یدلّ علی خصوص الأرض المشغولة سواء کانت دوراً أم غیرها، والقسم الآخر یدلّ علی الأعمّ من الأرض المشغولة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أنّه فی هذا الفرض لابدّ من الأخذ بالقدر المتیقّن منها، ولکن الکلام فی العنوان المتیقّن فما هو القدر المتیقّن فی المقام؟</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القدر المتیقّن هو أرض الدور، وبالنتیجة المستفاد من الروایات عدم إرث الزوجة من الأرض المسکونة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 ذلک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الخشب والقصب والبناء والطوب فی کثیر من</w:t>
      </w:r>
    </w:p>
    <w:p>
      <w:pPr>
        <w:pStyle w:val="BookText"/>
        <w:rPr/>
      </w:pPr>
      <w:r>
        <w:rPr>
          <w:rFonts w:ascii="IRNazanin" w:hAnsi="IRNazanin" w:eastAsia="IRNazanin"/>
          <w:color w:val="111111"/>
          <w:sz w:val="28"/>
          <w:sz w:val="28"/>
          <w:szCs w:val="28"/>
          <w:rtl w:val="true"/>
          <w:lang w:bidi="fa-IR"/>
        </w:rPr>
        <w:t>الروایات، والمستفاد من هذه العناوین عدم تعرّض الإمام علیه السلام بالنسبة إلی أرض الزرع وأرض البستان، وأیضاً عدم تعرّضه للأرض الخالیة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العلّة أو الحکمة فی الروایات، فالمستفاد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عدم جواز مزاحمة الآخر لأهل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الممنوع هی أرض الدور فإنّ المزاحمة فیها تتحقّق لا فی الأرض الخالیة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وجود روایات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لقلنا بذلک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الاتّحاد بین الروایات والتغایر بین التعابیر نلتزم بأخذ القدر المتیقّن، ولکن هذا الأخذ صحیح إذا لم نتوجّه إلی هذه الروایات الثلاث، وأمّا مع التنبّه إلیها فلا یبقی للقدر المتیقّن مجال؛ وذلک لعدم عود هذه الثلاثة إلی بقیّة الروایات ولم یکن واحد منها متّحداً مع سائر الروایات حتّی یقال بالقدر المتیقّن، فقال الإمام علیه السلام فی الروایة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المرأة أنّها لا ترث من العقار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التعبیر عامّ ولا یختصّ بأرض الدور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فی الروایة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یرثن النساء من العقار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الروایة وإن جاء التعبیر بالبناء ولکن لیس هذا قرینة علی أنّ المراد من العقار هو أرض الدور وذلک لوجود التعبیر بالنخل والشجر أیضاً وهما لا یناسبان أرض الدور، 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جاء فی الروایة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لیس لهنّ من عقار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التعبیر أیضاً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للقدر المتیقّن بالحکمة الواردة فی الروایات، غیر تامّ جدّاً لإمکان تحقّق المزاحمة فی أرض الزرع والشجر أیضاً، ولا یختصّ ذلک بأرض الدور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عدم انحصار الحکمة بذلک فی الروایات، بل قد ذکر فیها عنوان أنّها لیس لها نسب ترث به، کما جاء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المرأة لیس لها نسب ترث به وإنّما هی دخیل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جاء فیها عنوان أنّها لا ترث لأنّها فی معرض التغییر والتبدیل، وما کان قابلًا للتبدیل فالمناسب الإرث عمّا یکون قابلًا للتبدیل وهو غیر الأرض کما جاء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العقار لا یمکن تغییره وقلبه، والزوجة قد یجوز أن ینقطع ما بینها وبینه من العصمة ویجوز تغییرها وتبدیلها ولیس الولد والوالد کذلک؛ لأنّه لا یمکن التفصّی منهما، والزوجة یمکن الاستبدال بها، فما یجوز أن یجی‌ء ویذهب کان میراثه فیما یجوز تبدیله وتغییره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سابقاً أنّ الشیخ فی الاستبصار قد ذکرها متّصلة بالروایة الثالثة عشر، فراجع</w:t>
      </w:r>
      <w:r>
        <w:rPr>
          <w:rFonts w:eastAsia="IRNazanin" w:cs="IRNazanin"/>
          <w:color w:val="111111"/>
          <w:sz w:val="28"/>
          <w:szCs w:val="28"/>
          <w:rtl w:val="true"/>
          <w:lang w:bidi="fa-IR"/>
        </w:rPr>
        <w:t>.</w:t>
      </w:r>
      <w:bookmarkStart w:id="56" w:name="pg2940_31662"/>
    </w:p>
    <w:p>
      <w:pPr>
        <w:pStyle w:val="Heading3"/>
        <w:numPr>
          <w:ilvl w:val="2"/>
          <w:numId w:val="1"/>
        </w:numPr>
        <w:rPr/>
      </w:pPr>
      <w:bookmarkStart w:id="57" w:name="__RefHeading___Toc95073_2749589250"/>
      <w:bookmarkStart w:id="58" w:name="_Toc21"/>
      <w:bookmarkEnd w:id="56"/>
      <w:bookmarkEnd w:id="57"/>
      <w:r>
        <w:rPr>
          <w:rtl w:val="true"/>
        </w:rPr>
        <w:t>مقتضی الحِکَم الثلاثة</w:t>
      </w:r>
      <w:bookmarkEnd w:id="58"/>
    </w:p>
    <w:p>
      <w:pPr>
        <w:pStyle w:val="BookText"/>
        <w:rPr/>
      </w:pPr>
      <w:r>
        <w:rPr>
          <w:rFonts w:ascii="IRNazanin" w:hAnsi="IRNazanin" w:eastAsia="IRNazanin"/>
          <w:color w:val="111111"/>
          <w:sz w:val="28"/>
          <w:sz w:val="28"/>
          <w:szCs w:val="28"/>
          <w:rtl w:val="true"/>
          <w:lang w:bidi="fa-IR"/>
        </w:rPr>
        <w:t>وهنا بحث وهو أنّه هل المستفاد من الحِکَم الثلاثة أنّ الزوجة لا ترث من أرض الدور فقط أم لا؟</w:t>
      </w:r>
    </w:p>
    <w:p>
      <w:pPr>
        <w:pStyle w:val="BookText"/>
        <w:rPr/>
      </w:pPr>
      <w:r>
        <w:rPr>
          <w:rFonts w:ascii="IRNazanin" w:hAnsi="IRNazanin" w:eastAsia="IRNazanin"/>
          <w:color w:val="111111"/>
          <w:sz w:val="28"/>
          <w:sz w:val="28"/>
          <w:szCs w:val="28"/>
          <w:rtl w:val="true"/>
          <w:lang w:bidi="fa-IR"/>
        </w:rPr>
        <w:t>یمکن أن یقال إنّه إذا کنّا نحن ومسألة المزاحمة فقط لقلنا بأنّه لا یبعد اختصاصها بأرض الدور، ولکن مقتضی الحکمة الثانیة والثالثة عدم الإرث من جمیع الأراضی</w:t>
      </w:r>
      <w:r>
        <w:rPr>
          <w:rFonts w:eastAsia="IRNazanin" w:cs="IRNazanin"/>
          <w:color w:val="111111"/>
          <w:sz w:val="28"/>
          <w:szCs w:val="28"/>
          <w:rtl w:val="true"/>
          <w:lang w:bidi="fa-IR"/>
        </w:rPr>
        <w:t>.</w:t>
      </w:r>
    </w:p>
    <w:p>
      <w:pPr>
        <w:pStyle w:val="Heading2"/>
        <w:numPr>
          <w:ilvl w:val="1"/>
          <w:numId w:val="1"/>
        </w:numPr>
        <w:rPr/>
      </w:pPr>
      <w:bookmarkStart w:id="59" w:name="__RefHeading___Toc95075_2749589250"/>
      <w:bookmarkStart w:id="60" w:name="_Toc22"/>
      <w:bookmarkEnd w:id="59"/>
      <w:r>
        <w:rPr>
          <w:rtl w:val="true"/>
        </w:rPr>
        <w:t>الفرق بین العلّة والحکمة</w:t>
      </w:r>
      <w:bookmarkEnd w:id="60"/>
    </w:p>
    <w:p>
      <w:pPr>
        <w:pStyle w:val="Heading3"/>
        <w:numPr>
          <w:ilvl w:val="2"/>
          <w:numId w:val="1"/>
        </w:numPr>
        <w:rPr/>
      </w:pPr>
      <w:bookmarkStart w:id="61" w:name="__RefHeading___Toc95077_2749589250"/>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الظاهر أنّ التعبیر بالعلّة والحکمة فی الروایات لا یدلّ علی وجود الاختلاف بینهما من جهة علم الحدیث، وقد یعبّر کثیراً عن الحکمة بالعلّة وبالعکس، ولکن بینهما فرق فی اصطلاح الفقهاء والاصولیّین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الفرق الحقیقی الدقیق بینهما أیضاً لیس بسهل ولکن نحن نذکر ما یمکن أن یشیر إلی الفوارق الموجودة بینهما</w:t>
      </w:r>
      <w:r>
        <w:rPr>
          <w:rFonts w:eastAsia="IRNazanin" w:cs="IRNazanin"/>
          <w:color w:val="111111"/>
          <w:sz w:val="28"/>
          <w:szCs w:val="28"/>
          <w:rtl w:val="true"/>
          <w:lang w:bidi="fa-IR"/>
        </w:rPr>
        <w:t>:</w:t>
      </w:r>
    </w:p>
    <w:p>
      <w:pPr>
        <w:pStyle w:val="Heading3"/>
        <w:numPr>
          <w:ilvl w:val="2"/>
          <w:numId w:val="1"/>
        </w:numPr>
        <w:rPr/>
      </w:pPr>
      <w:bookmarkStart w:id="63" w:name="__RefHeading___Toc95079_2749589250"/>
      <w:bookmarkStart w:id="64" w:name="_Toc24"/>
      <w:bookmarkEnd w:id="63"/>
      <w:r>
        <w:rPr>
          <w:rtl w:val="true"/>
        </w:rPr>
        <w:t>الفرق الأوّل</w:t>
      </w:r>
      <w:bookmarkEnd w:id="64"/>
    </w:p>
    <w:p>
      <w:pPr>
        <w:pStyle w:val="BookText"/>
        <w:rPr/>
      </w:pPr>
      <w:r>
        <w:rPr>
          <w:rFonts w:ascii="IRNazanin" w:hAnsi="IRNazanin" w:eastAsia="IRNazanin"/>
          <w:color w:val="111111"/>
          <w:sz w:val="28"/>
          <w:sz w:val="28"/>
          <w:szCs w:val="28"/>
          <w:rtl w:val="true"/>
          <w:lang w:bidi="fa-IR"/>
        </w:rPr>
        <w:t>إنّ العلّة یدور الحکم علیها وجوداً وعدماً؛ بمعنی أنّه مع وجود العلّة یکون الحکم موجوداً ومع عدمها یکون الحکم منتفیاً بخلاف الحکمة فإنّ الحکم یدور علیها وجوداً ولکن لا یدور علیها عدماً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العلّة مطّردة بخلاف الحکمة</w:t>
      </w:r>
      <w:r>
        <w:rPr>
          <w:rFonts w:eastAsia="IRNazanin" w:cs="IRNazanin"/>
          <w:color w:val="111111"/>
          <w:sz w:val="28"/>
          <w:szCs w:val="28"/>
          <w:rtl w:val="true"/>
          <w:lang w:bidi="fa-IR"/>
        </w:rPr>
        <w:t>.</w:t>
      </w:r>
      <w:bookmarkStart w:id="65" w:name="pg2940_31663"/>
    </w:p>
    <w:p>
      <w:pPr>
        <w:pStyle w:val="BookText"/>
        <w:rPr/>
      </w:pPr>
      <w:bookmarkEnd w:id="65"/>
      <w:r>
        <w:rPr>
          <w:rFonts w:ascii="IRNazanin" w:hAnsi="IRNazanin" w:eastAsia="IRNazanin"/>
          <w:color w:val="111111"/>
          <w:sz w:val="28"/>
          <w:sz w:val="28"/>
          <w:szCs w:val="28"/>
          <w:rtl w:val="true"/>
          <w:lang w:bidi="fa-IR"/>
        </w:rPr>
        <w:t>فإنّ الإسکار إذا قلنا بأنّه علّة لحرمة الخمر یکون وجوده موجباً لوجود الحکم، وعدمه موجباً لعدم الحکم، بخلاف النهی عن الفحشاء فی الصلاة فهو مع عدمه لا یکون موجباً لانتفاء الوجوب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اختلاط المیاه فی العدّة فی باب الطلاق من مصادیق الحکمة، بمعنی أنّه مع عدمه لا یکون لزوم العدّة منتفیاً</w:t>
      </w:r>
      <w:r>
        <w:rPr>
          <w:rFonts w:eastAsia="IRNazanin" w:cs="IRNazanin"/>
          <w:color w:val="111111"/>
          <w:sz w:val="28"/>
          <w:szCs w:val="28"/>
          <w:rtl w:val="true"/>
          <w:lang w:bidi="fa-IR"/>
        </w:rPr>
        <w:t>.</w:t>
      </w:r>
    </w:p>
    <w:p>
      <w:pPr>
        <w:pStyle w:val="Heading3"/>
        <w:numPr>
          <w:ilvl w:val="2"/>
          <w:numId w:val="1"/>
        </w:numPr>
        <w:rPr/>
      </w:pPr>
      <w:bookmarkStart w:id="66" w:name="__RefHeading___Toc95081_2749589250"/>
      <w:bookmarkStart w:id="67" w:name="_Toc25"/>
      <w:bookmarkEnd w:id="66"/>
      <w:r>
        <w:rPr>
          <w:rtl w:val="true"/>
        </w:rPr>
        <w:t>الفرق الثانی</w:t>
      </w:r>
      <w:bookmarkEnd w:id="67"/>
    </w:p>
    <w:p>
      <w:pPr>
        <w:pStyle w:val="BookText"/>
        <w:rPr/>
      </w:pPr>
      <w:r>
        <w:rPr>
          <w:rFonts w:ascii="IRNazanin" w:hAnsi="IRNazanin" w:eastAsia="IRNazanin"/>
          <w:color w:val="111111"/>
          <w:sz w:val="28"/>
          <w:sz w:val="28"/>
          <w:szCs w:val="28"/>
          <w:rtl w:val="true"/>
          <w:lang w:bidi="fa-IR"/>
        </w:rPr>
        <w:t>إنّ العلّة عنوان دائمی ولا أقلّ غالبی بخلاف الحکمة فلا یعتبر فیها أن تکون عنواناً غالبیّاً فإنّ الشارع قد اعتمد علیها ولو بالفرد النادر منها؛ فمثلًا فی حرمة الزنا قد اعتمد الشارع علی مسألة اختلاط المیاه، وهذه وإن کانت قلیلة وفرضنا واحداً بین المأة ولکن الشارع قد اهتمّ بها</w:t>
      </w:r>
      <w:r>
        <w:rPr>
          <w:rFonts w:eastAsia="IRNazanin" w:cs="IRNazanin"/>
          <w:color w:val="111111"/>
          <w:sz w:val="28"/>
          <w:szCs w:val="28"/>
          <w:rtl w:val="true"/>
          <w:lang w:bidi="fa-IR"/>
        </w:rPr>
        <w:t>.</w:t>
      </w:r>
    </w:p>
    <w:p>
      <w:pPr>
        <w:pStyle w:val="Heading3"/>
        <w:numPr>
          <w:ilvl w:val="2"/>
          <w:numId w:val="1"/>
        </w:numPr>
        <w:rPr/>
      </w:pPr>
      <w:bookmarkStart w:id="68" w:name="__RefHeading___Toc95083_2749589250"/>
      <w:bookmarkStart w:id="69" w:name="_Toc26"/>
      <w:bookmarkEnd w:id="68"/>
      <w:r>
        <w:rPr>
          <w:rtl w:val="true"/>
        </w:rPr>
        <w:t>الفرق الثالث</w:t>
      </w:r>
      <w:bookmarkEnd w:id="69"/>
    </w:p>
    <w:p>
      <w:pPr>
        <w:pStyle w:val="BookText"/>
        <w:rPr/>
      </w:pPr>
      <w:r>
        <w:rPr>
          <w:rFonts w:ascii="IRNazanin" w:hAnsi="IRNazanin" w:eastAsia="IRNazanin"/>
          <w:color w:val="111111"/>
          <w:sz w:val="28"/>
          <w:sz w:val="28"/>
          <w:szCs w:val="28"/>
          <w:rtl w:val="true"/>
          <w:lang w:bidi="fa-IR"/>
        </w:rPr>
        <w:t>إنّ العلّة واحدة غالباً والحکمة متعدّدة غالباً، فقد ذکر لحرمة الزنا حکماً متعدّدة، کما أنّه ذکر لوجوب الصلاة والصیام حکماً عدیدة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الالتفات إلی هذه الفروق</w:t>
      </w:r>
      <w:r>
        <w:rPr>
          <w:rStyle w:val="FootnoteAnchor"/>
          <w:rtl w:val="true"/>
        </w:rPr>
        <w:footnoteReference w:id="157"/>
      </w:r>
      <w:r>
        <w:rPr>
          <w:rFonts w:ascii="Amiri" w:hAnsi="Amiri" w:eastAsia="Amiri" w:cs="Amiri"/>
          <w:color w:val="111111"/>
          <w:sz w:val="28"/>
          <w:sz w:val="28"/>
          <w:szCs w:val="28"/>
          <w:rtl w:val="true"/>
          <w:lang w:bidi="ar-SA"/>
        </w:rPr>
        <w:t>یصحّ أن یُقال إنّ المزاحمة فی</w:t>
      </w:r>
    </w:p>
    <w:p>
      <w:pPr>
        <w:pStyle w:val="BookText"/>
        <w:rPr/>
      </w:pPr>
      <w:r>
        <w:rPr>
          <w:rFonts w:ascii="IRNazanin" w:hAnsi="IRNazanin" w:eastAsia="IRNazanin"/>
          <w:color w:val="111111"/>
          <w:sz w:val="28"/>
          <w:sz w:val="28"/>
          <w:szCs w:val="28"/>
          <w:rtl w:val="true"/>
          <w:lang w:bidi="fa-IR"/>
        </w:rPr>
        <w:t>المقام من قبیل الحکمة ولیست علّة لحرمان الزوجة عن العقار</w:t>
      </w:r>
      <w:r>
        <w:rPr>
          <w:rStyle w:val="FootnoteAnchor"/>
          <w:rtl w:val="true"/>
        </w:rPr>
        <w:footnoteReference w:id="158"/>
      </w:r>
      <w:r>
        <w:rPr>
          <w:rFonts w:ascii="IRNazanin" w:hAnsi="IRNazanin" w:eastAsia="IRNazanin"/>
          <w:color w:val="111111"/>
          <w:sz w:val="28"/>
          <w:sz w:val="28"/>
          <w:szCs w:val="28"/>
          <w:rtl w:val="true"/>
          <w:lang w:bidi="fa-IR"/>
        </w:rPr>
        <w:t>، وعلیه فلو فرضنا عدم تزویج المرأة المتوفّی عنها زوجها ثانیاً أو تزویجها ولکن وعدت بعدم إتیان الزوج إلی الدار لما کان الحکم بالحرمان منتفیاً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لا یرد ما أورده المحقّق الأردبیلی من أنّ هذه الحکمة إنّما تقتضی الحرمان من عین تلک الامور لا قیمتها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الحکمة لیست قابلةً للاستدلال والنقض من جهة أنّها لیست دخیلة فی الحکم ولیست جزءاً من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باتّحاد الروایات وعدم وجود الاضطراب بین التعابیر بمعنی أنّ الأرض والعقار والضیاع والقری کلّها ترجع إلی معنی واحد وقد أثبتنا واخترنا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هذا الفرض واضحة وهی أنّ الإمام علیه السلام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الزوجة من جمیع الأراضی، فتدبّر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إلی هنا أنّ روایات الطائفة الاولی وهی السبعة عشر دالّة علی حرمان الزوجة من جمیع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ظاهرها عدم حرمان الزوجة مطلقاً، وتدلّ علی أنّها ترث من کلّ شی‌ء ترکه الزوج،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عن أبان، عن الفضل بن عبد الملک وابن أبی یعفور،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هل یرث من دار امرأته أو أرضها من التربة شیئاً؟ أو یکون فی ذلک بمنزلة المرأة فلا یرث من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وترثه من کلّ شی‌ء ترک وترکت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بإسناده عن أبان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موثّقة؛ لأنّ سند الشیخ إلی حسین بن سعید صحیح علی ما ذکره الأردبیلی فی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فضالة فالمراد منه فضالة بن أیّوب الأزدی،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صمیم سکن الأهواز روی عن موسی بن جعفر علیهما السلام وکان ثقة فی حدیثه مستقیماً فی دینه</w:t>
      </w:r>
      <w:r>
        <w:rPr>
          <w:rStyle w:val="FootnoteAnchor"/>
          <w:rtl w:val="true"/>
        </w:rPr>
        <w:footnoteReference w:id="161"/>
      </w:r>
      <w:r>
        <w:rPr>
          <w:rFonts w:ascii="IRNazanin" w:hAnsi="IRNazanin" w:eastAsia="IRNazanin"/>
          <w:color w:val="111111"/>
          <w:sz w:val="28"/>
          <w:sz w:val="28"/>
          <w:szCs w:val="28"/>
          <w:rtl w:val="true"/>
          <w:lang w:bidi="fa-IR"/>
        </w:rPr>
        <w:t>، ووثّقه أیضاً الشیخ الطوسی</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مشترک بین أبان بن تغلب وأبان بن عثمان وهما ثقتان، کما أنّ فضل بن عبد الملک وابن أبی یعفور کلیهما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ودلالتها علی إرثها من جمیع ما ترکه الزوج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أبان بن عثمان، عن عبید بن زرارة والفضل أبی العبّاس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تزوّج امرأة ثمّ مات عنها وقد فرض لها الصداق؟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نصف الصداق وترثه من کلّ شی‌ء وإن ماتت فهو کذلک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الشیخ الطوسی فی استبصاره توجیهین للروایة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تخصیصها بسائر الروایات الدالّة علی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مهما أمکن أولی من الطرح</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التوجیه الثانی غیر صحیح جدّاً؛ فإنّ السؤال الموجود فی الروایة یکون عن دائرة الحرمان، والجواب ظاهر فی عدم الحرمان أصلًا، فمع وجود هذا السؤال کیف یمکن التخصیص فی الجواب؟</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الملاک هو الجواب وخصوصیّات السؤال لا دخل لها فی ظهور الجواب فی العمومیّة، فإنّ کلام الإمام علیه السلام دالّ علی إرثها من جمیع ما ترکه الزوج</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الشیخ طریقاً ثالثاً وهو حمل موثّقة ابن أبی یعفور علی ما</w:t>
      </w:r>
    </w:p>
    <w:p>
      <w:pPr>
        <w:pStyle w:val="BookText"/>
        <w:rPr/>
      </w:pPr>
      <w:r>
        <w:rPr>
          <w:rFonts w:ascii="IRNazanin" w:hAnsi="IRNazanin" w:eastAsia="IRNazanin"/>
          <w:color w:val="111111"/>
          <w:sz w:val="28"/>
          <w:sz w:val="28"/>
          <w:szCs w:val="28"/>
          <w:rtl w:val="true"/>
          <w:lang w:bidi="fa-IR"/>
        </w:rPr>
        <w:t>إذا کان لها ولد من الزوج، والروایات الدالّة علی الحرمان تحمل علی ما إذا لم یکن لها ولد منه وذلک بقرینة مقطوعة ابن أبی اذینة، وسیأتی البحث حولها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أبی یعفور أو ما دلّ علی عدم الحرمان یحمل علی التقیّة کما ذهب إلیها جمعٌ کثیر من الأعاظم، قال الشهید فی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ابن أبی یعفور الدالّة علی عموم الإرث ظاهرة فی التقیّة لأنّها موافقة لمذاهب جمیع من خالفنا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عدم الحمل علی التقیّة نقول إنّها لا یقاوم الروایات المتواترة الدالّة علی الحرمان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روایة ابن أبی یعفور تعارض الروایات الدالّة علی الحرمان، وفی فرض التعارض نری وجود مرجّح فی کلّ منهما؛ فإنّ الاولی موافقة لظاهر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تَرَکْتُمْ</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والثانیة مخالفة للعامّة، وفی هذا المورد وقع الاختلاف بین الاصولیّین فذکر بعضهم تقدیم المرجّح المضمونی علی المرجّح الجهتی وعلیه تقدّم الاولی، وذهب بعضٌ آخر إلی عکس ذلک وعلیه تقدّم الثانیة أی ما دلّ علی الحرمان، وقد ذکر بعض کالمحقّق الخراسانی</w:t>
      </w:r>
      <w:r>
        <w:rPr>
          <w:rStyle w:val="FootnoteAnchor"/>
          <w:rtl w:val="true"/>
        </w:rPr>
        <w:footnoteReference w:id="167"/>
      </w:r>
      <w:r>
        <w:rPr>
          <w:rFonts w:ascii="Amiri" w:hAnsi="Amiri" w:eastAsia="Amiri" w:cs="Amiri"/>
          <w:color w:val="111111"/>
          <w:sz w:val="28"/>
          <w:sz w:val="28"/>
          <w:szCs w:val="28"/>
          <w:rtl w:val="true"/>
          <w:lang w:bidi="ar-SA"/>
        </w:rPr>
        <w:t>بأنّه</w:t>
      </w:r>
    </w:p>
    <w:p>
      <w:pPr>
        <w:pStyle w:val="BookText"/>
        <w:rPr/>
      </w:pPr>
      <w:r>
        <w:rPr>
          <w:rFonts w:ascii="IRNazanin" w:hAnsi="IRNazanin" w:eastAsia="IRNazanin"/>
          <w:color w:val="111111"/>
          <w:sz w:val="28"/>
          <w:sz w:val="28"/>
          <w:szCs w:val="28"/>
          <w:rtl w:val="true"/>
          <w:lang w:bidi="fa-IR"/>
        </w:rPr>
        <w:t>لا ترتیب بین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تقدیم المرجّح المضمونی علی المرجّح الجهتی وذلک للروایة الواردة فی المقام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الراوندی فی رسالته التی ألّفها فی أحوال أحادیث أصحابنا وإثبات صحّتها، عن محمّد، وعلی ابنی علی بن عبد الصمد، عن أبیهما، عن أبی البرکات علی بن الحسین، عن أبی جعفر ابن بابویه، عن أبیه، عن سعد بن عبداللَّه، عن أیّوب بن نوح، عن محمّد بن أبی عمیر، عن عبد 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وما خالف کتاب اللَّه فردّوه فإن لم تجدوهما فی کتاب اللَّه فاعرضوهما علی أخبار العامّة فما وافق أخبارهم فذروه وما خالف أخبارهم فخذوه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اختاره المحقّق الخوئی</w:t>
      </w:r>
      <w:r>
        <w:rPr>
          <w:rStyle w:val="FootnoteAnchor"/>
          <w:rtl w:val="true"/>
        </w:rPr>
        <w:footnoteReference w:id="169"/>
      </w:r>
      <w:r>
        <w:rPr>
          <w:rFonts w:ascii="IRNazanin" w:hAnsi="IRNazanin" w:eastAsia="IRNazanin"/>
          <w:color w:val="111111"/>
          <w:sz w:val="28"/>
          <w:sz w:val="28"/>
          <w:szCs w:val="28"/>
          <w:rtl w:val="true"/>
          <w:lang w:bidi="fa-IR"/>
        </w:rPr>
        <w:t xml:space="preserve">والمحقّق الوالد </w:t>
      </w:r>
      <w:r>
        <w:rPr>
          <w:rFonts w:eastAsia="IRNazanin" w:cs="IRNazanin"/>
          <w:color w:val="111111"/>
          <w:sz w:val="28"/>
          <w:szCs w:val="28"/>
          <w:lang w:bidi="fa-IR"/>
        </w:rPr>
        <w:t>0</w:t>
      </w:r>
      <w:r>
        <w:rPr>
          <w:rStyle w:val="FootnoteAnchor"/>
          <w:rtl w:val="true"/>
        </w:rPr>
        <w:footnoteReference w:id="170"/>
      </w:r>
      <w:r>
        <w:rPr>
          <w:rFonts w:ascii="IRNazanin" w:hAnsi="IRNazanin" w:eastAsia="IRNazanin"/>
          <w:color w:val="111111"/>
          <w:sz w:val="28"/>
          <w:sz w:val="28"/>
          <w:szCs w:val="28"/>
          <w:rtl w:val="true"/>
          <w:lang w:bidi="fa-IR"/>
        </w:rPr>
        <w:t>استناداً إلی هذه الروایة</w:t>
      </w:r>
      <w:r>
        <w:rPr>
          <w:rFonts w:eastAsia="IRNazanin" w:cs="IRNazanin"/>
          <w:color w:val="111111"/>
          <w:sz w:val="28"/>
          <w:szCs w:val="28"/>
          <w:rtl w:val="true"/>
          <w:lang w:bidi="fa-IR"/>
        </w:rPr>
        <w:t>.</w:t>
      </w:r>
      <w:bookmarkStart w:id="70" w:name="pg2940_31669"/>
    </w:p>
    <w:p>
      <w:pPr>
        <w:pStyle w:val="BookText"/>
        <w:rPr/>
      </w:pPr>
      <w:bookmarkEnd w:id="70"/>
      <w:r>
        <w:rPr>
          <w:rFonts w:ascii="IRNazanin" w:hAnsi="IRNazanin" w:eastAsia="IRNazanin"/>
          <w:color w:val="111111"/>
          <w:sz w:val="28"/>
          <w:sz w:val="28"/>
          <w:szCs w:val="28"/>
          <w:rtl w:val="true"/>
          <w:lang w:bidi="fa-IR"/>
        </w:rPr>
        <w:t>ثمّ إنّه قد احتمل أنّ هذه الروایة من باب قاعدة الالزام فتکون فی مورد تکون الزوجة من الفرقة الإمامیّة والمیّت من المخالفین وبناء علی جریان القاعدة ترث الزوجة من جمیع ما ترکه الزوج، ثمّ قال إنّ هذا الحمل خلاف الإطلاق،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الاحتمال بعید جدّاً، فإنّ المفروض عند السائل أنّ المرأة محرومة من العقار وهو یسأل عن الرجل هل هو مثل المرأة أم لا؟ فلا یرتبط سؤاله بمسئلة الالزام</w:t>
      </w:r>
      <w:r>
        <w:rPr>
          <w:rFonts w:eastAsia="IRNazanin" w:cs="IRNazanin"/>
          <w:color w:val="111111"/>
          <w:sz w:val="28"/>
          <w:szCs w:val="28"/>
          <w:rtl w:val="true"/>
          <w:lang w:bidi="fa-IR"/>
        </w:rPr>
        <w:t>.</w:t>
      </w:r>
    </w:p>
    <w:p>
      <w:pPr>
        <w:pStyle w:val="Heading2"/>
        <w:numPr>
          <w:ilvl w:val="1"/>
          <w:numId w:val="1"/>
        </w:numPr>
        <w:rPr/>
      </w:pPr>
      <w:bookmarkStart w:id="71" w:name="__RefHeading___Toc95085_2749589250"/>
      <w:bookmarkStart w:id="72" w:name="_Toc27"/>
      <w:bookmarkEnd w:id="71"/>
      <w:r>
        <w:rPr>
          <w:rtl w:val="true"/>
        </w:rPr>
        <w:t xml:space="preserve">کلام حول الآیة الشریفة </w:t>
      </w:r>
      <w:r>
        <w:rPr/>
        <w:t>12</w:t>
      </w:r>
      <w:r>
        <w:rPr>
          <w:rtl w:val="true"/>
        </w:rPr>
        <w:t xml:space="preserve"> </w:t>
      </w:r>
      <w:r>
        <w:rPr>
          <w:rtl w:val="true"/>
        </w:rPr>
        <w:t>من سورة النساء</w:t>
      </w:r>
      <w:bookmarkEnd w:id="72"/>
    </w:p>
    <w:p>
      <w:pPr>
        <w:pStyle w:val="Heading3"/>
        <w:numPr>
          <w:ilvl w:val="2"/>
          <w:numId w:val="1"/>
        </w:numPr>
        <w:rPr/>
      </w:pPr>
      <w:bookmarkStart w:id="73" w:name="__RefHeading___Toc95087_2749589250"/>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والظاهر من کلمات من تعرّض لهذه الآیة الشریفة أنّ الإطلاق أو العموم فیها مسلّم، بمعنی أنّ الآیة ظاهرة فی أنّ إرث الزوجة ربعاً أو ثمناً إنّما هو من جمیع ما ترکه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العموم أنّ لها الربع أو الثمن من جمیع ما ترکه الزوج</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الفقهاء</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الموصول موضوع لإیجاد الإشارة، وبهذا امتازت ما الموصولة عن الموصوفة؛ لأنّ معنی ما الموصولة ما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الموصوفة فإذا کان فی البین شی‌ء معهود رجعت الإشارة إلیه وإلّا فالموصول یشمل جمیع ما یمکن أن یشار إلیه؛ لأنّ القول باختصاص الإشارة ببعض دون بعض ترجیحٌ بلا مرجّح، فعلی هذا یکون مفاد الآیة</w:t>
      </w:r>
    </w:p>
    <w:p>
      <w:pPr>
        <w:pStyle w:val="BookText"/>
        <w:rPr/>
      </w:pPr>
      <w:r>
        <w:rPr>
          <w:rFonts w:ascii="IRNazanin" w:hAnsi="IRNazanin" w:eastAsia="IRNazanin"/>
          <w:color w:val="111111"/>
          <w:sz w:val="28"/>
          <w:sz w:val="28"/>
          <w:szCs w:val="28"/>
          <w:rtl w:val="true"/>
          <w:lang w:bidi="fa-IR"/>
        </w:rPr>
        <w:t>الکریمة عموم إرث الزوجة من أعیان الترکة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فیه من أنّه اجتهاد محض فی اللغة وهو غیر صحیح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دلالة الآیة علی العموم تأمّلًا جدّاً، ووجهه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ما الموصولة لیست من ألفاظ العموم، واستفادة الشمول من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متوقّفة علی الإطلاق وهو مشروط بکون المتکلّم فی مقام البیان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اللَّه تبارک وتعالی لیس فی مقام البیان بالنسبة إلی ما ترک، بل فی مقام بیان مقدار السهام من الربع والثمن ولکن لایعیّن ولا یبیّن أنّ السهم هل هو من جمیع ما ترکه الزوج أو من بعض ما ترکه الزوج، کما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إنّما هو فی مقام بیان موارد الجواز للنکاح ولا یدلّ علی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یقال بأنّ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مَثْنَی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للعموم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لیس فی مقام بیان ما ترکه المیّت، بل إنّما هو فی مقام</w:t>
      </w:r>
    </w:p>
    <w:p>
      <w:pPr>
        <w:pStyle w:val="BookText"/>
        <w:rPr/>
      </w:pPr>
      <w:r>
        <w:rPr>
          <w:rFonts w:ascii="IRNazanin" w:hAnsi="IRNazanin" w:eastAsia="IRNazanin"/>
          <w:color w:val="111111"/>
          <w:sz w:val="28"/>
          <w:sz w:val="28"/>
          <w:szCs w:val="28"/>
          <w:rtl w:val="true"/>
          <w:lang w:bidi="fa-IR"/>
        </w:rPr>
        <w:t>وجود الفرق بین الذکر والانثی فی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الآیة الشریفة علی إرثها من جمیع ما ترکه الزوج تأمّل جدّاً، والآیة من هذه الجهة مجملة،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یصغی إلی ما تخیّله بعض من عدم اعتناء فقهاء الشیعة فی استنباطاتهم الفقهیّة إلی القرآن الکریم، کیف وهم من أدق الباحثین فی القرآن الکریم سیّما فی آیات الأحکام ولا یناسب أن نعترض علی صاحب الجواهر وأمثاله بأنّهم ترکوا القرآن واعتمدوا علی الروایات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هذه النسبة إلّاوفی الواقع اعتراضاً علی الأئمّة الأطهار علیهم السلام حیث إنّهم صرّحوا بحرمان الزوجة من العقار، کما أنّهم صرّحوا باختصاص الحبوة بالولد الأکبر، وفقهاء الشیعة تبعهم بما أنّ کلامهم حجّة علی حسب کلام الرسول الأعظم الوارد فی حدیث الثقلین</w:t>
      </w:r>
      <w:r>
        <w:rPr>
          <w:rStyle w:val="FootnoteAnchor"/>
          <w:rtl w:val="true"/>
        </w:rPr>
        <w:footnoteReference w:id="175"/>
      </w:r>
      <w:r>
        <w:rPr>
          <w:rFonts w:ascii="IRNazanin" w:hAnsi="IRNazanin" w:eastAsia="IRNazanin"/>
          <w:color w:val="111111"/>
          <w:sz w:val="28"/>
          <w:sz w:val="28"/>
          <w:szCs w:val="28"/>
          <w:rtl w:val="true"/>
          <w:lang w:bidi="fa-IR"/>
        </w:rPr>
        <w:t>والذی مفاده أنّ العترة الطاهرة هم المرجع الدینی والعلمی فی جنب القرآن الکریم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یکون للآیة إطلاق کما اخترناه، وإمّا أن یکون له إطلاق، وکلامهم مخصّص أو مقیّد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الأوّل أنّه ما اعترض علیهم أحدٌ من أصحابهم علیهم السلام، ولم یناقشوهم بأنّ کلامهم فی حرمان الزوجة مخالف للقرآن العزیز، مع أنّهم فی الموارد الاخری إذا کان فی أذهانهم شی‌ء من توهّم المخالفة للقرآن ذکروه وطلبوا الجواب من الإمام علیه السلام، فراجع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یصحّ أن یُقال بترجیح موثّقة ابن أبی یعفور علی سائر الروایات الدالّة علی الحرمان من جهة أنّها موافقة للقرآن الکریم،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المخالفة ولزوم ترک المخالف للقرآن هی المخالفة الکلّیّة ولا تشمل المخالفة بالعموم والخصوص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عبد الرحمن وإن صرّح الشیخ بأنّها صحیحة ولکن الظاهر أنّها ضعیفة لا یمکن الاعتماد علیها، وبناءً علی ذلک نقول بتساقط المرجّحین ونذهب إلی أنّ موثّقة ابن أبی یعفور وبعض ما دلّ علی عدم الحرمان لا یقاومانِ الروایات المتواترة الدالّة علی الحرمان کما هو واضح جدّاً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منحصرة بمقطوعة عمر بن اذینة وهی ما ذکره الشیخ الطوسی بإسناده عن محمّد بن أحمد بن یحیی، عن یعقوب بن یزید، عن ابن أبی عمیر، عن ابن اذینة فی النساء، إذا کان لهنّ ولد اعطین من الرباع</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هذه الروایة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شاهدة للجمع بین الطائفة الاولی والثانیة؛ بمعنی أن نحمل الاولی علی ما إذا لم یکن للزوجة ولد من الزوج، والثانیة علی ما إذا کان لها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عدم صلاحیّة تعارض الثانیة مع الاولی وقلنا بلزوم حملها علی التقیّة أو الإعراض أو شی‌ء آخر، فهذه الثالثة قرینة علی تقیید الاولی بما إذا لم یکن لها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فتوی کثیر من المتأخّرین وجمع من المتقدّمین، بالتفصیل بین ذات الولد وغیرها مستندة إلی هذه المقطوعة وإن کان للقول بالتفصیل طرقٌ اخری نذکرها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حول هذه الطائفة فی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روایة صادرة عن المعصوم علیه السلام أم لا، بل یحتمل أنّها من فتاوی ابن اذینة من جهة أنّها مقطوعة غیر مسندة إلی الإمام علیه السلام وقد ثبت فی محلّه کبرویّاً عدم اعتبار المقطوعة کالمضمرة والمرسلة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التعبیر بالمقطوعة فی کلمات الفقهاء هو الأعمّ ممّا إذا لم یذکر اسم الإمام لا صراحة ولا إشارة، وممّا إذا ذکر اسمه الشریف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خصّ أهل الدرایة هذا الاصطلاح</w:t>
      </w:r>
    </w:p>
    <w:p>
      <w:pPr>
        <w:pStyle w:val="BookText"/>
        <w:rPr/>
      </w:pPr>
      <w:r>
        <w:rPr>
          <w:rFonts w:ascii="IRNazanin" w:hAnsi="IRNazanin" w:eastAsia="IRNazanin"/>
          <w:color w:val="111111"/>
          <w:sz w:val="28"/>
          <w:sz w:val="28"/>
          <w:szCs w:val="28"/>
          <w:rtl w:val="true"/>
          <w:lang w:bidi="fa-IR"/>
        </w:rPr>
        <w:t>بالمعنی الأوّل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فقد اختلفوا فی أنّ المقطوعة هل تجبر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الشهرة جابرة لضعف السند أم لا، کما أنّ الأحادیث المرسلة والضعیفة تجبران بعمل المشهور أم لا، بل الفرق موجود بین المقطوعة وغیرها؟</w:t>
      </w:r>
    </w:p>
    <w:p>
      <w:pPr>
        <w:pStyle w:val="BookText"/>
        <w:rPr/>
      </w:pPr>
      <w:r>
        <w:rPr>
          <w:rFonts w:ascii="IRNazanin" w:hAnsi="IRNazanin" w:eastAsia="IRNazanin"/>
          <w:color w:val="111111"/>
          <w:sz w:val="28"/>
          <w:sz w:val="28"/>
          <w:szCs w:val="28"/>
          <w:rtl w:val="true"/>
          <w:lang w:bidi="fa-IR"/>
        </w:rPr>
        <w:t>فقد صرّح المحقّق السبزواری فی کفایته</w:t>
      </w:r>
      <w:r>
        <w:rPr>
          <w:rStyle w:val="FootnoteAnchor"/>
          <w:rtl w:val="true"/>
        </w:rPr>
        <w:footnoteReference w:id="178"/>
      </w:r>
      <w:r>
        <w:rPr>
          <w:rFonts w:ascii="IRNazanin" w:hAnsi="IRNazanin" w:eastAsia="IRNazanin"/>
          <w:color w:val="111111"/>
          <w:sz w:val="28"/>
          <w:sz w:val="28"/>
          <w:szCs w:val="28"/>
          <w:rtl w:val="true"/>
          <w:lang w:bidi="fa-IR"/>
        </w:rPr>
        <w:t>وتبعه صاحب الجواهر</w:t>
      </w:r>
      <w:r>
        <w:rPr>
          <w:rStyle w:val="FootnoteAnchor"/>
          <w:rtl w:val="true"/>
        </w:rPr>
        <w:footnoteReference w:id="179"/>
      </w:r>
      <w:r>
        <w:rPr>
          <w:rFonts w:ascii="IRNazanin" w:hAnsi="IRNazanin" w:eastAsia="IRNazanin"/>
          <w:color w:val="111111"/>
          <w:sz w:val="28"/>
          <w:sz w:val="28"/>
          <w:szCs w:val="28"/>
          <w:rtl w:val="true"/>
          <w:lang w:bidi="fa-IR"/>
        </w:rPr>
        <w:t>بأنّ عمل المشهور لا یکون جابراً لضعف المقطوعة من جهة أنّ الجبران إنّما هو فیما إذا کان الکلام منقولًا عن الإمام علیه السلام، وأمّا فیما إذا لم یکن منقولًا فلا معنی ولا موضوع للجبران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المشهور إذا کان مستنداً إلی الروایة الضعیفة یکون جابراً لضعفها، وفی المقطوعة من جهة أنّه لم یحرز أنّها کلام الإمام علیه السلام أو کلام غیره فلا یحرز استناد المشهور، بل لا موضوع ولا معنی لاستناد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بعض المحقّقین کالشعرانی إلی عدم الفرق فی المقام، فقال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وجه الفرق ظاهراً عندی بل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المقطوعة والمضمرة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یجبران بالشهرة إن قیل بالانجبار، ولا فرق بینهما</w:t>
      </w:r>
    </w:p>
    <w:p>
      <w:pPr>
        <w:pStyle w:val="BookText"/>
        <w:rPr/>
      </w:pPr>
      <w:r>
        <w:rPr>
          <w:rFonts w:ascii="IRNazanin" w:hAnsi="IRNazanin" w:eastAsia="IRNazanin"/>
          <w:color w:val="111111"/>
          <w:sz w:val="28"/>
          <w:sz w:val="28"/>
          <w:szCs w:val="28"/>
          <w:rtl w:val="true"/>
          <w:lang w:bidi="fa-IR"/>
        </w:rPr>
        <w:t>وبین سائر الضعاف؛ لأنّ مناط جبر الشهرة قوّة الظنّ بکون الحدیث أو مضمونه صادراً من المعصوم، وهذا حاصل فی المقطوعة أیضاً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تبعه بعض الفقهاء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المقطوع والمرسل إذا حصل الاطمئنان بصدور المتن أو المضمون من المعصوم وعمل المشهور وفتوی الأصحاب وتخریجه فی الکتب المعدّة یوجب الاطمئنان بالصدور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العلم أو الاطمینان متوقّف علی استناد المشهور إلی الروایة بما أنّها کلام المعصوم علیه السلام، وموضوع الاستناد فی المقام منتفٍ جدّاً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أنّا قد أثبتنا فی بیان الأقوال أنّ القول بالتفصیل لیس مشهوراً عند القدماء لو لم یکن القول بالإطلاق مشهوراً، وقد صرّح السیّد بحر العلوم فی بلغة الفقیه بأنّ القولین متکافئان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جمع بکونها روایة عن المعصوم وذلک من جهة القرائن الموجودة؛ ذهب إلیه صاحب مفتاح الکرامة</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والشعرانی وبعض المعاصرین، ولکن صرّح الکثیر منهم بأنّها غیر محرزة الروایة ویحتمل أن تکون من فتاوی ابن اذینة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الأردبیلی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ظاهرها أنّه فتواه حیث ما أسند إلی أحد ولا بظاهر ولا بمضمر، بل هو قال من عند نفسه کما یقول الإنسان فتواه ولیست هی مثل سائر المقطوعات والمرسلات حتّی یقال الظاهر أنّ نقل مثله إنّما یکون عن الإمام علیه السلام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السبزواری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أنّه کلام ابن اذینة وفتواه ولیس شأنه شأن سائر المرسلات والمقطوعات والمضمرات التی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نقل مثلها إنّما هو عن الإمام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الشهید الثانی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ابن اذینة فهی مقطوعة لأنّه لم یسند القول إلی الإمام فسقط الاحتجاج بها رأساً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الشیخ محمّد تقی البروجردی قدس سره</w:t>
      </w:r>
      <w:r>
        <w:rPr>
          <w:rFonts w:eastAsia="IRNazanin" w:cs="IRNazanin"/>
          <w:color w:val="111111"/>
          <w:sz w:val="28"/>
          <w:szCs w:val="28"/>
          <w:rtl w:val="true"/>
          <w:lang w:bidi="fa-IR"/>
        </w:rPr>
        <w:t>:</w:t>
      </w:r>
      <w:bookmarkStart w:id="75" w:name="pg2940_31677"/>
    </w:p>
    <w:p>
      <w:pPr>
        <w:pStyle w:val="BookText"/>
        <w:rPr/>
      </w:pPr>
      <w:bookmarkEnd w:id="75"/>
      <w:r>
        <w:rPr>
          <w:rFonts w:ascii="IRNazanin" w:hAnsi="IRNazanin" w:eastAsia="IRNazanin"/>
          <w:color w:val="111111"/>
          <w:sz w:val="28"/>
          <w:sz w:val="28"/>
          <w:szCs w:val="28"/>
          <w:rtl w:val="true"/>
          <w:lang w:bidi="fa-IR"/>
        </w:rPr>
        <w:t>لاحتمال کونها رأیاً من الراوی</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 المحقّق الأراکی قدس سره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واللّازم ملاحظة قرائن الطرفین</w:t>
      </w:r>
      <w:r>
        <w:rPr>
          <w:rFonts w:eastAsia="IRNazanin" w:cs="IRNazanin"/>
          <w:color w:val="111111"/>
          <w:sz w:val="28"/>
          <w:szCs w:val="28"/>
          <w:rtl w:val="true"/>
          <w:lang w:bidi="fa-IR"/>
        </w:rPr>
        <w:t>:</w:t>
      </w:r>
    </w:p>
    <w:p>
      <w:pPr>
        <w:pStyle w:val="Heading3"/>
        <w:numPr>
          <w:ilvl w:val="2"/>
          <w:numId w:val="1"/>
        </w:numPr>
        <w:rPr/>
      </w:pPr>
      <w:bookmarkStart w:id="76" w:name="__RefHeading___Toc95089_2749589250"/>
      <w:bookmarkStart w:id="77" w:name="_Toc29"/>
      <w:bookmarkEnd w:id="76"/>
      <w:r>
        <w:rPr>
          <w:rtl w:val="true"/>
        </w:rPr>
        <w:t>القرائن الدالّة علی أنّها روایة</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تکرّره فی الجوامع العظام الثلاثة الفقیه والاستبصار والتهذیب التی ما سیقت إلّاللروایة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منّا أنّ الشیخ وإن ذکرها فی الاستبصار ولکن کلامه مشعر بعدم ارتضائه کما صرّح به العلّامة فی المختلف</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کون الکلام روایة عن الصدوق والشیخ لا یدلّ ولا یوجب أن یکون کذلک عند الجمیع، فربّما حصل لهما اجتهاداً أنّها روایة وهذا لا یجب اتّباعه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یوجد بعض الفتاوی فی هذه الکتب الثلاثة فإنّ کثیراً ما یوجد فیها المقطوعات التی لم یعتمد علیها الفقهاء فلابدّ من حملها علی کونها من قبیل فتاوی الرواة، وإلیک بعض النماذج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نجاسة الغسالة، وقد ذکرت روایة عن ابن سنان دالّة علی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مقطوعة لا یُعتمد علیها وإنّما هو کلام من أبی بصیر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الکلام یحمل علی أنّه من فتاوی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کفّارة الادهان أنّها شاة إذا کان عن علم وعمد، قال المحقّق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یهوّن الخطب أنّ مدلول الروایة لم یکن منقولًا عن الإمام علیه السلام، بل الظاهر أنّ ذلک فتوی لمعاویة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مقطوعة، ودعوی الجزم بأنّ معاویة بن عمّار لا یفتی إلّابما سمع من الإمام ولا یخبر إلّاعنه عهدتها علی مدّعیها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المحقّق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رفاعة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مقطوعة غیر منسوبة إلی المعصوم علیه السلام ولعلّه فتواه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هذه المقطوعة لکان اللّازم قبول سائر المقطوعات أیضاً لوجودها أیضاً فی الکتب الحدیثیّة، مع أنّ دأب القوم لیس کذلک وقد صرّحوا فی کثیر من الموارد بعدم اعتبار المقطوعة، کما أنّهم صرّحوا بأنّ مجرّد الظنّ بکونها موصولة إلی</w:t>
      </w:r>
    </w:p>
    <w:p>
      <w:pPr>
        <w:pStyle w:val="BookText"/>
        <w:rPr/>
      </w:pPr>
      <w:r>
        <w:rPr>
          <w:rFonts w:ascii="IRNazanin" w:hAnsi="IRNazanin" w:eastAsia="IRNazanin"/>
          <w:color w:val="111111"/>
          <w:sz w:val="28"/>
          <w:sz w:val="28"/>
          <w:szCs w:val="28"/>
          <w:rtl w:val="true"/>
          <w:lang w:bidi="fa-IR"/>
        </w:rPr>
        <w:t xml:space="preserve">الإمام علیه السلام غیر کاف فی الاعتماد علیها؛ فقد صرّح ابن أبی عقیل بأنّ مقطوعة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الإنسان اثنان ففیه الدیة وفی أحدهما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مُعتمد علیه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وصرّح أیضاً الشیخ فی الاستبصار بأنّ الروایة الواردة فی المصلّی وهو یصلّی وفی قبلته نار؛ بأنّ هذه روایة شاذّة مقطوعة الإسناد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وصرّح صاحب الحدائق بأنّ ما ذکره عمر بن یزید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فی وادی المحسّر قدر مأة ذراع، مقطوعة غیر قابلة للاعتماد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فالسؤال المهمّ أنّ الفقهاء قد صرّحوا بعدم اعتبار سائر المقطوعات، فکیف ذهب بعضهم إلی جواز العمل بهذه المقطوعة؟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عن ابن اذینة، هو ابن أبی عمیر، وهذا یکشف عن أنّها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راویها ابن أبی عمیر الذی علم حاله فی التحفّظ والتحرّز فلعلّها کانت مسندة إلی معصوم عن ثقة ولمّا ذهبت کتبه نسی الثقة والمعصوم فوقف بها علی ابن اذینة وإلّا فما کان ابن أبی عمیر لیروی مذهب ابن اذینة ومثله یعقوب بن یزید الثقة، وکذا محمّد بن أحمد الثقة الجلیل، بل ولا</w:t>
      </w:r>
    </w:p>
    <w:p>
      <w:pPr>
        <w:pStyle w:val="BookText"/>
        <w:rPr/>
      </w:pPr>
      <w:r>
        <w:rPr>
          <w:rFonts w:ascii="IRNazanin" w:hAnsi="IRNazanin" w:eastAsia="IRNazanin"/>
          <w:color w:val="111111"/>
          <w:sz w:val="28"/>
          <w:sz w:val="28"/>
          <w:szCs w:val="28"/>
          <w:rtl w:val="true"/>
          <w:lang w:bidi="fa-IR"/>
        </w:rPr>
        <w:t>کان الشیخ والصدوق الذی لا یروی إلّاما هو عنده حجّة بینه وبین ربّه عزّ وجلّ</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فعمر بن اذینة من أضبط الناس علی ما یعرف من تتبّع روایاته وکان له کتاب الفرائض وما فی کتابه منقول کثیراً عن جماعة من أصحاب الصادقین علیهما السلام ولم یکن یکتفی بالسماع من واحد منهم، واحتمال کون الحکم استنباطاً من رأی ابن اذینة بعید فی الغایة ومدفوع بشهرة العمل بها ولیس ابن اذینة ممّن نقل عنه قول اجتهاداً کالفضل ویونس وجعفر وسماعة، ولابدّ أن یکون علماؤنا عارفین بقرائن فی کتابه تدلّ علی کونه منقولًا عن الإمام علیه السلام</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تتبّعنا أکثر الموارد التی نقل ابن أبی عمیر عن ابن اذینة، فقد ورد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زرارة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محمّد بن حکیم عن میمون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عمیر عن ابن اذینة عن أبی عبد اللَّه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الأحول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برید العجلی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عبداللَّه بن سلیمان عن حمران بن أعین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برید بن معاویة عن أبی جعفر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أبی اسامة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محمّد بن مسلم، زرارة، معمّر بن یحیی وإسماعیل الجعفی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زرارة وبکیر ابنی أعین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عمیر عن ابن اذینة عن بعض أصحابه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أنّه فی جمیع الموارد یذکر من نقله ابن اذینة عنه حتّی فیما إذا کان متعدّداً یصرّح بأسمائهم، فکیف نسی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إذا کان الإمام مردّداً یعبّر عنه بأحدهما ولا یصرّح باسمه الشریف، فکیف فی هذا المورد لم یذکر الراوی والمروی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ویستفاد من التتبّع أنّ ابن اذینة قلیلًا ما یذکر عن الإمام علیه السلام بدون واسطة، بل فی أکثر الموارد یذکر مع الواسطة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أنّ ما ذکره فی ذیل کلامه من اعتماد الأجلّاء علی هذه</w:t>
      </w:r>
      <w:bookmarkStart w:id="78" w:name="pg2940_31682"/>
    </w:p>
    <w:p>
      <w:pPr>
        <w:pStyle w:val="BookText"/>
        <w:rPr/>
      </w:pPr>
      <w:bookmarkEnd w:id="78"/>
      <w:r>
        <w:rPr>
          <w:rFonts w:ascii="IRNazanin" w:hAnsi="IRNazanin" w:eastAsia="IRNazanin"/>
          <w:color w:val="111111"/>
          <w:sz w:val="28"/>
          <w:sz w:val="28"/>
          <w:szCs w:val="28"/>
          <w:rtl w:val="true"/>
          <w:lang w:bidi="fa-IR"/>
        </w:rPr>
        <w:t>العبارة بعنوان الروایة غیر تامّ؛ فإنّ محمّد بن أحمد بن یحیی قال النجاشی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فی الحدیث إلّاأنّ أصحابنا قالوا کان یروی عن بعض الضعفاء ویعتمد المراسیل ولا یبالی عمّن أخذ</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95091_2749589250"/>
      <w:bookmarkStart w:id="80" w:name="_Toc30"/>
      <w:bookmarkEnd w:id="79"/>
      <w:r>
        <w:rPr>
          <w:rtl w:val="true"/>
        </w:rPr>
        <w:t>القرائن الدالّة علی أنّها فتواه ورأیه</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المقطوعة کانت بمرأی ومنظر من الشیخ المفید والسیّد المرتضی وابن إدریس والمحقّق فی النافع وکاشف الرموز، فالسؤال أنّهم لِمَ لم یعتمدوا علیها ولم یستندوا إلیها؟</w:t>
      </w:r>
    </w:p>
    <w:p>
      <w:pPr>
        <w:pStyle w:val="BookText"/>
        <w:rPr/>
      </w:pPr>
      <w:r>
        <w:rPr>
          <w:rFonts w:ascii="IRNazanin" w:hAnsi="IRNazanin" w:eastAsia="IRNazanin"/>
          <w:color w:val="111111"/>
          <w:sz w:val="28"/>
          <w:sz w:val="28"/>
          <w:szCs w:val="28"/>
          <w:rtl w:val="true"/>
          <w:lang w:bidi="fa-IR"/>
        </w:rPr>
        <w:t>فهل من الممکن أن یکون عندهم بعنوان الروایة ومع ذلک لم یتعرّضوا لها؟</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المقطوعة روایة عندهم فلا أقلّ کان اللّازم أن یذکروها ویصرّحوا بعدم الاعتماد علیها أو لزوم الإعراض عنها، مع أنّا نری عدم تعرّضهم لهذه المقطوعة، فهذا یقوّی کونها فتوی له ولا أقلّ من الشکّ فی کونها روایة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النافیة المطلقة کانت بصدد بیان جمیع الخصوصیّات وندّعی أنّها لم تکن فی حدّ الإطلاق فحسب، بل هی أقوی من الإطلاق وتکون بمنزلة المصرّحة بعدم الفرق بین ذات الولد وغیرها، فإنّ السائل حینما کان یسأل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لهنّ من</w:t>
      </w:r>
    </w:p>
    <w:p>
      <w:pPr>
        <w:pStyle w:val="BookText"/>
        <w:rPr/>
      </w:pPr>
      <w:r>
        <w:rPr>
          <w:rFonts w:ascii="IRNazanin" w:hAnsi="IRNazanin" w:eastAsia="IRNazanin"/>
          <w:color w:val="111111"/>
          <w:sz w:val="28"/>
          <w:sz w:val="28"/>
          <w:szCs w:val="28"/>
          <w:rtl w:val="true"/>
          <w:lang w:bidi="fa-IR"/>
        </w:rPr>
        <w:t>المیراث وکان الإمام بصدد بیان جمیع الخصوصیّات ولم یتفوّه بالفرق بین ذات الولد وغیرها، یظهر أنّ الفرق غیر صحیح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الروایات تدلّ علی عدم الفرق من جهة الإطلاق المقامی وهو أقوی من الإطلاق اللفظی،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یتصوّر أنّ الإمام علیه السلام یذکر حکم الطوب والخشب والقصب ولکن لم یذکر الفرق بین ذات الولد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الخامسة من الروایات السبعة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الفضلاء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راویها ابن أبی عمیر عن ابن اذینة صریحة فی عدم الفرق بین وجود الولد وعدمه، فإنّ الإمام یصرّح فیها بأنّها تعطی ربعها أو ثمنها، والربع فی فَرض عدم وجود الولد للمیّت والثمن فی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التفصیل فی المقام فیما إذا کانت المرأة ذات ولد من المیّت ووجود الفرق بینه وبین وجود الولد للمیّت واضح، فیمکن أن یکون للمیّت ولد من زوجة اخری صارت مطلّقة ولکن بعد التزویج بامرأة اخری لم یکن له منها ولد، ومع وجود الفرق بینهما فی نفس الأمر لکن الظاهر اتّحادهما فی الروایة بمعنی وجود الولد للمیّت من هذه المرأة المتوفّی عنها زوجها، فتدبّر جدّاً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لابن اذینة أنّه نقل عن الفضلاء الخمسة من أحدهما علیهما السلام کلاماً دالّاً علی عدم الفرق بین ذات الولد وغیرها، ثمّ</w:t>
      </w:r>
    </w:p>
    <w:p>
      <w:pPr>
        <w:pStyle w:val="BookText"/>
        <w:rPr/>
      </w:pPr>
      <w:r>
        <w:rPr>
          <w:rFonts w:ascii="IRNazanin" w:hAnsi="IRNazanin" w:eastAsia="IRNazanin"/>
          <w:color w:val="111111"/>
          <w:sz w:val="28"/>
          <w:sz w:val="28"/>
          <w:szCs w:val="28"/>
          <w:rtl w:val="true"/>
          <w:lang w:bidi="fa-IR"/>
        </w:rPr>
        <w:t>یذکر ثانیاً وجود الفرق بینهما، وهل هذا کاشف عن کون الثانی لیس روایة بل هی فتواه ورأیه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کلمات الرواة فی هذه الروایات أنّ عدم الفرق بین ذات الولد وغیرها کان أمراً مسلّماً عندهم، کما أنّه یستفاد من بعض الروایات أنّ حرمان الزوجة من العقار کان مفروضاً واضحاً عندهم، فما ذکره ابن أبی یعفور من أنّ الرجل یکون فی ذلک بمنزلة المرأة فلا یرث من ذلک یعنی من العقار شیئاً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منّا</w:t>
      </w:r>
      <w:r>
        <w:rPr>
          <w:rStyle w:val="FootnoteAnchor"/>
          <w:rtl w:val="true"/>
        </w:rPr>
        <w:footnoteReference w:id="199"/>
      </w:r>
      <w:r>
        <w:rPr>
          <w:rFonts w:ascii="IRNazanin" w:hAnsi="IRNazanin" w:eastAsia="IRNazanin"/>
          <w:color w:val="111111"/>
          <w:sz w:val="28"/>
          <w:sz w:val="28"/>
          <w:szCs w:val="28"/>
          <w:rtl w:val="true"/>
          <w:lang w:bidi="fa-IR"/>
        </w:rPr>
        <w:t>من أنّه بعد التتبّع فی ما ذکره ابن اذینة نری أنّه فی کثیر من الموارد یذکر عن الإمام علیه السلام مع الواسطة حتّی فی بعض الموارد یذکر عن الإمام علیه السلام بالوسائط المتعدّدة، فهذا یوجب ظنّاً قویّاً لنا فی أنّ المقطوعة لیست کلاماً من الإمام، وأیضاً لم تکن منقولة عن أحد من أصحابه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الدالّة علی کونها رأیه وفتواه قویّة جدّاً، ونحن لا نحتاج إلی هذه القرائن، بل یکفی عدم إثبات کونها کلاماً من المعصوم علیه السلام فلا یمکن الاعتماد علیها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الإشکالات فیها من حیث الدلالة مع فرض کونها کلاماً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بنینا علی کونها کلاماً من الإمام علیه السلام وجعلناها شاهداً علی الجمع بین الروایات النافیة والروایات العامّة المثبتة فیلزم من ذلک إخراج مورد بعض الروایات منها، وهذا قبیحٌ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عبید بن زرارة والفضل أبی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تزوّج امرأة ثمّ مات عنها وقد فرض لها الصداق؟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نصف الصداق وترثه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الروایة من جهة أنّه صرّح علیه السلام بنصف الصداق، نفهم عدم وجود ولد للمیّت، فلو حملنا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مقطوعة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لم یکن لها ولد لَلَزم إخراج مورد الروایة، وهذا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الإشکال متین لا یمکن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الروایات النافیة علی ما إذا لم یکن لها ولد، حمل علی الفرد النادر فإنّ الغالب وجود الولد لها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نادراً، بل کثیراً ما لا یکون للزوجة ولد من زوجها المتوفّی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وفساده واضح ولعلّه من سهو قلمه الشریف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حیث إنّه علی خلاف القاعدة والأصل</w:t>
      </w:r>
    </w:p>
    <w:p>
      <w:pPr>
        <w:pStyle w:val="BookText"/>
        <w:rPr/>
      </w:pPr>
      <w:r>
        <w:rPr>
          <w:rFonts w:ascii="IRNazanin" w:hAnsi="IRNazanin" w:eastAsia="IRNazanin"/>
          <w:color w:val="111111"/>
          <w:sz w:val="28"/>
          <w:sz w:val="28"/>
          <w:szCs w:val="28"/>
          <w:rtl w:val="true"/>
          <w:lang w:bidi="fa-IR"/>
        </w:rPr>
        <w:t>والروایات الدالّة علیه بحکم التعلیل الوارد فیها تناسب مع غیر ذات الولد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الجواب لا یرتبط بالإشکال أصلًا، مضافاً إلی أنّ الحکمة لو لم تکن أنسب مع کونها ذات ولد لما کان ظاهراً فی غیر ذات الولد، بل من هذه الجهة عامّ، وقد صرّح صاحب مفتاح الکرامة بأنّ نسبة الحکمة إلیهما سواء وإن کان بالنسبة إلی غیر ذات الولد أقوی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التفصیل فی الروایات بین قیمة البناء وعین التربة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أیضاً غیر مرتبط بالإشکال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مرکوزیّة العمل به فی ذات الولد حتّی من قبل أصحاب الأئمّة علیهم السلام، بمعنی أنّ ارتکاز أصحاب الأئمّة علیهم السلام عدم حرمان الزوجة إذا کان لها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یعتمد علی هذا الارتکاز، وکیف یدّعیه مع أنّ الأصحاب نقلوا هذه الروایات المستفیضة غیر المفصّلة بین ذات الولد وغیرها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اختصاصه بخصوص الزوجة غیر ذات الولد تخصیص عمومات أو مطلقات واضحة عامّة البلوی بموارد نادرة لیکون مستهجناً أو غیر محتمل، بل علی العکس من ذلک باعتبار</w:t>
      </w:r>
    </w:p>
    <w:p>
      <w:pPr>
        <w:pStyle w:val="BookText"/>
        <w:rPr/>
      </w:pPr>
      <w:r>
        <w:rPr>
          <w:rFonts w:ascii="IRNazanin" w:hAnsi="IRNazanin" w:eastAsia="IRNazanin"/>
          <w:color w:val="111111"/>
          <w:sz w:val="28"/>
          <w:sz w:val="28"/>
          <w:szCs w:val="28"/>
          <w:rtl w:val="true"/>
          <w:lang w:bidi="fa-IR"/>
        </w:rPr>
        <w:t>غموض أصل مفاد هذه الروایات وکونه علی خلاف الأصل والقاعدة وظواهر القرآن والأحادیث والشهرة وعمل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وضوح الإطلاق فی الأخبار والروایات النافیة وادّعاء الغموض فیها غیر صحیح جدّاً، کما أنّ مخالفة الأصل والقاعدة غیر واضحة جدّاً، فأیّ أصل أو قاعدة یدلّ علی إرثها من جمیع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ظواهر القرآن فقد مرّ الجواب عنها، کما أنّ النسبة إلی الشهرة قد مرّ بطلانها، وکذلک عمل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وبالنتیجة هذه الوجوه للجواب عن الإشکال لا یمکن الاتّکال علیها، وعلیه فالجواب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المستهجن هو تخصیصات متعدّدة متکثّرة، وأمّا التخصیص إذا کان واحداً ولکن الأفراد التی تخرج عن دائرة العامّ کانت کثیرة لم یکن مستهجناً،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الرقبة الکافرة، فیصحّ التقیید ولو کان أفراد المؤمن بین الرقبات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ابن اذینة إنّما هو بالنسبة إلی الرباع،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النساء إذا کان لهنّ ولد اعطین من الرباع، والاعتماد علیه موجب لعدم حرمان الزوجة عن الرباع وحرمانها عن سائر الأراضی، وهذا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الرباع هی القدر المتیقّن من الحکم</w:t>
      </w:r>
      <w:bookmarkStart w:id="81" w:name="pg2940_31688"/>
    </w:p>
    <w:p>
      <w:pPr>
        <w:pStyle w:val="BookText"/>
        <w:rPr/>
      </w:pPr>
      <w:bookmarkEnd w:id="81"/>
      <w:r>
        <w:rPr>
          <w:rFonts w:ascii="IRNazanin" w:hAnsi="IRNazanin" w:eastAsia="IRNazanin"/>
          <w:color w:val="111111"/>
          <w:sz w:val="28"/>
          <w:sz w:val="28"/>
          <w:szCs w:val="28"/>
          <w:rtl w:val="true"/>
          <w:lang w:bidi="fa-IR"/>
        </w:rPr>
        <w:t>بحرمان الزوجة من إرث الأرض بحیث لا یحتمل فقهیّاً ولا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لسان الروایات ومناسبة التعلیل الوارد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الحرمان بغیر الرباع من الأراضی فتکون الصحیحة دالّة علی عدم حرمان الزوجة من إرث سائر الأراضی غیر الرباع بطریق أولی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الجواب متین جدّاً، ونضیف إلیه أنّ هذا الإشکال یصحّ علی القول المشهور، وأمّا بناءً علی ما ذهب إلیه المفید فلا یرد کما هو و</w:t>
      </w:r>
    </w:p>
    <w:p>
      <w:pPr>
        <w:pStyle w:val="BookText"/>
        <w:rPr/>
      </w:pPr>
      <w:r>
        <w:rPr>
          <w:rFonts w:ascii="IRNazanin" w:hAnsi="IRNazanin" w:eastAsia="IRNazanin"/>
          <w:color w:val="111111"/>
          <w:sz w:val="28"/>
          <w:sz w:val="28"/>
          <w:szCs w:val="28"/>
          <w:rtl w:val="true"/>
          <w:lang w:bidi="fa-IR"/>
        </w:rPr>
        <w:t>اضح</w:t>
      </w:r>
      <w:r>
        <w:rPr>
          <w:rFonts w:eastAsia="IRNazanin" w:cs="IRNazanin"/>
          <w:color w:val="111111"/>
          <w:sz w:val="28"/>
          <w:szCs w:val="28"/>
          <w:rtl w:val="true"/>
          <w:lang w:bidi="fa-IR"/>
        </w:rPr>
        <w:t>.</w:t>
      </w:r>
    </w:p>
    <w:p>
      <w:pPr>
        <w:pStyle w:val="Heading2"/>
        <w:numPr>
          <w:ilvl w:val="1"/>
          <w:numId w:val="1"/>
        </w:numPr>
        <w:rPr/>
      </w:pPr>
      <w:bookmarkStart w:id="82" w:name="__RefHeading___Toc95093_2749589250"/>
      <w:bookmarkStart w:id="83" w:name="_Toc31"/>
      <w:bookmarkEnd w:id="82"/>
      <w:r>
        <w:rPr>
          <w:rtl w:val="true"/>
        </w:rPr>
        <w:t>الدلیل الثانی للتفصیل</w:t>
      </w:r>
      <w:r>
        <w:rPr>
          <w:rtl w:val="true"/>
        </w:rPr>
        <w:t xml:space="preserve">: </w:t>
      </w:r>
      <w:r>
        <w:rPr>
          <w:rtl w:val="true"/>
        </w:rPr>
        <w:t>انقلاب النسبة</w:t>
      </w:r>
      <w:bookmarkEnd w:id="83"/>
    </w:p>
    <w:p>
      <w:pPr>
        <w:pStyle w:val="BookText"/>
        <w:rPr/>
      </w:pPr>
      <w:r>
        <w:rPr>
          <w:rFonts w:ascii="IRNazanin" w:hAnsi="IRNazanin" w:eastAsia="IRNazanin"/>
          <w:color w:val="111111"/>
          <w:sz w:val="28"/>
          <w:sz w:val="28"/>
          <w:szCs w:val="28"/>
          <w:rtl w:val="true"/>
          <w:lang w:bidi="fa-IR"/>
        </w:rPr>
        <w:t>وقد یستدلّ للتفصیل مع قطع النظر عن مقطوعة ابن اذینة، عن طریق انقلاب النسبة فی المقام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الطائفة الاولی والطائفة الثانیة هی العموم من وجه، بمعنی أنّ الروایات الدالّة علی حرمان الزوجة من العقار مباینة مع الروایات الدالّة المصرّحة بإرثها من کلّ شی‌ء، ولکن من جهة وجود الإجماع علی حرمان غیر ذات الولد، تخصّص الثانیة وبعد التخصیص تنقلب النسبة بین الاولی والثانیة إلی العموم والخصوص المطلق، بمعنی أنّ الثانیة أخصّ مطلقاً من الاولی فتخصّص الاولی بها والنتیجة هی الحرمان فی غیر ذات الولد وعدم</w:t>
      </w:r>
    </w:p>
    <w:p>
      <w:pPr>
        <w:pStyle w:val="BookText"/>
        <w:rPr/>
      </w:pPr>
      <w:r>
        <w:rPr>
          <w:rFonts w:ascii="IRNazanin" w:hAnsi="IRNazanin" w:eastAsia="IRNazanin"/>
          <w:color w:val="111111"/>
          <w:sz w:val="28"/>
          <w:sz w:val="28"/>
          <w:szCs w:val="28"/>
          <w:rtl w:val="true"/>
          <w:lang w:bidi="fa-IR"/>
        </w:rPr>
        <w:t>الحرمان فی ذات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محمّد آل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فی المقام، بل قد توهّمه بعض المعاصرین، تخصیص المطلقات بغیر ذات الولد مع قطع النظر عن مقطوعة ابن اذینة بدعوی اقتضاء الترتیب فی علاج الأخبار المتعارضة وذلک بتقریب أنّ الأخبار الآمرة بإرثها مطلقاً من کلّ شی‌ء مخصّصة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علی حرمان غیر ذات الولد، الخارجة به عن عمومها، وبعده تنقلب النسبة وتکون بینها وبین المطلقات النافیة للإرث نسبة العامّ والخاصّ المطلق فتخصّص تلک المطلقات بها، وهو المنتج للتفصیل بعد الحمل علیه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النسبة بین الاولی والثانیة مع قطع النظر عن الإجماع، تکون عموماً وخصوصاً مطلقاً؛ بمعنی أنّ الاولی خاصّ والثانیة عامّ، ولیست النسبة تبایناً أو من وجه حتّی تنقلب بعد جریان الإجماع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ینقضی تعجّبی کیف غفل القوم عن هذا المطلب ولم یتفطّنوا فی الجواب إلی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أنّ الشیخ الطوسی رحمه الله فی</w:t>
      </w:r>
    </w:p>
    <w:p>
      <w:pPr>
        <w:pStyle w:val="BookText"/>
        <w:rPr/>
      </w:pPr>
      <w:r>
        <w:rPr>
          <w:rFonts w:ascii="IRNazanin" w:hAnsi="IRNazanin" w:eastAsia="IRNazanin"/>
          <w:color w:val="111111"/>
          <w:sz w:val="28"/>
          <w:sz w:val="28"/>
          <w:szCs w:val="28"/>
          <w:rtl w:val="true"/>
          <w:lang w:bidi="fa-IR"/>
        </w:rPr>
        <w:t>الاستبصار</w:t>
      </w:r>
      <w:r>
        <w:rPr>
          <w:rStyle w:val="FootnoteAnchor"/>
          <w:rtl w:val="true"/>
        </w:rPr>
        <w:footnoteReference w:id="204"/>
      </w:r>
      <w:r>
        <w:rPr>
          <w:rFonts w:ascii="IRNazanin" w:hAnsi="IRNazanin" w:eastAsia="IRNazanin"/>
          <w:color w:val="111111"/>
          <w:sz w:val="28"/>
          <w:sz w:val="28"/>
          <w:szCs w:val="28"/>
          <w:rtl w:val="true"/>
          <w:lang w:bidi="fa-IR"/>
        </w:rPr>
        <w:t>فی مقام التوجیه بالنسبة إلی الطائفة الثانیة ذکر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بالطائفة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یصحّ إلّاإذا قلنا بأنّ النسبة بینهما من قبیل العموم والخصوص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بطلان انقلاب النسبة کبرویّاً، واللّازم ملاحظة ظهور کلّ دلیل مع دلیلٍ آخر، بحیث لو کان الدلیل الأوّل عامّاً ثمّ جاء المخصّص الأوّل والمخصّص الثانی لوجب ملاحظة کلّ مخصّص مع العامّ، مع قطع النظر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بعد التخصیص یکون ظهوره فی العموم باقیاً، وهذا الظهور هو الملاک 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بعض کصاحب البلغة إلی قبول الکبری وعدم انطباقها فی المقام،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انقلاب النسبة أمرٌ صحیح فی المخصّص المتّصل ولکن لا یجری فی المنفصل، وما نحن فیه یکون المخصّص هو الإجماع وهو لیس بمتّصل کما هو واضح</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البلغة وتبعه الشیخ محمّد تقی البروجردی فی</w:t>
      </w:r>
    </w:p>
    <w:p>
      <w:pPr>
        <w:pStyle w:val="BookText"/>
        <w:rPr/>
      </w:pPr>
      <w:r>
        <w:rPr>
          <w:rFonts w:ascii="Amiri" w:hAnsi="Amiri" w:eastAsia="Amiri" w:cs="Amiri"/>
          <w:color w:val="111111"/>
          <w:sz w:val="28"/>
          <w:sz w:val="28"/>
          <w:szCs w:val="28"/>
          <w:rtl w:val="true"/>
          <w:lang w:bidi="ar-SA"/>
        </w:rPr>
        <w:t>النخبة</w:t>
      </w:r>
      <w:r>
        <w:rPr>
          <w:rStyle w:val="FootnoteAnchor"/>
          <w:rtl w:val="true"/>
        </w:rPr>
        <w:footnoteReference w:id="206"/>
      </w:r>
      <w:r>
        <w:rPr>
          <w:rFonts w:ascii="IRNazanin" w:hAnsi="IRNazanin" w:eastAsia="IRNazanin"/>
          <w:color w:val="111111"/>
          <w:sz w:val="28"/>
          <w:sz w:val="28"/>
          <w:szCs w:val="28"/>
          <w:rtl w:val="true"/>
          <w:lang w:bidi="fa-IR"/>
        </w:rPr>
        <w:t>من عدم وجود إجماع علی حرمان غیر ذات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هو المتیقّن فی المقام بناءً علی الحرمان، ولکن بین کون شی‌ء متیقّناً وبین دلالة الدلیل وإقامة الدلیل علیه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فیه أنّ فی انقلاب النسبة لا یلزم وجود الدلیل الثالث، بل اللّازم وجود شی‌ء ثالث موجب للتصرّف فی الدلیل الأوّل والثانی، فلا فرق بین الإجماع علی هذا المقدار من الحرمان وبین کونه قدراً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المحقّق الحکیم قدس سره من أنّ الإجماع مدرکی لا یکون حجّة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منّا مراراً أنّ کون الإجماع مدرکیّاً لا یضرّ بحجّیته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المحقّق الحکیم قدس سره أیضاً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 بعد تسلیم الکبری لا تنقلب النسبة فی المقام إلی العموم والخصوص المطلق، بل تنقلب إلی عموم وخصوص من وجه؛ وذلک أنّ الأخبار المورثة تصیر بعد التخصیص بالإجماع عامّاً من جهة عدم وجود الفرق بین العقار وغیرها، وخاصّةً من جهة اختصاص الحرمان بغیر ذات الولد، کما أنّ الأخبار النافیة الدالّة علی الحرمان خاصّ من جهة الحرمان عن خصوص العقار وعامّ من</w:t>
      </w:r>
    </w:p>
    <w:p>
      <w:pPr>
        <w:pStyle w:val="BookText"/>
        <w:rPr/>
      </w:pPr>
      <w:r>
        <w:rPr>
          <w:rFonts w:ascii="IRNazanin" w:hAnsi="IRNazanin" w:eastAsia="IRNazanin"/>
          <w:color w:val="111111"/>
          <w:sz w:val="28"/>
          <w:sz w:val="28"/>
          <w:szCs w:val="28"/>
          <w:rtl w:val="true"/>
          <w:lang w:bidi="fa-IR"/>
        </w:rPr>
        <w:t>جهة عدم وجود الفرق بین ذات الولد وغیرها، فالنسبة بینهما بعد الانقلاب عموم وخصوص من وجه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سابقاً من أنّ النسبة من أوّل الأمر کانت عموماً وخصوصاً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أیضاً السیّد المحقّق الحکیم قدس سره</w:t>
      </w:r>
    </w:p>
    <w:p>
      <w:pPr>
        <w:pStyle w:val="BookText"/>
        <w:rPr/>
      </w:pPr>
      <w:r>
        <w:rPr>
          <w:rFonts w:ascii="IRNazanin" w:hAnsi="IRNazanin" w:eastAsia="IRNazanin"/>
          <w:color w:val="111111"/>
          <w:sz w:val="28"/>
          <w:sz w:val="28"/>
          <w:szCs w:val="28"/>
          <w:rtl w:val="true"/>
          <w:lang w:bidi="fa-IR"/>
        </w:rPr>
        <w:t>من أنّا لو سلّمنا انقلاب النسبة وأیضاً سلّمنا أنّ النسبة تنقلب إلی عموم وخصوص مطلقٍ،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الخاصّ المطلق لم یکن صالحاً لتخصیص العامّ فی المقام وإن کان الخاصّ فی سائر الموارد یکون مقدّماً علی العامّ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التخصیص بالإجماع تکون الأخبار المورثة دالّة علی إرثها من الجمیع إذا کانت ذات ولد، والإجماع دالّ علی حرمانها إذا کانت غیر ذات ولد، فأیّ مورد یبقی للأدلّة النافیة؟</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الأخبار النافیة إنّما هو بالنسبة إلی خصوص العقار، وهذا المدلول غیر موجود فی کلّ واحد من الإجماع والأخبار المورثة، فهذا الإشکال من السیّد الحکیم عجیب جدّاً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مجموع ذلک أنّ طریق انقلاب النسبة لإثبات التفصیل بین ذات الولد وغیرها، غیر تامّ أیضاً کبطلان الطریق الأوّل، وبناءً</w:t>
      </w:r>
    </w:p>
    <w:p>
      <w:pPr>
        <w:pStyle w:val="BookText"/>
        <w:rPr/>
      </w:pPr>
      <w:r>
        <w:rPr>
          <w:rFonts w:ascii="IRNazanin" w:hAnsi="IRNazanin" w:eastAsia="IRNazanin"/>
          <w:color w:val="111111"/>
          <w:sz w:val="28"/>
          <w:sz w:val="28"/>
          <w:szCs w:val="28"/>
          <w:rtl w:val="true"/>
          <w:lang w:bidi="fa-IR"/>
        </w:rPr>
        <w:t>علی ذلک لا وجه للتفصیل، وما ذهب إلیه جمعٌ من القدماء من عدم التفصیل حقیقٌ بالاعتماد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وبالنتیجة فقول المشهور من حرمان الزوجة مطلقاً سواء کانت ذات ولد أم لم تکن، قوی جدّاً ومطابق للتحقیق وموافق للأدلّة الموجودة والروایات المعتبرة ولا بأس هنا بذکر مؤیّد لهذا القول،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الروایات یدلّ علی أنّ الحسن بن علی علیهما السلام أوصی إلی أخیه الحسین بن علی علیهما السلام بأن یدفنه مع رسول اللَّه صلی الله علیه و آله فقد ذکر المجلسی </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وأن تدفننی مع رسول اللَّه صلی الله علیه و آله فإنّی أحقّ به وببیته ممّن أدخل بیته بغیر إذنه ولا کتاب جاءهم من بعده قال اللَّه فیما أنزله علی نبیّه صلی الله علیه و آله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لَاتَدْخُلُواْ بُیُوتَ النَّبِیّ إِلَّآ أَن یُؤْذَنَ لَکُمْ</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فواللَّه ما أذن لهم فی الدخول علیه فی حیاته بغیر إذنه ولا جاءهم الإذن فی ذلک من بعد وفاته ونحن مأذونون فی التصرّف فیما ورثناه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روی سلیمان بن خالد عن أبی عبداللَّه علیه السلام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بن علی علیهما السلام أراد أن یدفن الحسن بن علی علیهما السلام مع رسول اللَّه صلی الله علیه و آله وجمع جمعاً فقال رجل سمع الحسن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للحسین أن لا یهرق فیّ دماً لولا ذلک ما انتهی الحسین علیه السلام حتّی</w:t>
      </w:r>
    </w:p>
    <w:p>
      <w:pPr>
        <w:pStyle w:val="BookText"/>
        <w:rPr/>
      </w:pPr>
      <w:r>
        <w:rPr>
          <w:rFonts w:ascii="IRNazanin" w:hAnsi="IRNazanin" w:eastAsia="IRNazanin"/>
          <w:color w:val="111111"/>
          <w:sz w:val="28"/>
          <w:sz w:val="28"/>
          <w:szCs w:val="28"/>
          <w:rtl w:val="true"/>
          <w:lang w:bidi="fa-IR"/>
        </w:rPr>
        <w:t>یدفنه مع رسول اللَّه صلی الله علیه و آله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الروایتان تشعران أو تدلّان علی عدم ارث الزوجة من العقار وعدم حقّ لعائشة فی بیت النبیّ صلی الله علیه و آله وإلّا فما کان لهذه الوصیّة مجال ولما کان لازماً لعائشة أن ترکب البغل وتجی‌ء إلی المسجد لتمنع من الدفن بل مجرّد أن تعلن عدم رضایتها للدفن کان کافیاً فی ذلک وبعبارة اخری مع وضوح بطلان ما ذکره العامة من أنّ الانبیاء لا یورّثون وإنّما ما ترکوه صدقة ومجعولیة الحدیث الّذی نقلوه فی هذا الأمر، إنّ هذه الوصیّة تدلّ علی عدم إرث زوجات النبیّ عنه صلی الله علیه و آله ولم تکن البیوت ملکاً لاحدیهنّ فی زمان حیاته صلی الله علیه و آله فإنّه لم یملک زوجاته بیوت سکناهنّ بل أسکنهنّ فیها فحسب وما نقل من عائشة عندما جی‌ء بجنازة الإمام الحسن علیه السلام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ولدکم عن بیتی ولا تدخلوا بیتی من لا احبّ، 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إلّاأن یراد من البیت، بیت السکنی ونقول بأنّ مدفن النبیّ صلی الله علیه و آله هو بیت سکنی عائشة ولکن لم یقبله المحقّقون فی التاریخ وصرّحوا بأنّ مدفن النبیّ صلی الله علیه و آله إنّما هو بیت فاطمة علیها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ورد فی بعض الروایات أنّ النبیّ صلی الله علیه و آله حینما قال لعلی علیه السلام یا علی بیتی قبری، فقالت عائشة واعترضته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فأین</w:t>
      </w:r>
      <w:bookmarkStart w:id="84" w:name="pg2940_31695"/>
    </w:p>
    <w:p>
      <w:pPr>
        <w:pStyle w:val="BookText"/>
        <w:rPr/>
      </w:pPr>
      <w:bookmarkEnd w:id="84"/>
      <w:r>
        <w:rPr>
          <w:rFonts w:ascii="IRNazanin" w:hAnsi="IRNazanin" w:eastAsia="IRNazanin"/>
          <w:color w:val="111111"/>
          <w:sz w:val="28"/>
          <w:sz w:val="28"/>
          <w:szCs w:val="28"/>
          <w:rtl w:val="true"/>
          <w:lang w:bidi="fa-IR"/>
        </w:rPr>
        <w:t>أسکن؟ فأجاب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أسکنی أنت بیتاً من البیوت وهی بیتی لیس لک فیه من الحقّ إلّاما لغیرک فقرّی فی بیتک ولا تبرّجی تبرّج الجاهلیة الاولی ولا تقاتلی مولاک وولیّک ظالمة شاقّة وإنّک لفاعلة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 هذه الروایة أنّ النبیّ صلی الله علیه و آله جعل حقّ السکنی لزوجاته بعد موته سیّما مع الالتفات إلی هذا الحکم من عدم جواز الخروج عن بیوتهنّ وقد صرّح فی هذا الکلام خطاباً لعائشة بأنّ لک من الحقّ ما لغیرک، فالمراد من الحقّ هو حقّ السکنی لا الملکیّة والتملّک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بهذه القضیّة فی المقام غیر تامّ، وإنّما تکون علی حدّ التأیید فقط،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إثبات قول المشهور نشیر إلی بعض الإشکالات الواردة فی المقام</w:t>
      </w:r>
      <w:r>
        <w:rPr>
          <w:rFonts w:eastAsia="IRNazanin" w:cs="IRNazanin"/>
          <w:color w:val="111111"/>
          <w:sz w:val="28"/>
          <w:szCs w:val="28"/>
          <w:rtl w:val="true"/>
          <w:lang w:bidi="fa-IR"/>
        </w:rPr>
        <w:t>:</w:t>
      </w:r>
    </w:p>
    <w:p>
      <w:pPr>
        <w:pStyle w:val="Heading2"/>
        <w:numPr>
          <w:ilvl w:val="1"/>
          <w:numId w:val="1"/>
        </w:numPr>
        <w:rPr/>
      </w:pPr>
      <w:bookmarkStart w:id="85" w:name="__RefHeading___Toc95095_2749589250"/>
      <w:bookmarkStart w:id="86" w:name="_Toc32"/>
      <w:bookmarkEnd w:id="85"/>
      <w:r>
        <w:rPr>
          <w:rtl w:val="true"/>
        </w:rPr>
        <w:t>الإشکال الأوّل</w:t>
      </w:r>
      <w:r>
        <w:rPr>
          <w:rtl w:val="true"/>
        </w:rPr>
        <w:t xml:space="preserve">: </w:t>
      </w:r>
      <w:r>
        <w:rPr>
          <w:rtl w:val="true"/>
        </w:rPr>
        <w:t>الإشکال الثبوتی فی المقام</w:t>
      </w:r>
      <w:bookmarkEnd w:id="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أهل النظر من المعاصرین من المخالفین لمذهب المشهور قد أورد إشکالًا ثبوتیّاً فی المقام واعتقد بلزوم صرف الروایات عن ظاهرها إلی معنی آخر، إمّا بحملها علی ما ذهب إلیه</w:t>
      </w:r>
    </w:p>
    <w:p>
      <w:pPr>
        <w:pStyle w:val="BookText"/>
        <w:rPr/>
      </w:pPr>
      <w:r>
        <w:rPr>
          <w:rFonts w:ascii="IRNazanin" w:hAnsi="IRNazanin" w:eastAsia="IRNazanin"/>
          <w:color w:val="111111"/>
          <w:sz w:val="28"/>
          <w:sz w:val="28"/>
          <w:szCs w:val="28"/>
          <w:rtl w:val="true"/>
          <w:lang w:bidi="fa-IR"/>
        </w:rPr>
        <w:t>السیّد المرتضی</w:t>
      </w:r>
      <w:r>
        <w:rPr>
          <w:rStyle w:val="FootnoteAnchor"/>
          <w:rtl w:val="true"/>
        </w:rPr>
        <w:footnoteReference w:id="214"/>
      </w:r>
      <w:r>
        <w:rPr>
          <w:rFonts w:ascii="IRNazanin" w:hAnsi="IRNazanin" w:eastAsia="IRNazanin"/>
          <w:color w:val="111111"/>
          <w:sz w:val="28"/>
          <w:sz w:val="28"/>
          <w:szCs w:val="28"/>
          <w:rtl w:val="true"/>
          <w:lang w:bidi="fa-IR"/>
        </w:rPr>
        <w:t>من الحرمان من عین الرباع خاصّة لا من قیمتها ولا الحرمان من سائر الأشیاء، أو حملها علی ما یطبّقه علیه إمام العصر عجّل اللَّه تعالی فرجه الشریف؛ وذلک بتأیید ما ورد فی ضمن هذه الروایات من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ولّیناهم ضربناهم بالسوط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کلامه فی ضمن ستِّ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الواردة فی الحرمان صادرة جمیعاً عن الامامین الباقر والصادق علیهما السلام باستثناء روایة واحدة ذکرها ابن سنان عن الإمام الرضا علیه السلام، ولا عین ولا أثر لهذا الحکم فی الروایات الواردة عن النبیّ صلی الله علیه و آله وأمیر المؤمنین علیه السلام ومن بعده إلی زمانهما، کما أنّه لا أثر له فیما بعدهما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مسائل المیراث قد صدرت فیها روایات وأحکام کثیرة عن أمیر المؤمنین علیه السلام لشدّة ابتلاء المسلمین بها، مع أنّ القرآن الکریم قد تعرّض لمسألة الإرث، بل أسّسها الإسلام علی نظام عادل صحیح قد خالف فیه ما کان رائجاً فی الجاهلیّة من عدم توریث الزوجات والنساء ولا حتّی اولوا الأرحام، بل کان الإرث للأقویاء من عصبة الرجل، فجاء الإسلام بنظام عادل جمع فیه حقّ القرابة والسبب والولاء فجعل للوالدین والأقربین نصیباً وجعل</w:t>
      </w:r>
    </w:p>
    <w:p>
      <w:pPr>
        <w:pStyle w:val="BookText"/>
        <w:rPr/>
      </w:pPr>
      <w:r>
        <w:rPr>
          <w:rFonts w:ascii="IRNazanin" w:hAnsi="IRNazanin" w:eastAsia="IRNazanin"/>
          <w:color w:val="111111"/>
          <w:sz w:val="28"/>
          <w:sz w:val="28"/>
          <w:szCs w:val="28"/>
          <w:rtl w:val="true"/>
          <w:lang w:bidi="fa-IR"/>
        </w:rPr>
        <w:t>اولی الأرحام بعضهم أولی ببعض ومنع من التوریث علی أساس التبنّی أو 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الأمر قد وقع الانحراف فی هذا النظام المهمّ وطلعت مسألة التعصیب والعول وهما من المسائل التی قد اعترض علیها أمیر المؤمنین علیه السلام وأهل البیت وأتباعهم فکانوا من المنادین لإبطال التعصیب والعول فی الإرث واستنکروه شدیداً وصدر عنهم روایات متعدّدة کثیرة فی إبطال ذلک، کما أنّ مقتضی التدقیق فی الآیات الشریفة إبطالهما أیضاً، فهنالک سؤال یطرح نفسه وهو أنّه مع هذا الاهتمام الشدید فی أحکام الإرث والدقّة فی بیانها من ناحیة القرآن الکریم ومع وجود الابتلاء الشدید بمسألة الإرث، کیف لا یذکر الحرمان فی کلمات النبیّ صلی الله علیه و آله وکلمات أمیر المؤمنین علیه السلام، مع أنّ الحرمان فی مسألة العول والتعصیب کان أقلّ بمراتب من الحرمان فی ما نحن فیه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لیست من حقوق اللَّه أو الإمام علیه السلام کما فی الخمس فی أرباح المکاسب، لیُقال بأنّه قد أخّر بیانها إرفاقاً من قبل الأئمّة علیهم السلام بالامّة، بل هی من حقوق الناس والورثة الآخرین فإنّ الزوجة إذا کانت لا ترث من الأراضی شیئاً کانت للآخرین من الورثة لا محالة، فکیف یفرّط بحقوقهم طیلة تلک المدّة وفی حکومة النبیّ صلی الله علیه و آله وأمیر المؤمنین علیه السلام العادلة فلا یبیّن حکم اللَّه وفی الواقع</w:t>
      </w:r>
    </w:p>
    <w:p>
      <w:pPr>
        <w:pStyle w:val="BookText"/>
        <w:rPr/>
      </w:pPr>
      <w:r>
        <w:rPr>
          <w:rFonts w:ascii="IRNazanin" w:hAnsi="IRNazanin" w:eastAsia="IRNazanin"/>
          <w:color w:val="111111"/>
          <w:sz w:val="28"/>
          <w:sz w:val="28"/>
          <w:szCs w:val="28"/>
          <w:rtl w:val="true"/>
          <w:lang w:bidi="fa-IR"/>
        </w:rPr>
        <w:t>تعطی حقوق سائر الورثة للزوجة إلی عهد الصادقین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لم یتغیّر حتّی فی زمان الصادقین علیهما السلام، مع أنّ المسألة لم‌تکن سیاسیّة لیکون فیها موجب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التعبیر الواقع فی ألسنة هذه الروایات والتعلیل الوارد فیها بأنّ ذلک من أجل أن لا تُدخل المرأة أحداً علی الورثة فیفسد علیهم مواریثهم، مع أنّه قد لا یکون معها وارث آخر أصلًا فضلًا عن التعابیر الاخری من قبیل کونها غیر ثابتة فلا یکون لها إلّا ما لا یکون ثابتاً، أو ما ورد فی بعضها من منعها عن إرث السلاح والدوابّ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النقاط والخصوصیّات توجب الاستبعاد القوی فی أن یکون المقصود من هذه الروایات ما هو ظاهرها الأوّلی من حرمان الزوجة من إرث العقار والأرضین والدور والقری والضیاع والبساتین کلّیة إلّا قیمة الأنقاض والخشب والشجر فیها، بل إمّا أن یکون المقصود ما ذکره السیّد المرتضی من حرمان الزوجة من عین الرباع دون قیمتها، أو یکون النظر فیها إلی حکم خاصّ سیطبّقه الإمام المعصوم علیه السلام بعد ظهوره، وقد یشعر به ما ورد فی بعض الروایات من أنّه إذا ولّینا ضربناهم بالسوط فإن أخذوا به وإلّا ضربناهم بالسیف،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یطمئن الإنسان بملاحظة مجموعة الجهات أنّ المراد من هذه الروایات لیس ظاهرها الأوّلی حرمان الزوجة من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استدرک فی آخر هذا الإیراد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حرمانها من عین العقار والبناء فی الجملة وفی أرض الدار فحسب بنحو یحفظ فیه حقّ سائر الورثة کی لا یفسد علیهم إرثهم وفی خصوص ما إذا لم تکن ذات ولد، لعلّه أمرٌ مسلّم من قبل الطائفة، إلّاأنّ ذلک أیضاً بنحو لا ینافی استحقاقها من القیمة، کما أنّه لا ینافی النکات التی أشرنا إلیها لانحفاظ سهمها من الربع والثمن من جمیع الترکة وصحّة إعطائها من العین أیضاً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مع ترتیب قلیل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البیان وإن کان ناشئاً عن الدقّة وفی الواقع دقّة عمیقة فی استنباط الأحکام المبتنیة علی ظواهر الروایات وینبّه الفقیه بأنّ اللّازم علیه ملاحظة النکات المؤثّرة فی فهم المراد من الروایات وعدم تسریعه للحمل علی الظاهر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هذا الطریق إلی ما ذکره جمعٌ من الاصولیّین من لزوم الفحص عن وجود القرینة الصارفة عن ظاهر العبارة ولکن مع ذلک لنا ملاحظات ستِّ علی هذا الإیراد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النکات المذکورة لیست إلّامجرّد استبعاد کما صرّح به نفسه، وهذا لا یصلح لرفع الید عن الظاهر فإنّه متوقّف</w:t>
      </w:r>
    </w:p>
    <w:p>
      <w:pPr>
        <w:pStyle w:val="BookText"/>
        <w:rPr/>
      </w:pPr>
      <w:r>
        <w:rPr>
          <w:rFonts w:ascii="IRNazanin" w:hAnsi="IRNazanin" w:eastAsia="IRNazanin"/>
          <w:color w:val="111111"/>
          <w:sz w:val="28"/>
          <w:sz w:val="28"/>
          <w:szCs w:val="28"/>
          <w:rtl w:val="true"/>
          <w:lang w:bidi="fa-IR"/>
        </w:rPr>
        <w:t>علی الاستحالة الثبوتیّة وإثباتها ومع عدمها لا وجه للتصرّف فی الإثبات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التهافت فی الصدر والذیل فإنّ النکات المذکورة تقتضی عدم حرمانها حتّی من عین الرباع، فما ذکرتم من عدم وجود هذا الحکم فی زمن النبیّ وأمیر المؤمنین إلی زمان الصادقین علیهم السلام، وأیضاً ما ذکرتم من أنّه حقّ الناس لا حقّ اللَّه وأیضاً سائر النکات تقتضی عدم حرمانها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الاستدراک فی الذیل ینافی النکات المذکورة، والعجب أنّه کیف یصرّح بأنّه لا ینافی؟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ذکر بأنّ الروایات الواردة إنّما هی من الصادقین علیهما السلام، وقد ذکر ذلک أیضاً السیّد المحقّق البروجردی قدس سره، وما ذکره بأنّ مسائل المیراث قد صدرت فیها روایات وأحکام کثیرة عن الإمام أمیر المؤمنین علیه السلام، فتلاحظ فیه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الواردة عن الصادقین علیهما السلام فی مسألة الإرث کانت أکثر بمراتب من الروایات الواردة عن أمیر المؤمنین علیه السلام حتّی فی الموارد التی کانت مورداً للابتلاء کما ورد فی أنّ الکافر لا یرث المسلم ولو کان ذمّیاً، فقد ذکر صاحب الوسائل فی هذا الباب أربعاً وعشرین حدیثاً وتکون تسعة عشر منها من الصادقین واثنتان منها من النبیّ صلی الله علیه و آله وواحدة منها من أمیر المؤمنین علیه السلام، مع أنّ مسألة إرث</w:t>
      </w:r>
    </w:p>
    <w:p>
      <w:pPr>
        <w:pStyle w:val="BookText"/>
        <w:rPr/>
      </w:pPr>
      <w:r>
        <w:rPr>
          <w:rFonts w:ascii="IRNazanin" w:hAnsi="IRNazanin" w:eastAsia="IRNazanin"/>
          <w:color w:val="111111"/>
          <w:sz w:val="28"/>
          <w:sz w:val="28"/>
          <w:szCs w:val="28"/>
          <w:rtl w:val="true"/>
          <w:lang w:bidi="fa-IR"/>
        </w:rPr>
        <w:t>الکافر من المسلم کانت شایعة فی ذلک الزمان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بعد المراجعة إلی موسوعة مسند الإمام علی بن أبی طالب علیه السلام نجد فی الجزء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الجزء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الجزء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الجزء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والمجموع منه علیه السلام ما یعادل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مع أنّ المذکور فی کتاب الإرث من وسائل الشیعة ما یقرب إلی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لیس فی بینها أکثر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لأمیر المؤمنین علیه السلام والباقی من الصادقین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ذلک ما ذکره أهل التاریخ من منع تدوین الحدیث بعد النبیّ صلی الله علیه و آله إلی زمان یقرب إلی مائتی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 أنّ أکثر خصوصیّات الحجّ والصلاة والصوم قد نقلت عن الصادقین علیهما السلام، فهل یجوز التشکیک فیها، مع أنّ کثیراً منها کان مورداً لابتلاء الناس سیّما فی مسائل الحجّ</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آخر کلامه کما أنّه ذکره فی الإیراد الثانی الذی سیأتی من عدم انحفاظ سهام الزوجة من الربع والثمن فی فرض الحرمان، وانحفاظه فی فرض عدم الحرمان،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قلنا بحرمان الزوجة من العقار لصار سهم الزوجة منها أقلّ من الربع أو الُثمن، ولو قلنا بعدم حرمانها لکان سهماً مساویاً للربع من جمیع ما ترکه الزوج أو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أنّ هذا الإشکال یجری فی فرض الوصیّة وعدمها أیضاً، فإذا أوصی الزوج بثلث ماله، فطبعاً یقلّ سهم الزوجة، وإذا لم یوص بذلک فطبعاً لا یقلّ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هذا المطلب من مثله عجیب جدّاً،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مجموع ما ذکره فی الإیراد الأوّل، إنّه من قبیل الاجتهاد فی مقابل النصّ وإن جهد واجتهد جدّاً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التعبیر الوارد فی أنّهم علیهم السلام لو ولّوا الناس لضربوهم بالسوط إنّما هو فی جواب من قال بأنّ الناس لم یقبلوا، ولا ریب فی أنّ المراد من الناس هو الناس فی زمان السائل والمجیب لا فی زمن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لا شکّ فی أنّ المتیقّن من هذا التعبیر هو الناس فی زمان السائل وإن کان لا ینافی شموله للناس فی سائر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ولعمری کیف قال إنّ هذا التعبیر یشعر بأنّ تطبیق هذا الحکم إنّما هو فی زمن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من الملاحظات الواردة علی کلامه، والمتأمّل فی کلامه یری مواضع اخر للملاحظة أیضاً ونحن نکتفی بهذا المقدار،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أیضاً بعض أهل النظر من المعاصرین</w:t>
      </w:r>
      <w:r>
        <w:rPr>
          <w:rStyle w:val="FootnoteAnchor"/>
          <w:rtl w:val="true"/>
        </w:rPr>
        <w:footnoteReference w:id="216"/>
      </w:r>
      <w:r>
        <w:rPr>
          <w:rFonts w:ascii="IRNazanin" w:hAnsi="IRNazanin" w:eastAsia="IRNazanin"/>
          <w:color w:val="111111"/>
          <w:sz w:val="28"/>
          <w:sz w:val="28"/>
          <w:szCs w:val="28"/>
          <w:rtl w:val="true"/>
          <w:lang w:bidi="fa-IR"/>
        </w:rPr>
        <w:t>ونلخّصه فی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بین الروایات الدالّة علی الحرمان والآیة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تَرَکْتُمْ</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لیست فی مستوی التخصیص والتقیید، بل من قبیل معارضة الظاهر والأظهر أو الظاهر والصریح، بمعنی أنّ الزوجة إذا کانت لا ترث من العقار شیئاً فسوف یقلّ سهمها عن الربع والثمن للترکة وتقیید ذلک بالربع والثمن ممّا ترث منه من الترکة لا من کلّ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یحفظ عنوان الربع 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هذا عندئذٍ یکون خلاف مقام التحدید، وتعیین السهام بالنسب والفروض بمعنی أنّه یوجب اختلال المیزان للفرائض والسهام ویکون أشبه بالألغاز والتعمیة حینئذٍ ولیس بابه باب التقیید والتخصیص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بإرثها من قیمة الأرض الذی هو مختار السیّد المرتضی لا یلزم اختلال السهام والفرائض وإنّما مخالفة ظهور الخطاب فی کون السهم بنحو الإشاعة من العین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حرمان المرأة من العقار صریحة فی عدم إرثها من عین الأرض، أمّا عدم إرثها من قیمتها فهی ظاهرة فی ذلک ولیست صریحة فیه، والآیة الشریفة صریحة فی الإرث من</w:t>
      </w:r>
    </w:p>
    <w:p>
      <w:pPr>
        <w:pStyle w:val="BookText"/>
        <w:rPr/>
      </w:pPr>
      <w:r>
        <w:rPr>
          <w:rFonts w:ascii="IRNazanin" w:hAnsi="IRNazanin" w:eastAsia="IRNazanin"/>
          <w:color w:val="111111"/>
          <w:sz w:val="28"/>
          <w:sz w:val="28"/>
          <w:szCs w:val="28"/>
          <w:rtl w:val="true"/>
          <w:lang w:bidi="fa-IR"/>
        </w:rPr>
        <w:t>القیمة وظاهرة فی الإرث من العین فیرفع الید عن ظهور کلّ من دلالتی الآیة والروایات بصراحة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التفکیک بین العین والمالیّة أمرٌ عرفیّ فی باب الأموال والحقوق، ویشهد له نفس الروایات الدالّة علی الحرمان فی البناء والطوب والخشب حیث فصّلت بین المالیّة والعین فی إرث الزوجة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إعطاء قیمة البناء إلیها فی الروایات لیس فی قبال عدم إعطائها من قیمة الأرض، بل فی قبال عدم إعطائها من أعیان اصول العقار، فیمکن إعطائها من قیمتها، ولهذا جاء بلسان الاستثناء عن عدم إعطائها من العقار، فلیست روایات التفصیل صریحة فی عدم إعطائها قیمة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الآیة أو تقییدها بالروایات یکون مستلزماً للاختلال فی عنوان الربع أو الثمن، ودفعاً لهذه المخالفة الشدیدة العرفیّة نجعل الآیة بما أنّها صریحة، قرینة علی التصرّف فی الروایات الظاهرة من باب التصرّف فی الظاهر وحمله علی النصّ کسائر موارد الجمع العرفی ونتیجة الجمع حمل الروایات المانعة علی المنع عن خصوص العین فی الأرض، وعلیه فتعطی لها قیمة الأرض</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لهذا الجمع ما ورد من التعلیل بأنّ ذلک الحکم لأجل أن لا تدخل الزوجة علی الورثة من یفسد علیهم مواریثهم فإنّ ظاهر</w:t>
      </w:r>
    </w:p>
    <w:p>
      <w:pPr>
        <w:pStyle w:val="BookText"/>
        <w:rPr/>
      </w:pPr>
      <w:r>
        <w:rPr>
          <w:rFonts w:ascii="IRNazanin" w:hAnsi="IRNazanin" w:eastAsia="IRNazanin"/>
          <w:color w:val="111111"/>
          <w:sz w:val="28"/>
          <w:sz w:val="28"/>
          <w:szCs w:val="28"/>
          <w:rtl w:val="true"/>
          <w:lang w:bidi="fa-IR"/>
        </w:rPr>
        <w:t xml:space="preserve">هذا التعلیل إنّ مواریثهم نفس المواریث والنسب لا أنّه تزداد مواریثهم ویقلّ میراثها من الترکة وإلّا کان ینبغی أن یقول لیس لها الحقّ فیها وأنّها میراثهم لا میراثها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حرمانها من العین فقط وإرثها من القیمة فی البناء والأرض معاً، فهذا النحو من الجمع الذی صنعه السیّد المرتضی متین جدّاً ومناسب مع التعلیل الوارد فی أکثر هذه الروایات، فیثبت مذهب السیّد المرتضی من حرمان الزوجة من عین العقار دون القیمة إمّا مطلقاً أو فی خصوص غیر ذات الولد بناءً علی العمل بصحیح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مع تغییر یسیر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ملاحظات علی هذا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الآیة الشریفة صریحة فی إرث الزوجة من جمیع ما ترکه الزوج، وهل هذه إلّامکابرة؟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منّا المناقشة حتّی فی إطلاق الآیة، فلو سلّمنا الإطلاق لکانت ظاهرة فی الإرث من جمیع ما ترکه المیّت لا صریحة، والإنصاف أنّ الآیة ظاهرة أوّلًا فی العین والقیمة، وثانیاً ظاهرة فی جمیع الترکة، ولیست فی الآیة صراحة بالنسبة إلی کلّ واحد من الأمرین، فلا صراحة فی الآیة لا فی العین ولا فی القیمة، کما أنّه لا صراحة فیها بالنسبة إلی جمیع ما ترکه الزوج</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الروایات فلا شکّ فی صراحتها بالنسبة إلی العقار، ومن هذه الجهة تکون مقیّدة لإطلاق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العین أو القیمة فلو لم نقل بأنّ دلالة الروایات أقوی من الآیة فلا أقلّ نقول من هذه الجهة متساویة، وکلتاهما فی مرتبة الظاهر، ولکن بما أنّ الإطلاق فی الروایات بالنسبة إلی العین والقیمة مقامی بخلاف الإطلاق فی الآیة فإنّه لفظی فیقدّم الأوّل علی الثانی خصوصاً من جهة التعبیر ب شیئاً فإنّ الظاهر القوی منه فی الامور المالیّة هو النفی المطلق بنحو یکون استثناء القیمة منها غیر مطابق للفصاحة والبلاغة، فلو قال شخص إنّک لا تأخذ شیئاً ثمّ قال تأخذ قیمة هذا المال لکان رکیکاً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فرّق فی الروایات بین العین والقیمة وجعل الحرمان بالنسبة إلی العین صریحاً وبالنسبة إلی القیمة ظاهراً، وکیف فرّق فی الآیة بینهما وجعل الإرث بالنسبة إلی القیمة صریحاً وبالنسبة إلی العین ظاهراً، والإنصاف أنّه لا وجه ولا توجیه فنّیاً لذلک،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الخلط فی کلامه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فی مقام التحدید والتعیین للسهام والحرمان عن العقار عیناً وقیمةً یوجب التقلیل فی سهامها عن الربع أو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الظهور والصراحة فی کلّ من الآیة والروایات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فی الأمر الثانی لا دخل للتقلیل وعدمه، کما أنّه فی الأمر الأوّل لا وجه لتأثیر الظهور والصراحة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فالجواب عن الأمر الأوّل، أنّ التقلیل لا ینافی کونه فی مقام التحدید فإنّ سهم الزوجة عبارة عن الربع أو الثمن بالنسبة إلی ما ینطبق علیه عنوان ما ترکه الزوج، فأمّا ما هو هذا المقدار وما هی دائرته فلا دلالة فی الآیة لأنّه بالضرورة تتغیّر بالنسبة إلی الأفراد وأموالها، کما أنّه یختلف بالنسبة إلی مورد الوصیّة بالثلث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التقیید بما عدا العقار لیس منافیاً لکونه فی مقام التحدید، هذا مضافاً إلی أنّه لو سلّمنا کون التقیید منافیاً فلا شکّ فی أنّه بناءً علی مذهب المرتضی أیضاً تکون النتیجة هکذا، ومن هذه الجهة لا فرق بین مذهب السیّد ومذهب المشهور، فکیف یقول بعدم لزوم الاختلال علی قول السیّد؟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التفکیک بین العین والقیمة عرفی، غیر معروف جدّاً، بل التفصیل بین العین والمالیّة فی البناء والطوب أمرٌ تعبّدی مستفاد من النصّ ولولاه لا یفهم أحدٌ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ذکره من أنّ ذکر إعطاء القیمة من البناء لیس فی قبال عدم إعطائها من قیمة الأرض، بل فی قبال عدم إعطائها من أعیان الاصول غیر تامّ جدّاً، فإنّ التفصیل بین المالیّة والعین فی الطوب والبناء والخشب یکون قرینة واضحة علی عدم التفصیل بین العین والمالیّة فی العقار، وهذا واضح جدّاً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الآیة والروایات بحمل الروایات علی</w:t>
      </w:r>
    </w:p>
    <w:p>
      <w:pPr>
        <w:pStyle w:val="BookText"/>
        <w:rPr/>
      </w:pPr>
      <w:r>
        <w:rPr>
          <w:rFonts w:ascii="IRNazanin" w:hAnsi="IRNazanin" w:eastAsia="IRNazanin"/>
          <w:color w:val="111111"/>
          <w:sz w:val="28"/>
          <w:sz w:val="28"/>
          <w:szCs w:val="28"/>
          <w:rtl w:val="true"/>
          <w:lang w:bidi="fa-IR"/>
        </w:rPr>
        <w:t>خصوص الحرمان من العین دون القیمة لیس جمعاً عرفیّاً لما مرّ من عدم تفکیک العرف بین العین والمالیّة فی باب الإرث، والظاهر أنّ الجمع العرفی هو تقیید الآیة بما عدا العقار وذلک لا یوجب الاختلال فی السهام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فی آخر کلامه من أنّ التعلیل بعدم إدخال الزوجة مَنْ یفسد المواریث، ظاهر فی أنّ مواریثها نفس مواریثهم وجعله شاهداً علی الجمع العرفی، بعید جدّاً عن المتفاهم العرفی، کیف هو شاهد علی ذلک، مع أنّ المعلّل عبارة عن القلّة والحرمان فی خصوص العقار، والتعلیل مناسب لحرمانها من العقار عیناً وقیمةً وإلّا لو کان التعلیل مختصّاً بالحرمان من العین لصار لغواً؛ لأنّه لو لم تکن الورثة قادرین علی إعطاء القیمة لکانت النتیجة لا محالة إدخال من یفسد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أیضاً بعض أهل النظر من المعاصرین</w:t>
      </w:r>
      <w:r>
        <w:rPr>
          <w:rStyle w:val="FootnoteAnchor"/>
          <w:rtl w:val="true"/>
        </w:rPr>
        <w:footnoteReference w:id="218"/>
      </w:r>
      <w:r>
        <w:rPr>
          <w:rFonts w:ascii="IRNazanin" w:hAnsi="IRNazanin" w:eastAsia="IRNazanin"/>
          <w:color w:val="111111"/>
          <w:sz w:val="28"/>
          <w:sz w:val="28"/>
          <w:szCs w:val="28"/>
          <w:rtl w:val="true"/>
          <w:lang w:bidi="fa-IR"/>
        </w:rPr>
        <w:t>بعنوان الإشکال الثالث علی المشهور، وخلاصته ما یلی فی ضمن بنود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من الروایات ظاهرة فی الحرمان عن العین فقط کصحیحة الفضلاء حیث قال الإمام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المرأة لا ترث من ترکة زوجها من تربة دار أو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یقوّم الطوب والخشب قیمةً فتُعطی ربعها أو ثمنها</w:t>
      </w:r>
      <w:r>
        <w:rPr>
          <w:rStyle w:val="FootnoteAnchor"/>
          <w:rtl w:val="true"/>
        </w:rPr>
        <w:footnoteReference w:id="219"/>
      </w:r>
      <w:r>
        <w:rPr>
          <w:rFonts w:ascii="IRNazanin" w:hAnsi="IRNazanin" w:eastAsia="IRNazanin"/>
          <w:color w:val="111111"/>
          <w:sz w:val="28"/>
          <w:sz w:val="28"/>
          <w:szCs w:val="28"/>
          <w:rtl w:val="true"/>
          <w:lang w:bidi="fa-IR"/>
        </w:rPr>
        <w:t>، وأیضاً روایة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امرأة ممّا ترک زوجها من تربة دار ولا أرض إلّا أن یقوّم البناء والجذوع والخشب فتُعطی نصیبها من قیمة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التربة فلا تعطی شیئاً من الأرض ولا تربة دار</w:t>
      </w:r>
      <w:r>
        <w:rPr>
          <w:rStyle w:val="FootnoteAnchor"/>
          <w:rtl w:val="true"/>
        </w:rPr>
        <w:footnoteReference w:id="220"/>
      </w:r>
      <w:r>
        <w:rPr>
          <w:rFonts w:ascii="IRNazanin" w:hAnsi="IRNazanin" w:eastAsia="IRNazanin"/>
          <w:color w:val="111111"/>
          <w:sz w:val="28"/>
          <w:sz w:val="28"/>
          <w:szCs w:val="28"/>
          <w:rtl w:val="true"/>
          <w:lang w:bidi="fa-IR"/>
        </w:rPr>
        <w:t>، ومثلها روایة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من إضافة المنع إلی تربة الدار والأرض هو أنّ النظر إلی عین الأرض وترابها أی ذاتها لا ما قد یتولّد فیها وعلیها من الأموال الإضافیّة حتّی المالیّة والقیمة نتیجة الإحیاء والبناء، ولهذا استدرک بلسان الاستثناء المتّصل، مع أنّ الطوب والخشب لیسا من الأرض، فکیف استثنی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التعرّض للبنود الاخری من کلامه نلاحظ فی هذا البند ونقول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أکثر الروایات الواردة ظاهرة فی الحرمان من العین والقیمة معاً إن لم نقل بجمیعها، والمراجعة إلی التعابیر الواردة فیها تدلّ بوضوح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بإضافة المنع إلی الذات فهذا أیضاً نافع لنا حیث إنّ المنع عن الذات یدلّ علی جمیع ما یرتبط بالذات من العین والقیمة، وحتّی یشمل ما کان حادثاً فیه کالبناء والزرع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أنّه حفظه اللَّه قد صرّح فی موضع آخر من کلامه إنّ بعض الروایات الدالّة علی المنع بظاهرها شاملة للبناء أیضاً، فراجع العدد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أهل البیت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ما کان ظاهراً فی عدم الإرث حتّی من البناء کما فی روایة عبد الملک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من الدور والعقار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ریب فی أنّ النهی والمنع عن شی‌ء، شامل لجمیع ما یرتبط به وظاهر فی الحرمان المطلق، وبناءً علی ذلک یصحّ الاستثناء المتّصل حیث إنّ المستثنی منه هو الحرمان المطلق الذی هو شامل لقیمة الخشب والطوب وغیرهما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لأجل تصحیح الاتّصال فی الاستثناء، من أنّ المستثنی منه هو مطلق الإضافات حتّی یکون المستثنی هو الإضافات الحاصلة فی القیمة والمالیّة سواء بالنسبة إلی ذات البناء أو الأرض وما أحدث فیها وعلیها، بسبب الإحیاء والبناء من المالیّة، فلا یمکن المساعدة علیه، بل هو خارج عن المتفاهم العرفی جدّاً، فإنّ العرف یفهم الحرمان المطلق ویستثنی منه قیمة الطوب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المظنون قویّاً أنّ قیمة الأرض وقتئذٍ کانت تحسب من خلال قیمة البناء والإحیاء وأنّ ذات الأرض المجرّدة الخالیة من الإحیاء والبناء لم تکن ذات قیمة، بل بناء علی أنّ الأرض تملک بالإحیاء وأنّ المالک إنّما یملک حیاتها لا ذات الرقبة، وإنّما یکون له حقّ الاختصاص بها، فتمام مالیّة الأرض إنّما کانت بمالیّة البناء علیها والإحیاء فیها، فاکتفت الروایات فی مقام تحدید سهم الزوجة من مالیّة الأرض بذکر قیمة البناء وما علی الأرض أو فیها من آثار الإحیاء والبناء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بحسب الظاهر کانت فی السابق ذات قیمة ولکن کانت ذات قیمة قلیلة یسیرة بالنسبة إلی البناء، مضافاً إلی أنّه لو لم تکن لها القیمة لما کان وجهاً للتعرّض لها أبداً، بل کان من اللّازم الاقتصار من أوّل الأمر علی البناء والخشب والطوب وأمثالها، فالتعرّض لخصوص الأرض فی قبال الامور الحادثة فیها دلیل علی وجود القیمة لها، وأیضاً مضافاً إلی أنّ الملاک فی الإرث لا یکون بحسب ثبوت القیمة والمالیّة، بل یمکن تحقّق الانتفاع العقلائی أو الشخصی من شی‌ء من دون وجود قیمة 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من أنّ المالک یملک بالإحیاء حیاتها لا ذات الرقبة، بل یکون له حقّ الاختصاص بها، فمضافاً إلی مخالفته لظواهر الأدلّة،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ملازمة بین ثبوت حقّ الاختصاص للمالک وبین کون تمام</w:t>
      </w:r>
    </w:p>
    <w:p>
      <w:pPr>
        <w:pStyle w:val="BookText"/>
        <w:rPr/>
      </w:pPr>
      <w:r>
        <w:rPr>
          <w:rFonts w:ascii="IRNazanin" w:hAnsi="IRNazanin" w:eastAsia="IRNazanin"/>
          <w:color w:val="111111"/>
          <w:sz w:val="28"/>
          <w:sz w:val="28"/>
          <w:szCs w:val="28"/>
          <w:rtl w:val="true"/>
          <w:lang w:bidi="fa-IR"/>
        </w:rPr>
        <w:t>المالیّة متقوّماً بمالیّة البناء والإحیاء، فیمکن تصوّر وجود مالیّة للأرض مع قطع النظر عن مالیّة البناء، ولا ینافی هذا مع وجود حقّ الاختصاص، کما أنّه لا ملازمة بین ثبوت الملکیّة لنفس الأرض وبین کون مالیّتها موجودة مع قطع النظر عن مالیّة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مالیّة الأرض غیر مرتبطة بمسألة حقّ الاختصاص للأرض والملکیّة لها، کما أنّ وجود حقّ الاختصاص لا دلیل له علی کون مالیّة الأرض مندکّة فی مالیّة البناء، وهذا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أنّه لو قلنا بکون المالک له حقّ اختصاص لقلنا بأنّه لا فرق من هذه الجهة بین الزوجة وسائر الورثة، مع أنّ الروایات تنادی بأعلی صوتها بإرث الورثة من نفس العقار،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فی آخر هذه العبارة من أنّ الروایات اکتفت فی مقام تحدید سهم الزوجة من مالیّة الأرض بذکر قیمة البناء وما علی الأرض، فخلاف الظاهر جدّاً، ونحن ندّعی عدم تعرّض فی الروایات بالنسبة إلی قیمة الأرض فضلًا عن جعلها فی ضمن قیمة البناء، ولا یقال هذا إنّما یکون بحسب الواقع الخارجی ولا یحتاج إلی التعرّض، لأنّا نقول مضافاً إلی عدم کونه فی الخارج هکذا، لو کان کذلک لکان اللّازم علی الإمام التنبّه إلیه من جهة أنّه فی مقام بیان السهام والنصیب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بإعطائها من قیمة البناء والطوب والخشب ونحو ذلک</w:t>
      </w:r>
    </w:p>
    <w:p>
      <w:pPr>
        <w:pStyle w:val="BookText"/>
        <w:rPr/>
      </w:pPr>
      <w:r>
        <w:rPr>
          <w:rFonts w:ascii="IRNazanin" w:hAnsi="IRNazanin" w:eastAsia="IRNazanin"/>
          <w:color w:val="111111"/>
          <w:sz w:val="28"/>
          <w:sz w:val="28"/>
          <w:szCs w:val="28"/>
          <w:rtl w:val="true"/>
          <w:lang w:bidi="fa-IR"/>
        </w:rPr>
        <w:t>یمکن أن یکون المقصود منه عرفاً التفکیک بین العین والمالیّة وأنّ الزوجة لا ترث من الأصل أی العین وترث من الفرع أی المالیّة والقیمة، والمراد من الأصل والفرع فی الروایات أیضاً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المطلب عجیب جدّاً، والمستفاد بوضوح من الروایات أنّ المراد من الأصل هو الأرض ومن الفرع هو البناء والطوب، وقد مرّ منّا مراراً أنّ التفکیک بین العین والمالیّة لیس أمراً عرفیّاً واضحاً، بل هو تعبّدی یحتاج إلی البیان بخلاف التفکیک بین الأصل والفرع، فهذا واضح عند العرف، فالأصل هو الأرض والفرع هو البناء وما احدث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ذلک ما ذکره فی سطر آخر من حمل ما ورد فی روایة الأحول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البناء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قیمة الدور مشتملة علی قیمة الأرض ومالیّتها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للعجب کیف صرّح قریباً من أنّ الأرض المجرّدة الخالیة من البناء، لم تکن ذات قیمة وهنا یصرّح بأنّ قیمة الأرض داخلة فی قیمة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من أیّ تعبیر فی روایة الأحول یستفاد اندکاک قیمة الأرض فی قیمة الدور والبناء؟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فما ذکره السیّد البروجردی رحمه الله من أنّ روایة الأحول مبعدة لکلام السیّد المرتضی حیث قابل فیها بین عدم الإرث من العقار،</w:t>
      </w:r>
    </w:p>
    <w:p>
      <w:pPr>
        <w:pStyle w:val="BookText"/>
        <w:rPr/>
      </w:pPr>
      <w:r>
        <w:rPr>
          <w:rFonts w:ascii="IRNazanin" w:hAnsi="IRNazanin" w:eastAsia="IRNazanin"/>
          <w:color w:val="111111"/>
          <w:sz w:val="28"/>
          <w:sz w:val="28"/>
          <w:szCs w:val="28"/>
          <w:rtl w:val="true"/>
          <w:lang w:bidi="fa-IR"/>
        </w:rPr>
        <w:t>وبین الإرث من قیمة البناء والشجر ونحو ذلک، فلو کانت ترث من القیمة مطلقاً لما کان للتقابل معنی</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جدّاً، مطابق للظاهر العرفی منها، وتفسیر البناء بالدور بما هی دور لا تدلّ علی اشتمالها علی قیمة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بالإعطاء ربعها أو ثمنها دالّ علی کون الإمام علیه السلام فی هذه الروایات فی مقام التقسیم والإفراز لحقوق الورثة، وظاهر فی أنّ حقّها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من عین الأرض والعقار، بل یعطی لها من سائر الترکة، ومثل هذا بیان عرفی فإنّه إذا قال الأب لأبنائه مثلًا هذا البیت لکم إلّاأنّ فلاناً لا تعطوه الغرفة الفلانیّة فإنّه لا یعنی حرمانها من أصل الاستحقاق بل یعطی حقّها من سائر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التعبیر بالإعطاء ظاهراً فی عدم إعطائها من العین وکونه فی مقام التقسیم والإفراز لا یکون دلیلًا وقرینة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الفرق بین المثال والممثل؛ ففی مثال الأب قد صرّح الأب بکون البیت جمیعه لأبنائه لکن فی مقام الإعطاء یحدّد أحد</w:t>
      </w:r>
    </w:p>
    <w:p>
      <w:pPr>
        <w:pStyle w:val="BookText"/>
        <w:rPr/>
      </w:pPr>
      <w:r>
        <w:rPr>
          <w:rFonts w:ascii="IRNazanin" w:hAnsi="IRNazanin" w:eastAsia="IRNazanin"/>
          <w:color w:val="111111"/>
          <w:sz w:val="28"/>
          <w:sz w:val="28"/>
          <w:szCs w:val="28"/>
          <w:rtl w:val="true"/>
          <w:lang w:bidi="fa-IR"/>
        </w:rPr>
        <w:t>أبنائه، ولکن فی المقام لا تصریح بکون الزوجة متساویة مع سائر الورثة حتّی یُقال إنّ التعبیر بإعطائها قرینة علی عدم الإعطاء من العین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التعلیل الوارد بشأن هذا الحکم فی جملة من الروایات کصحیح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النساء من عقار الدور شیئاً ولکن یقوّم البناء والطوب وتعطی ثمنها أو ربعها،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لئلّا یتزوّجن فیفسدن علی أهل المواریث مواریثهم، فإنّ علّة الإفساد علی سائر الورثة إنّما تنشأ من إرثها من العین دون المالیّة، ولهذا جعل هذا التعلیل فی أکثر الروایات المعلّلة تعلیلًا لإرثها من قیمة البناء أیضاً، کما أنّ ظاهر التعلیل انحفاظ نسبة المواریث لهم ولها بلحاظ أصل السهام لا تغیّرها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 التعلیل أنّ علّة الإفساد ناشئة من إرث العین فقط، بل التعلیل صادق بالنسبة إلی مجموع العین والقیمة، مضافاً إلی عدم کونه علّة بل تکون حکمة، ومضافاً إلی وجود العلّة الاخری کعدم کونها نسباً ترث به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أنّ المعلّل إنّما هو خصوص الحرمان عن العقار ولو کان ظاهر بعض الروایات عبارة عن قیمة البناء، لکان اللّازم صرفها عن ظاهرها وإرجاعها إلی الحرمان عن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p>
    <w:p>
      <w:pPr>
        <w:pStyle w:val="BookText"/>
        <w:rPr/>
      </w:pPr>
      <w:r>
        <w:rPr>
          <w:rFonts w:ascii="IRNazanin" w:hAnsi="IRNazanin" w:eastAsia="IRNazanin"/>
          <w:color w:val="111111"/>
          <w:sz w:val="28"/>
          <w:sz w:val="28"/>
          <w:szCs w:val="28"/>
          <w:rtl w:val="true"/>
          <w:lang w:bidi="fa-IR"/>
        </w:rPr>
        <w:t>کان لا معنی للتعلیل بالنسبة إلی الإرث من نفس قیمة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مراراً أنّ القول بکون ظاهر التعلیل، انحفاظ نسبة المواریث لهم ولها بلحاظ أصل النسبة؛ لیس بصحیح ولا دخل للتعلیل فی ذلک، وهذا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بعنوان الحاصل للمطالب أنّ مجرّد سکوت الروایات عن التصریح بإعطائها من قیمة الأرض لا ینبغی أن یجعل دلیلًا علی حرمانها من الأرض عیناً وقیمةً، بل بالقرائن المذکورة الأربعة،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الاستثناء فی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التأکید فی بعض الروایات بعدم الإعطاء من تربة الأرض، فی النظر إلی العین دون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التعبیر بإعطائها من قیمة البناء، فی إعطاء قیمة البناء والدور بما هی دور قائمة وباقیة علی الأرض وهی التی هی قیمة الأرض فی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التعلیل فی إرادة حفظ عین العقار لهم لا أکثر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استنتج أنّ هذه القرائن إن لم توجب ظهور الروایات المفصّلة فی أنّ المراد حفظ عین الدور والعقار لسائر الورثة لا حرمان الزوجة من أصل حقّها من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أنّها مجملة ومحتملة لهذا المعنی قویّاً بحیث لا یکون فیها ظهور فی أکثر من حرمان الزوجة من عین</w:t>
      </w:r>
    </w:p>
    <w:p>
      <w:pPr>
        <w:pStyle w:val="BookText"/>
        <w:rPr/>
      </w:pPr>
      <w:r>
        <w:rPr>
          <w:rFonts w:ascii="IRNazanin" w:hAnsi="IRNazanin" w:eastAsia="IRNazanin"/>
          <w:color w:val="111111"/>
          <w:sz w:val="28"/>
          <w:sz w:val="28"/>
          <w:szCs w:val="28"/>
          <w:rtl w:val="true"/>
          <w:lang w:bidi="fa-IR"/>
        </w:rPr>
        <w:t>العقار لا أکثر، فتبقی القیمة والمالیّة للدور والمساکن والعقارات بما فیها منفعة نفس الأرض باقیة تحت إطلاق أدلّة التوریث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نقبل سکوت الروایات عن إعطاء قیمة الأرض، بل ندّعی أنّها ظاهرة فی الحرمان عیناً وقیمة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النتیجة قابلة للأخذ إذا اکتفینا علی عقار الدور فقط کما ذهب إلیه المفید، وأمّا بناءً علی مذهب المشهور من عدم الفرق بین الدور والبساتین والمزارع فلا یصحّ الأخذ بها؛ لأنّه فی عقار الدور یمکن تصویر اندکاک قیمة الأرض فی قیمة البناء، ولکن فی أرض الزراعة لا یمکن، بل الزراعة حینما کانت قائمة لها قیمة خاصّة بالنسبة إلی الزرع وبعد الحصاد تزید قیمتها، ومع ذلک قیمة الأرض عند العرف محفوظة فی نفسها سواء کان الزرع قائماً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بطلان جمیع القرائن الأربعة خصوصاً القرینة الاولی وأنّ کلمة إلّالیست للاستثناء، بل بمعنی غیر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استدرک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الروایات التی اقتصرت علی ذکر أنّ المرأة لا ترث من العقار أو الأرض شیئاً من دون تفصیل واستثناء لقیمة البناء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زرارة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w:t>
      </w:r>
    </w:p>
    <w:p>
      <w:pPr>
        <w:pStyle w:val="BookText"/>
        <w:rPr/>
      </w:pPr>
      <w:r>
        <w:rPr>
          <w:rFonts w:ascii="IRNazanin" w:hAnsi="IRNazanin" w:eastAsia="IRNazanin"/>
          <w:color w:val="111111"/>
          <w:sz w:val="28"/>
          <w:sz w:val="28"/>
          <w:szCs w:val="28"/>
          <w:rtl w:val="true"/>
          <w:lang w:bidi="fa-IR"/>
        </w:rPr>
        <w:t>إطلاق لفظ الشی‌ء فیها نفی الإرث من المالیّة أیضاً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من المطمأنّ به أنّ هذه الروایة تقطیع لنفس الروایات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حدیثاً مستقلّاً لوحدة الرواة فیها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استظهرنا من روایات التفصیل أنّ المقصود حرمانها من إرث العین دون المالیّة کانت بنفسها قرینة علی إرادة نفس المعنی من عدم الإرث من الأرض شیئاً، خصوصاً ما کان ظاهراً فی عدم الإرث حتّی من البناء کما فی روایة عبدالملک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للنساء من الدور والعقار شی‌ء</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لا إشکال فی إرثهنّ من قیمة بناء الدور، فیکون المقصود عدم الإرث من أعیانها، بل إنّ هذا الظهور لا یمکن أن یقاوم ظهور الکتاب الکریم فی حفظ نسبة الربع والثمن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تحمل بقرینة أقوائیّة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عدم الإرث شیئاً من عین التربة والعقار فیثبت بالنتیجة مذهب السیّد المرتضی، هذا بقطع النظر عن صحیح ابن اذینة وإلّا کانت الزوجة ذات الولد ترث من العین أیضاً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bookmarkStart w:id="87" w:name="pg2940_31719"/>
    </w:p>
    <w:p>
      <w:pPr>
        <w:pStyle w:val="BookText"/>
        <w:rPr/>
      </w:pPr>
      <w:bookmarkEnd w:id="87"/>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المقام بین التقطیع وعدمه؛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واضحة علی الحرمان عن العین والقیمة سواء کانت الروایة مقطّعة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الروایات المفصّلة ظاهرة فی الحرمان عن العین فقط، لکن کیف تکون قرینة علی التصرّف فی روایة زرارة ومحمّد بن مسلم، بل الأمر بالعکس فإنّ ظهور کلمة شیئاً فی الحرمان المطلق عن العین والقیمة أقوی من ظهور روایات التفصیل لو قلنا بظهورها فی الحرمان عن خصوص العین</w:t>
      </w:r>
      <w:r>
        <w:rPr>
          <w:rFonts w:eastAsia="IRNazanin" w:cs="IRNazanin"/>
          <w:color w:val="111111"/>
          <w:sz w:val="28"/>
          <w:szCs w:val="28"/>
          <w:rtl w:val="true"/>
          <w:lang w:bidi="fa-IR"/>
        </w:rPr>
        <w:t>.</w:t>
      </w:r>
    </w:p>
    <w:p>
      <w:pPr>
        <w:pStyle w:val="Heading2"/>
        <w:numPr>
          <w:ilvl w:val="1"/>
          <w:numId w:val="1"/>
        </w:numPr>
        <w:rPr/>
      </w:pPr>
      <w:bookmarkStart w:id="88" w:name="__RefHeading___Toc95097_2749589250"/>
      <w:bookmarkStart w:id="89" w:name="_Toc33"/>
      <w:bookmarkEnd w:id="88"/>
      <w:r>
        <w:rPr>
          <w:rtl w:val="true"/>
        </w:rPr>
        <w:t>کلام المحقّق الشعرانی</w:t>
      </w:r>
      <w:bookmarkEnd w:id="89"/>
    </w:p>
    <w:p>
      <w:pPr>
        <w:pStyle w:val="BookText"/>
        <w:rPr/>
      </w:pPr>
      <w:r>
        <w:rPr>
          <w:rFonts w:ascii="IRNazanin" w:hAnsi="IRNazanin" w:eastAsia="IRNazanin"/>
          <w:color w:val="111111"/>
          <w:sz w:val="28"/>
          <w:sz w:val="28"/>
          <w:szCs w:val="28"/>
          <w:rtl w:val="true"/>
          <w:lang w:bidi="fa-IR"/>
        </w:rPr>
        <w:t>ثمّ إنّ المحقّق الشعرانی قدس سره قد رجّح کلام السیّد المرتضی فی بعض الموارد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الأراضی خصوصاً فی العراق وما والاها کانت من المفتوحة عنوةً وکان ملک الناس إیّاها تبعاً لملک الآثار والحقوق، وعدم الإرث هنا، عدم الإرث من العین، ولا ینافی ثبوت القیمة بدلیل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المشهور فی الحرمان عن العین والقیمة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فی الأراضی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غیرها فقول السیّد أرجح وأولی لأنّه موافق لظاهر القرآن لأنّ مفاد الآیة عموم إرث الزوجة</w:t>
      </w:r>
    </w:p>
    <w:p>
      <w:pPr>
        <w:pStyle w:val="BookText"/>
        <w:rPr/>
      </w:pPr>
      <w:r>
        <w:rPr>
          <w:rFonts w:ascii="IRNazanin" w:hAnsi="IRNazanin" w:eastAsia="IRNazanin"/>
          <w:color w:val="111111"/>
          <w:sz w:val="28"/>
          <w:sz w:val="28"/>
          <w:szCs w:val="28"/>
          <w:rtl w:val="true"/>
          <w:lang w:bidi="fa-IR"/>
        </w:rPr>
        <w:t>من جمیع الترکة عیناً ویخصّص بمقتضی الروایات، وما شکّ فی تخصیصه یبقی علی العموم ولا تدلّ الروایات علی محرومیّتها من قیمة الأراضی إلّابسکوت الإمام عن ذکر قیمة الأرض مع ذکره علیه السلام قیمة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کاف فی التخصیص فلعلّه لم یذکر قیمة الأرض؛ لأنّ أکثر الأراضی خصوصاً ما کان بید الشیعة فی الکوفة ونواحیها من المفتوحة عنوة وکان ملکهم لها حقّ اختصاص بسبب تملّک الآلات، وقیمة الأراضی کانت قیمة حقّ التصرّف فی الأرض لقبالته من السلطان سنین معیّنة أو غیر معیّنة، وکان تصرّفهم فی الأرض نظیر تصرّف المستأجرین لملک المنفعة، فکما أنّه إذا مات المستأجر وکان لمنفعته وتصرّفه فی مورد الإجارة قیمة ورثت منها الزوجة، کذلک حقّ الاختصاص فی الأراضی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وسکوته علیه السلام عن ذکر قیمة هذا الحقّ لا یدلّ علی عدم إرثها؛ لأنّه علیه السلام ذکر ما ذکر تمثیلًا لیقاس علیه الباقی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فیه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کلامه قدس سره أنّ الصادقین علیهما السلام کانا یقصدان أرض العراق وما والاها فی مسألة الحرمان، مع أنّه لو کان کذلک لما کان</w:t>
      </w:r>
    </w:p>
    <w:p>
      <w:pPr>
        <w:pStyle w:val="BookText"/>
        <w:rPr/>
      </w:pPr>
      <w:r>
        <w:rPr>
          <w:rFonts w:ascii="IRNazanin" w:hAnsi="IRNazanin" w:eastAsia="IRNazanin"/>
          <w:color w:val="111111"/>
          <w:sz w:val="28"/>
          <w:sz w:val="28"/>
          <w:szCs w:val="28"/>
          <w:rtl w:val="true"/>
          <w:lang w:bidi="fa-IR"/>
        </w:rPr>
        <w:t>فرق بین الزوجة وسائر الورثة فإنّ الأراضی المفتوحة عنوة غیر قابله للتملّک، بل الملکیّة متعلّقة بحقّ الاختصاص والبناء والامور الحادثة فیها، وعلیه فلا فرق بین الزوجة وسائر الورثة، مع أنّ من المسلّم والمستفاد القطعی من الأدلّة إرث سائر الورثة من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لنا وجه هذا الکلام أنّه قدس سره لماذا قال کلام المشهور فی المفتوحة عنوة مسلّم، وفی غیرها کلام السیّد أرجح، مع أنّ کلّاً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یفرّقا بین المفتوحة عنوةً وغیرها، ولا یصحّ الفرق فی المقام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الروایات علی الحرمان من العین والقیمة لیست بالسکوت، بل بشی‌ء هو کالصریح فإنّ التعبیر بکلمة شیئاً کأنّه صریح فی الحرمان من العین والقیمة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عدم تمامیّة ما ذهب إلیه الشعرانی، مضافاً إلی أنّ التعبیر الکلّی العامّ کتربة دار أو أرض أو التعبیر الجامع کالأرض والعقارات وأیضاً التعبیر بالقری والضیاع کلّها تدلّ علی أنّ مقصودهم علیه السلام لیس الأرض المفتوحة عنوة، بل کلامهم علی نحو القضیّة الحقیقیّة بالنسبة إلی جمیع الأراضی والعقار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المسألة ولها تنبیهات نذکرها فی مجال آخر إن شاء اللَّه، وقد وقع الفراغ من تسوید هذه الأوراق فی شهر رمضان المبارک من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مهاجرها آلاف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التحیّة والثناء، ونسأل اللَّه تبارک وتعالی أن یجعلنا من العارفین به والمقرّبین لدیه والفائزین فی الدُّنیا والآخرة، ونطلب منه تعالی إعطاء ثواب هذا الجُهد العلمی إلی روح الوالد الفقیه المجاهد الذی له علیَّ حقٌّ عظیمٌ فی جمیع شؤون الحیاة علماً وعملًا وعلی کثیرٍ من الفضلاء والأساتذة فی الحوزة العلمیّة فی هذا العصر؛ فإنّ کثیراً منهم من تلامذته، ونسأله تعالی أن یرفع درجاته ویصعّد روحه وأن یجعله فی أعلی علیّین ویجعلنا حافظین لأمانة سیّد المرسلین وحججه الطاهرین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إلی أحکام الإیمان، للعلّامة أبی منصور الحسن بن یوسف بن المطهّر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الإنتصار، للسیّد علی بن الحسین الموسوی، المعروف بالشریف المرتضی وعلم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الفوائد فی شرح القواعد، لفخر المحقّقین محمد بن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الطبعة الأولی،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للعلّامة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طهران،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الفقیه، لمحمّد بن محمّد تقی بحرالعلوم، مکتبة الصادق،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لمحبّ الدین أبی فیض السیّد محمّد مرتضی الحسینی الواسطی الزبیدی الحنفی،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الشریعة فی شرح تحریر الوسیلة، کتاب الطهارة، النجاسات وأحکامها، لسماحة الفقیه آیة اللَّه العظمی الحاج الشیخ محمد الفاضل اللنکرانی، المطبعة العلمیّة، قم، الطبعة الاولی،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ثلاثة لبحث آیة اللَّه العظمی آقا حسین البروجردی، للشیخ علی پناه الإشتهاردی، مؤسسة النشر الإسلامی، 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الرائع لمختصر الشرائع، لجمال الدین المقداد بن عبداللَّه السیوری الحلّی، المعروف بالفاضل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منشورات مکتبة آیة اللَّه المرعشی النجفی، قم،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فی شرح المقنعة، لشیخ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طهران،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للشرائع، لنجیب الدین یحیی بن سعید الحلّی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سیّد الشهداء علیه السلام العلمیة، قم،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الإسلام، للشیخ محمّد حسن بن باقر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الطبعة 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فی أحکام العترة الطاهرة، للشیخ المحدِّث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بالاوفست عن طبعة النجف الأشرف</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لشیخ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الشرعیة فی فقه الإمامیة، لشمس الدین محمد بن جمال الدین مکی العاملی، المعروف بالشهید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لأبی حنیفة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المنارة،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لأبی العبّاس أحمد بن علیّ بن أحمد بن العبّاس النجاشی الأسدی الکوفی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السادسة،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أصحاب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أهل الموصل فی العدد والرؤیة،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جهانی هزاره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الشهید الثانی، لزین الدین بن علی العاملی، المعروف بالشهید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حوزه علمیه قم،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إرث الزوجة، للشیخ لطف اللَّه الصافی الگلپایگانی، المطبوع فی ضمن صیانة الإبانة، دار القرآن الکریم،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نخبة الأفکار فی حرمان الزوجة من الأراضی والعقار، لمحمّد تقی النجفی البروجردی، مطبعة النعمان، نجف،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حرمان الزوجة من بعض الإرث، للسیّد محسن الطباطبائی الحکیم، مجلة فقه أهل البیت علیهم السلام، العدد الثالث والأربعون، السنة الحادیة عشرة،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الزوجة من العقار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محمود الهاشمی الشاهرودی، مجلة فقه أهل البیت علیهم السلام، العدد الخامس والأربعون، السنة الثانیة عشرة،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الزوجة من العقار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محمود الهاشمی الشاهرودی، مجلة فقه أهل البیت علیهم السلام، العدد السادس والأربعون، السنة الثانیة عشرة،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فیما اختلف من الأخبار، لشیخ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طهران، الطبعة الثالثة،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لأبی جعفر محمّد بن منصور بن أحمد بن إدریس الحلّی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لسلیمان بن الأشعث بن إسحاق بن بشیر بن شدّاد بن عمرو بن عامر السجستانی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بیروت،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فی مسائل الحلال والحرام، للمحقّق الحلّی أبی القاسم نجم الدین جعفر بن الحسن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الآداب، النجف الأشرف، الطبعة الأولی،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نصر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للملایین،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المسلم، لمسلم بن الحجّاج، دار ابن حزم ومؤسسة ریان، بیروت،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لخلیل بن أحمد الفراهیدی، دار إحیاء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المراد فی شرح نکت الإرشاد، لمحمد بن جمال الدین مکی العاملی، المعروف بالشهید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النشر التابع لمکتب الاعلام الإسلامی، قم،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الغریبین فی القرآن والحدیث، لأحمد بن محمّد الهروی،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نشر الفقاهة، قم،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لمجد الدین محمّد بن یعقوب الفیروز آبادی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الأحکام فی معرفة الحلال والحرام، للعلّامة جمال الدین الحسن بن یوسف بن المطهّر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الرضی،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بالاوفست عن طبعته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لثقة الإسلام أبی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طهران،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لأبی القاسم جعفر بن محمّد بن جعفر بن موسی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الضعفاء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لأحمد بن أبی عبداللَّه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إسماعیلیان،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للإمام الخمینی قدس سره، مؤسسة تنظیم ونشر آثار امام خمینی، طهران،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لحسن بن أبی طالب الیوسفی، المعروف بالفاضل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لبهاء الدین محمد بن الحسن بن محمد الاصفهانی، المعروف بالفاضل الهندی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النجفی،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الآخوند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الرابعة،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لجمال الدین محمّد بن مکرم رویفعی افریقی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الإمامیة، لشیخ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المرتضویة لإحیاء الآثار الجعفریة،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ومطلع النیّرین، لفخر الدین بن محمّد الطریحی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البعثة، قم،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والبرهان فی شرح إرشاد الأذهان، للمولی أحمد بن محمّد، الشهیر بالمحقّق والمقدّس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فی فقه الإمامیة، لأبی القاسم نجم الدین جعفر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المکتبة الأهلیة، بغداد،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فی أحکام الشریعة، للعلّامة حسن بن یوسف بن المطهّر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الأبحاث والدراسات الإسلامیة، 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الصاغانیة،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جهانی هزاره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إلی تنقیح شرائع الإسلام، لزین الدین بن علی العاملی، المعروف بالشهید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المعارف الإسلامیة، قم،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فی أحکام الشریعة، للمولی أحمد بن المولی محمّد مهدی بن أبی‌ذرّ، المعروف بالفاضل النراقی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الاصول، محمّد سرور البهسودی، تقریرات بحث السیّد أبی القاسم الموسوی الخوئی، مکتبة الداوری، قم، الثانیة،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لأحمد بن محمد بن علی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دار الهجرة، قم،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لفرید عبدالعزیز الجندی، دار الکتب العلمیّة،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السیّد أبوالقاسم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آثار الشیعة، قم، الرابعة،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فی شرح قواعد العلّامة، للسیّد محمد جواد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لأبی القاسم الحسین بن محمد المعروف بالراغب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الهدایة فی علم الدرایة، لعبداللَّه المامقانی، مؤسسة آل البیت لإحیاء التراث،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فی شرح المختصر النافع، لجمال الدین أبی العبّاس أحمد بن محمّد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للقاضی عبد العزیز بن البرّاج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والأثر، لأبی السعادات مجد الدین المبارک بن محمّد</w:t>
      </w:r>
    </w:p>
    <w:p>
      <w:pPr>
        <w:pStyle w:val="BookText"/>
        <w:rPr/>
      </w:pPr>
      <w:r>
        <w:rPr>
          <w:rFonts w:ascii="IRNazanin" w:hAnsi="IRNazanin" w:eastAsia="IRNazanin"/>
          <w:color w:val="111111"/>
          <w:sz w:val="28"/>
          <w:sz w:val="28"/>
          <w:szCs w:val="28"/>
          <w:rtl w:val="true"/>
          <w:lang w:bidi="fa-IR"/>
        </w:rPr>
        <w:t xml:space="preserve">الجزری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مجرّد الفقه والفتاوی، لشیخ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الطبعة الأولی،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لمحمّد محسن، المشتهر بالفیض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الإمام أمیر المؤمنین علی علیه السلام، إصفهان،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لإحیاء التراث، قم،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إلی نیل الفضیلة، لعماد الدین أبی جعفر محمد بن علی الطوسی المعروف بابن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النجفی، قم،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الإنتصار، للسیّد علی بن الحسین الموسوی، المعروف بالشریف المرتضی وعلم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صاغانُ بالغین المعجمة، وآخره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بمرو وقد تسمّی جاغان کوه، عن السمعانی، والصغانیان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بماوراء النهر، وقد تشبه النسبة فیهما وتُذکر فی 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المواریث، باب أنّ النساء لا یرثن من العقار شیئاً،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کتاب الفرائض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الإمامیّة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حرمان الزوجة من بعض الارث، مجلة فقه اهل البیت علیهم السلام، 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الموصلیّات فی ضمن رسائله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حرمان الزوجة من بعض الإرث، مجلة فقه أهل البیت علیهم السلام، 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السیّد محمود الهاشمی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السیّد محمود الهاشمی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الابانة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السیّد محمود الهاشمی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مجلّد فقه أهل البیت علیهم السلام، 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فقه أهل البیت علیهم السلام، 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ارث الزوجة المطبوعة فی کتاب صیانة 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أنّه لا أنقله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 جیلٌ من الناس کما 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فیهم فقیل هم السبابِجَة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السند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الأزهری عن اللیث أنّهم جیلٌ من الهند إلیهم تُنسب الثیاب الزطیّة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الاسلامیة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الصدوق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ارث الزوجة المطبوعة فی کتاب صیانة الابانة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هذه الرسالة تقریرٌ لما أفاده السیّد المحقّق البروجردی قدس سره، وقد أخبرنی دام ظلّه أنّ هذه الرسالة تقریرٌ لبحثه الشریف إلی أوّل النزاع الثانی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ارث الزوجة المطبوعة فی کتاب صیانة الابانة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اهل الموصول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ثواب زیارة رسول اللَّه صلی الله علیه و آله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بالغلو وغمز علیه ضعیف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ارث الزوجة المطبوعة فی کتاب صیانة الابانة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تهذیب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علیک وجود الاختلاف بین رسالة فی ارث الزوجة المطبوعة فی کتاب صیانة 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قسم منه من تقریرات بحث السیّد البروجردی والقسم الآخر من إفاضات المؤلّف 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تصریحه لی وکتاب تقریرات ثلاثة والمستفاد من الأوّل أنّ‌السیّد قدس سره کان من الأوّل مخالفاً للمشهور، مع أنّ المستفاد من الثانی موافقته لهم، وقد ذکر بعض تلامذته فی شرحه علی المهذّب 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سیّدنا الاستاذ العلّامة البروجردی قدس سره مائلًا إلی قول المفید بدعوی أنّه مقتضی الجمع بین النصوص بعد ارجاع بعضها إلی بعض لاجل اتحاد الراوی لکن یظهر منه فی بعض محاضراته المطبوعة انّه عدل أخیراً عن هذا الرأی إلی قول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ذکرنا بعض هذه الفوارق فی رسالتنا حول التلقیح الصناعی فراجع، ولعلّ المراجع یجد الاختلاف بینها وبین ما ذکرناه فی المقام فلیتدبّر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بذلک کثیر من الأعاظم کالشهید الثانی فی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الخامس فی بیان الحکمة فی هذا الحرمان، وأیضاً السیّد المحقّق البروجردی فی تقریرات ثلاثة، فراجع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أنّ الزوج یرث من کلّ ما ترکت زوجته وکذا جمیع الورّاث،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وجوه الجمع بین الأحادیث المختلفة وکیفیّة العمل بها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موارد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ارث الزوجة المطبوعة فی کتاب صیانة الابانة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الفرائض، أبواب میراث الأزواج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ارث الزوجة المطبوعة فی کتاب صیانة 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 فی الإرث ونفقة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ابن أبی عقیل وفقهه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حرمان الزوجة من بعض الإرث؛ مجلة فقه أهل البیت علیهم السلام، 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حرمان الزوجة من بعض الإرث؛ مجلة فقه أهل البیت علیهم السلام، 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حرمان الزوجة من بعض الإرث؛ مجلة فقه أهل البیت علیهم السلام، 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الزوجة من العقار، مجلّة فقه أهل البیت علیهم السلام، العدد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لا یرثن من الأرض ولا من العقار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23659</Words>
  <Characters>104406</Characters>
  <CharactersWithSpaces>127015</CharactersWithSpaces>
  <Paragraphs>1309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2026-08-17T18:56:55Z</dcterms:created>
  <dc:creator>ghaemiyeh.com</dc:creator>
  <dc:description/>
  <dc:language>en-US</dc:language>
  <cp:lastModifiedBy/>
  <dcterms:modified xsi:type="dcterms:W3CDTF">2026-08-17T22:26:59Z</dcterms:modified>
  <cp:revision>1</cp:revision>
  <dc:subject/>
  <dc:title>نخبه النظار</dc:title>
</cp:coreProperties>
</file>

<file path=docProps/custom.xml><?xml version="1.0" encoding="utf-8"?>
<Properties xmlns="http://schemas.openxmlformats.org/officeDocument/2006/custom-properties" xmlns:vt="http://schemas.openxmlformats.org/officeDocument/2006/docPropsVTypes"/>
</file>