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0151_1395250215">
            <w:r>
              <w:rPr>
                <w:webHidden/>
                <w:rStyle w:val="IndexLink"/>
                <w:rtl w:val="true"/>
              </w:rPr>
              <w:t>مشخصات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660153_1395250215">
            <w:r>
              <w:rPr>
                <w:webHidden/>
                <w:rStyle w:val="IndexLink"/>
                <w:rtl w:val="true"/>
              </w:rPr>
              <w:t>رتبه علمی فصلنامه</w:t>
            </w:r>
            <w:r>
              <w:rPr>
                <w:rStyle w:val="IndexLink"/>
                <w:rtl w:val="true"/>
              </w:rPr>
              <w:tab/>
            </w:r>
            <w:r>
              <w:rPr>
                <w:rStyle w:val="IndexLink"/>
              </w:rPr>
              <w:t>7</w:t>
            </w:r>
          </w:hyperlink>
        </w:p>
        <w:p>
          <w:pPr>
            <w:pStyle w:val="Contents2"/>
            <w:tabs>
              <w:tab w:val="clear" w:pos="8743"/>
              <w:tab w:val="right" w:pos="9026" w:leader="dot"/>
            </w:tabs>
            <w:rPr/>
          </w:pPr>
          <w:hyperlink w:anchor="__RefHeading___Toc660155_1395250215">
            <w:r>
              <w:rPr>
                <w:webHidden/>
                <w:rStyle w:val="IndexLink"/>
                <w:rtl w:val="true"/>
              </w:rPr>
              <w:t>راهنمای نویسندگان</w:t>
            </w:r>
            <w:r>
              <w:rPr>
                <w:rStyle w:val="IndexLink"/>
                <w:rtl w:val="true"/>
              </w:rPr>
              <w:tab/>
            </w:r>
            <w:r>
              <w:rPr>
                <w:rStyle w:val="IndexLink"/>
              </w:rPr>
              <w:t>9</w:t>
            </w:r>
          </w:hyperlink>
        </w:p>
        <w:p>
          <w:pPr>
            <w:pStyle w:val="Contents2"/>
            <w:tabs>
              <w:tab w:val="clear" w:pos="8743"/>
              <w:tab w:val="right" w:pos="9026" w:leader="dot"/>
            </w:tabs>
            <w:rPr/>
          </w:pPr>
          <w:hyperlink w:anchor="__RefHeading___Toc660157_139525021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60159_1395250215">
            <w:r>
              <w:rPr>
                <w:webHidden/>
                <w:rStyle w:val="IndexLink"/>
                <w:rtl w:val="true"/>
              </w:rPr>
              <w:t>حیات پیشین انسان از دیدگاه متکلمان بغداد</w:t>
            </w:r>
            <w:r>
              <w:rPr>
                <w:rStyle w:val="IndexLink"/>
                <w:rtl w:val="true"/>
              </w:rPr>
              <w:tab/>
            </w:r>
            <w:r>
              <w:rPr>
                <w:rStyle w:val="IndexLink"/>
              </w:rPr>
              <w:t>10</w:t>
            </w:r>
          </w:hyperlink>
        </w:p>
        <w:p>
          <w:pPr>
            <w:pStyle w:val="Contents3"/>
            <w:tabs>
              <w:tab w:val="clear" w:pos="8459"/>
              <w:tab w:val="right" w:pos="9026" w:leader="dot"/>
            </w:tabs>
            <w:rPr/>
          </w:pPr>
          <w:hyperlink w:anchor="__RefHeading___Toc660161_139525021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60163_139525021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60165_1395250215">
            <w:r>
              <w:rPr>
                <w:webHidden/>
                <w:rStyle w:val="IndexLink"/>
                <w:rtl w:val="true"/>
              </w:rPr>
              <w:t>چکیده</w:t>
            </w:r>
            <w:r>
              <w:rPr>
                <w:rStyle w:val="IndexLink"/>
                <w:rtl w:val="true"/>
              </w:rPr>
              <w:tab/>
            </w:r>
            <w:r>
              <w:rPr>
                <w:rStyle w:val="IndexLink"/>
              </w:rPr>
              <w:t>11</w:t>
            </w:r>
          </w:hyperlink>
        </w:p>
        <w:p>
          <w:pPr>
            <w:pStyle w:val="Contents3"/>
            <w:tabs>
              <w:tab w:val="clear" w:pos="8459"/>
              <w:tab w:val="right" w:pos="9026" w:leader="dot"/>
            </w:tabs>
            <w:rPr/>
          </w:pPr>
          <w:hyperlink w:anchor="__RefHeading___Toc660167_1395250215">
            <w:r>
              <w:rPr>
                <w:webHidden/>
                <w:rStyle w:val="IndexLink"/>
                <w:rtl w:val="true"/>
              </w:rPr>
              <w:t>واژگان کلیدی</w:t>
            </w:r>
            <w:r>
              <w:rPr>
                <w:rStyle w:val="IndexLink"/>
                <w:rtl w:val="true"/>
              </w:rPr>
              <w:tab/>
            </w:r>
            <w:r>
              <w:rPr>
                <w:rStyle w:val="IndexLink"/>
              </w:rPr>
              <w:t>11</w:t>
            </w:r>
          </w:hyperlink>
        </w:p>
        <w:p>
          <w:pPr>
            <w:pStyle w:val="Contents3"/>
            <w:tabs>
              <w:tab w:val="clear" w:pos="8459"/>
              <w:tab w:val="right" w:pos="9026" w:leader="dot"/>
            </w:tabs>
            <w:rPr/>
          </w:pPr>
          <w:hyperlink w:anchor="__RefHeading___Toc660169_1395250215">
            <w:r>
              <w:rPr>
                <w:webHidden/>
                <w:rStyle w:val="IndexLink"/>
                <w:rtl w:val="true"/>
              </w:rPr>
              <w:t>بیان مسئله</w:t>
            </w:r>
            <w:r>
              <w:rPr>
                <w:rStyle w:val="IndexLink"/>
                <w:rtl w:val="true"/>
              </w:rPr>
              <w:tab/>
            </w:r>
            <w:r>
              <w:rPr>
                <w:rStyle w:val="IndexLink"/>
              </w:rPr>
              <w:t>12</w:t>
            </w:r>
          </w:hyperlink>
        </w:p>
        <w:p>
          <w:pPr>
            <w:pStyle w:val="Contents3"/>
            <w:tabs>
              <w:tab w:val="clear" w:pos="8459"/>
              <w:tab w:val="right" w:pos="9026" w:leader="dot"/>
            </w:tabs>
            <w:rPr/>
          </w:pPr>
          <w:hyperlink w:anchor="__RefHeading___Toc660171_1395250215">
            <w:r>
              <w:rPr>
                <w:webHidden/>
                <w:rStyle w:val="IndexLink"/>
              </w:rPr>
              <w:t>1</w:t>
            </w:r>
            <w:r>
              <w:rPr>
                <w:rStyle w:val="IndexLink"/>
                <w:rtl w:val="true"/>
              </w:rPr>
              <w:t xml:space="preserve">. </w:t>
            </w:r>
            <w:r>
              <w:rPr>
                <w:rStyle w:val="IndexLink"/>
                <w:rtl w:val="true"/>
              </w:rPr>
              <w:t>تفسیر و تأویل روایات دالّ بر حیات پیشین</w:t>
            </w:r>
            <w:r>
              <w:rPr>
                <w:rStyle w:val="IndexLink"/>
                <w:rtl w:val="true"/>
              </w:rPr>
              <w:tab/>
            </w:r>
            <w:r>
              <w:rPr>
                <w:rStyle w:val="IndexLink"/>
              </w:rPr>
              <w:t>13</w:t>
            </w:r>
          </w:hyperlink>
        </w:p>
        <w:p>
          <w:pPr>
            <w:pStyle w:val="Contents4"/>
            <w:tabs>
              <w:tab w:val="clear" w:pos="8176"/>
              <w:tab w:val="right" w:pos="9026" w:leader="dot"/>
            </w:tabs>
            <w:rPr/>
          </w:pPr>
          <w:hyperlink w:anchor="__RefHeading___Toc660173_1395250215">
            <w:r>
              <w:rPr>
                <w:webHidden/>
                <w:rStyle w:val="IndexLink"/>
                <w:rtl w:val="true"/>
              </w:rPr>
              <w:t>الف</w:t>
            </w:r>
            <w:r>
              <w:rPr>
                <w:rStyle w:val="IndexLink"/>
                <w:rtl w:val="true"/>
              </w:rPr>
              <w:t xml:space="preserve">) </w:t>
            </w:r>
            <w:r>
              <w:rPr>
                <w:rStyle w:val="IndexLink"/>
                <w:rtl w:val="true"/>
              </w:rPr>
              <w:t>روایات خلقت نوری</w:t>
            </w:r>
            <w:r>
              <w:rPr>
                <w:rStyle w:val="IndexLink"/>
                <w:rtl w:val="true"/>
              </w:rPr>
              <w:tab/>
            </w:r>
            <w:r>
              <w:rPr>
                <w:rStyle w:val="IndexLink"/>
              </w:rPr>
              <w:t>13</w:t>
            </w:r>
          </w:hyperlink>
        </w:p>
        <w:p>
          <w:pPr>
            <w:pStyle w:val="Contents4"/>
            <w:tabs>
              <w:tab w:val="clear" w:pos="8176"/>
              <w:tab w:val="right" w:pos="9026" w:leader="dot"/>
            </w:tabs>
            <w:rPr/>
          </w:pPr>
          <w:hyperlink w:anchor="__RefHeading___Toc660175_1395250215">
            <w:r>
              <w:rPr>
                <w:webHidden/>
                <w:rStyle w:val="IndexLink"/>
                <w:rtl w:val="true"/>
              </w:rPr>
              <w:t>ب</w:t>
            </w:r>
            <w:r>
              <w:rPr>
                <w:rStyle w:val="IndexLink"/>
                <w:rtl w:val="true"/>
              </w:rPr>
              <w:t xml:space="preserve">) </w:t>
            </w:r>
            <w:r>
              <w:rPr>
                <w:rStyle w:val="IndexLink"/>
                <w:rtl w:val="true"/>
              </w:rPr>
              <w:t>روایات خلقتِ ارواح پیش از ابدان</w:t>
            </w:r>
            <w:r>
              <w:rPr>
                <w:rStyle w:val="IndexLink"/>
                <w:rtl w:val="true"/>
              </w:rPr>
              <w:tab/>
            </w:r>
            <w:r>
              <w:rPr>
                <w:rStyle w:val="IndexLink"/>
              </w:rPr>
              <w:t>15</w:t>
            </w:r>
          </w:hyperlink>
        </w:p>
        <w:p>
          <w:pPr>
            <w:pStyle w:val="Contents4"/>
            <w:tabs>
              <w:tab w:val="clear" w:pos="8176"/>
              <w:tab w:val="right" w:pos="9026" w:leader="dot"/>
            </w:tabs>
            <w:rPr/>
          </w:pPr>
          <w:hyperlink w:anchor="__RefHeading___Toc660177_1395250215">
            <w:r>
              <w:rPr>
                <w:webHidden/>
                <w:rStyle w:val="IndexLink"/>
                <w:rtl w:val="true"/>
              </w:rPr>
              <w:t>ج</w:t>
            </w:r>
            <w:r>
              <w:rPr>
                <w:rStyle w:val="IndexLink"/>
                <w:rtl w:val="true"/>
              </w:rPr>
              <w:t xml:space="preserve">) </w:t>
            </w:r>
            <w:r>
              <w:rPr>
                <w:rStyle w:val="IndexLink"/>
                <w:rtl w:val="true"/>
              </w:rPr>
              <w:t>روایات عالم ذر</w:t>
            </w:r>
            <w:r>
              <w:rPr>
                <w:rStyle w:val="IndexLink"/>
                <w:rtl w:val="true"/>
              </w:rPr>
              <w:tab/>
            </w:r>
            <w:r>
              <w:rPr>
                <w:rStyle w:val="IndexLink"/>
              </w:rPr>
              <w:t>16</w:t>
            </w:r>
          </w:hyperlink>
        </w:p>
        <w:p>
          <w:pPr>
            <w:pStyle w:val="Contents3"/>
            <w:tabs>
              <w:tab w:val="clear" w:pos="8459"/>
              <w:tab w:val="right" w:pos="9026" w:leader="dot"/>
            </w:tabs>
            <w:rPr/>
          </w:pPr>
          <w:hyperlink w:anchor="__RefHeading___Toc660179_1395250215">
            <w:r>
              <w:rPr>
                <w:webHidden/>
                <w:rStyle w:val="IndexLink"/>
              </w:rPr>
              <w:t>2</w:t>
            </w:r>
            <w:r>
              <w:rPr>
                <w:rStyle w:val="IndexLink"/>
                <w:rtl w:val="true"/>
              </w:rPr>
              <w:t xml:space="preserve">. </w:t>
            </w:r>
            <w:r>
              <w:rPr>
                <w:rStyle w:val="IndexLink"/>
                <w:rtl w:val="true"/>
              </w:rPr>
              <w:t xml:space="preserve">تفسیر و تأویل آیۀ </w:t>
            </w:r>
            <w:r>
              <w:rPr>
                <w:rStyle w:val="IndexLink"/>
                <w:rtl w:val="true"/>
              </w:rPr>
              <w:t>«</w:t>
            </w:r>
            <w:r>
              <w:rPr>
                <w:rStyle w:val="IndexLink"/>
                <w:rtl w:val="true"/>
              </w:rPr>
              <w:t>الست</w:t>
            </w:r>
            <w:r>
              <w:rPr>
                <w:rStyle w:val="IndexLink"/>
                <w:rtl w:val="true"/>
              </w:rPr>
              <w:t>»</w:t>
              <w:tab/>
            </w:r>
            <w:r>
              <w:rPr>
                <w:rStyle w:val="IndexLink"/>
              </w:rPr>
              <w:t>17</w:t>
            </w:r>
          </w:hyperlink>
        </w:p>
        <w:p>
          <w:pPr>
            <w:pStyle w:val="Contents3"/>
            <w:tabs>
              <w:tab w:val="clear" w:pos="8459"/>
              <w:tab w:val="right" w:pos="9026" w:leader="dot"/>
            </w:tabs>
            <w:rPr/>
          </w:pPr>
          <w:hyperlink w:anchor="__RefHeading___Toc660181_1395250215">
            <w:r>
              <w:rPr>
                <w:webHidden/>
                <w:rStyle w:val="IndexLink"/>
              </w:rPr>
              <w:t>3</w:t>
            </w:r>
            <w:r>
              <w:rPr>
                <w:rStyle w:val="IndexLink"/>
                <w:rtl w:val="true"/>
              </w:rPr>
              <w:t xml:space="preserve">. </w:t>
            </w:r>
            <w:r>
              <w:rPr>
                <w:rStyle w:val="IndexLink"/>
                <w:rtl w:val="true"/>
              </w:rPr>
              <w:t>عدم حجیتِ روایات حیات پیشین</w:t>
            </w:r>
            <w:r>
              <w:rPr>
                <w:rStyle w:val="IndexLink"/>
                <w:rtl w:val="true"/>
              </w:rPr>
              <w:tab/>
            </w:r>
            <w:r>
              <w:rPr>
                <w:rStyle w:val="IndexLink"/>
              </w:rPr>
              <w:t>19</w:t>
            </w:r>
          </w:hyperlink>
        </w:p>
        <w:p>
          <w:pPr>
            <w:pStyle w:val="Contents3"/>
            <w:tabs>
              <w:tab w:val="clear" w:pos="8459"/>
              <w:tab w:val="right" w:pos="9026" w:leader="dot"/>
            </w:tabs>
            <w:rPr/>
          </w:pPr>
          <w:hyperlink w:anchor="__RefHeading___Toc660183_1395250215">
            <w:r>
              <w:rPr>
                <w:webHidden/>
                <w:rStyle w:val="IndexLink"/>
              </w:rPr>
              <w:t>4</w:t>
            </w:r>
            <w:r>
              <w:rPr>
                <w:rStyle w:val="IndexLink"/>
                <w:rtl w:val="true"/>
              </w:rPr>
              <w:t xml:space="preserve">. </w:t>
            </w:r>
            <w:r>
              <w:rPr>
                <w:rStyle w:val="IndexLink"/>
                <w:rtl w:val="true"/>
              </w:rPr>
              <w:t>قائم به نفس نبودن روح</w:t>
            </w:r>
            <w:r>
              <w:rPr>
                <w:rStyle w:val="IndexLink"/>
                <w:rtl w:val="true"/>
              </w:rPr>
              <w:tab/>
            </w:r>
            <w:r>
              <w:rPr>
                <w:rStyle w:val="IndexLink"/>
              </w:rPr>
              <w:t>20</w:t>
            </w:r>
          </w:hyperlink>
        </w:p>
        <w:p>
          <w:pPr>
            <w:pStyle w:val="Contents3"/>
            <w:tabs>
              <w:tab w:val="clear" w:pos="8459"/>
              <w:tab w:val="right" w:pos="9026" w:leader="dot"/>
            </w:tabs>
            <w:rPr/>
          </w:pPr>
          <w:hyperlink w:anchor="__RefHeading___Toc660185_1395250215">
            <w:r>
              <w:rPr>
                <w:webHidden/>
                <w:rStyle w:val="IndexLink"/>
              </w:rPr>
              <w:t>5</w:t>
            </w:r>
            <w:r>
              <w:rPr>
                <w:rStyle w:val="IndexLink"/>
                <w:rtl w:val="true"/>
              </w:rPr>
              <w:t xml:space="preserve">. </w:t>
            </w:r>
            <w:r>
              <w:rPr>
                <w:rStyle w:val="IndexLink"/>
                <w:rtl w:val="true"/>
              </w:rPr>
              <w:t>خلاف عقل بودن روایات حیات پیشین</w:t>
            </w:r>
            <w:r>
              <w:rPr>
                <w:rStyle w:val="IndexLink"/>
                <w:rtl w:val="true"/>
              </w:rPr>
              <w:tab/>
            </w:r>
            <w:r>
              <w:rPr>
                <w:rStyle w:val="IndexLink"/>
              </w:rPr>
              <w:t>23</w:t>
            </w:r>
          </w:hyperlink>
        </w:p>
        <w:p>
          <w:pPr>
            <w:pStyle w:val="Contents3"/>
            <w:tabs>
              <w:tab w:val="clear" w:pos="8459"/>
              <w:tab w:val="right" w:pos="9026" w:leader="dot"/>
            </w:tabs>
            <w:rPr/>
          </w:pPr>
          <w:hyperlink w:anchor="__RefHeading___Toc660187_1395250215">
            <w:r>
              <w:rPr>
                <w:webHidden/>
                <w:rStyle w:val="IndexLink"/>
              </w:rPr>
              <w:t>6</w:t>
            </w:r>
            <w:r>
              <w:rPr>
                <w:rStyle w:val="IndexLink"/>
                <w:rtl w:val="true"/>
              </w:rPr>
              <w:t xml:space="preserve">. </w:t>
            </w:r>
            <w:r>
              <w:rPr>
                <w:rStyle w:val="IndexLink"/>
                <w:rtl w:val="true"/>
              </w:rPr>
              <w:t>بطلان تناسخ</w:t>
            </w:r>
            <w:r>
              <w:rPr>
                <w:rStyle w:val="IndexLink"/>
                <w:rtl w:val="true"/>
              </w:rPr>
              <w:tab/>
            </w:r>
            <w:r>
              <w:rPr>
                <w:rStyle w:val="IndexLink"/>
              </w:rPr>
              <w:t>24</w:t>
            </w:r>
          </w:hyperlink>
        </w:p>
        <w:p>
          <w:pPr>
            <w:pStyle w:val="Contents3"/>
            <w:tabs>
              <w:tab w:val="clear" w:pos="8459"/>
              <w:tab w:val="right" w:pos="9026" w:leader="dot"/>
            </w:tabs>
            <w:rPr/>
          </w:pPr>
          <w:hyperlink w:anchor="__RefHeading___Toc660189_1395250215">
            <w:r>
              <w:rPr>
                <w:webHidden/>
                <w:rStyle w:val="IndexLink"/>
              </w:rPr>
              <w:t>7</w:t>
            </w:r>
            <w:r>
              <w:rPr>
                <w:rStyle w:val="IndexLink"/>
                <w:rtl w:val="true"/>
              </w:rPr>
              <w:t xml:space="preserve">. </w:t>
            </w:r>
            <w:r>
              <w:rPr>
                <w:rStyle w:val="IndexLink"/>
                <w:rtl w:val="true"/>
              </w:rPr>
              <w:t>بطلان غلو</w:t>
            </w:r>
            <w:r>
              <w:rPr>
                <w:rStyle w:val="IndexLink"/>
                <w:rtl w:val="true"/>
              </w:rPr>
              <w:tab/>
            </w:r>
            <w:r>
              <w:rPr>
                <w:rStyle w:val="IndexLink"/>
              </w:rPr>
              <w:t>26</w:t>
            </w:r>
          </w:hyperlink>
        </w:p>
        <w:p>
          <w:pPr>
            <w:pStyle w:val="Contents3"/>
            <w:tabs>
              <w:tab w:val="clear" w:pos="8459"/>
              <w:tab w:val="right" w:pos="9026" w:leader="dot"/>
            </w:tabs>
            <w:rPr/>
          </w:pPr>
          <w:hyperlink w:anchor="__RefHeading___Toc660191_1395250215">
            <w:r>
              <w:rPr>
                <w:webHidden/>
                <w:rStyle w:val="IndexLink"/>
                <w:rtl w:val="true"/>
              </w:rPr>
              <w:t>نتیجه</w:t>
            </w:r>
            <w:r>
              <w:rPr>
                <w:rStyle w:val="IndexLink"/>
                <w:rtl w:val="true"/>
              </w:rPr>
              <w:tab/>
            </w:r>
            <w:r>
              <w:rPr>
                <w:rStyle w:val="IndexLink"/>
              </w:rPr>
              <w:t>27</w:t>
            </w:r>
          </w:hyperlink>
        </w:p>
        <w:p>
          <w:pPr>
            <w:pStyle w:val="Contents3"/>
            <w:tabs>
              <w:tab w:val="clear" w:pos="8459"/>
              <w:tab w:val="right" w:pos="9026" w:leader="dot"/>
            </w:tabs>
            <w:rPr/>
          </w:pPr>
          <w:hyperlink w:anchor="__RefHeading___Toc660193_1395250215">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660195_1395250215">
            <w:r>
              <w:rPr>
                <w:webHidden/>
                <w:rStyle w:val="IndexLink"/>
                <w:rtl w:val="true"/>
              </w:rPr>
              <w:t>مفهوم‌شناسیِ اراده و مشیّت الهی در پرتو بیانات امام رضا</w:t>
            </w:r>
            <w:r>
              <w:rPr>
                <w:rStyle w:val="IndexLink"/>
                <w:rtl w:val="true"/>
              </w:rPr>
              <w:tab/>
            </w:r>
            <w:r>
              <w:rPr>
                <w:rStyle w:val="IndexLink"/>
              </w:rPr>
              <w:t>32</w:t>
            </w:r>
          </w:hyperlink>
        </w:p>
        <w:p>
          <w:pPr>
            <w:pStyle w:val="Contents3"/>
            <w:tabs>
              <w:tab w:val="clear" w:pos="8459"/>
              <w:tab w:val="right" w:pos="9026" w:leader="dot"/>
            </w:tabs>
            <w:rPr/>
          </w:pPr>
          <w:hyperlink w:anchor="__RefHeading___Toc660197_1395250215">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60199_1395250215">
            <w:r>
              <w:rPr>
                <w:webHidden/>
                <w:rStyle w:val="IndexLink"/>
                <w:rtl w:val="true"/>
              </w:rPr>
              <w:t>چکیده</w:t>
            </w:r>
            <w:r>
              <w:rPr>
                <w:rStyle w:val="IndexLink"/>
                <w:rtl w:val="true"/>
              </w:rPr>
              <w:tab/>
            </w:r>
            <w:r>
              <w:rPr>
                <w:rStyle w:val="IndexLink"/>
              </w:rPr>
              <w:t>32</w:t>
            </w:r>
          </w:hyperlink>
        </w:p>
        <w:p>
          <w:pPr>
            <w:pStyle w:val="Contents3"/>
            <w:tabs>
              <w:tab w:val="clear" w:pos="8459"/>
              <w:tab w:val="right" w:pos="9026" w:leader="dot"/>
            </w:tabs>
            <w:rPr/>
          </w:pPr>
          <w:hyperlink w:anchor="__RefHeading___Toc660201_1395250215">
            <w:r>
              <w:rPr>
                <w:webHidden/>
                <w:rStyle w:val="IndexLink"/>
                <w:rtl w:val="true"/>
              </w:rPr>
              <w:t>واژگان کلیدی</w:t>
            </w:r>
            <w:r>
              <w:rPr>
                <w:rStyle w:val="IndexLink"/>
                <w:rtl w:val="true"/>
              </w:rPr>
              <w:tab/>
            </w:r>
            <w:r>
              <w:rPr>
                <w:rStyle w:val="IndexLink"/>
              </w:rPr>
              <w:t>32</w:t>
            </w:r>
          </w:hyperlink>
        </w:p>
        <w:p>
          <w:pPr>
            <w:pStyle w:val="Contents3"/>
            <w:tabs>
              <w:tab w:val="clear" w:pos="8459"/>
              <w:tab w:val="right" w:pos="9026" w:leader="dot"/>
            </w:tabs>
            <w:rPr/>
          </w:pPr>
          <w:hyperlink w:anchor="__RefHeading___Toc660203_1395250215">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660205_1395250215">
            <w:r>
              <w:rPr>
                <w:webHidden/>
                <w:rStyle w:val="IndexLink"/>
                <w:rtl w:val="true"/>
              </w:rPr>
              <w:t xml:space="preserve">معنای لغوی </w:t>
            </w:r>
            <w:r>
              <w:rPr>
                <w:rStyle w:val="IndexLink"/>
                <w:rtl w:val="true"/>
              </w:rPr>
              <w:t>«</w:t>
            </w:r>
            <w:r>
              <w:rPr>
                <w:rStyle w:val="IndexLink"/>
                <w:rtl w:val="true"/>
              </w:rPr>
              <w:t>اراده</w:t>
            </w:r>
            <w:r>
              <w:rPr>
                <w:rStyle w:val="IndexLink"/>
                <w:rtl w:val="true"/>
              </w:rPr>
              <w:t xml:space="preserve">» </w:t>
            </w:r>
            <w:r>
              <w:rPr>
                <w:rStyle w:val="IndexLink"/>
                <w:rtl w:val="true"/>
              </w:rPr>
              <w:t xml:space="preserve">و </w:t>
            </w:r>
            <w:r>
              <w:rPr>
                <w:rStyle w:val="IndexLink"/>
                <w:rtl w:val="true"/>
              </w:rPr>
              <w:t>«</w:t>
            </w:r>
            <w:r>
              <w:rPr>
                <w:rStyle w:val="IndexLink"/>
                <w:rtl w:val="true"/>
              </w:rPr>
              <w:t>مشیّت</w:t>
            </w:r>
            <w:r>
              <w:rPr>
                <w:rStyle w:val="IndexLink"/>
                <w:rtl w:val="true"/>
              </w:rPr>
              <w:t>»</w:t>
              <w:tab/>
            </w:r>
            <w:r>
              <w:rPr>
                <w:rStyle w:val="IndexLink"/>
              </w:rPr>
              <w:t>34</w:t>
            </w:r>
          </w:hyperlink>
        </w:p>
        <w:p>
          <w:pPr>
            <w:pStyle w:val="Contents3"/>
            <w:tabs>
              <w:tab w:val="clear" w:pos="8459"/>
              <w:tab w:val="right" w:pos="9026" w:leader="dot"/>
            </w:tabs>
            <w:rPr/>
          </w:pPr>
          <w:hyperlink w:anchor="__RefHeading___Toc660207_1395250215">
            <w:r>
              <w:rPr>
                <w:webHidden/>
                <w:rStyle w:val="IndexLink"/>
                <w:rtl w:val="true"/>
              </w:rPr>
              <w:t>«</w:t>
            </w:r>
            <w:r>
              <w:rPr>
                <w:rStyle w:val="IndexLink"/>
                <w:rtl w:val="true"/>
              </w:rPr>
              <w:t>اراده و مشیّت الهی</w:t>
            </w:r>
            <w:r>
              <w:rPr>
                <w:rStyle w:val="IndexLink"/>
                <w:rtl w:val="true"/>
              </w:rPr>
              <w:t xml:space="preserve">» </w:t>
            </w:r>
            <w:r>
              <w:rPr>
                <w:rStyle w:val="IndexLink"/>
                <w:rtl w:val="true"/>
              </w:rPr>
              <w:t>در کلام متکلمان و محدثان</w:t>
            </w:r>
            <w:r>
              <w:rPr>
                <w:rStyle w:val="IndexLink"/>
                <w:rtl w:val="true"/>
              </w:rPr>
              <w:tab/>
            </w:r>
            <w:r>
              <w:rPr>
                <w:rStyle w:val="IndexLink"/>
              </w:rPr>
              <w:t>34</w:t>
            </w:r>
          </w:hyperlink>
        </w:p>
        <w:p>
          <w:pPr>
            <w:pStyle w:val="Contents3"/>
            <w:tabs>
              <w:tab w:val="clear" w:pos="8459"/>
              <w:tab w:val="right" w:pos="9026" w:leader="dot"/>
            </w:tabs>
            <w:rPr/>
          </w:pPr>
          <w:hyperlink w:anchor="__RefHeading___Toc660209_1395250215">
            <w:r>
              <w:rPr>
                <w:webHidden/>
                <w:rStyle w:val="IndexLink"/>
                <w:rtl w:val="true"/>
              </w:rPr>
              <w:t>«</w:t>
            </w:r>
            <w:r>
              <w:rPr>
                <w:rStyle w:val="IndexLink"/>
                <w:rtl w:val="true"/>
              </w:rPr>
              <w:t>اراده و مشیّت الهی</w:t>
            </w:r>
            <w:r>
              <w:rPr>
                <w:rStyle w:val="IndexLink"/>
                <w:rtl w:val="true"/>
              </w:rPr>
              <w:t xml:space="preserve">» </w:t>
            </w:r>
            <w:r>
              <w:rPr>
                <w:rStyle w:val="IndexLink"/>
                <w:rtl w:val="true"/>
              </w:rPr>
              <w:t>در کلام امام رضا</w:t>
            </w:r>
            <w:r>
              <w:rPr>
                <w:rStyle w:val="IndexLink"/>
              </w:rPr>
              <w:t></w:t>
            </w:r>
            <w:r>
              <w:rPr>
                <w:rStyle w:val="IndexLink"/>
                <w:rtl w:val="true"/>
              </w:rPr>
              <w:tab/>
            </w:r>
            <w:r>
              <w:rPr>
                <w:rStyle w:val="IndexLink"/>
              </w:rPr>
              <w:t>35</w:t>
            </w:r>
          </w:hyperlink>
        </w:p>
        <w:p>
          <w:pPr>
            <w:pStyle w:val="Contents3"/>
            <w:tabs>
              <w:tab w:val="clear" w:pos="8459"/>
              <w:tab w:val="right" w:pos="9026" w:leader="dot"/>
            </w:tabs>
            <w:rPr/>
          </w:pPr>
          <w:hyperlink w:anchor="__RefHeading___Toc660211_1395250215">
            <w:r>
              <w:rPr>
                <w:webHidden/>
                <w:rStyle w:val="IndexLink"/>
                <w:rtl w:val="true"/>
              </w:rPr>
              <w:t xml:space="preserve">ارادۀ حتمی و عزمی </w:t>
            </w:r>
            <w:r>
              <w:rPr>
                <w:rStyle w:val="IndexLink"/>
                <w:rtl w:val="true"/>
              </w:rPr>
              <w:t>(</w:t>
            </w:r>
            <w:r>
              <w:rPr>
                <w:rStyle w:val="IndexLink"/>
                <w:rtl w:val="true"/>
              </w:rPr>
              <w:t>تکوینی و تشریعی</w:t>
            </w:r>
            <w:r>
              <w:rPr>
                <w:rStyle w:val="IndexLink"/>
                <w:rtl w:val="true"/>
              </w:rPr>
              <w:t>)</w:t>
              <w:tab/>
            </w:r>
            <w:r>
              <w:rPr>
                <w:rStyle w:val="IndexLink"/>
              </w:rPr>
              <w:t>36</w:t>
            </w:r>
          </w:hyperlink>
        </w:p>
        <w:p>
          <w:pPr>
            <w:pStyle w:val="Contents3"/>
            <w:tabs>
              <w:tab w:val="clear" w:pos="8459"/>
              <w:tab w:val="right" w:pos="9026" w:leader="dot"/>
            </w:tabs>
            <w:rPr/>
          </w:pPr>
          <w:hyperlink w:anchor="__RefHeading___Toc660213_1395250215">
            <w:r>
              <w:rPr>
                <w:webHidden/>
                <w:rStyle w:val="IndexLink"/>
                <w:rtl w:val="true"/>
              </w:rPr>
              <w:t>ارادۀ خداوند و ارادۀ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660215_1395250215">
            <w:r>
              <w:rPr>
                <w:webHidden/>
                <w:rStyle w:val="IndexLink"/>
                <w:rtl w:val="true"/>
              </w:rPr>
              <w:t xml:space="preserve">متعلقات مفهوم </w:t>
            </w:r>
            <w:r>
              <w:rPr>
                <w:rStyle w:val="IndexLink"/>
                <w:rtl w:val="true"/>
              </w:rPr>
              <w:t>«</w:t>
            </w:r>
            <w:r>
              <w:rPr>
                <w:rStyle w:val="IndexLink"/>
                <w:rtl w:val="true"/>
              </w:rPr>
              <w:t>اراده</w:t>
            </w:r>
            <w:r>
              <w:rPr>
                <w:rStyle w:val="IndexLink"/>
                <w:rtl w:val="true"/>
              </w:rPr>
              <w:t>»</w:t>
              <w:tab/>
            </w:r>
            <w:r>
              <w:rPr>
                <w:rStyle w:val="IndexLink"/>
              </w:rPr>
              <w:t>40</w:t>
            </w:r>
          </w:hyperlink>
        </w:p>
        <w:p>
          <w:pPr>
            <w:pStyle w:val="Contents3"/>
            <w:tabs>
              <w:tab w:val="clear" w:pos="8459"/>
              <w:tab w:val="right" w:pos="9026" w:leader="dot"/>
            </w:tabs>
            <w:rPr/>
          </w:pPr>
          <w:hyperlink w:anchor="__RefHeading___Toc660217_1395250215">
            <w:r>
              <w:rPr>
                <w:webHidden/>
                <w:rStyle w:val="IndexLink"/>
                <w:rtl w:val="true"/>
              </w:rPr>
              <w:t>تغایر علم و اراده</w:t>
            </w:r>
            <w:r>
              <w:rPr>
                <w:rStyle w:val="IndexLink"/>
                <w:rtl w:val="true"/>
              </w:rPr>
              <w:tab/>
            </w:r>
            <w:r>
              <w:rPr>
                <w:rStyle w:val="IndexLink"/>
              </w:rPr>
              <w:t>40</w:t>
            </w:r>
          </w:hyperlink>
        </w:p>
        <w:p>
          <w:pPr>
            <w:pStyle w:val="Contents4"/>
            <w:tabs>
              <w:tab w:val="clear" w:pos="8176"/>
              <w:tab w:val="right" w:pos="9026" w:leader="dot"/>
            </w:tabs>
            <w:rPr/>
          </w:pPr>
          <w:hyperlink w:anchor="__RefHeading___Toc660219_139525021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660221_1395250215">
            <w:r>
              <w:rPr>
                <w:webHidden/>
                <w:rStyle w:val="IndexLink"/>
                <w:rtl w:val="true"/>
              </w:rPr>
              <w:t>الف</w:t>
            </w:r>
            <w:r>
              <w:rPr>
                <w:rStyle w:val="IndexLink"/>
                <w:rtl w:val="true"/>
              </w:rPr>
              <w:t xml:space="preserve">) </w:t>
            </w:r>
            <w:r>
              <w:rPr>
                <w:rStyle w:val="IndexLink"/>
                <w:rtl w:val="true"/>
              </w:rPr>
              <w:t>نظریۀ علم و امر</w:t>
            </w:r>
            <w:r>
              <w:rPr>
                <w:rStyle w:val="IndexLink"/>
                <w:rtl w:val="true"/>
              </w:rPr>
              <w:tab/>
            </w:r>
            <w:r>
              <w:rPr>
                <w:rStyle w:val="IndexLink"/>
              </w:rPr>
              <w:t>41</w:t>
            </w:r>
          </w:hyperlink>
        </w:p>
        <w:p>
          <w:pPr>
            <w:pStyle w:val="Contents4"/>
            <w:tabs>
              <w:tab w:val="clear" w:pos="8176"/>
              <w:tab w:val="right" w:pos="9026" w:leader="dot"/>
            </w:tabs>
            <w:rPr/>
          </w:pPr>
          <w:hyperlink w:anchor="__RefHeading___Toc660223_1395250215">
            <w:r>
              <w:rPr>
                <w:webHidden/>
                <w:rStyle w:val="IndexLink"/>
                <w:rtl w:val="true"/>
              </w:rPr>
              <w:t>ب</w:t>
            </w:r>
            <w:r>
              <w:rPr>
                <w:rStyle w:val="IndexLink"/>
                <w:rtl w:val="true"/>
              </w:rPr>
              <w:t xml:space="preserve">) </w:t>
            </w:r>
            <w:r>
              <w:rPr>
                <w:rStyle w:val="IndexLink"/>
                <w:rtl w:val="true"/>
              </w:rPr>
              <w:t>علم به مصلحت</w:t>
            </w:r>
            <w:r>
              <w:rPr>
                <w:rStyle w:val="IndexLink"/>
                <w:rtl w:val="true"/>
              </w:rPr>
              <w:tab/>
            </w:r>
            <w:r>
              <w:rPr>
                <w:rStyle w:val="IndexLink"/>
              </w:rPr>
              <w:t>41</w:t>
            </w:r>
          </w:hyperlink>
        </w:p>
        <w:p>
          <w:pPr>
            <w:pStyle w:val="Contents4"/>
            <w:tabs>
              <w:tab w:val="clear" w:pos="8176"/>
              <w:tab w:val="right" w:pos="9026" w:leader="dot"/>
            </w:tabs>
            <w:rPr/>
          </w:pPr>
          <w:hyperlink w:anchor="__RefHeading___Toc660225_1395250215">
            <w:r>
              <w:rPr>
                <w:webHidden/>
                <w:rStyle w:val="IndexLink"/>
                <w:rtl w:val="true"/>
              </w:rPr>
              <w:t>ج</w:t>
            </w:r>
            <w:r>
              <w:rPr>
                <w:rStyle w:val="IndexLink"/>
                <w:rtl w:val="true"/>
              </w:rPr>
              <w:t xml:space="preserve">) </w:t>
            </w:r>
            <w:r>
              <w:rPr>
                <w:rStyle w:val="IndexLink"/>
                <w:rtl w:val="true"/>
              </w:rPr>
              <w:t>علم به اصلح</w:t>
            </w:r>
            <w:r>
              <w:rPr>
                <w:rStyle w:val="IndexLink"/>
                <w:rtl w:val="true"/>
              </w:rPr>
              <w:tab/>
            </w:r>
            <w:r>
              <w:rPr>
                <w:rStyle w:val="IndexLink"/>
              </w:rPr>
              <w:t>41</w:t>
            </w:r>
          </w:hyperlink>
        </w:p>
        <w:p>
          <w:pPr>
            <w:pStyle w:val="Contents3"/>
            <w:tabs>
              <w:tab w:val="clear" w:pos="8459"/>
              <w:tab w:val="right" w:pos="9026" w:leader="dot"/>
            </w:tabs>
            <w:rPr/>
          </w:pPr>
          <w:hyperlink w:anchor="__RefHeading___Toc660227_1395250215">
            <w:r>
              <w:rPr>
                <w:webHidden/>
                <w:rStyle w:val="IndexLink"/>
                <w:rtl w:val="true"/>
              </w:rPr>
              <w:t>اراده و مشیّت الهی، متصف به کدامین وصفند؟</w:t>
            </w:r>
            <w:r>
              <w:rPr>
                <w:rStyle w:val="IndexLink"/>
                <w:rtl w:val="true"/>
              </w:rPr>
              <w:tab/>
            </w:r>
            <w:r>
              <w:rPr>
                <w:rStyle w:val="IndexLink"/>
              </w:rPr>
              <w:t>44</w:t>
            </w:r>
          </w:hyperlink>
        </w:p>
        <w:p>
          <w:pPr>
            <w:pStyle w:val="Contents3"/>
            <w:tabs>
              <w:tab w:val="clear" w:pos="8459"/>
              <w:tab w:val="right" w:pos="9026" w:leader="dot"/>
            </w:tabs>
            <w:rPr/>
          </w:pPr>
          <w:hyperlink w:anchor="__RefHeading___Toc660229_1395250215">
            <w:r>
              <w:rPr>
                <w:webHidden/>
                <w:rStyle w:val="IndexLink"/>
                <w:rtl w:val="true"/>
              </w:rPr>
              <w:t>استناد حدوث اراده به امر بدیهی</w:t>
            </w:r>
            <w:r>
              <w:rPr>
                <w:rStyle w:val="IndexLink"/>
                <w:rtl w:val="true"/>
              </w:rPr>
              <w:tab/>
            </w:r>
            <w:r>
              <w:rPr>
                <w:rStyle w:val="IndexLink"/>
              </w:rPr>
              <w:t>47</w:t>
            </w:r>
          </w:hyperlink>
        </w:p>
        <w:p>
          <w:pPr>
            <w:pStyle w:val="Contents3"/>
            <w:tabs>
              <w:tab w:val="clear" w:pos="8459"/>
              <w:tab w:val="right" w:pos="9026" w:leader="dot"/>
            </w:tabs>
            <w:rPr/>
          </w:pPr>
          <w:hyperlink w:anchor="__RefHeading___Toc660231_1395250215">
            <w:r>
              <w:rPr>
                <w:webHidden/>
                <w:rStyle w:val="IndexLink"/>
                <w:rtl w:val="true"/>
              </w:rPr>
              <w:t>نتیجه‌گیری</w:t>
            </w:r>
            <w:r>
              <w:rPr>
                <w:rStyle w:val="IndexLink"/>
                <w:rtl w:val="true"/>
              </w:rPr>
              <w:tab/>
            </w:r>
            <w:r>
              <w:rPr>
                <w:rStyle w:val="IndexLink"/>
              </w:rPr>
              <w:t>47</w:t>
            </w:r>
          </w:hyperlink>
        </w:p>
        <w:p>
          <w:pPr>
            <w:pStyle w:val="Contents3"/>
            <w:tabs>
              <w:tab w:val="clear" w:pos="8459"/>
              <w:tab w:val="right" w:pos="9026" w:leader="dot"/>
            </w:tabs>
            <w:rPr/>
          </w:pPr>
          <w:hyperlink w:anchor="__RefHeading___Toc660233_1395250215">
            <w:r>
              <w:rPr>
                <w:webHidden/>
                <w:rStyle w:val="IndexLink"/>
                <w:rtl w:val="true"/>
              </w:rPr>
              <w:t>منابع</w:t>
            </w:r>
            <w:r>
              <w:rPr>
                <w:rStyle w:val="IndexLink"/>
                <w:rtl w:val="true"/>
              </w:rPr>
              <w:tab/>
            </w:r>
            <w:r>
              <w:rPr>
                <w:rStyle w:val="IndexLink"/>
              </w:rPr>
              <w:t>48</w:t>
            </w:r>
          </w:hyperlink>
        </w:p>
        <w:p>
          <w:pPr>
            <w:pStyle w:val="Contents2"/>
            <w:tabs>
              <w:tab w:val="clear" w:pos="8743"/>
              <w:tab w:val="right" w:pos="9026" w:leader="dot"/>
            </w:tabs>
            <w:rPr/>
          </w:pPr>
          <w:hyperlink w:anchor="__RefHeading___Toc660235_1395250215">
            <w:r>
              <w:rPr>
                <w:webHidden/>
                <w:rStyle w:val="IndexLink"/>
                <w:rtl w:val="true"/>
              </w:rPr>
              <w:t>بررسی تبیین عقلانیِ برهان نظم در دیدگاه آیت‌الله مطهری</w:t>
            </w:r>
            <w:r>
              <w:rPr>
                <w:rStyle w:val="IndexLink"/>
                <w:rtl w:val="true"/>
              </w:rPr>
              <w:tab/>
            </w:r>
            <w:r>
              <w:rPr>
                <w:rStyle w:val="IndexLink"/>
              </w:rPr>
              <w:t>52</w:t>
            </w:r>
          </w:hyperlink>
        </w:p>
        <w:p>
          <w:pPr>
            <w:pStyle w:val="Contents3"/>
            <w:tabs>
              <w:tab w:val="clear" w:pos="8459"/>
              <w:tab w:val="right" w:pos="9026" w:leader="dot"/>
            </w:tabs>
            <w:rPr/>
          </w:pPr>
          <w:hyperlink w:anchor="__RefHeading___Toc660237_1395250215">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660239_1395250215">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660241_1395250215">
            <w:r>
              <w:rPr>
                <w:webHidden/>
                <w:rStyle w:val="IndexLink"/>
                <w:rtl w:val="true"/>
              </w:rPr>
              <w:t>واژگان کلیدی</w:t>
            </w:r>
            <w:r>
              <w:rPr>
                <w:rStyle w:val="IndexLink"/>
                <w:rtl w:val="true"/>
              </w:rPr>
              <w:tab/>
            </w:r>
            <w:r>
              <w:rPr>
                <w:rStyle w:val="IndexLink"/>
              </w:rPr>
              <w:t>52</w:t>
            </w:r>
          </w:hyperlink>
        </w:p>
        <w:p>
          <w:pPr>
            <w:pStyle w:val="Contents3"/>
            <w:tabs>
              <w:tab w:val="clear" w:pos="8459"/>
              <w:tab w:val="right" w:pos="9026" w:leader="dot"/>
            </w:tabs>
            <w:rPr/>
          </w:pPr>
          <w:hyperlink w:anchor="__RefHeading___Toc660243_1395250215">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660245_1395250215">
            <w:r>
              <w:rPr>
                <w:webHidden/>
                <w:rStyle w:val="IndexLink"/>
                <w:rtl w:val="true"/>
              </w:rPr>
              <w:t>ویژگی‌های تقریرات مطهری</w:t>
            </w:r>
            <w:r>
              <w:rPr>
                <w:rStyle w:val="IndexLink"/>
                <w:rtl w:val="true"/>
              </w:rPr>
              <w:tab/>
            </w:r>
            <w:r>
              <w:rPr>
                <w:rStyle w:val="IndexLink"/>
              </w:rPr>
              <w:t>54</w:t>
            </w:r>
          </w:hyperlink>
        </w:p>
        <w:p>
          <w:pPr>
            <w:pStyle w:val="Contents3"/>
            <w:tabs>
              <w:tab w:val="clear" w:pos="8459"/>
              <w:tab w:val="right" w:pos="9026" w:leader="dot"/>
            </w:tabs>
            <w:rPr/>
          </w:pPr>
          <w:hyperlink w:anchor="__RefHeading___Toc660247_1395250215">
            <w:r>
              <w:rPr>
                <w:webHidden/>
                <w:rStyle w:val="IndexLink"/>
                <w:rtl w:val="true"/>
              </w:rPr>
              <w:t>تلازم علیتِ فاعلی و غایی در برهان نظم</w:t>
            </w:r>
            <w:r>
              <w:rPr>
                <w:rStyle w:val="IndexLink"/>
                <w:rtl w:val="true"/>
              </w:rPr>
              <w:tab/>
            </w:r>
            <w:r>
              <w:rPr>
                <w:rStyle w:val="IndexLink"/>
              </w:rPr>
              <w:t>55</w:t>
            </w:r>
          </w:hyperlink>
        </w:p>
        <w:p>
          <w:pPr>
            <w:pStyle w:val="Contents3"/>
            <w:tabs>
              <w:tab w:val="clear" w:pos="8459"/>
              <w:tab w:val="right" w:pos="9026" w:leader="dot"/>
            </w:tabs>
            <w:rPr/>
          </w:pPr>
          <w:hyperlink w:anchor="__RefHeading___Toc660249_1395250215">
            <w:r>
              <w:rPr>
                <w:webHidden/>
                <w:rStyle w:val="IndexLink"/>
                <w:rtl w:val="true"/>
              </w:rPr>
              <w:t>ویژگیِ حکایت‌گری معلول‌ها</w:t>
            </w:r>
            <w:r>
              <w:rPr>
                <w:rStyle w:val="IndexLink"/>
                <w:rtl w:val="true"/>
              </w:rPr>
              <w:tab/>
            </w:r>
            <w:r>
              <w:rPr>
                <w:rStyle w:val="IndexLink"/>
              </w:rPr>
              <w:t>56</w:t>
            </w:r>
          </w:hyperlink>
        </w:p>
        <w:p>
          <w:pPr>
            <w:pStyle w:val="Contents3"/>
            <w:tabs>
              <w:tab w:val="clear" w:pos="8459"/>
              <w:tab w:val="right" w:pos="9026" w:leader="dot"/>
            </w:tabs>
            <w:rPr/>
          </w:pPr>
          <w:hyperlink w:anchor="__RefHeading___Toc660251_1395250215">
            <w:r>
              <w:rPr>
                <w:webHidden/>
                <w:rStyle w:val="IndexLink"/>
                <w:rtl w:val="true"/>
              </w:rPr>
              <w:t>اصل هدایت در تکمیل برهان نظم</w:t>
            </w:r>
            <w:r>
              <w:rPr>
                <w:rStyle w:val="IndexLink"/>
                <w:rtl w:val="true"/>
              </w:rPr>
              <w:tab/>
            </w:r>
            <w:r>
              <w:rPr>
                <w:rStyle w:val="IndexLink"/>
              </w:rPr>
              <w:t>56</w:t>
            </w:r>
          </w:hyperlink>
        </w:p>
        <w:p>
          <w:pPr>
            <w:pStyle w:val="Contents3"/>
            <w:tabs>
              <w:tab w:val="clear" w:pos="8459"/>
              <w:tab w:val="right" w:pos="9026" w:leader="dot"/>
            </w:tabs>
            <w:rPr/>
          </w:pPr>
          <w:hyperlink w:anchor="__RefHeading___Toc660253_1395250215">
            <w:r>
              <w:rPr>
                <w:webHidden/>
                <w:rStyle w:val="IndexLink"/>
                <w:rtl w:val="true"/>
              </w:rPr>
              <w:t>نقد دیدگاه‌های هیوم</w:t>
            </w:r>
            <w:r>
              <w:rPr>
                <w:rStyle w:val="IndexLink"/>
                <w:rtl w:val="true"/>
              </w:rPr>
              <w:tab/>
            </w:r>
            <w:r>
              <w:rPr>
                <w:rStyle w:val="IndexLink"/>
              </w:rPr>
              <w:t>59</w:t>
            </w:r>
          </w:hyperlink>
        </w:p>
        <w:p>
          <w:pPr>
            <w:pStyle w:val="Contents3"/>
            <w:tabs>
              <w:tab w:val="clear" w:pos="8459"/>
              <w:tab w:val="right" w:pos="9026" w:leader="dot"/>
            </w:tabs>
            <w:rPr/>
          </w:pPr>
          <w:hyperlink w:anchor="__RefHeading___Toc660255_1395250215">
            <w:r>
              <w:rPr>
                <w:webHidden/>
                <w:rStyle w:val="IndexLink"/>
                <w:rtl w:val="true"/>
              </w:rPr>
              <w:t>دیدگاه آیت‌الله جوادی</w:t>
            </w:r>
            <w:r>
              <w:rPr>
                <w:rStyle w:val="IndexLink"/>
                <w:rtl w:val="true"/>
              </w:rPr>
              <w:tab/>
            </w:r>
            <w:r>
              <w:rPr>
                <w:rStyle w:val="IndexLink"/>
              </w:rPr>
              <w:t>65</w:t>
            </w:r>
          </w:hyperlink>
        </w:p>
        <w:p>
          <w:pPr>
            <w:pStyle w:val="Contents3"/>
            <w:tabs>
              <w:tab w:val="clear" w:pos="8459"/>
              <w:tab w:val="right" w:pos="9026" w:leader="dot"/>
            </w:tabs>
            <w:rPr/>
          </w:pPr>
          <w:hyperlink w:anchor="__RefHeading___Toc660257_1395250215">
            <w:r>
              <w:rPr>
                <w:webHidden/>
                <w:rStyle w:val="IndexLink"/>
                <w:rtl w:val="true"/>
              </w:rPr>
              <w:t>نتیجه گیری</w:t>
            </w:r>
            <w:r>
              <w:rPr>
                <w:rStyle w:val="IndexLink"/>
                <w:rtl w:val="true"/>
              </w:rPr>
              <w:tab/>
            </w:r>
            <w:r>
              <w:rPr>
                <w:rStyle w:val="IndexLink"/>
              </w:rPr>
              <w:t>67</w:t>
            </w:r>
          </w:hyperlink>
        </w:p>
        <w:p>
          <w:pPr>
            <w:pStyle w:val="Contents3"/>
            <w:tabs>
              <w:tab w:val="clear" w:pos="8459"/>
              <w:tab w:val="right" w:pos="9026" w:leader="dot"/>
            </w:tabs>
            <w:rPr/>
          </w:pPr>
          <w:hyperlink w:anchor="__RefHeading___Toc660259_1395250215">
            <w:r>
              <w:rPr>
                <w:webHidden/>
                <w:rStyle w:val="IndexLink"/>
                <w:rtl w:val="true"/>
              </w:rPr>
              <w:t>منابع</w:t>
            </w:r>
            <w:r>
              <w:rPr>
                <w:rStyle w:val="IndexLink"/>
                <w:rtl w:val="true"/>
              </w:rPr>
              <w:tab/>
            </w:r>
            <w:r>
              <w:rPr>
                <w:rStyle w:val="IndexLink"/>
              </w:rPr>
              <w:t>69</w:t>
            </w:r>
          </w:hyperlink>
        </w:p>
        <w:p>
          <w:pPr>
            <w:pStyle w:val="Contents2"/>
            <w:tabs>
              <w:tab w:val="clear" w:pos="8743"/>
              <w:tab w:val="right" w:pos="9026" w:leader="dot"/>
            </w:tabs>
            <w:rPr/>
          </w:pPr>
          <w:hyperlink w:anchor="__RefHeading___Toc660261_1395250215">
            <w:r>
              <w:rPr>
                <w:webHidden/>
                <w:rStyle w:val="IndexLink"/>
                <w:rtl w:val="true"/>
              </w:rPr>
              <w:t>گونه شناسی رفتارهای اعتقادی شیعیانِ امامیه با امامان معصوم</w:t>
            </w:r>
            <w:r>
              <w:rPr>
                <w:rStyle w:val="IndexLink"/>
                <w:rtl w:val="true"/>
              </w:rPr>
              <w:tab/>
            </w:r>
            <w:r>
              <w:rPr>
                <w:rStyle w:val="IndexLink"/>
              </w:rPr>
              <w:t>70</w:t>
            </w:r>
          </w:hyperlink>
        </w:p>
        <w:p>
          <w:pPr>
            <w:pStyle w:val="Contents3"/>
            <w:tabs>
              <w:tab w:val="clear" w:pos="8459"/>
              <w:tab w:val="right" w:pos="9026" w:leader="dot"/>
            </w:tabs>
            <w:rPr/>
          </w:pPr>
          <w:hyperlink w:anchor="__RefHeading___Toc660263_1395250215">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60265_1395250215">
            <w:r>
              <w:rPr>
                <w:webHidden/>
                <w:rStyle w:val="IndexLink"/>
                <w:rtl w:val="true"/>
              </w:rPr>
              <w:t>چکیده</w:t>
            </w:r>
            <w:r>
              <w:rPr>
                <w:rStyle w:val="IndexLink"/>
                <w:rtl w:val="true"/>
              </w:rPr>
              <w:tab/>
            </w:r>
            <w:r>
              <w:rPr>
                <w:rStyle w:val="IndexLink"/>
              </w:rPr>
              <w:t>70</w:t>
            </w:r>
          </w:hyperlink>
        </w:p>
        <w:p>
          <w:pPr>
            <w:pStyle w:val="Contents3"/>
            <w:tabs>
              <w:tab w:val="clear" w:pos="8459"/>
              <w:tab w:val="right" w:pos="9026" w:leader="dot"/>
            </w:tabs>
            <w:rPr/>
          </w:pPr>
          <w:hyperlink w:anchor="__RefHeading___Toc660267_1395250215">
            <w:r>
              <w:rPr>
                <w:webHidden/>
                <w:rStyle w:val="IndexLink"/>
                <w:rtl w:val="true"/>
              </w:rPr>
              <w:t>واژگان کلیدی</w:t>
            </w:r>
            <w:r>
              <w:rPr>
                <w:rStyle w:val="IndexLink"/>
                <w:rtl w:val="true"/>
              </w:rPr>
              <w:tab/>
            </w:r>
            <w:r>
              <w:rPr>
                <w:rStyle w:val="IndexLink"/>
              </w:rPr>
              <w:t>70</w:t>
            </w:r>
          </w:hyperlink>
        </w:p>
        <w:p>
          <w:pPr>
            <w:pStyle w:val="Contents3"/>
            <w:tabs>
              <w:tab w:val="clear" w:pos="8459"/>
              <w:tab w:val="right" w:pos="9026" w:leader="dot"/>
            </w:tabs>
            <w:rPr/>
          </w:pPr>
          <w:hyperlink w:anchor="__RefHeading___Toc660269_1395250215">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660271_1395250215">
            <w:r>
              <w:rPr>
                <w:webHidden/>
                <w:rStyle w:val="IndexLink"/>
                <w:rtl w:val="true"/>
              </w:rPr>
              <w:t>جایگاه اعتقادیِ امامان نزد شیعیان</w:t>
            </w:r>
            <w:r>
              <w:rPr>
                <w:rStyle w:val="IndexLink"/>
                <w:rtl w:val="true"/>
              </w:rPr>
              <w:tab/>
            </w:r>
            <w:r>
              <w:rPr>
                <w:rStyle w:val="IndexLink"/>
              </w:rPr>
              <w:t>71</w:t>
            </w:r>
          </w:hyperlink>
        </w:p>
        <w:p>
          <w:pPr>
            <w:pStyle w:val="Contents4"/>
            <w:tabs>
              <w:tab w:val="clear" w:pos="8176"/>
              <w:tab w:val="right" w:pos="9026" w:leader="dot"/>
            </w:tabs>
            <w:rPr/>
          </w:pPr>
          <w:hyperlink w:anchor="__RefHeading___Toc660273_139525021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60275_1395250215">
            <w:r>
              <w:rPr>
                <w:webHidden/>
                <w:rStyle w:val="IndexLink"/>
                <w:rtl w:val="true"/>
              </w:rPr>
              <w:t>الف</w:t>
            </w:r>
            <w:r>
              <w:rPr>
                <w:rStyle w:val="IndexLink"/>
                <w:rtl w:val="true"/>
              </w:rPr>
              <w:t xml:space="preserve">) </w:t>
            </w:r>
            <w:r>
              <w:rPr>
                <w:rStyle w:val="IndexLink"/>
                <w:rtl w:val="true"/>
              </w:rPr>
              <w:t>تلاش برای شناخت امام</w:t>
            </w:r>
            <w:r>
              <w:rPr>
                <w:rStyle w:val="IndexLink"/>
                <w:rtl w:val="true"/>
              </w:rPr>
              <w:tab/>
            </w:r>
            <w:r>
              <w:rPr>
                <w:rStyle w:val="IndexLink"/>
              </w:rPr>
              <w:t>73</w:t>
            </w:r>
          </w:hyperlink>
        </w:p>
        <w:p>
          <w:pPr>
            <w:pStyle w:val="Contents5"/>
            <w:tabs>
              <w:tab w:val="clear" w:pos="7892"/>
              <w:tab w:val="right" w:pos="9026" w:leader="dot"/>
            </w:tabs>
            <w:rPr/>
          </w:pPr>
          <w:hyperlink w:anchor="__RefHeading___Toc660277_139525021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660279_1395250215">
            <w:r>
              <w:rPr>
                <w:webHidden/>
                <w:rStyle w:val="IndexLink"/>
              </w:rPr>
              <w:t>1</w:t>
            </w:r>
            <w:r>
              <w:rPr>
                <w:rStyle w:val="IndexLink"/>
                <w:rtl w:val="true"/>
              </w:rPr>
              <w:t xml:space="preserve">. </w:t>
            </w:r>
            <w:r>
              <w:rPr>
                <w:rStyle w:val="IndexLink"/>
                <w:rtl w:val="true"/>
              </w:rPr>
              <w:t>شناخت اوصاف و ویژگی‌های امام</w:t>
            </w:r>
            <w:r>
              <w:rPr>
                <w:rStyle w:val="IndexLink"/>
                <w:rtl w:val="true"/>
              </w:rPr>
              <w:tab/>
            </w:r>
            <w:r>
              <w:rPr>
                <w:rStyle w:val="IndexLink"/>
              </w:rPr>
              <w:t>73</w:t>
            </w:r>
          </w:hyperlink>
        </w:p>
        <w:p>
          <w:pPr>
            <w:pStyle w:val="Contents5"/>
            <w:tabs>
              <w:tab w:val="clear" w:pos="7892"/>
              <w:tab w:val="right" w:pos="9026" w:leader="dot"/>
            </w:tabs>
            <w:rPr/>
          </w:pPr>
          <w:hyperlink w:anchor="__RefHeading___Toc660281_1395250215">
            <w:r>
              <w:rPr>
                <w:webHidden/>
                <w:rStyle w:val="IndexLink"/>
              </w:rPr>
              <w:t>2</w:t>
            </w:r>
            <w:r>
              <w:rPr>
                <w:rStyle w:val="IndexLink"/>
                <w:rtl w:val="true"/>
              </w:rPr>
              <w:t xml:space="preserve">. </w:t>
            </w:r>
            <w:r>
              <w:rPr>
                <w:rStyle w:val="IndexLink"/>
                <w:rtl w:val="true"/>
              </w:rPr>
              <w:t>شناخت جانشین امام</w:t>
            </w:r>
            <w:r>
              <w:rPr>
                <w:rStyle w:val="IndexLink"/>
                <w:rtl w:val="true"/>
              </w:rPr>
              <w:tab/>
            </w:r>
            <w:r>
              <w:rPr>
                <w:rStyle w:val="IndexLink"/>
              </w:rPr>
              <w:t>74</w:t>
            </w:r>
          </w:hyperlink>
        </w:p>
        <w:p>
          <w:pPr>
            <w:pStyle w:val="Contents6"/>
            <w:tabs>
              <w:tab w:val="clear" w:pos="7609"/>
              <w:tab w:val="right" w:pos="9026" w:leader="dot"/>
            </w:tabs>
            <w:rPr/>
          </w:pPr>
          <w:hyperlink w:anchor="__RefHeading___Toc660283_1395250215">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660285_1395250215">
            <w:r>
              <w:rPr>
                <w:webHidden/>
                <w:rStyle w:val="IndexLink"/>
                <w:rtl w:val="true"/>
              </w:rPr>
              <w:t>یکم</w:t>
            </w:r>
            <w:r>
              <w:rPr>
                <w:rStyle w:val="IndexLink"/>
                <w:rtl w:val="true"/>
              </w:rPr>
              <w:t xml:space="preserve">: </w:t>
            </w:r>
            <w:r>
              <w:rPr>
                <w:rStyle w:val="IndexLink"/>
                <w:rtl w:val="true"/>
              </w:rPr>
              <w:t>پرسش از امام</w:t>
            </w:r>
            <w:r>
              <w:rPr>
                <w:rStyle w:val="IndexLink"/>
                <w:rtl w:val="true"/>
              </w:rPr>
              <w:t>:</w:t>
              <w:tab/>
            </w:r>
            <w:r>
              <w:rPr>
                <w:rStyle w:val="IndexLink"/>
              </w:rPr>
              <w:t>76</w:t>
            </w:r>
          </w:hyperlink>
        </w:p>
        <w:p>
          <w:pPr>
            <w:pStyle w:val="Contents6"/>
            <w:tabs>
              <w:tab w:val="clear" w:pos="7609"/>
              <w:tab w:val="right" w:pos="9026" w:leader="dot"/>
            </w:tabs>
            <w:rPr/>
          </w:pPr>
          <w:hyperlink w:anchor="__RefHeading___Toc660287_1395250215">
            <w:r>
              <w:rPr>
                <w:webHidden/>
                <w:rStyle w:val="IndexLink"/>
                <w:rtl w:val="true"/>
              </w:rPr>
              <w:t>دوم</w:t>
            </w:r>
            <w:r>
              <w:rPr>
                <w:rStyle w:val="IndexLink"/>
                <w:rtl w:val="true"/>
              </w:rPr>
              <w:t xml:space="preserve">: </w:t>
            </w:r>
            <w:r>
              <w:rPr>
                <w:rStyle w:val="IndexLink"/>
                <w:rtl w:val="true"/>
              </w:rPr>
              <w:t>بررسی نشانه های امام</w:t>
            </w:r>
            <w:r>
              <w:rPr>
                <w:rStyle w:val="IndexLink"/>
                <w:rtl w:val="true"/>
              </w:rPr>
              <w:t>:</w:t>
              <w:tab/>
            </w:r>
            <w:r>
              <w:rPr>
                <w:rStyle w:val="IndexLink"/>
              </w:rPr>
              <w:t>76</w:t>
            </w:r>
          </w:hyperlink>
        </w:p>
        <w:p>
          <w:pPr>
            <w:pStyle w:val="Contents6"/>
            <w:tabs>
              <w:tab w:val="clear" w:pos="7609"/>
              <w:tab w:val="right" w:pos="9026" w:leader="dot"/>
            </w:tabs>
            <w:rPr/>
          </w:pPr>
          <w:hyperlink w:anchor="__RefHeading___Toc660289_1395250215">
            <w:r>
              <w:rPr>
                <w:webHidden/>
                <w:rStyle w:val="IndexLink"/>
                <w:rtl w:val="true"/>
              </w:rPr>
              <w:t>سوم</w:t>
            </w:r>
            <w:r>
              <w:rPr>
                <w:rStyle w:val="IndexLink"/>
                <w:rtl w:val="true"/>
              </w:rPr>
              <w:t xml:space="preserve">: </w:t>
            </w:r>
            <w:r>
              <w:rPr>
                <w:rStyle w:val="IndexLink"/>
                <w:rtl w:val="true"/>
              </w:rPr>
              <w:t>آزمودن امام</w:t>
            </w:r>
            <w:r>
              <w:rPr>
                <w:rStyle w:val="IndexLink"/>
                <w:rtl w:val="true"/>
              </w:rPr>
              <w:t>:</w:t>
              <w:tab/>
            </w:r>
            <w:r>
              <w:rPr>
                <w:rStyle w:val="IndexLink"/>
              </w:rPr>
              <w:t>77</w:t>
            </w:r>
          </w:hyperlink>
        </w:p>
        <w:p>
          <w:pPr>
            <w:pStyle w:val="Contents4"/>
            <w:tabs>
              <w:tab w:val="clear" w:pos="8176"/>
              <w:tab w:val="right" w:pos="9026" w:leader="dot"/>
            </w:tabs>
            <w:rPr/>
          </w:pPr>
          <w:hyperlink w:anchor="__RefHeading___Toc660291_1395250215">
            <w:r>
              <w:rPr>
                <w:webHidden/>
                <w:rStyle w:val="IndexLink"/>
                <w:rtl w:val="true"/>
              </w:rPr>
              <w:t>ب</w:t>
            </w:r>
            <w:r>
              <w:rPr>
                <w:rStyle w:val="IndexLink"/>
                <w:rtl w:val="true"/>
              </w:rPr>
              <w:t xml:space="preserve">) </w:t>
            </w:r>
            <w:r>
              <w:rPr>
                <w:rStyle w:val="IndexLink"/>
                <w:rtl w:val="true"/>
              </w:rPr>
              <w:t>دفاع از حریم امامان</w:t>
            </w:r>
            <w:r>
              <w:rPr>
                <w:rStyle w:val="IndexLink"/>
                <w:rtl w:val="true"/>
              </w:rPr>
              <w:tab/>
            </w:r>
            <w:r>
              <w:rPr>
                <w:rStyle w:val="IndexLink"/>
              </w:rPr>
              <w:t>77</w:t>
            </w:r>
          </w:hyperlink>
        </w:p>
        <w:p>
          <w:pPr>
            <w:pStyle w:val="Contents5"/>
            <w:tabs>
              <w:tab w:val="clear" w:pos="7892"/>
              <w:tab w:val="right" w:pos="9026" w:leader="dot"/>
            </w:tabs>
            <w:rPr/>
          </w:pPr>
          <w:hyperlink w:anchor="__RefHeading___Toc660293_1395250215">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660295_1395250215">
            <w:r>
              <w:rPr>
                <w:webHidden/>
                <w:rStyle w:val="IndexLink"/>
              </w:rPr>
              <w:t>1</w:t>
            </w:r>
            <w:r>
              <w:rPr>
                <w:rStyle w:val="IndexLink"/>
                <w:rtl w:val="true"/>
              </w:rPr>
              <w:t xml:space="preserve">. </w:t>
            </w:r>
            <w:r>
              <w:rPr>
                <w:rStyle w:val="IndexLink"/>
                <w:rtl w:val="true"/>
              </w:rPr>
              <w:t>دفاع از امامان در مقابل خلفا و حاکمان</w:t>
            </w:r>
            <w:r>
              <w:rPr>
                <w:rStyle w:val="IndexLink"/>
                <w:rtl w:val="true"/>
              </w:rPr>
              <w:t>:</w:t>
              <w:tab/>
            </w:r>
            <w:r>
              <w:rPr>
                <w:rStyle w:val="IndexLink"/>
              </w:rPr>
              <w:t>77</w:t>
            </w:r>
          </w:hyperlink>
        </w:p>
        <w:p>
          <w:pPr>
            <w:pStyle w:val="Contents5"/>
            <w:tabs>
              <w:tab w:val="clear" w:pos="7892"/>
              <w:tab w:val="right" w:pos="9026" w:leader="dot"/>
            </w:tabs>
            <w:rPr/>
          </w:pPr>
          <w:hyperlink w:anchor="__RefHeading___Toc660297_1395250215">
            <w:r>
              <w:rPr>
                <w:webHidden/>
                <w:rStyle w:val="IndexLink"/>
              </w:rPr>
              <w:t>2</w:t>
            </w:r>
            <w:r>
              <w:rPr>
                <w:rStyle w:val="IndexLink"/>
                <w:rtl w:val="true"/>
              </w:rPr>
              <w:t xml:space="preserve">. </w:t>
            </w:r>
            <w:r>
              <w:rPr>
                <w:rStyle w:val="IndexLink"/>
                <w:rtl w:val="true"/>
              </w:rPr>
              <w:t>دفاع از امام در برابر دیگر مخالفان</w:t>
            </w:r>
            <w:r>
              <w:rPr>
                <w:rStyle w:val="IndexLink"/>
                <w:rtl w:val="true"/>
              </w:rPr>
              <w:t>:</w:t>
              <w:tab/>
            </w:r>
            <w:r>
              <w:rPr>
                <w:rStyle w:val="IndexLink"/>
              </w:rPr>
              <w:t>79</w:t>
            </w:r>
          </w:hyperlink>
        </w:p>
        <w:p>
          <w:pPr>
            <w:pStyle w:val="Contents4"/>
            <w:tabs>
              <w:tab w:val="clear" w:pos="8176"/>
              <w:tab w:val="right" w:pos="9026" w:leader="dot"/>
            </w:tabs>
            <w:rPr/>
          </w:pPr>
          <w:hyperlink w:anchor="__RefHeading___Toc660299_1395250215">
            <w:r>
              <w:rPr>
                <w:webHidden/>
                <w:rStyle w:val="IndexLink"/>
                <w:rtl w:val="true"/>
              </w:rPr>
              <w:t>ج</w:t>
            </w:r>
            <w:r>
              <w:rPr>
                <w:rStyle w:val="IndexLink"/>
                <w:rtl w:val="true"/>
              </w:rPr>
              <w:t xml:space="preserve">) </w:t>
            </w:r>
            <w:r>
              <w:rPr>
                <w:rStyle w:val="IndexLink"/>
                <w:rtl w:val="true"/>
              </w:rPr>
              <w:t>تمسک به مقام معنوی امامان</w:t>
            </w:r>
            <w:r>
              <w:rPr>
                <w:rStyle w:val="IndexLink"/>
                <w:rtl w:val="true"/>
              </w:rPr>
              <w:tab/>
            </w:r>
            <w:r>
              <w:rPr>
                <w:rStyle w:val="IndexLink"/>
              </w:rPr>
              <w:t>80</w:t>
            </w:r>
          </w:hyperlink>
        </w:p>
        <w:p>
          <w:pPr>
            <w:pStyle w:val="Contents5"/>
            <w:tabs>
              <w:tab w:val="clear" w:pos="7892"/>
              <w:tab w:val="right" w:pos="9026" w:leader="dot"/>
            </w:tabs>
            <w:rPr/>
          </w:pPr>
          <w:hyperlink w:anchor="__RefHeading___Toc660301_1395250215">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660303_1395250215">
            <w:r>
              <w:rPr>
                <w:webHidden/>
                <w:rStyle w:val="IndexLink"/>
              </w:rPr>
              <w:t>1</w:t>
            </w:r>
            <w:r>
              <w:rPr>
                <w:rStyle w:val="IndexLink"/>
                <w:rtl w:val="true"/>
              </w:rPr>
              <w:t xml:space="preserve">. </w:t>
            </w:r>
            <w:r>
              <w:rPr>
                <w:rStyle w:val="IndexLink"/>
                <w:rtl w:val="true"/>
              </w:rPr>
              <w:t>توسل جستن</w:t>
            </w:r>
            <w:r>
              <w:rPr>
                <w:rStyle w:val="IndexLink"/>
                <w:rtl w:val="true"/>
              </w:rPr>
              <w:t>:</w:t>
              <w:tab/>
            </w:r>
            <w:r>
              <w:rPr>
                <w:rStyle w:val="IndexLink"/>
              </w:rPr>
              <w:t>80</w:t>
            </w:r>
          </w:hyperlink>
        </w:p>
        <w:p>
          <w:pPr>
            <w:pStyle w:val="Contents5"/>
            <w:tabs>
              <w:tab w:val="clear" w:pos="7892"/>
              <w:tab w:val="right" w:pos="9026" w:leader="dot"/>
            </w:tabs>
            <w:rPr/>
          </w:pPr>
          <w:hyperlink w:anchor="__RefHeading___Toc660305_1395250215">
            <w:r>
              <w:rPr>
                <w:webHidden/>
                <w:rStyle w:val="IndexLink"/>
              </w:rPr>
              <w:t>2</w:t>
            </w:r>
            <w:r>
              <w:rPr>
                <w:rStyle w:val="IndexLink"/>
                <w:rtl w:val="true"/>
              </w:rPr>
              <w:t xml:space="preserve">. </w:t>
            </w:r>
            <w:r>
              <w:rPr>
                <w:rStyle w:val="IndexLink"/>
                <w:rtl w:val="true"/>
              </w:rPr>
              <w:t>شفاعت‌خواهی</w:t>
            </w:r>
            <w:r>
              <w:rPr>
                <w:rStyle w:val="IndexLink"/>
                <w:rtl w:val="true"/>
              </w:rPr>
              <w:t>:</w:t>
              <w:tab/>
            </w:r>
            <w:r>
              <w:rPr>
                <w:rStyle w:val="IndexLink"/>
              </w:rPr>
              <w:t>82</w:t>
            </w:r>
          </w:hyperlink>
        </w:p>
        <w:p>
          <w:pPr>
            <w:pStyle w:val="Contents5"/>
            <w:tabs>
              <w:tab w:val="clear" w:pos="7892"/>
              <w:tab w:val="right" w:pos="9026" w:leader="dot"/>
            </w:tabs>
            <w:rPr/>
          </w:pPr>
          <w:hyperlink w:anchor="__RefHeading___Toc660307_1395250215">
            <w:r>
              <w:rPr>
                <w:webHidden/>
                <w:rStyle w:val="IndexLink"/>
              </w:rPr>
              <w:t>3</w:t>
            </w:r>
            <w:r>
              <w:rPr>
                <w:rStyle w:val="IndexLink"/>
                <w:rtl w:val="true"/>
              </w:rPr>
              <w:t xml:space="preserve">. </w:t>
            </w:r>
            <w:r>
              <w:rPr>
                <w:rStyle w:val="IndexLink"/>
                <w:rtl w:val="true"/>
              </w:rPr>
              <w:t>تبرک‌جویی و شفاخواهی</w:t>
            </w:r>
            <w:r>
              <w:rPr>
                <w:rStyle w:val="IndexLink"/>
                <w:rtl w:val="true"/>
              </w:rPr>
              <w:t>:</w:t>
              <w:tab/>
            </w:r>
            <w:r>
              <w:rPr>
                <w:rStyle w:val="IndexLink"/>
              </w:rPr>
              <w:t>83</w:t>
            </w:r>
          </w:hyperlink>
        </w:p>
        <w:p>
          <w:pPr>
            <w:pStyle w:val="Contents3"/>
            <w:tabs>
              <w:tab w:val="clear" w:pos="8459"/>
              <w:tab w:val="right" w:pos="9026" w:leader="dot"/>
            </w:tabs>
            <w:rPr/>
          </w:pPr>
          <w:hyperlink w:anchor="__RefHeading___Toc660309_1395250215">
            <w:r>
              <w:rPr>
                <w:webHidden/>
                <w:rStyle w:val="IndexLink"/>
                <w:rtl w:val="true"/>
              </w:rPr>
              <w:t>نتیجه</w:t>
            </w:r>
            <w:r>
              <w:rPr>
                <w:rStyle w:val="IndexLink"/>
                <w:rtl w:val="true"/>
              </w:rPr>
              <w:tab/>
            </w:r>
            <w:r>
              <w:rPr>
                <w:rStyle w:val="IndexLink"/>
              </w:rPr>
              <w:t>85</w:t>
            </w:r>
          </w:hyperlink>
        </w:p>
        <w:p>
          <w:pPr>
            <w:pStyle w:val="Contents3"/>
            <w:tabs>
              <w:tab w:val="clear" w:pos="8459"/>
              <w:tab w:val="right" w:pos="9026" w:leader="dot"/>
            </w:tabs>
            <w:rPr/>
          </w:pPr>
          <w:hyperlink w:anchor="__RefHeading___Toc660311_1395250215">
            <w:r>
              <w:rPr>
                <w:webHidden/>
                <w:rStyle w:val="IndexLink"/>
                <w:rtl w:val="true"/>
              </w:rPr>
              <w:t>منابع</w:t>
            </w:r>
            <w:r>
              <w:rPr>
                <w:rStyle w:val="IndexLink"/>
                <w:rtl w:val="true"/>
              </w:rPr>
              <w:tab/>
            </w:r>
            <w:r>
              <w:rPr>
                <w:rStyle w:val="IndexLink"/>
              </w:rPr>
              <w:t>86</w:t>
            </w:r>
          </w:hyperlink>
        </w:p>
        <w:p>
          <w:pPr>
            <w:pStyle w:val="Contents2"/>
            <w:tabs>
              <w:tab w:val="clear" w:pos="8743"/>
              <w:tab w:val="right" w:pos="9026" w:leader="dot"/>
            </w:tabs>
            <w:rPr/>
          </w:pPr>
          <w:hyperlink w:anchor="__RefHeading___Toc660313_1395250215">
            <w:r>
              <w:rPr>
                <w:webHidden/>
                <w:rStyle w:val="IndexLink"/>
                <w:rtl w:val="true"/>
              </w:rPr>
              <w:t>مفضل بن عمر و جریان تفویض</w:t>
            </w:r>
            <w:r>
              <w:rPr>
                <w:rStyle w:val="IndexLink"/>
                <w:rtl w:val="true"/>
              </w:rPr>
              <w:tab/>
            </w:r>
            <w:r>
              <w:rPr>
                <w:rStyle w:val="IndexLink"/>
              </w:rPr>
              <w:t>90</w:t>
            </w:r>
          </w:hyperlink>
        </w:p>
        <w:p>
          <w:pPr>
            <w:pStyle w:val="Contents3"/>
            <w:tabs>
              <w:tab w:val="clear" w:pos="8459"/>
              <w:tab w:val="right" w:pos="9026" w:leader="dot"/>
            </w:tabs>
            <w:rPr/>
          </w:pPr>
          <w:hyperlink w:anchor="__RefHeading___Toc660315_1395250215">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660317_1395250215">
            <w:r>
              <w:rPr>
                <w:webHidden/>
                <w:rStyle w:val="IndexLink"/>
                <w:rtl w:val="true"/>
              </w:rPr>
              <w:t>چکیده</w:t>
            </w:r>
            <w:r>
              <w:rPr>
                <w:rStyle w:val="IndexLink"/>
                <w:rtl w:val="true"/>
              </w:rPr>
              <w:tab/>
            </w:r>
            <w:r>
              <w:rPr>
                <w:rStyle w:val="IndexLink"/>
              </w:rPr>
              <w:t>90</w:t>
            </w:r>
          </w:hyperlink>
        </w:p>
        <w:p>
          <w:pPr>
            <w:pStyle w:val="Contents3"/>
            <w:tabs>
              <w:tab w:val="clear" w:pos="8459"/>
              <w:tab w:val="right" w:pos="9026" w:leader="dot"/>
            </w:tabs>
            <w:rPr/>
          </w:pPr>
          <w:hyperlink w:anchor="__RefHeading___Toc660319_1395250215">
            <w:r>
              <w:rPr>
                <w:webHidden/>
                <w:rStyle w:val="IndexLink"/>
                <w:rtl w:val="true"/>
              </w:rPr>
              <w:t>واژگان کلیدی</w:t>
            </w:r>
            <w:r>
              <w:rPr>
                <w:rStyle w:val="IndexLink"/>
                <w:rtl w:val="true"/>
              </w:rPr>
              <w:tab/>
            </w:r>
            <w:r>
              <w:rPr>
                <w:rStyle w:val="IndexLink"/>
              </w:rPr>
              <w:t>90</w:t>
            </w:r>
          </w:hyperlink>
        </w:p>
        <w:p>
          <w:pPr>
            <w:pStyle w:val="Contents3"/>
            <w:tabs>
              <w:tab w:val="clear" w:pos="8459"/>
              <w:tab w:val="right" w:pos="9026" w:leader="dot"/>
            </w:tabs>
            <w:rPr/>
          </w:pPr>
          <w:hyperlink w:anchor="__RefHeading___Toc660321_1395250215">
            <w:r>
              <w:rPr>
                <w:webHidden/>
                <w:rStyle w:val="IndexLink"/>
                <w:rtl w:val="true"/>
              </w:rPr>
              <w:t xml:space="preserve">شخصیت‌شناسیِ </w:t>
            </w:r>
            <w:r>
              <w:rPr>
                <w:rStyle w:val="IndexLink"/>
                <w:rtl w:val="true"/>
              </w:rPr>
              <w:t>«</w:t>
            </w:r>
            <w:r>
              <w:rPr>
                <w:rStyle w:val="IndexLink"/>
                <w:rtl w:val="true"/>
              </w:rPr>
              <w:t>مفضل بن عمر</w:t>
            </w:r>
            <w:r>
              <w:rPr>
                <w:rStyle w:val="IndexLink"/>
                <w:rtl w:val="true"/>
              </w:rPr>
              <w:t>»</w:t>
              <w:tab/>
            </w:r>
            <w:r>
              <w:rPr>
                <w:rStyle w:val="IndexLink"/>
              </w:rPr>
              <w:t>91</w:t>
            </w:r>
          </w:hyperlink>
        </w:p>
        <w:p>
          <w:pPr>
            <w:pStyle w:val="Contents3"/>
            <w:tabs>
              <w:tab w:val="clear" w:pos="8459"/>
              <w:tab w:val="right" w:pos="9026" w:leader="dot"/>
            </w:tabs>
            <w:rPr/>
          </w:pPr>
          <w:hyperlink w:anchor="__RefHeading___Toc660323_1395250215">
            <w:r>
              <w:rPr>
                <w:webHidden/>
                <w:rStyle w:val="IndexLink"/>
                <w:rtl w:val="true"/>
              </w:rPr>
              <w:t>ارتباط مفضل با جریان تفویض</w:t>
            </w:r>
            <w:r>
              <w:rPr>
                <w:rStyle w:val="IndexLink"/>
                <w:rtl w:val="true"/>
              </w:rPr>
              <w:tab/>
            </w:r>
            <w:r>
              <w:rPr>
                <w:rStyle w:val="IndexLink"/>
              </w:rPr>
              <w:t>93</w:t>
            </w:r>
          </w:hyperlink>
        </w:p>
        <w:p>
          <w:pPr>
            <w:pStyle w:val="Contents3"/>
            <w:tabs>
              <w:tab w:val="clear" w:pos="8459"/>
              <w:tab w:val="right" w:pos="9026" w:leader="dot"/>
            </w:tabs>
            <w:rPr/>
          </w:pPr>
          <w:hyperlink w:anchor="__RefHeading___Toc660325_1395250215">
            <w:r>
              <w:rPr>
                <w:webHidden/>
                <w:rStyle w:val="IndexLink"/>
                <w:rtl w:val="true"/>
              </w:rPr>
              <w:t>شواهد ارتباط مفضل با جریان تفویض</w:t>
            </w:r>
            <w:r>
              <w:rPr>
                <w:rStyle w:val="IndexLink"/>
                <w:rtl w:val="true"/>
              </w:rPr>
              <w:tab/>
            </w:r>
            <w:r>
              <w:rPr>
                <w:rStyle w:val="IndexLink"/>
              </w:rPr>
              <w:t>94</w:t>
            </w:r>
          </w:hyperlink>
        </w:p>
        <w:p>
          <w:pPr>
            <w:pStyle w:val="Contents4"/>
            <w:tabs>
              <w:tab w:val="clear" w:pos="8176"/>
              <w:tab w:val="right" w:pos="9026" w:leader="dot"/>
            </w:tabs>
            <w:rPr/>
          </w:pPr>
          <w:hyperlink w:anchor="__RefHeading___Toc660327_1395250215">
            <w:r>
              <w:rPr>
                <w:webHidden/>
                <w:rStyle w:val="IndexLink"/>
                <w:rtl w:val="true"/>
              </w:rPr>
              <w:t>الف</w:t>
            </w:r>
            <w:r>
              <w:rPr>
                <w:rStyle w:val="IndexLink"/>
                <w:rtl w:val="true"/>
              </w:rPr>
              <w:t xml:space="preserve">) </w:t>
            </w:r>
            <w:r>
              <w:rPr>
                <w:rStyle w:val="IndexLink"/>
                <w:rtl w:val="true"/>
              </w:rPr>
              <w:t>روایات نکوهش مفضل</w:t>
            </w:r>
            <w:r>
              <w:rPr>
                <w:rStyle w:val="IndexLink"/>
                <w:rtl w:val="true"/>
              </w:rPr>
              <w:tab/>
            </w:r>
            <w:r>
              <w:rPr>
                <w:rStyle w:val="IndexLink"/>
              </w:rPr>
              <w:t>94</w:t>
            </w:r>
          </w:hyperlink>
        </w:p>
        <w:p>
          <w:pPr>
            <w:pStyle w:val="Contents5"/>
            <w:tabs>
              <w:tab w:val="clear" w:pos="7892"/>
              <w:tab w:val="right" w:pos="9026" w:leader="dot"/>
            </w:tabs>
            <w:rPr/>
          </w:pPr>
          <w:hyperlink w:anchor="__RefHeading___Toc660329_1395250215">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60331_1395250215">
            <w:r>
              <w:rPr>
                <w:webHidden/>
                <w:rStyle w:val="IndexLink"/>
                <w:rtl w:val="true"/>
              </w:rPr>
              <w:t>جمع‌بندی روایات نکوهش</w:t>
            </w:r>
            <w:r>
              <w:rPr>
                <w:rStyle w:val="IndexLink"/>
                <w:rtl w:val="true"/>
              </w:rPr>
              <w:tab/>
            </w:r>
            <w:r>
              <w:rPr>
                <w:rStyle w:val="IndexLink"/>
              </w:rPr>
              <w:t>99</w:t>
            </w:r>
          </w:hyperlink>
        </w:p>
        <w:p>
          <w:pPr>
            <w:pStyle w:val="Contents4"/>
            <w:tabs>
              <w:tab w:val="clear" w:pos="8176"/>
              <w:tab w:val="right" w:pos="9026" w:leader="dot"/>
            </w:tabs>
            <w:rPr/>
          </w:pPr>
          <w:hyperlink w:anchor="__RefHeading___Toc660333_1395250215">
            <w:r>
              <w:rPr>
                <w:webHidden/>
                <w:rStyle w:val="IndexLink"/>
                <w:rtl w:val="true"/>
              </w:rPr>
              <w:t>ب</w:t>
            </w:r>
            <w:r>
              <w:rPr>
                <w:rStyle w:val="IndexLink"/>
                <w:rtl w:val="true"/>
              </w:rPr>
              <w:t xml:space="preserve">) </w:t>
            </w:r>
            <w:r>
              <w:rPr>
                <w:rStyle w:val="IndexLink"/>
                <w:rtl w:val="true"/>
              </w:rPr>
              <w:t>سخنان برخی رجالیون متقدم</w:t>
            </w:r>
            <w:r>
              <w:rPr>
                <w:rStyle w:val="IndexLink"/>
                <w:rtl w:val="true"/>
              </w:rPr>
              <w:tab/>
            </w:r>
            <w:r>
              <w:rPr>
                <w:rStyle w:val="IndexLink"/>
              </w:rPr>
              <w:t>100</w:t>
            </w:r>
          </w:hyperlink>
        </w:p>
        <w:p>
          <w:pPr>
            <w:pStyle w:val="Contents5"/>
            <w:tabs>
              <w:tab w:val="clear" w:pos="7892"/>
              <w:tab w:val="right" w:pos="9026" w:leader="dot"/>
            </w:tabs>
            <w:rPr/>
          </w:pPr>
          <w:hyperlink w:anchor="__RefHeading___Toc660335_1395250215">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660337_1395250215">
            <w:r>
              <w:rPr>
                <w:webHidden/>
                <w:rStyle w:val="IndexLink"/>
                <w:rtl w:val="true"/>
              </w:rPr>
              <w:t>بررسی</w:t>
            </w:r>
            <w:r>
              <w:rPr>
                <w:rStyle w:val="IndexLink"/>
                <w:rtl w:val="true"/>
              </w:rPr>
              <w:tab/>
            </w:r>
            <w:r>
              <w:rPr>
                <w:rStyle w:val="IndexLink"/>
              </w:rPr>
              <w:t>100</w:t>
            </w:r>
          </w:hyperlink>
        </w:p>
        <w:p>
          <w:pPr>
            <w:pStyle w:val="Contents4"/>
            <w:tabs>
              <w:tab w:val="clear" w:pos="8176"/>
              <w:tab w:val="right" w:pos="9026" w:leader="dot"/>
            </w:tabs>
            <w:rPr/>
          </w:pPr>
          <w:hyperlink w:anchor="__RefHeading___Toc660339_1395250215">
            <w:r>
              <w:rPr>
                <w:webHidden/>
                <w:rStyle w:val="IndexLink"/>
                <w:rtl w:val="true"/>
              </w:rPr>
              <w:t>ج</w:t>
            </w:r>
            <w:r>
              <w:rPr>
                <w:rStyle w:val="IndexLink"/>
                <w:rtl w:val="true"/>
              </w:rPr>
              <w:t xml:space="preserve">) </w:t>
            </w:r>
            <w:r>
              <w:rPr>
                <w:rStyle w:val="IndexLink"/>
                <w:rtl w:val="true"/>
              </w:rPr>
              <w:t>آثار مفضل در میراث غیرامامیه</w:t>
            </w:r>
            <w:r>
              <w:rPr>
                <w:rStyle w:val="IndexLink"/>
                <w:rtl w:val="true"/>
              </w:rPr>
              <w:tab/>
            </w:r>
            <w:r>
              <w:rPr>
                <w:rStyle w:val="IndexLink"/>
              </w:rPr>
              <w:t>101</w:t>
            </w:r>
          </w:hyperlink>
        </w:p>
        <w:p>
          <w:pPr>
            <w:pStyle w:val="Contents5"/>
            <w:tabs>
              <w:tab w:val="clear" w:pos="7892"/>
              <w:tab w:val="right" w:pos="9026" w:leader="dot"/>
            </w:tabs>
            <w:rPr/>
          </w:pPr>
          <w:hyperlink w:anchor="__RefHeading___Toc660341_1395250215">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660343_1395250215">
            <w:r>
              <w:rPr>
                <w:webHidden/>
                <w:rStyle w:val="IndexLink"/>
                <w:rtl w:val="true"/>
              </w:rPr>
              <w:t>بررسی</w:t>
            </w:r>
            <w:r>
              <w:rPr>
                <w:rStyle w:val="IndexLink"/>
                <w:rtl w:val="true"/>
              </w:rPr>
              <w:tab/>
            </w:r>
            <w:r>
              <w:rPr>
                <w:rStyle w:val="IndexLink"/>
              </w:rPr>
              <w:t>101</w:t>
            </w:r>
          </w:hyperlink>
        </w:p>
        <w:p>
          <w:pPr>
            <w:pStyle w:val="Contents4"/>
            <w:tabs>
              <w:tab w:val="clear" w:pos="8176"/>
              <w:tab w:val="right" w:pos="9026" w:leader="dot"/>
            </w:tabs>
            <w:rPr/>
          </w:pPr>
          <w:hyperlink w:anchor="__RefHeading___Toc660345_1395250215">
            <w:r>
              <w:rPr>
                <w:webHidden/>
                <w:rStyle w:val="IndexLink"/>
                <w:rtl w:val="true"/>
              </w:rPr>
              <w:t>د</w:t>
            </w:r>
            <w:r>
              <w:rPr>
                <w:rStyle w:val="IndexLink"/>
                <w:rtl w:val="true"/>
              </w:rPr>
              <w:t xml:space="preserve">) </w:t>
            </w:r>
            <w:r>
              <w:rPr>
                <w:rStyle w:val="IndexLink"/>
                <w:rtl w:val="true"/>
              </w:rPr>
              <w:t>مضامین برخی روایات مفضل</w:t>
            </w:r>
            <w:r>
              <w:rPr>
                <w:rStyle w:val="IndexLink"/>
                <w:rtl w:val="true"/>
              </w:rPr>
              <w:tab/>
            </w:r>
            <w:r>
              <w:rPr>
                <w:rStyle w:val="IndexLink"/>
              </w:rPr>
              <w:t>102</w:t>
            </w:r>
          </w:hyperlink>
        </w:p>
        <w:p>
          <w:pPr>
            <w:pStyle w:val="Contents5"/>
            <w:tabs>
              <w:tab w:val="clear" w:pos="7892"/>
              <w:tab w:val="right" w:pos="9026" w:leader="dot"/>
            </w:tabs>
            <w:rPr/>
          </w:pPr>
          <w:hyperlink w:anchor="__RefHeading___Toc660347_139525021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660349_1395250215">
            <w:r>
              <w:rPr>
                <w:webHidden/>
                <w:rStyle w:val="IndexLink"/>
                <w:rtl w:val="true"/>
              </w:rPr>
              <w:t>بررسی</w:t>
            </w:r>
            <w:r>
              <w:rPr>
                <w:rStyle w:val="IndexLink"/>
                <w:rtl w:val="true"/>
              </w:rPr>
              <w:tab/>
            </w:r>
            <w:r>
              <w:rPr>
                <w:rStyle w:val="IndexLink"/>
              </w:rPr>
              <w:t>102</w:t>
            </w:r>
          </w:hyperlink>
        </w:p>
        <w:p>
          <w:pPr>
            <w:pStyle w:val="Contents3"/>
            <w:tabs>
              <w:tab w:val="clear" w:pos="8459"/>
              <w:tab w:val="right" w:pos="9026" w:leader="dot"/>
            </w:tabs>
            <w:rPr/>
          </w:pPr>
          <w:hyperlink w:anchor="__RefHeading___Toc660351_1395250215">
            <w:r>
              <w:rPr>
                <w:webHidden/>
                <w:rStyle w:val="IndexLink"/>
                <w:rtl w:val="true"/>
              </w:rPr>
              <w:t>نتیجه گیری</w:t>
            </w:r>
            <w:r>
              <w:rPr>
                <w:rStyle w:val="IndexLink"/>
                <w:rtl w:val="true"/>
              </w:rPr>
              <w:tab/>
            </w:r>
            <w:r>
              <w:rPr>
                <w:rStyle w:val="IndexLink"/>
              </w:rPr>
              <w:t>103</w:t>
            </w:r>
          </w:hyperlink>
        </w:p>
        <w:p>
          <w:pPr>
            <w:pStyle w:val="Contents3"/>
            <w:tabs>
              <w:tab w:val="clear" w:pos="8459"/>
              <w:tab w:val="right" w:pos="9026" w:leader="dot"/>
            </w:tabs>
            <w:rPr/>
          </w:pPr>
          <w:hyperlink w:anchor="__RefHeading___Toc660353_1395250215">
            <w:r>
              <w:rPr>
                <w:webHidden/>
                <w:rStyle w:val="IndexLink"/>
                <w:rtl w:val="true"/>
              </w:rPr>
              <w:t>منابع</w:t>
            </w:r>
            <w:r>
              <w:rPr>
                <w:rStyle w:val="IndexLink"/>
                <w:rtl w:val="true"/>
              </w:rPr>
              <w:tab/>
            </w:r>
            <w:r>
              <w:rPr>
                <w:rStyle w:val="IndexLink"/>
              </w:rPr>
              <w:t>105</w:t>
            </w:r>
          </w:hyperlink>
        </w:p>
        <w:p>
          <w:pPr>
            <w:pStyle w:val="Contents2"/>
            <w:tabs>
              <w:tab w:val="clear" w:pos="8743"/>
              <w:tab w:val="right" w:pos="9026" w:leader="dot"/>
            </w:tabs>
            <w:rPr/>
          </w:pPr>
          <w:hyperlink w:anchor="__RefHeading___Toc660355_1395250215">
            <w:r>
              <w:rPr>
                <w:webHidden/>
                <w:rStyle w:val="IndexLink"/>
                <w:rtl w:val="true"/>
              </w:rPr>
              <w:t>حق تشریع امام بین نفی و اثبات</w:t>
            </w:r>
            <w:r>
              <w:rPr>
                <w:rStyle w:val="IndexLink"/>
                <w:rtl w:val="true"/>
              </w:rPr>
              <w:tab/>
            </w:r>
            <w:r>
              <w:rPr>
                <w:rStyle w:val="IndexLink"/>
              </w:rPr>
              <w:t>110</w:t>
            </w:r>
          </w:hyperlink>
        </w:p>
        <w:p>
          <w:pPr>
            <w:pStyle w:val="Contents3"/>
            <w:tabs>
              <w:tab w:val="clear" w:pos="8459"/>
              <w:tab w:val="right" w:pos="9026" w:leader="dot"/>
            </w:tabs>
            <w:rPr/>
          </w:pPr>
          <w:hyperlink w:anchor="__RefHeading___Toc660357_1395250215">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60359_1395250215">
            <w:r>
              <w:rPr>
                <w:webHidden/>
                <w:rStyle w:val="IndexLink"/>
                <w:rtl w:val="true"/>
              </w:rPr>
              <w:t>چکیده</w:t>
            </w:r>
            <w:r>
              <w:rPr>
                <w:rStyle w:val="IndexLink"/>
                <w:rtl w:val="true"/>
              </w:rPr>
              <w:tab/>
            </w:r>
            <w:r>
              <w:rPr>
                <w:rStyle w:val="IndexLink"/>
              </w:rPr>
              <w:t>110</w:t>
            </w:r>
          </w:hyperlink>
        </w:p>
        <w:p>
          <w:pPr>
            <w:pStyle w:val="Contents3"/>
            <w:tabs>
              <w:tab w:val="clear" w:pos="8459"/>
              <w:tab w:val="right" w:pos="9026" w:leader="dot"/>
            </w:tabs>
            <w:rPr/>
          </w:pPr>
          <w:hyperlink w:anchor="__RefHeading___Toc660361_1395250215">
            <w:r>
              <w:rPr>
                <w:webHidden/>
                <w:rStyle w:val="IndexLink"/>
                <w:rtl w:val="true"/>
              </w:rPr>
              <w:t>واژگان کلیدی</w:t>
            </w:r>
            <w:r>
              <w:rPr>
                <w:rStyle w:val="IndexLink"/>
                <w:rtl w:val="true"/>
              </w:rPr>
              <w:tab/>
            </w:r>
            <w:r>
              <w:rPr>
                <w:rStyle w:val="IndexLink"/>
              </w:rPr>
              <w:t>110</w:t>
            </w:r>
          </w:hyperlink>
        </w:p>
        <w:p>
          <w:pPr>
            <w:pStyle w:val="Contents3"/>
            <w:tabs>
              <w:tab w:val="clear" w:pos="8459"/>
              <w:tab w:val="right" w:pos="9026" w:leader="dot"/>
            </w:tabs>
            <w:rPr/>
          </w:pPr>
          <w:hyperlink w:anchor="__RefHeading___Toc660363_1395250215">
            <w:r>
              <w:rPr>
                <w:webHidden/>
                <w:rStyle w:val="IndexLink"/>
                <w:rtl w:val="true"/>
              </w:rPr>
              <w:t>پیش‌درآمد</w:t>
            </w:r>
            <w:r>
              <w:rPr>
                <w:rStyle w:val="IndexLink"/>
                <w:rtl w:val="true"/>
              </w:rPr>
              <w:tab/>
            </w:r>
            <w:r>
              <w:rPr>
                <w:rStyle w:val="IndexLink"/>
              </w:rPr>
              <w:t>111</w:t>
            </w:r>
          </w:hyperlink>
        </w:p>
        <w:p>
          <w:pPr>
            <w:pStyle w:val="Contents3"/>
            <w:tabs>
              <w:tab w:val="clear" w:pos="8459"/>
              <w:tab w:val="right" w:pos="9026" w:leader="dot"/>
            </w:tabs>
            <w:rPr/>
          </w:pPr>
          <w:hyperlink w:anchor="__RefHeading___Toc660365_1395250215">
            <w:r>
              <w:rPr>
                <w:webHidden/>
                <w:rStyle w:val="IndexLink"/>
                <w:rtl w:val="true"/>
              </w:rPr>
              <w:t>مفهوم‌شناسی</w:t>
            </w:r>
            <w:r>
              <w:rPr>
                <w:rStyle w:val="IndexLink"/>
                <w:rtl w:val="true"/>
              </w:rPr>
              <w:tab/>
            </w:r>
            <w:r>
              <w:rPr>
                <w:rStyle w:val="IndexLink"/>
              </w:rPr>
              <w:t>111</w:t>
            </w:r>
          </w:hyperlink>
        </w:p>
        <w:p>
          <w:pPr>
            <w:pStyle w:val="Contents3"/>
            <w:tabs>
              <w:tab w:val="clear" w:pos="8459"/>
              <w:tab w:val="right" w:pos="9026" w:leader="dot"/>
            </w:tabs>
            <w:rPr/>
          </w:pPr>
          <w:hyperlink w:anchor="__RefHeading___Toc660367_1395250215">
            <w:r>
              <w:rPr>
                <w:webHidden/>
                <w:rStyle w:val="IndexLink"/>
                <w:rtl w:val="true"/>
              </w:rPr>
              <w:t>تشریع امام در مقام ثبوت</w:t>
            </w:r>
            <w:r>
              <w:rPr>
                <w:rStyle w:val="IndexLink"/>
                <w:rtl w:val="true"/>
              </w:rPr>
              <w:tab/>
            </w:r>
            <w:r>
              <w:rPr>
                <w:rStyle w:val="IndexLink"/>
              </w:rPr>
              <w:t>112</w:t>
            </w:r>
          </w:hyperlink>
        </w:p>
        <w:p>
          <w:pPr>
            <w:pStyle w:val="Contents3"/>
            <w:tabs>
              <w:tab w:val="clear" w:pos="8459"/>
              <w:tab w:val="right" w:pos="9026" w:leader="dot"/>
            </w:tabs>
            <w:rPr/>
          </w:pPr>
          <w:hyperlink w:anchor="__RefHeading___Toc660369_1395250215">
            <w:r>
              <w:rPr>
                <w:webHidden/>
                <w:rStyle w:val="IndexLink"/>
                <w:rtl w:val="true"/>
              </w:rPr>
              <w:t>محذور عقلیِ تشریع</w:t>
            </w:r>
            <w:r>
              <w:rPr>
                <w:rStyle w:val="IndexLink"/>
                <w:rtl w:val="true"/>
              </w:rPr>
              <w:tab/>
            </w:r>
            <w:r>
              <w:rPr>
                <w:rStyle w:val="IndexLink"/>
              </w:rPr>
              <w:t>112</w:t>
            </w:r>
          </w:hyperlink>
        </w:p>
        <w:p>
          <w:pPr>
            <w:pStyle w:val="Contents3"/>
            <w:tabs>
              <w:tab w:val="clear" w:pos="8459"/>
              <w:tab w:val="right" w:pos="9026" w:leader="dot"/>
            </w:tabs>
            <w:rPr/>
          </w:pPr>
          <w:hyperlink w:anchor="__RefHeading___Toc660371_1395250215">
            <w:r>
              <w:rPr>
                <w:webHidden/>
                <w:rStyle w:val="IndexLink"/>
                <w:rtl w:val="true"/>
              </w:rPr>
              <w:t>تشریع امام در مقام اثبات</w:t>
            </w:r>
            <w:r>
              <w:rPr>
                <w:rStyle w:val="IndexLink"/>
                <w:rtl w:val="true"/>
              </w:rPr>
              <w:tab/>
            </w:r>
            <w:r>
              <w:rPr>
                <w:rStyle w:val="IndexLink"/>
              </w:rPr>
              <w:t>114</w:t>
            </w:r>
          </w:hyperlink>
        </w:p>
        <w:p>
          <w:pPr>
            <w:pStyle w:val="Contents4"/>
            <w:tabs>
              <w:tab w:val="clear" w:pos="8176"/>
              <w:tab w:val="right" w:pos="9026" w:leader="dot"/>
            </w:tabs>
            <w:rPr/>
          </w:pPr>
          <w:hyperlink w:anchor="__RefHeading___Toc660373_1395250215">
            <w:r>
              <w:rPr>
                <w:webHidden/>
                <w:rStyle w:val="IndexLink"/>
                <w:rtl w:val="true"/>
              </w:rPr>
              <w:t>دیدگاه صاحب حاشیه بر معالم</w:t>
            </w:r>
            <w:r>
              <w:rPr>
                <w:rStyle w:val="IndexLink"/>
                <w:rtl w:val="true"/>
              </w:rPr>
              <w:tab/>
            </w:r>
            <w:r>
              <w:rPr>
                <w:rStyle w:val="IndexLink"/>
              </w:rPr>
              <w:t>114</w:t>
            </w:r>
          </w:hyperlink>
        </w:p>
        <w:p>
          <w:pPr>
            <w:pStyle w:val="Contents5"/>
            <w:tabs>
              <w:tab w:val="clear" w:pos="7892"/>
              <w:tab w:val="right" w:pos="9026" w:leader="dot"/>
            </w:tabs>
            <w:rPr/>
          </w:pPr>
          <w:hyperlink w:anchor="__RefHeading___Toc660375_1395250215">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660377_1395250215">
            <w:r>
              <w:rPr>
                <w:webHidden/>
                <w:rStyle w:val="IndexLink"/>
                <w:rtl w:val="true"/>
              </w:rPr>
              <w:t>بررسی و نظر</w:t>
            </w:r>
            <w:r>
              <w:rPr>
                <w:rStyle w:val="IndexLink"/>
                <w:rtl w:val="true"/>
              </w:rPr>
              <w:tab/>
            </w:r>
            <w:r>
              <w:rPr>
                <w:rStyle w:val="IndexLink"/>
              </w:rPr>
              <w:t>115</w:t>
            </w:r>
          </w:hyperlink>
        </w:p>
        <w:p>
          <w:pPr>
            <w:pStyle w:val="Contents4"/>
            <w:tabs>
              <w:tab w:val="clear" w:pos="8176"/>
              <w:tab w:val="right" w:pos="9026" w:leader="dot"/>
            </w:tabs>
            <w:rPr/>
          </w:pPr>
          <w:hyperlink w:anchor="__RefHeading___Toc660379_1395250215">
            <w:r>
              <w:rPr>
                <w:webHidden/>
                <w:rStyle w:val="IndexLink"/>
                <w:rtl w:val="true"/>
              </w:rPr>
              <w:t>دیدگاه آیت‌الله بروجردی</w:t>
            </w:r>
            <w:r>
              <w:rPr>
                <w:rStyle w:val="IndexLink"/>
                <w:rtl w:val="true"/>
              </w:rPr>
              <w:tab/>
            </w:r>
            <w:r>
              <w:rPr>
                <w:rStyle w:val="IndexLink"/>
              </w:rPr>
              <w:t>118</w:t>
            </w:r>
          </w:hyperlink>
        </w:p>
        <w:p>
          <w:pPr>
            <w:pStyle w:val="Contents5"/>
            <w:tabs>
              <w:tab w:val="clear" w:pos="7892"/>
              <w:tab w:val="right" w:pos="9026" w:leader="dot"/>
            </w:tabs>
            <w:rPr/>
          </w:pPr>
          <w:hyperlink w:anchor="__RefHeading___Toc660381_1395250215">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660383_1395250215">
            <w:r>
              <w:rPr>
                <w:webHidden/>
                <w:rStyle w:val="IndexLink"/>
                <w:rtl w:val="true"/>
              </w:rPr>
              <w:t>بررسی و نظر</w:t>
            </w:r>
            <w:r>
              <w:rPr>
                <w:rStyle w:val="IndexLink"/>
                <w:rtl w:val="true"/>
              </w:rPr>
              <w:tab/>
            </w:r>
            <w:r>
              <w:rPr>
                <w:rStyle w:val="IndexLink"/>
              </w:rPr>
              <w:t>119</w:t>
            </w:r>
          </w:hyperlink>
        </w:p>
        <w:p>
          <w:pPr>
            <w:pStyle w:val="Contents4"/>
            <w:tabs>
              <w:tab w:val="clear" w:pos="8176"/>
              <w:tab w:val="right" w:pos="9026" w:leader="dot"/>
            </w:tabs>
            <w:rPr/>
          </w:pPr>
          <w:hyperlink w:anchor="__RefHeading___Toc660385_1395250215">
            <w:r>
              <w:rPr>
                <w:webHidden/>
                <w:rStyle w:val="IndexLink"/>
                <w:rtl w:val="true"/>
              </w:rPr>
              <w:t>دیدگاه ملکی میانجی</w:t>
            </w:r>
            <w:r>
              <w:rPr>
                <w:rStyle w:val="IndexLink"/>
                <w:rtl w:val="true"/>
              </w:rPr>
              <w:tab/>
            </w:r>
            <w:r>
              <w:rPr>
                <w:rStyle w:val="IndexLink"/>
              </w:rPr>
              <w:t>120</w:t>
            </w:r>
          </w:hyperlink>
        </w:p>
        <w:p>
          <w:pPr>
            <w:pStyle w:val="Contents5"/>
            <w:tabs>
              <w:tab w:val="clear" w:pos="7892"/>
              <w:tab w:val="right" w:pos="9026" w:leader="dot"/>
            </w:tabs>
            <w:rPr/>
          </w:pPr>
          <w:hyperlink w:anchor="__RefHeading___Toc660387_1395250215">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60389_1395250215">
            <w:r>
              <w:rPr>
                <w:webHidden/>
                <w:rStyle w:val="IndexLink"/>
                <w:rtl w:val="true"/>
              </w:rPr>
              <w:t>بررسی و نظر</w:t>
            </w:r>
            <w:r>
              <w:rPr>
                <w:rStyle w:val="IndexLink"/>
                <w:rtl w:val="true"/>
              </w:rPr>
              <w:tab/>
            </w:r>
            <w:r>
              <w:rPr>
                <w:rStyle w:val="IndexLink"/>
              </w:rPr>
              <w:t>120</w:t>
            </w:r>
          </w:hyperlink>
        </w:p>
        <w:p>
          <w:pPr>
            <w:pStyle w:val="Contents4"/>
            <w:tabs>
              <w:tab w:val="clear" w:pos="8176"/>
              <w:tab w:val="right" w:pos="9026" w:leader="dot"/>
            </w:tabs>
            <w:rPr/>
          </w:pPr>
          <w:hyperlink w:anchor="__RefHeading___Toc660391_1395250215">
            <w:r>
              <w:rPr>
                <w:webHidden/>
                <w:rStyle w:val="IndexLink"/>
                <w:rtl w:val="true"/>
              </w:rPr>
              <w:t>دیدگاه علامه طباطبائی</w:t>
            </w:r>
            <w:r>
              <w:rPr>
                <w:rStyle w:val="IndexLink"/>
                <w:rtl w:val="true"/>
              </w:rPr>
              <w:tab/>
            </w:r>
            <w:r>
              <w:rPr>
                <w:rStyle w:val="IndexLink"/>
              </w:rPr>
              <w:t>123</w:t>
            </w:r>
          </w:hyperlink>
        </w:p>
        <w:p>
          <w:pPr>
            <w:pStyle w:val="Contents5"/>
            <w:tabs>
              <w:tab w:val="clear" w:pos="7892"/>
              <w:tab w:val="right" w:pos="9026" w:leader="dot"/>
            </w:tabs>
            <w:rPr/>
          </w:pPr>
          <w:hyperlink w:anchor="__RefHeading___Toc660393_1395250215">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660395_1395250215">
            <w:r>
              <w:rPr>
                <w:webHidden/>
                <w:rStyle w:val="IndexLink"/>
                <w:rtl w:val="true"/>
              </w:rPr>
              <w:t>بررسی و نظر</w:t>
            </w:r>
            <w:r>
              <w:rPr>
                <w:rStyle w:val="IndexLink"/>
                <w:rtl w:val="true"/>
              </w:rPr>
              <w:tab/>
            </w:r>
            <w:r>
              <w:rPr>
                <w:rStyle w:val="IndexLink"/>
              </w:rPr>
              <w:t>124</w:t>
            </w:r>
          </w:hyperlink>
        </w:p>
        <w:p>
          <w:pPr>
            <w:pStyle w:val="Contents4"/>
            <w:tabs>
              <w:tab w:val="clear" w:pos="8176"/>
              <w:tab w:val="right" w:pos="9026" w:leader="dot"/>
            </w:tabs>
            <w:rPr/>
          </w:pPr>
          <w:hyperlink w:anchor="__RefHeading___Toc660397_1395250215">
            <w:r>
              <w:rPr>
                <w:webHidden/>
                <w:rStyle w:val="IndexLink"/>
                <w:rtl w:val="true"/>
              </w:rPr>
              <w:t>احادیثی در نفی تشریع</w:t>
            </w:r>
            <w:r>
              <w:rPr>
                <w:rStyle w:val="IndexLink"/>
                <w:rtl w:val="true"/>
              </w:rPr>
              <w:tab/>
            </w:r>
            <w:r>
              <w:rPr>
                <w:rStyle w:val="IndexLink"/>
              </w:rPr>
              <w:t>124</w:t>
            </w:r>
          </w:hyperlink>
        </w:p>
        <w:p>
          <w:pPr>
            <w:pStyle w:val="Contents5"/>
            <w:tabs>
              <w:tab w:val="clear" w:pos="7892"/>
              <w:tab w:val="right" w:pos="9026" w:leader="dot"/>
            </w:tabs>
            <w:rPr/>
          </w:pPr>
          <w:hyperlink w:anchor="__RefHeading___Toc660399_139525021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660401_1395250215">
            <w:r>
              <w:rPr>
                <w:webHidden/>
                <w:rStyle w:val="IndexLink"/>
                <w:rtl w:val="true"/>
              </w:rPr>
              <w:t>تحلیل و بررسی</w:t>
            </w:r>
            <w:r>
              <w:rPr>
                <w:rStyle w:val="IndexLink"/>
                <w:rtl w:val="true"/>
              </w:rPr>
              <w:tab/>
            </w:r>
            <w:r>
              <w:rPr>
                <w:rStyle w:val="IndexLink"/>
              </w:rPr>
              <w:t>125</w:t>
            </w:r>
          </w:hyperlink>
        </w:p>
        <w:p>
          <w:pPr>
            <w:pStyle w:val="Contents3"/>
            <w:tabs>
              <w:tab w:val="clear" w:pos="8459"/>
              <w:tab w:val="right" w:pos="9026" w:leader="dot"/>
            </w:tabs>
            <w:rPr/>
          </w:pPr>
          <w:hyperlink w:anchor="__RefHeading___Toc660403_1395250215">
            <w:r>
              <w:rPr>
                <w:webHidden/>
                <w:rStyle w:val="IndexLink"/>
                <w:rtl w:val="true"/>
              </w:rPr>
              <w:t>نتیجه</w:t>
            </w:r>
            <w:r>
              <w:rPr>
                <w:rStyle w:val="IndexLink"/>
                <w:rtl w:val="true"/>
              </w:rPr>
              <w:tab/>
            </w:r>
            <w:r>
              <w:rPr>
                <w:rStyle w:val="IndexLink"/>
              </w:rPr>
              <w:t>126</w:t>
            </w:r>
          </w:hyperlink>
        </w:p>
        <w:p>
          <w:pPr>
            <w:pStyle w:val="Contents3"/>
            <w:tabs>
              <w:tab w:val="clear" w:pos="8459"/>
              <w:tab w:val="right" w:pos="9026" w:leader="dot"/>
            </w:tabs>
            <w:rPr/>
          </w:pPr>
          <w:hyperlink w:anchor="__RefHeading___Toc660405_1395250215">
            <w:r>
              <w:rPr>
                <w:webHidden/>
                <w:rStyle w:val="IndexLink"/>
                <w:rtl w:val="true"/>
              </w:rPr>
              <w:t>منابع</w:t>
            </w:r>
            <w:r>
              <w:rPr>
                <w:rStyle w:val="IndexLink"/>
                <w:rtl w:val="true"/>
              </w:rPr>
              <w:tab/>
            </w:r>
            <w:r>
              <w:rPr>
                <w:rStyle w:val="IndexLink"/>
              </w:rPr>
              <w:t>127</w:t>
            </w:r>
          </w:hyperlink>
        </w:p>
        <w:p>
          <w:pPr>
            <w:pStyle w:val="Contents2"/>
            <w:tabs>
              <w:tab w:val="clear" w:pos="8743"/>
              <w:tab w:val="right" w:pos="9026" w:leader="dot"/>
            </w:tabs>
            <w:rPr/>
          </w:pPr>
          <w:hyperlink w:anchor="__RefHeading___Toc660407_1395250215">
            <w:r>
              <w:rPr>
                <w:webHidden/>
                <w:rStyle w:val="IndexLink"/>
                <w:rtl w:val="true"/>
              </w:rPr>
              <w:t>کشف و تجربۀ دینی در دیدگاه غزالی</w:t>
            </w:r>
            <w:r>
              <w:rPr>
                <w:rStyle w:val="IndexLink"/>
                <w:rtl w:val="true"/>
              </w:rPr>
              <w:tab/>
            </w:r>
            <w:r>
              <w:rPr>
                <w:rStyle w:val="IndexLink"/>
              </w:rPr>
              <w:t>131</w:t>
            </w:r>
          </w:hyperlink>
        </w:p>
        <w:p>
          <w:pPr>
            <w:pStyle w:val="Contents3"/>
            <w:tabs>
              <w:tab w:val="clear" w:pos="8459"/>
              <w:tab w:val="right" w:pos="9026" w:leader="dot"/>
            </w:tabs>
            <w:rPr/>
          </w:pPr>
          <w:hyperlink w:anchor="__RefHeading___Toc660409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660411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660413_1395250215">
            <w:r>
              <w:rPr>
                <w:webHidden/>
                <w:rStyle w:val="IndexLink"/>
                <w:rtl w:val="true"/>
              </w:rPr>
              <w:t>چکیده</w:t>
            </w:r>
            <w:r>
              <w:rPr>
                <w:rStyle w:val="IndexLink"/>
                <w:rtl w:val="true"/>
              </w:rPr>
              <w:tab/>
            </w:r>
            <w:r>
              <w:rPr>
                <w:rStyle w:val="IndexLink"/>
              </w:rPr>
              <w:t>131</w:t>
            </w:r>
          </w:hyperlink>
        </w:p>
        <w:p>
          <w:pPr>
            <w:pStyle w:val="Contents3"/>
            <w:tabs>
              <w:tab w:val="clear" w:pos="8459"/>
              <w:tab w:val="right" w:pos="9026" w:leader="dot"/>
            </w:tabs>
            <w:rPr/>
          </w:pPr>
          <w:hyperlink w:anchor="__RefHeading___Toc660415_1395250215">
            <w:r>
              <w:rPr>
                <w:webHidden/>
                <w:rStyle w:val="IndexLink"/>
                <w:rtl w:val="true"/>
              </w:rPr>
              <w:t>واژگان کلیدی</w:t>
            </w:r>
            <w:r>
              <w:rPr>
                <w:rStyle w:val="IndexLink"/>
                <w:rtl w:val="true"/>
              </w:rPr>
              <w:tab/>
            </w:r>
            <w:r>
              <w:rPr>
                <w:rStyle w:val="IndexLink"/>
              </w:rPr>
              <w:t>131</w:t>
            </w:r>
          </w:hyperlink>
        </w:p>
        <w:p>
          <w:pPr>
            <w:pStyle w:val="Contents3"/>
            <w:tabs>
              <w:tab w:val="clear" w:pos="8459"/>
              <w:tab w:val="right" w:pos="9026" w:leader="dot"/>
            </w:tabs>
            <w:rPr/>
          </w:pPr>
          <w:hyperlink w:anchor="__RefHeading___Toc660417_1395250215">
            <w:r>
              <w:rPr>
                <w:webHidden/>
                <w:rStyle w:val="IndexLink"/>
                <w:rtl w:val="true"/>
              </w:rPr>
              <w:t>مقدمه</w:t>
            </w:r>
            <w:r>
              <w:rPr>
                <w:rStyle w:val="IndexLink"/>
                <w:rtl w:val="true"/>
              </w:rPr>
              <w:tab/>
            </w:r>
            <w:r>
              <w:rPr>
                <w:rStyle w:val="IndexLink"/>
              </w:rPr>
              <w:t>133</w:t>
            </w:r>
          </w:hyperlink>
        </w:p>
        <w:p>
          <w:pPr>
            <w:pStyle w:val="Contents3"/>
            <w:tabs>
              <w:tab w:val="clear" w:pos="8459"/>
              <w:tab w:val="right" w:pos="9026" w:leader="dot"/>
            </w:tabs>
            <w:rPr/>
          </w:pPr>
          <w:hyperlink w:anchor="__RefHeading___Toc660419_1395250215">
            <w:r>
              <w:rPr>
                <w:webHidden/>
                <w:rStyle w:val="IndexLink"/>
                <w:rtl w:val="true"/>
              </w:rPr>
              <w:t>ماهیت تجربۀ دینی</w:t>
            </w:r>
            <w:r>
              <w:rPr>
                <w:rStyle w:val="IndexLink"/>
                <w:rtl w:val="true"/>
              </w:rPr>
              <w:tab/>
            </w:r>
            <w:r>
              <w:rPr>
                <w:rStyle w:val="IndexLink"/>
              </w:rPr>
              <w:t>133</w:t>
            </w:r>
          </w:hyperlink>
        </w:p>
        <w:p>
          <w:pPr>
            <w:pStyle w:val="Contents3"/>
            <w:tabs>
              <w:tab w:val="clear" w:pos="8459"/>
              <w:tab w:val="right" w:pos="9026" w:leader="dot"/>
            </w:tabs>
            <w:rPr/>
          </w:pPr>
          <w:hyperlink w:anchor="__RefHeading___Toc660421_1395250215">
            <w:r>
              <w:rPr>
                <w:webHidden/>
                <w:rStyle w:val="IndexLink"/>
                <w:rtl w:val="true"/>
              </w:rPr>
              <w:t>غزالی؛ صاحب تجربۀ دینی</w:t>
            </w:r>
            <w:r>
              <w:rPr>
                <w:rStyle w:val="IndexLink"/>
                <w:rtl w:val="true"/>
              </w:rPr>
              <w:tab/>
            </w:r>
            <w:r>
              <w:rPr>
                <w:rStyle w:val="IndexLink"/>
              </w:rPr>
              <w:t>134</w:t>
            </w:r>
          </w:hyperlink>
        </w:p>
        <w:p>
          <w:pPr>
            <w:pStyle w:val="Contents3"/>
            <w:tabs>
              <w:tab w:val="clear" w:pos="8459"/>
              <w:tab w:val="right" w:pos="9026" w:leader="dot"/>
            </w:tabs>
            <w:rPr/>
          </w:pPr>
          <w:hyperlink w:anchor="__RefHeading___Toc660423_1395250215">
            <w:r>
              <w:rPr>
                <w:webHidden/>
                <w:rStyle w:val="IndexLink"/>
                <w:rtl w:val="true"/>
              </w:rPr>
              <w:t>دیدگاه غزالی در باب تجربۀ دینی</w:t>
            </w:r>
            <w:r>
              <w:rPr>
                <w:rStyle w:val="IndexLink"/>
                <w:rtl w:val="true"/>
              </w:rPr>
              <w:tab/>
            </w:r>
            <w:r>
              <w:rPr>
                <w:rStyle w:val="IndexLink"/>
              </w:rPr>
              <w:t>136</w:t>
            </w:r>
          </w:hyperlink>
        </w:p>
        <w:p>
          <w:pPr>
            <w:pStyle w:val="Contents4"/>
            <w:tabs>
              <w:tab w:val="clear" w:pos="8176"/>
              <w:tab w:val="right" w:pos="9026" w:leader="dot"/>
            </w:tabs>
            <w:rPr/>
          </w:pPr>
          <w:hyperlink w:anchor="__RefHeading___Toc660425_139525021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660427_1395250215">
            <w:r>
              <w:rPr>
                <w:webHidden/>
                <w:rStyle w:val="IndexLink"/>
              </w:rPr>
              <w:t>1</w:t>
            </w:r>
            <w:r>
              <w:rPr>
                <w:rStyle w:val="IndexLink"/>
                <w:rtl w:val="true"/>
              </w:rPr>
              <w:t xml:space="preserve">. </w:t>
            </w:r>
            <w:r>
              <w:rPr>
                <w:rStyle w:val="IndexLink"/>
                <w:rtl w:val="true"/>
              </w:rPr>
              <w:t>مبانی بحث</w:t>
            </w:r>
            <w:r>
              <w:rPr>
                <w:rStyle w:val="IndexLink"/>
                <w:rtl w:val="true"/>
              </w:rPr>
              <w:tab/>
            </w:r>
            <w:r>
              <w:rPr>
                <w:rStyle w:val="IndexLink"/>
              </w:rPr>
              <w:t>136</w:t>
            </w:r>
          </w:hyperlink>
        </w:p>
        <w:p>
          <w:pPr>
            <w:pStyle w:val="Contents5"/>
            <w:tabs>
              <w:tab w:val="clear" w:pos="7892"/>
              <w:tab w:val="right" w:pos="9026" w:leader="dot"/>
            </w:tabs>
            <w:rPr/>
          </w:pPr>
          <w:hyperlink w:anchor="__RefHeading___Toc660429_1395250215">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660431_1395250215">
            <w:r>
              <w:rPr>
                <w:webHidden/>
                <w:rStyle w:val="IndexLink"/>
                <w:rtl w:val="true"/>
              </w:rPr>
              <w:t>الف</w:t>
            </w:r>
            <w:r>
              <w:rPr>
                <w:rStyle w:val="IndexLink"/>
                <w:rtl w:val="true"/>
              </w:rPr>
              <w:t xml:space="preserve">) </w:t>
            </w:r>
            <w:r>
              <w:rPr>
                <w:rStyle w:val="IndexLink"/>
                <w:rtl w:val="true"/>
              </w:rPr>
              <w:t>هستی</w:t>
            </w:r>
            <w:r>
              <w:rPr>
                <w:rStyle w:val="IndexLink"/>
                <w:rtl w:val="true"/>
              </w:rPr>
              <w:t>:</w:t>
              <w:tab/>
            </w:r>
            <w:r>
              <w:rPr>
                <w:rStyle w:val="IndexLink"/>
              </w:rPr>
              <w:t>137</w:t>
            </w:r>
          </w:hyperlink>
        </w:p>
        <w:p>
          <w:pPr>
            <w:pStyle w:val="Contents5"/>
            <w:tabs>
              <w:tab w:val="clear" w:pos="7892"/>
              <w:tab w:val="right" w:pos="9026" w:leader="dot"/>
            </w:tabs>
            <w:rPr/>
          </w:pPr>
          <w:hyperlink w:anchor="__RefHeading___Toc660433_1395250215">
            <w:r>
              <w:rPr>
                <w:webHidden/>
                <w:rStyle w:val="IndexLink"/>
                <w:rtl w:val="true"/>
              </w:rPr>
              <w:t>ب</w:t>
            </w:r>
            <w:r>
              <w:rPr>
                <w:rStyle w:val="IndexLink"/>
                <w:rtl w:val="true"/>
              </w:rPr>
              <w:t xml:space="preserve">) </w:t>
            </w:r>
            <w:r>
              <w:rPr>
                <w:rStyle w:val="IndexLink"/>
                <w:rtl w:val="true"/>
              </w:rPr>
              <w:t>انسان</w:t>
            </w:r>
            <w:r>
              <w:rPr>
                <w:rStyle w:val="IndexLink"/>
                <w:rtl w:val="true"/>
              </w:rPr>
              <w:t>:</w:t>
              <w:tab/>
            </w:r>
            <w:r>
              <w:rPr>
                <w:rStyle w:val="IndexLink"/>
              </w:rPr>
              <w:t>138</w:t>
            </w:r>
          </w:hyperlink>
        </w:p>
        <w:p>
          <w:pPr>
            <w:pStyle w:val="Contents4"/>
            <w:tabs>
              <w:tab w:val="clear" w:pos="8176"/>
              <w:tab w:val="right" w:pos="9026" w:leader="dot"/>
            </w:tabs>
            <w:rPr/>
          </w:pPr>
          <w:hyperlink w:anchor="__RefHeading___Toc660435_1395250215">
            <w:r>
              <w:rPr>
                <w:webHidden/>
                <w:rStyle w:val="IndexLink"/>
              </w:rPr>
              <w:t>2</w:t>
            </w:r>
            <w:r>
              <w:rPr>
                <w:rStyle w:val="IndexLink"/>
                <w:rtl w:val="true"/>
              </w:rPr>
              <w:t xml:space="preserve">. </w:t>
            </w:r>
            <w:r>
              <w:rPr>
                <w:rStyle w:val="IndexLink"/>
                <w:rtl w:val="true"/>
              </w:rPr>
              <w:t>حجاب</w:t>
            </w:r>
            <w:r>
              <w:rPr>
                <w:rStyle w:val="IndexLink"/>
                <w:rtl w:val="true"/>
              </w:rPr>
              <w:tab/>
            </w:r>
            <w:r>
              <w:rPr>
                <w:rStyle w:val="IndexLink"/>
              </w:rPr>
              <w:t>139</w:t>
            </w:r>
          </w:hyperlink>
        </w:p>
        <w:p>
          <w:pPr>
            <w:pStyle w:val="Contents4"/>
            <w:tabs>
              <w:tab w:val="clear" w:pos="8176"/>
              <w:tab w:val="right" w:pos="9026" w:leader="dot"/>
            </w:tabs>
            <w:rPr/>
          </w:pPr>
          <w:hyperlink w:anchor="__RefHeading___Toc660437_1395250215">
            <w:r>
              <w:rPr>
                <w:webHidden/>
                <w:rStyle w:val="IndexLink"/>
              </w:rPr>
              <w:t>3</w:t>
            </w:r>
            <w:r>
              <w:rPr>
                <w:rStyle w:val="IndexLink"/>
                <w:rtl w:val="true"/>
              </w:rPr>
              <w:t xml:space="preserve">. </w:t>
            </w:r>
            <w:r>
              <w:rPr>
                <w:rStyle w:val="IndexLink"/>
                <w:rtl w:val="true"/>
              </w:rPr>
              <w:t>اسباب و مقدمات کشف</w:t>
            </w:r>
            <w:r>
              <w:rPr>
                <w:rStyle w:val="IndexLink"/>
                <w:rtl w:val="true"/>
              </w:rPr>
              <w:tab/>
            </w:r>
            <w:r>
              <w:rPr>
                <w:rStyle w:val="IndexLink"/>
              </w:rPr>
              <w:t>141</w:t>
            </w:r>
          </w:hyperlink>
        </w:p>
        <w:p>
          <w:pPr>
            <w:pStyle w:val="Contents5"/>
            <w:tabs>
              <w:tab w:val="clear" w:pos="7892"/>
              <w:tab w:val="right" w:pos="9026" w:leader="dot"/>
            </w:tabs>
            <w:rPr/>
          </w:pPr>
          <w:hyperlink w:anchor="__RefHeading___Toc660439_139525021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660441_1395250215">
            <w:r>
              <w:rPr>
                <w:webHidden/>
                <w:rStyle w:val="IndexLink"/>
                <w:rtl w:val="true"/>
              </w:rPr>
              <w:t>الف</w:t>
            </w:r>
            <w:r>
              <w:rPr>
                <w:rStyle w:val="IndexLink"/>
                <w:rtl w:val="true"/>
              </w:rPr>
              <w:t xml:space="preserve">) </w:t>
            </w:r>
            <w:r>
              <w:rPr>
                <w:rStyle w:val="IndexLink"/>
                <w:rtl w:val="true"/>
              </w:rPr>
              <w:t>تفکر</w:t>
            </w:r>
            <w:r>
              <w:rPr>
                <w:rStyle w:val="IndexLink"/>
                <w:rtl w:val="true"/>
              </w:rPr>
              <w:tab/>
            </w:r>
            <w:r>
              <w:rPr>
                <w:rStyle w:val="IndexLink"/>
              </w:rPr>
              <w:t>141</w:t>
            </w:r>
          </w:hyperlink>
        </w:p>
        <w:p>
          <w:pPr>
            <w:pStyle w:val="Contents5"/>
            <w:tabs>
              <w:tab w:val="clear" w:pos="7892"/>
              <w:tab w:val="right" w:pos="9026" w:leader="dot"/>
            </w:tabs>
            <w:rPr/>
          </w:pPr>
          <w:hyperlink w:anchor="__RefHeading___Toc660443_1395250215">
            <w:r>
              <w:rPr>
                <w:webHidden/>
                <w:rStyle w:val="IndexLink"/>
                <w:rtl w:val="true"/>
              </w:rPr>
              <w:t>ب</w:t>
            </w:r>
            <w:r>
              <w:rPr>
                <w:rStyle w:val="IndexLink"/>
                <w:rtl w:val="true"/>
              </w:rPr>
              <w:t xml:space="preserve">) </w:t>
            </w:r>
            <w:r>
              <w:rPr>
                <w:rStyle w:val="IndexLink"/>
                <w:rtl w:val="true"/>
              </w:rPr>
              <w:t>مراقبه و محاسبه</w:t>
            </w:r>
            <w:r>
              <w:rPr>
                <w:rStyle w:val="IndexLink"/>
                <w:rtl w:val="true"/>
              </w:rPr>
              <w:t>:</w:t>
              <w:tab/>
            </w:r>
            <w:r>
              <w:rPr>
                <w:rStyle w:val="IndexLink"/>
              </w:rPr>
              <w:t>141</w:t>
            </w:r>
          </w:hyperlink>
        </w:p>
        <w:p>
          <w:pPr>
            <w:pStyle w:val="Contents5"/>
            <w:tabs>
              <w:tab w:val="clear" w:pos="7892"/>
              <w:tab w:val="right" w:pos="9026" w:leader="dot"/>
            </w:tabs>
            <w:rPr/>
          </w:pPr>
          <w:hyperlink w:anchor="__RefHeading___Toc660445_1395250215">
            <w:r>
              <w:rPr>
                <w:webHidden/>
                <w:rStyle w:val="IndexLink"/>
                <w:rtl w:val="true"/>
              </w:rPr>
              <w:t>ج</w:t>
            </w:r>
            <w:r>
              <w:rPr>
                <w:rStyle w:val="IndexLink"/>
                <w:rtl w:val="true"/>
              </w:rPr>
              <w:t xml:space="preserve">) </w:t>
            </w:r>
            <w:r>
              <w:rPr>
                <w:rStyle w:val="IndexLink"/>
                <w:rtl w:val="true"/>
              </w:rPr>
              <w:t>ریاضت نفس</w:t>
            </w:r>
            <w:r>
              <w:rPr>
                <w:rStyle w:val="IndexLink"/>
                <w:rtl w:val="true"/>
              </w:rPr>
              <w:t>:</w:t>
              <w:tab/>
            </w:r>
            <w:r>
              <w:rPr>
                <w:rStyle w:val="IndexLink"/>
              </w:rPr>
              <w:t>142</w:t>
            </w:r>
          </w:hyperlink>
        </w:p>
        <w:p>
          <w:pPr>
            <w:pStyle w:val="Contents5"/>
            <w:tabs>
              <w:tab w:val="clear" w:pos="7892"/>
              <w:tab w:val="right" w:pos="9026" w:leader="dot"/>
            </w:tabs>
            <w:rPr/>
          </w:pPr>
          <w:hyperlink w:anchor="__RefHeading___Toc660447_1395250215">
            <w:r>
              <w:rPr>
                <w:webHidden/>
                <w:rStyle w:val="IndexLink"/>
                <w:rtl w:val="true"/>
              </w:rPr>
              <w:t>د</w:t>
            </w:r>
            <w:r>
              <w:rPr>
                <w:rStyle w:val="IndexLink"/>
                <w:rtl w:val="true"/>
              </w:rPr>
              <w:t xml:space="preserve">) </w:t>
            </w:r>
            <w:r>
              <w:rPr>
                <w:rStyle w:val="IndexLink"/>
                <w:rtl w:val="true"/>
              </w:rPr>
              <w:t>عزلت</w:t>
            </w:r>
            <w:r>
              <w:rPr>
                <w:rStyle w:val="IndexLink"/>
                <w:rtl w:val="true"/>
              </w:rPr>
              <w:tab/>
            </w:r>
            <w:r>
              <w:rPr>
                <w:rStyle w:val="IndexLink"/>
              </w:rPr>
              <w:t>143</w:t>
            </w:r>
          </w:hyperlink>
        </w:p>
        <w:p>
          <w:pPr>
            <w:pStyle w:val="Contents5"/>
            <w:tabs>
              <w:tab w:val="clear" w:pos="7892"/>
              <w:tab w:val="right" w:pos="9026" w:leader="dot"/>
            </w:tabs>
            <w:rPr/>
          </w:pPr>
          <w:hyperlink w:anchor="__RefHeading___Toc660449_1395250215">
            <w:r>
              <w:rPr>
                <w:webHidden/>
                <w:rStyle w:val="IndexLink"/>
                <w:rtl w:val="true"/>
              </w:rPr>
              <w:t>ه</w:t>
            </w:r>
            <w:r>
              <w:rPr>
                <w:rStyle w:val="IndexLink"/>
                <w:rtl w:val="true"/>
              </w:rPr>
              <w:t xml:space="preserve">) </w:t>
            </w:r>
            <w:r>
              <w:rPr>
                <w:rStyle w:val="IndexLink"/>
                <w:rtl w:val="true"/>
              </w:rPr>
              <w:t>وجد و سماع</w:t>
            </w:r>
            <w:r>
              <w:rPr>
                <w:rStyle w:val="IndexLink"/>
                <w:rtl w:val="true"/>
              </w:rPr>
              <w:tab/>
            </w:r>
            <w:r>
              <w:rPr>
                <w:rStyle w:val="IndexLink"/>
              </w:rPr>
              <w:t>143</w:t>
            </w:r>
          </w:hyperlink>
        </w:p>
        <w:p>
          <w:pPr>
            <w:pStyle w:val="Contents4"/>
            <w:tabs>
              <w:tab w:val="clear" w:pos="8176"/>
              <w:tab w:val="right" w:pos="9026" w:leader="dot"/>
            </w:tabs>
            <w:rPr/>
          </w:pPr>
          <w:hyperlink w:anchor="__RefHeading___Toc660451_1395250215">
            <w:r>
              <w:rPr>
                <w:webHidden/>
                <w:rStyle w:val="IndexLink"/>
              </w:rPr>
              <w:t>4</w:t>
            </w:r>
            <w:r>
              <w:rPr>
                <w:rStyle w:val="IndexLink"/>
                <w:rtl w:val="true"/>
              </w:rPr>
              <w:t xml:space="preserve">. </w:t>
            </w:r>
            <w:r>
              <w:rPr>
                <w:rStyle w:val="IndexLink"/>
                <w:rtl w:val="true"/>
              </w:rPr>
              <w:t>کشف</w:t>
            </w:r>
            <w:r>
              <w:rPr>
                <w:rStyle w:val="IndexLink"/>
                <w:rtl w:val="true"/>
              </w:rPr>
              <w:tab/>
            </w:r>
            <w:r>
              <w:rPr>
                <w:rStyle w:val="IndexLink"/>
              </w:rPr>
              <w:t>144</w:t>
            </w:r>
          </w:hyperlink>
        </w:p>
        <w:p>
          <w:pPr>
            <w:pStyle w:val="Contents5"/>
            <w:tabs>
              <w:tab w:val="clear" w:pos="7892"/>
              <w:tab w:val="right" w:pos="9026" w:leader="dot"/>
            </w:tabs>
            <w:rPr/>
          </w:pPr>
          <w:hyperlink w:anchor="__RefHeading___Toc660453_1395250215">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660455_1395250215">
            <w:r>
              <w:rPr>
                <w:webHidden/>
                <w:rStyle w:val="IndexLink"/>
                <w:rtl w:val="true"/>
              </w:rPr>
              <w:t>الف</w:t>
            </w:r>
            <w:r>
              <w:rPr>
                <w:rStyle w:val="IndexLink"/>
                <w:rtl w:val="true"/>
              </w:rPr>
              <w:t xml:space="preserve">) </w:t>
            </w:r>
            <w:r>
              <w:rPr>
                <w:rStyle w:val="IndexLink"/>
                <w:rtl w:val="true"/>
              </w:rPr>
              <w:t>الهام</w:t>
            </w:r>
            <w:r>
              <w:rPr>
                <w:rStyle w:val="IndexLink"/>
                <w:rtl w:val="true"/>
              </w:rPr>
              <w:tab/>
            </w:r>
            <w:r>
              <w:rPr>
                <w:rStyle w:val="IndexLink"/>
              </w:rPr>
              <w:t>145</w:t>
            </w:r>
          </w:hyperlink>
        </w:p>
        <w:p>
          <w:pPr>
            <w:pStyle w:val="Contents5"/>
            <w:tabs>
              <w:tab w:val="clear" w:pos="7892"/>
              <w:tab w:val="right" w:pos="9026" w:leader="dot"/>
            </w:tabs>
            <w:rPr/>
          </w:pPr>
          <w:hyperlink w:anchor="__RefHeading___Toc660457_1395250215">
            <w:r>
              <w:rPr>
                <w:webHidden/>
                <w:rStyle w:val="IndexLink"/>
                <w:rtl w:val="true"/>
              </w:rPr>
              <w:t>ب</w:t>
            </w:r>
            <w:r>
              <w:rPr>
                <w:rStyle w:val="IndexLink"/>
                <w:rtl w:val="true"/>
              </w:rPr>
              <w:t xml:space="preserve">) </w:t>
            </w:r>
            <w:r>
              <w:rPr>
                <w:rStyle w:val="IndexLink"/>
                <w:rtl w:val="true"/>
              </w:rPr>
              <w:t>وحی</w:t>
            </w:r>
            <w:r>
              <w:rPr>
                <w:rStyle w:val="IndexLink"/>
                <w:rtl w:val="true"/>
              </w:rPr>
              <w:tab/>
            </w:r>
            <w:r>
              <w:rPr>
                <w:rStyle w:val="IndexLink"/>
              </w:rPr>
              <w:t>146</w:t>
            </w:r>
          </w:hyperlink>
        </w:p>
        <w:p>
          <w:pPr>
            <w:pStyle w:val="Contents5"/>
            <w:tabs>
              <w:tab w:val="clear" w:pos="7892"/>
              <w:tab w:val="right" w:pos="9026" w:leader="dot"/>
            </w:tabs>
            <w:rPr/>
          </w:pPr>
          <w:hyperlink w:anchor="__RefHeading___Toc660459_1395250215">
            <w:r>
              <w:rPr>
                <w:webHidden/>
                <w:rStyle w:val="IndexLink"/>
                <w:rtl w:val="true"/>
              </w:rPr>
              <w:t xml:space="preserve">ج </w:t>
            </w:r>
            <w:r>
              <w:rPr>
                <w:rStyle w:val="IndexLink"/>
                <w:rtl w:val="true"/>
              </w:rPr>
              <w:t xml:space="preserve">) </w:t>
            </w:r>
            <w:r>
              <w:rPr>
                <w:rStyle w:val="IndexLink"/>
                <w:rtl w:val="true"/>
              </w:rPr>
              <w:t>کشف و روئیت خداوند</w:t>
            </w:r>
            <w:r>
              <w:rPr>
                <w:rStyle w:val="IndexLink"/>
                <w:rtl w:val="true"/>
              </w:rPr>
              <w:tab/>
            </w:r>
            <w:r>
              <w:rPr>
                <w:rStyle w:val="IndexLink"/>
              </w:rPr>
              <w:t>149</w:t>
            </w:r>
          </w:hyperlink>
        </w:p>
        <w:p>
          <w:pPr>
            <w:pStyle w:val="Contents3"/>
            <w:tabs>
              <w:tab w:val="clear" w:pos="8459"/>
              <w:tab w:val="right" w:pos="9026" w:leader="dot"/>
            </w:tabs>
            <w:rPr/>
          </w:pPr>
          <w:hyperlink w:anchor="__RefHeading___Toc660461_1395250215">
            <w:r>
              <w:rPr>
                <w:webHidden/>
                <w:rStyle w:val="IndexLink"/>
                <w:rtl w:val="true"/>
              </w:rPr>
              <w:t>جمع بندی</w:t>
            </w:r>
            <w:r>
              <w:rPr>
                <w:rStyle w:val="IndexLink"/>
                <w:rtl w:val="true"/>
              </w:rPr>
              <w:tab/>
            </w:r>
            <w:r>
              <w:rPr>
                <w:rStyle w:val="IndexLink"/>
              </w:rPr>
              <w:t>150</w:t>
            </w:r>
          </w:hyperlink>
        </w:p>
        <w:p>
          <w:pPr>
            <w:pStyle w:val="Contents3"/>
            <w:tabs>
              <w:tab w:val="clear" w:pos="8459"/>
              <w:tab w:val="right" w:pos="9026" w:leader="dot"/>
            </w:tabs>
            <w:rPr/>
          </w:pPr>
          <w:hyperlink w:anchor="__RefHeading___Toc660463_1395250215">
            <w:r>
              <w:rPr>
                <w:webHidden/>
                <w:rStyle w:val="IndexLink"/>
                <w:rtl w:val="true"/>
              </w:rPr>
              <w:t>منابع</w:t>
            </w:r>
            <w:r>
              <w:rPr>
                <w:rStyle w:val="IndexLink"/>
                <w:rtl w:val="true"/>
              </w:rPr>
              <w:tab/>
            </w:r>
            <w:r>
              <w:rPr>
                <w:rStyle w:val="IndexLink"/>
              </w:rPr>
              <w:t>151</w:t>
            </w:r>
          </w:hyperlink>
        </w:p>
        <w:p>
          <w:pPr>
            <w:pStyle w:val="Contents2"/>
            <w:tabs>
              <w:tab w:val="clear" w:pos="8743"/>
              <w:tab w:val="right" w:pos="9026" w:leader="dot"/>
            </w:tabs>
            <w:rPr/>
          </w:pPr>
          <w:hyperlink w:anchor="__RefHeading___Toc660465_1395250215">
            <w:r>
              <w:rPr>
                <w:webHidden/>
                <w:rStyle w:val="IndexLink"/>
                <w:rtl w:val="true"/>
              </w:rPr>
              <w:t>چکیده عربی مقالات</w:t>
            </w:r>
            <w:r>
              <w:rPr>
                <w:rStyle w:val="IndexLink"/>
                <w:rtl w:val="true"/>
              </w:rPr>
              <w:tab/>
            </w:r>
            <w:r>
              <w:rPr>
                <w:rStyle w:val="IndexLink"/>
              </w:rPr>
              <w:t>152</w:t>
            </w:r>
          </w:hyperlink>
        </w:p>
        <w:p>
          <w:pPr>
            <w:pStyle w:val="Contents2"/>
            <w:tabs>
              <w:tab w:val="clear" w:pos="8743"/>
              <w:tab w:val="right" w:pos="9026" w:leader="dot"/>
            </w:tabs>
            <w:rPr/>
          </w:pPr>
          <w:hyperlink w:anchor="__RefHeading___Toc660467_1395250215">
            <w:r>
              <w:rPr>
                <w:webHidden/>
                <w:rStyle w:val="IndexLink"/>
                <w:rtl w:val="true"/>
              </w:rPr>
              <w:t>چکیده انگلیسی مقالات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6_16465"/>
      <w:bookmarkStart w:id="1" w:name="pg2646_16465"/>
      <w:bookmarkEnd w:id="1"/>
    </w:p>
    <w:p>
      <w:pPr>
        <w:pStyle w:val="Heading2"/>
        <w:numPr>
          <w:ilvl w:val="1"/>
          <w:numId w:val="1"/>
        </w:numPr>
        <w:rPr/>
      </w:pPr>
      <w:bookmarkStart w:id="2" w:name="pg2646_16465"/>
      <w:bookmarkStart w:id="3" w:name="__RefHeading___Toc660151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دوم، شماره ششم، پاییز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سیدلطف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0153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r>
        <w:rPr>
          <w:rFonts w:eastAsia="IRNazanin" w:cs="IRNazanin"/>
          <w:color w:val="111111"/>
          <w:sz w:val="28"/>
          <w:szCs w:val="28"/>
          <w:rtl w:val="true"/>
          <w:lang w:bidi="fa-IR"/>
        </w:rPr>
        <w:t>.</w:t>
      </w:r>
      <w:bookmarkStart w:id="7" w:name="pg2646_16467"/>
    </w:p>
    <w:p>
      <w:pPr>
        <w:pStyle w:val="Heading2"/>
        <w:numPr>
          <w:ilvl w:val="1"/>
          <w:numId w:val="1"/>
        </w:numPr>
        <w:rPr/>
      </w:pPr>
      <w:bookmarkStart w:id="8" w:name="__RefHeading___Toc660155_1395250215"/>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p>
    <w:p>
      <w:pPr>
        <w:pStyle w:val="Heading2"/>
        <w:numPr>
          <w:ilvl w:val="1"/>
          <w:numId w:val="1"/>
        </w:numPr>
        <w:rPr/>
      </w:pPr>
      <w:bookmarkStart w:id="10" w:name="__RefHeading___Toc660157_1395250215"/>
      <w:bookmarkStart w:id="11" w:name="_Toc4"/>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حیات پیشین انسان از دیدگاه متکلمان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توران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مفهوم‌شناسیِ اراده و مشیّت الهی در پرتو بیانات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ترکمانی، اسماعیل شعبانی کامران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بررسی تبیین عقلانیِ برهان نظم در دیدگاه آیت‌الله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اله قربانی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گونه شناسی رفتارهای اعتقادی شیعیانِ امامیه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منتظری مقدم، سید آیت الله احمدی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مفضل بن عمر و جریان تفویض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حیدری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حق تشریع امام بین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علیزاده نجار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کشف و تجربۀ دینی در دیدگاه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خوانساری </w:t>
      </w:r>
      <w:r>
        <w:rPr>
          <w:rFonts w:eastAsia="IRNazanin" w:cs="IRNazanin"/>
          <w:color w:val="111111"/>
          <w:sz w:val="28"/>
          <w:szCs w:val="28"/>
          <w:lang w:bidi="fa-IR"/>
        </w:rPr>
        <w:t>119</w:t>
      </w:r>
    </w:p>
    <w:p>
      <w:pPr>
        <w:pStyle w:val="Heading2"/>
        <w:numPr>
          <w:ilvl w:val="1"/>
          <w:numId w:val="1"/>
        </w:numPr>
        <w:rPr/>
      </w:pPr>
      <w:bookmarkStart w:id="12" w:name="__RefHeading___Toc660159_1395250215"/>
      <w:bookmarkStart w:id="13" w:name="_Toc5"/>
      <w:bookmarkEnd w:id="12"/>
      <w:r>
        <w:rPr>
          <w:rtl w:val="true"/>
        </w:rPr>
        <w:t>حیات پیشین انسان از دیدگاه متکلمان بغداد</w:t>
      </w:r>
      <w:bookmarkEnd w:id="13"/>
    </w:p>
    <w:p>
      <w:pPr>
        <w:pStyle w:val="Heading3"/>
        <w:numPr>
          <w:ilvl w:val="2"/>
          <w:numId w:val="1"/>
        </w:numPr>
        <w:rPr/>
      </w:pPr>
      <w:bookmarkStart w:id="14" w:name="__RefHeading___Toc660161_1395250215"/>
      <w:bookmarkStart w:id="15" w:name="_Toc6"/>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حیات پیشین انسان از دیدگاه متکلمان بغداد</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بیان مسئله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تأویل روایات دالّ بر حیات پیشین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خلقت نوری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خلقتِ ارواح پیش از ابدان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عالم ذر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تأویل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حجیتِ روایات حیات پیشین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به نفس نبودن روح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عقل بودن روایات حیات پیشین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تناسخ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غلو</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Heading3"/>
        <w:numPr>
          <w:ilvl w:val="2"/>
          <w:numId w:val="1"/>
        </w:numPr>
        <w:rPr/>
      </w:pPr>
      <w:bookmarkStart w:id="16" w:name="__RefHeading___Toc660163_1395250215"/>
      <w:bookmarkStart w:id="17" w:name="_Toc7"/>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امداد توران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1392/11/17</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1393/03/20</w:t>
      </w:r>
    </w:p>
    <w:p>
      <w:pPr>
        <w:pStyle w:val="Heading3"/>
        <w:numPr>
          <w:ilvl w:val="2"/>
          <w:numId w:val="1"/>
        </w:numPr>
        <w:rPr/>
      </w:pPr>
      <w:bookmarkStart w:id="18" w:name="__RefHeading___Toc660165_1395250215"/>
      <w:bookmarkStart w:id="19" w:name="_Toc8"/>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درحالی که محدثان و محدث متکلمان کوفه و قم، قولِ به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انسان‌ها را پذیرفته بودند، متکلمان بغداد، از جمله شیخ مفید، سیدمرتضی و شیخ طوسی، موضعی منفی در برابر این قول اتخاذ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مقالۀ حاضر می‌کوشد، به عوامل نظریِ روی‌گردانی ایشان از این موضع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نظری، از آنچه خود این متکلمان به تصریح یا تلویح بیان کرده‌اند،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نشان می‌دهد، اتخاذ رویکرد تأویلی به روایت، قول به عدم حجیت خبر واحد، عارضی بودن و قائم به نفس نبودن روح، بطلان غلو، بطلان تناسخ که لازمۀ قول به حیات پیشین است و یاد نیاوردن ماجرای حیات پیشین، مبانی و ادله‌ای بوده که بغدادیان را به انکار حیات پیشین سوق داده است</w:t>
      </w:r>
      <w:r>
        <w:rPr>
          <w:rFonts w:eastAsia="IRNazanin" w:cs="IRNazanin"/>
          <w:color w:val="111111"/>
          <w:sz w:val="28"/>
          <w:szCs w:val="28"/>
          <w:rtl w:val="true"/>
          <w:lang w:bidi="fa-IR"/>
        </w:rPr>
        <w:t>.</w:t>
      </w:r>
    </w:p>
    <w:p>
      <w:pPr>
        <w:pStyle w:val="Heading3"/>
        <w:numPr>
          <w:ilvl w:val="2"/>
          <w:numId w:val="1"/>
        </w:numPr>
        <w:rPr/>
      </w:pPr>
      <w:bookmarkStart w:id="20" w:name="__RefHeading___Toc660167_1395250215"/>
      <w:bookmarkStart w:id="21" w:name="_Toc9"/>
      <w:bookmarkEnd w:id="20"/>
      <w:r>
        <w:rPr>
          <w:rtl w:val="true"/>
        </w:rPr>
        <w:t>واژگان کلیدی</w:t>
      </w:r>
      <w:bookmarkEnd w:id="2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پیشین، ذر، ارواح، اشباح، مکتب بغداد</w:t>
      </w:r>
      <w:r>
        <w:rPr>
          <w:rFonts w:eastAsia="IRNazanin" w:cs="IRNazanin"/>
          <w:color w:val="111111"/>
          <w:sz w:val="28"/>
          <w:szCs w:val="28"/>
          <w:rtl w:val="true"/>
          <w:lang w:bidi="fa-IR"/>
        </w:rPr>
        <w:t>.</w:t>
      </w:r>
      <w:bookmarkStart w:id="22" w:name="pg2646_16468"/>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23" w:name="__RefHeading___Toc660169_1395250215"/>
      <w:bookmarkStart w:id="24" w:name="_Toc10"/>
      <w:bookmarkEnd w:id="23"/>
      <w:r>
        <w:rPr>
          <w:rtl w:val="true"/>
        </w:rPr>
        <w:t>بیان مسئله</w:t>
      </w:r>
      <w:bookmarkEnd w:id="24"/>
    </w:p>
    <w:p>
      <w:pPr>
        <w:pStyle w:val="BookText"/>
        <w:rPr/>
      </w:pPr>
      <w:r>
        <w:rPr>
          <w:rFonts w:ascii="IRNazanin" w:hAnsi="IRNazanin" w:eastAsia="IRNazanin"/>
          <w:color w:val="111111"/>
          <w:sz w:val="28"/>
          <w:sz w:val="28"/>
          <w:szCs w:val="28"/>
          <w:rtl w:val="true"/>
          <w:lang w:bidi="fa-IR"/>
        </w:rPr>
        <w:t>در جوامع حدیثیِ نخستین، روایات مربوط به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انسان‌ها به وفور نقل شده است که در طریق این روایات علاوه بر راویان قمی، راویان کوفی نیز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وفور این روایات و تنوع و تکرر راویان واقع در طریق آن‌ها می‌تواند نشانی باشد از این‌که محدثان کوفی و قمی، صرف‌نظر از تفاصیلی که در برخی روایات خاص آمده است، مضمون کلیِ این روایات، یعنی اصل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انسان‌ها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علاوه بر نقل روایات دالّ بر حیات پیشین، اعتقاد به حیات پیشینِ ارواح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نخستین مخلوق و نیز به تقدم ارواح انسان‌ها بر ابدانشان را، جزو اعتقادات امامیه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سه متکلم بزرگ بغداد، شیخ مفید، سیدمرتضی و شیخ طوسی در برابر حیات پیشین عمدتاً موضع نفی و انکار اتخاذ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نظریات این متکلمان در ردّ حیات پیشین ذیل روایات دالّ بر آن صورت گرفته، لازم است نگاهی به مضمون این روایات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دسته‌بندیِ غیرحصری می‌توان روایاتِ حیات پیشین را در سه دسته گنجانید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اختصاصاً از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بر اساس این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مخلوقات خداوند‌ند که همچون نور یا اشباح نور و یا روح، از نور خداوند آفریده شدند و با استقرار در اطراف یا جانب راست عرش الهی، به حمد و تسبیح خداوند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انوار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نوری یک‌پارچه در صلب حضرت آدم قرار گرفت تا آن‌که با انتقال در اصلاب و ارحام پاک، در نهایت همۀ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متولد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442</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دیگرِ روایات، از تقدم دوهزارسالۀ خلقت ارواح بر ابدان سخن می‌گویند و تأکید می‌کنند که ارواح انسان‌ها پیش از حیات دنیوی با یکدیگر آشنا بودند و مؤالفت و مخالفتِ دنیوی بین انسان‌ها در مؤالفت و مخالفت ارواحشان در حیات پیشین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هم‌چنین بیان می‌دارند که این ارواح 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شدند و ایشان از همان زمان، دوستان خود را می‌شناختند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r>
        <w:rPr>
          <w:rStyle w:val="FootnoteAnchor"/>
          <w:rtl w:val="true"/>
        </w:rPr>
        <w:footnoteReference w:id="4"/>
      </w:r>
      <w:bookmarkStart w:id="25" w:name="pg2646_16469"/>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سوم روایات که به نظر می‌رسد، ناظر به آفرینش ابدان انسان‌ها هستند، از خلقت ذری انسان‌ها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از طینتی خاص به صورت موجودات ریز و ذره‌وار آفرید، خود را به ایشان معرفی کرد و از ایشان پیمانِ بندگی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ذرات هر کدام به‌موقع، از صلب پدر به رحم مادر منتقل می‌شوند تا متولد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آن‌جا که هیچ گزارش مستقیمی دربارۀ مخالفت محدثان و متکلمان پیش از شیخ مفید با حیات پیشین گزارش نشده، وی را می‌توان سرآغاز رسمیِ مخالفت با این عقیده دانست؛ با این حال، در سخن وی روزنه‌هایی برای قول به وجود پیشین، اگر نه حیات پیشین، وجود دارد، اما سیدمرتضی به دلایلی که به تفصیل مطرح خواهد شد، این روزنه‌ها را مسدود کرده و حیات پیشین را یک‌سره و به قول مطلق، مردود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که در پایان این خطّ فکری قرار دارد، در عین تکرار سخنان دو استادش، به صورت محدود قول به حیات پیشین را روا دانسته و از این حیث به شیخ مفید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مبانی و استدلال‌های ایشان در ردّ حیات پیشین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کراجکی و ابو‌الصلاح حلبی، موضع مثبتی دربارۀ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برگزیده‌اند که در ادامه بدان خواهیم پرداخت</w:t>
      </w:r>
      <w:r>
        <w:rPr>
          <w:rFonts w:eastAsia="IRNazanin" w:cs="IRNazanin"/>
          <w:color w:val="111111"/>
          <w:sz w:val="28"/>
          <w:szCs w:val="28"/>
          <w:rtl w:val="true"/>
          <w:lang w:bidi="fa-IR"/>
        </w:rPr>
        <w:t>.</w:t>
      </w:r>
    </w:p>
    <w:p>
      <w:pPr>
        <w:pStyle w:val="Heading3"/>
        <w:numPr>
          <w:ilvl w:val="2"/>
          <w:numId w:val="1"/>
        </w:numPr>
        <w:rPr/>
      </w:pPr>
      <w:bookmarkStart w:id="26" w:name="__RefHeading___Toc660171_1395250215"/>
      <w:bookmarkStart w:id="27" w:name="_Toc11"/>
      <w:bookmarkEnd w:id="26"/>
      <w:r>
        <w:rPr/>
        <w:t>1</w:t>
      </w:r>
      <w:r>
        <w:rPr>
          <w:rtl w:val="true"/>
        </w:rPr>
        <w:t xml:space="preserve">. </w:t>
      </w:r>
      <w:r>
        <w:rPr>
          <w:rtl w:val="true"/>
        </w:rPr>
        <w:t>تفسیر و تأویل روایات دالّ بر حیات پیشین</w:t>
      </w:r>
      <w:bookmarkEnd w:id="27"/>
    </w:p>
    <w:p>
      <w:pPr>
        <w:pStyle w:val="Heading4"/>
        <w:numPr>
          <w:ilvl w:val="3"/>
          <w:numId w:val="1"/>
        </w:numPr>
        <w:rPr/>
      </w:pPr>
      <w:bookmarkStart w:id="28" w:name="__RefHeading___Toc660173_1395250215"/>
      <w:bookmarkStart w:id="29" w:name="_Toc12"/>
      <w:bookmarkEnd w:id="28"/>
      <w:r>
        <w:rPr>
          <w:rtl w:val="true"/>
        </w:rPr>
        <w:t>الف</w:t>
      </w:r>
      <w:r>
        <w:rPr>
          <w:rtl w:val="true"/>
        </w:rPr>
        <w:t xml:space="preserve">) </w:t>
      </w:r>
      <w:r>
        <w:rPr>
          <w:rtl w:val="true"/>
        </w:rPr>
        <w:t>روایات خلقت نوری</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اختصاصاً از وجود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خلقت ایشان بر سایر موجودات سخن گفته‌اند، عمدتاً چهار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اظله، ارواح و اشباح نور را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متکلمان بغداد، شیخ مفید بیشترین بحث را در این باره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عمدۀ بحث خود را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کرده و از طرح بحثی مستقل ذیل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اظله و ارواح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صحیح می‌داند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اشباحی نورانی را در عرش خداوند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اینان اشباح پیامبر و 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اگر نبودند، خداوند نه او را می‌آفرید و نه آسمان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شیخ مفید، خداوند بدین وسیله صرفاً می‌خواست حضرت آدم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آگاه کند که چنین فرزندانی خواهد داشت و باید ایشان را تعظیم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تأکید می‌کند که اشباحی که حضرت آدم دید، ذوات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صورت‌هایی دارای حیات یا ارواح دارای نطق نبودند، بلکه تمثال‌های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أمثلتهم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صوَری بودند مشابه صورت‌های بشریِ ایشان در آینده و حاکی از آن‌که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دارای چنین صوری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نگارنده بررسی کرده است، سیدمرتضی و شیخ طوسی بحثی در تفسیر و تأویل روایات خلقت نوری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نکرده‌اند؛ البته شیخ طوسی در کتاب تهذیب الاحکام مؤیدانه،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فضایل بسیاری را برای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از جملۀ آن‌ها، آفرینش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انوار و استقرار ایشان بر گرد عرش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ادلۀ نقلیِ امامتِ امامان دوازده‌گانه، حدیثی بدین مضمون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نفر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عظمتِ خود آفرید و ایشان را اشباحی در ضیای نور خود قرار داد و ایشان در آن حال، مشغول عبادت و تسبیح پروردگار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حدیث می‌توان دریافت، وی قائل به خلقتِ نوری و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هنگام، دارای حیات و نطق می‌دانسته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عثمان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عالمانی است که روایات مربوط به اشباح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شیعه و برخی عامه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آفریده شد، اشباحی را دید که می‌درخشیدند و این اشباح پنج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فاطمه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بودند که بر عرش نوشته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مخلوقاتِ منند که اگر ارادۀ خلق ایشان را نداشتم، تو را نیز نمی‌آفریدم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روایت دیگری بدین مضمون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اراده کرده‌ام دو بنده از 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دنیا بیافرینم، تو را نیز نمی‌آفریدم؛ آن‌گاه آدم، اسامیِ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که بر عرش نقش بسته بودند،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روایاتی که کراجکی نقل می‌کند نمی‌توان استنتاج کرد، وی اشباح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حضرت آدم دید، انسان‌های دارای حیات و روح می‌داند، چراکه در هر دو روایت تأکید شده که</w:t>
      </w:r>
      <w:bookmarkStart w:id="30" w:name="pg2646_16471"/>
    </w:p>
    <w:p>
      <w:pPr>
        <w:pStyle w:val="BookText"/>
        <w:rPr/>
      </w:pPr>
      <w:bookmarkEnd w:id="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خداوند به هنگام خلق آدم، صرفاً ارادۀ خلق ایشان را داشت؛ با این حال، وی روایاتی را گزارش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پیشانیِ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از او به نسلش منتقل شد، تا آن‌که در نهایت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وی روایتی را نقل می‌کند مبنی بر این‌که نورِ ابوطالب از همان نورِ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آن را دو‌هزار سال پیش از آدم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وی موضعی منفی دربارۀ وجود پیشین و خلقت نوریِ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نکرده و حتی به موجب روایت اخیر می‌توان گفت، وی قائل به تقدم خلقت انوار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آیا وی این انوار را دارای حیات و نطق می‌داند یا خیر، محل تأمل است</w:t>
      </w:r>
      <w:r>
        <w:rPr>
          <w:rFonts w:eastAsia="IRNazanin" w:cs="IRNazanin"/>
          <w:color w:val="111111"/>
          <w:sz w:val="28"/>
          <w:szCs w:val="28"/>
          <w:rtl w:val="true"/>
          <w:lang w:bidi="fa-IR"/>
        </w:rPr>
        <w:t>.</w:t>
      </w:r>
    </w:p>
    <w:p>
      <w:pPr>
        <w:pStyle w:val="Heading4"/>
        <w:numPr>
          <w:ilvl w:val="3"/>
          <w:numId w:val="1"/>
        </w:numPr>
        <w:rPr/>
      </w:pPr>
      <w:bookmarkStart w:id="31" w:name="__RefHeading___Toc660175_1395250215"/>
      <w:bookmarkStart w:id="32" w:name="_Toc13"/>
      <w:bookmarkEnd w:id="31"/>
      <w:r>
        <w:rPr>
          <w:rtl w:val="true"/>
        </w:rPr>
        <w:t>ب</w:t>
      </w:r>
      <w:r>
        <w:rPr>
          <w:rtl w:val="true"/>
        </w:rPr>
        <w:t xml:space="preserve">) </w:t>
      </w:r>
      <w:r>
        <w:rPr>
          <w:rtl w:val="true"/>
        </w:rPr>
        <w:t>روایات خلقتِ ارواح پیش از ابدان</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به این موضوع نیز بیشتر از دیگران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روایات دال یا مشعر بر خلقت ارواح پیش از ابدان را در آثار خود، به سه گونۀ متفاوت تفسیر می‌کند؛ او در یکی از تفاسیر خود مدعی می‌شود، مقصود از خلقت ارواح پیش از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تقدیر در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خلق ایجاد و اختراع؛ یعنی خداوند پیش از آفرینش ابدان، ارواح را در علم خود مقدر کرد، بدون آن‌که بدان‌ها وجود خارجی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شیخ مفید با اعطای معنای جدیدی به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کردن این واژه در روایات از معنای ظاهری به معنای جدید، تلاش می‌کند حیات پیشین ارواح را نفی کند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شیخ مفید در تفسیر دیگر خود از این حدیث، به جای تصرف در معنای خلقت، در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می‌کند و ارواح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نتیجه، وی حدیث مورد استناد شیخ صدوق برای اثبات حیات پیشین ارواح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الأرواح مخلوقة قبل الأجساد بألفی عام فما تعارف منها ائتلف و ما تناکر منها اختلف</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را چنین تفسیر می‌کند که ملائکه‌ای که پیش از آفرینش بشر با یکدیگر آشنا بودند، پس از آفرینش بشر با یکدیگر الفت می‌یابند و ملائکه‌ای که پیش از آفرینش بشر با</w:t>
      </w:r>
      <w:bookmarkStart w:id="33" w:name="pg2646_16472"/>
    </w:p>
    <w:p>
      <w:pPr>
        <w:pStyle w:val="BookText"/>
        <w:rPr/>
      </w:pPr>
      <w:bookmarkEnd w:id="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یکدیگر آشنا نبودند، پس از آفرینش بشر با یکدیگر اختلاف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هر دو تفسیر، یعنی هم تفسیر خلق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تفسیر ارواح به ملائکه، خلاف ظاهر‌ند و معنای خلاف ظاهر به خودیِ خود، نمی‌تواند قابل انتساب به آیه یا روایت باشد، مگر آن‌که قرینه‌ای قطعی از عقل یا نقل بر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خواهیم دید که چنین قرینه‌ای از سوی وی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 شیخ مفید از این روایات، آن است که اصولاً این روایات ربطی به خلقت ارواح پیش از ابدان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در حقیقت، به دسته‌ای از این روایات اختصاص دارد که در آن‌ها به حیات پیشین ارواح تصریحی نشده و صرفاً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الارواح جنود مجنده؛ فما تعارف منها ائتلف و ما تخالف اختلف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ارواح لشکریانی گردهم آمده‌اند؛ آن دسته از ارواح که با یکدیگر آشنا شده باشند، با هم انس می‌گیرند و آن دسته که ناسازگار باشند، با هم اختلاف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ارواحی که همان جوهرهای بسیطند، از نظر جنس به یاری یکدیگر می‌پردازند و از نظر عوارض، از یاریِ هم اجتناب می‌ورزند؛ لذا ارواحی که به موجب یکی بودن رأی و میلشان، آشنای هم باشند، با یکدیگر انس می‌گیرند و ارواحی که به موجب ناهمگونی در رأی و میل، ناآشنای هم باشند، با یکدیگر اختلاف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محسوس و مشاهد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وی در این‌جا مدعی می‌شود که این روایت، از جوهر‌های بسیط در همین دنیا سخن می‌گویند و نه جوهر‌های بسیطی که وجودی مقدم بر وجود دنیویِ انسان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شیخ مفید، تنها متکلم بغدادی که بحث حیات پیشین ارواح را مورد توجه قرار داده، سیدمرتضی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خلقت ارواح دو هزار سال پیش از ابدان را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دیدگاه وی بازخواهیم گشت</w:t>
      </w:r>
      <w:r>
        <w:rPr>
          <w:rFonts w:eastAsia="IRNazanin" w:cs="IRNazanin"/>
          <w:color w:val="111111"/>
          <w:sz w:val="28"/>
          <w:szCs w:val="28"/>
          <w:rtl w:val="true"/>
          <w:lang w:bidi="fa-IR"/>
        </w:rPr>
        <w:t>.</w:t>
      </w:r>
    </w:p>
    <w:p>
      <w:pPr>
        <w:pStyle w:val="Heading4"/>
        <w:numPr>
          <w:ilvl w:val="3"/>
          <w:numId w:val="1"/>
        </w:numPr>
        <w:rPr/>
      </w:pPr>
      <w:bookmarkStart w:id="34" w:name="__RefHeading___Toc660177_1395250215"/>
      <w:bookmarkStart w:id="35" w:name="_Toc14"/>
      <w:bookmarkEnd w:id="34"/>
      <w:r>
        <w:rPr>
          <w:rtl w:val="true"/>
        </w:rPr>
        <w:t>ج</w:t>
      </w:r>
      <w:r>
        <w:rPr>
          <w:rtl w:val="true"/>
        </w:rPr>
        <w:t xml:space="preserve">) </w:t>
      </w:r>
      <w:r>
        <w:rPr>
          <w:rtl w:val="true"/>
        </w:rPr>
        <w:t>روایات عالم ذر</w:t>
      </w:r>
      <w:bookmarkEnd w:id="3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سه متکلم بزرگ بغداد، شیخ مفید، سیدمرتضی و شیخ طوسی دربارۀ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موضعی کم‌وبیش مشابه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پس از نقل روایتی صحیح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ذریۀ حضرت آدم را به صورت ذر از صلب او خارج کرد،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روایت آن است که خداوند، ذر را از صلب آدم بیرون آورد تا ذریۀ بعدیِ او را از جهت کثرت، به آن ذر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صورت قاطع نمی‌گوید که دقیقاً چه نسبتی بین ذریۀ بعدیِ آدم و ذری که از</w:t>
      </w:r>
      <w:bookmarkStart w:id="36" w:name="pg2646_16473"/>
    </w:p>
    <w:p>
      <w:pPr>
        <w:pStyle w:val="BookText"/>
        <w:rPr/>
      </w:pPr>
      <w:bookmarkEnd w:id="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پشت او بیرون آورده شد وجود دارد، اما این احتمال را مطرح می‌کند که آنچه از صلب حضرت آدم بیرون آورده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اجسام ذریۀ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نه ارواحشان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وی در آن است که ذراتی که از صلبِ آدم بیرون آورده شدند، بُن یا بخش بنیادین ابدان ذریۀ آدمند که با انتقال در نسل حضرت آدم، در نهایت در رحم مادر قرار می‌گیرند و با جذب مواد بیرونی رشد می‌کنند تا به شکل انسانی کامل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از نظر شیخ مفید، این بخش بنیادین ابدان ذریۀ آدم، فاقد روح بودند و با ایشان گفت‌و‌گویی صورت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شیخ مفید، قائل شدن به عالم ذر نمادین که در آن فرزندان آدم به صورت ذر از پشت او بیرون آورده شده باشند، منعی ندارد، به شرط آن‌که این ذر را دارای شعور و نطق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سیدمرتضی در انکارِ عالم ذری که در آن استنطاق و نطقی بین خداوند و انسان‌ها صورت گرفته باشد، با شیخ مفید هم‌نواست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اشاره به روایاتی که از طریق امامیه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 و ایمان و کفر انسان‌ها را در دنیا، تابع ایمان و کفرشان در عالم ذر می‌دانند، پس از بیان عدم حجیت این روایات، این احتمال را مطرح می‌کند که مقصود این روایات، علمِ پیشین خداوند باشد؛ یعنی خدا به هنگام خلقت می‌دانست چه کسی مؤمن و چه کسی کافر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دنیا اتفاق می‌افتد، مطابق علم خدا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روایتی را که در آن پیامبر از سبقتش بر انبیا در اقرار به وجود خداوند سخن می‌گوید و آن را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می‌کند، دالّ بر مدعای قائلان به عالم ذر نمی‌داند، چراکه مقصود این روایت، سبقت در فضیلت است، نه سبقت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در این صورت نیز استشهادی که در روایت به آیه صورت گرفته، وجه دارد، چراکه مقصود آن است که خداوند از ازل، سبقت پیامبر را بر دیگر انبیا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تفسیر وی نیز از روایات عالم ذر، خلاف ظاهر است، چراکه در این روایات سخن از خلقِ پیشین است، نه علم پیشینِ الهی</w:t>
      </w:r>
      <w:r>
        <w:rPr>
          <w:rFonts w:eastAsia="IRNazanin" w:cs="IRNazanin"/>
          <w:color w:val="111111"/>
          <w:sz w:val="28"/>
          <w:szCs w:val="28"/>
          <w:rtl w:val="true"/>
          <w:lang w:bidi="fa-IR"/>
        </w:rPr>
        <w:t>.</w:t>
      </w:r>
    </w:p>
    <w:p>
      <w:pPr>
        <w:pStyle w:val="Heading3"/>
        <w:numPr>
          <w:ilvl w:val="2"/>
          <w:numId w:val="1"/>
        </w:numPr>
        <w:rPr/>
      </w:pPr>
      <w:bookmarkStart w:id="37" w:name="__RefHeading___Toc660179_1395250215"/>
      <w:bookmarkStart w:id="38" w:name="_Toc15"/>
      <w:bookmarkEnd w:id="37"/>
      <w:r>
        <w:rPr/>
        <w:t>2</w:t>
      </w:r>
      <w:r>
        <w:rPr>
          <w:rtl w:val="true"/>
        </w:rPr>
        <w:t xml:space="preserve">. </w:t>
      </w:r>
      <w:r>
        <w:rPr>
          <w:rtl w:val="true"/>
        </w:rPr>
        <w:t xml:space="preserve">تفسیر و تأویل آیۀ </w:t>
      </w:r>
      <w:r>
        <w:rPr>
          <w:rtl w:val="true"/>
        </w:rPr>
        <w:t>«</w:t>
      </w:r>
      <w:r>
        <w:rPr>
          <w:rtl w:val="true"/>
        </w:rPr>
        <w:t>الست</w:t>
      </w:r>
      <w:r>
        <w:rPr>
          <w:rtl w:val="true"/>
        </w:rPr>
        <w:t>»</w:t>
      </w:r>
      <w:bookmarkEnd w:id="3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 که تعدادی از روایات عالم ذر، ذیل آیۀ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بَنِی‌آدَمَ مِنْ ظُهُورِهِمْ ذُرِّیَّتَهُمْ وَ 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و قائلان به عالم ذر برای اثبات مدعای خود به این آیه تمسک جسته‌اند،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هر سه متکلم بزرگ بغداد تلاش کردند نشان دهند، این آیه دلالتی بر عالم 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اشاره به استدلال یا امکان استدلال قائلان به عالم ذر به این آیه، آن را از قبیل مجاز در لغت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معنای آیه این است که خداوند از هر مکلفی که از صلب آدم و ذریه‌اش بیرون می‌آید، پیمان بر ربوبیت خویش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گرفتن بدین معناست که خداوند، عقل او را کامل کرده و از طریق نشانه‌هایی که در آفرینش قرار داده، او را به وجود خالق و محدث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ایشان بر خودشان، همان نشانه‌های آفرینش است که در وجود انسان‌ها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نیست که ایشان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کردند، بلکه این است که ایشان با وجود این نشانه‌های آفرینش، نمی‌توانستند منکر وجود محدث شوند؛ لذا مثل کسی هستند که لفظاً بلی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در مقام ردّ تفسیر قائلان به عالم ذر از این آیه، تفسیر کسانی را مستند قرار می‌دهد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 و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وی، ایشان در تفسیر خود روشن کرده‌اند که تفسیر اهل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سیدمرتضی در این‌جا بر قائلان به عالم ذر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درست نیست، چراکه خداوند در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که قائلان به عالم ذر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الکتاب و التأویل در تفسیر این آیه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خداوند عدۀ محدودی از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خودشان شاهد گرفته باشد، تا هم حجت بر ایشان تمام‌تر باشد و هم لطفی در حقّ بقیۀ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سیدمرتضی، از این آیه می‌توان تفسیرِ بهتری ارائه داد که مربوط به همۀ انسان‌ها باشد، نه جمع محدودی از آن‌ها و آن این‌که، مقصود از استشهاد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خداوند، ذریه را طوری آفریده که می‌تواند فردِ ناظر و متأمل را به معرفت خداوند و وجوب عبادتش دلالت کند و شهادت دادن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نیز دلالت‌گریِ بر معرفت و وجوب عبادتش را پذیرفته و مسخّر این کار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از زبان مخالفان، این اشکال را بر تفسیر خود وارد می‌کند که بنا بر روایات، پاسخ انسان‌ها در عالم ذر به استشهاد خداوند یک‌سان نبوده، بلکه بعضی اقرار و بعضی دیگر انکار کرده‌اند و اقرار و انکار انسان‌ها در دنیا، تابع اقرار و انکارشان در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پاسخ می‌دهد که آیۀ قرآن که قطعی و قابل احتجاج است، صرفاً از اقرار سخن می‌گوید و نه از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باب نیز مورد اعتنا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خواهیم گفت که سیدمرتضی خبر واحد را حجت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بر آن، این</w:t>
      </w:r>
      <w:bookmarkStart w:id="39" w:name="pg2646_16475"/>
    </w:p>
    <w:p>
      <w:pPr>
        <w:pStyle w:val="BookText"/>
        <w:rPr/>
      </w:pPr>
      <w:bookmarkEnd w:id="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قبیل اخبار را می‌توان ناظر بر علم خداوند دانست؛ یعنی این روایات در حقیقت، علم خداوند به اقرار و انکار آتی را به مثابۀ وقوع اقرار و انکار تلقی کرده و از آن خبر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گرچه در انکار عالم ذر، از دو سَلَف خود تبعیت کرده، در پایان آن را به صورت محدود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انکار کلّیِ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نهایت به نقل از گروهی، دیدگاهی دیگر را در تفسیر آیۀ مذکور مطرح کرده و آن را مرویّ در اخبار امامیه و وجهی قریب می‌داند که کلام، تاب آن را دارد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آیه از آن خبر می‌دهد، به عدۀ معینی اختصاص دارد که خداوند عقل ایشان را کامل کرد، ایشان را بر خودشان شاهد گرفت،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ایشان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را به یاد می‌آورند و غافل از آن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هرچند به صورت احتمال، عالم پیشین ذر را به نحوی که مختص تعداد معینی از انسان‌ها باشد، می‌پذیرد</w:t>
      </w:r>
      <w:r>
        <w:rPr>
          <w:rFonts w:eastAsia="IRNazanin" w:cs="IRNazanin"/>
          <w:color w:val="111111"/>
          <w:sz w:val="28"/>
          <w:szCs w:val="28"/>
          <w:rtl w:val="true"/>
          <w:lang w:bidi="fa-IR"/>
        </w:rPr>
        <w:t>.</w:t>
      </w:r>
    </w:p>
    <w:p>
      <w:pPr>
        <w:pStyle w:val="Heading3"/>
        <w:numPr>
          <w:ilvl w:val="2"/>
          <w:numId w:val="1"/>
        </w:numPr>
        <w:rPr/>
      </w:pPr>
      <w:bookmarkStart w:id="40" w:name="__RefHeading___Toc660181_1395250215"/>
      <w:bookmarkStart w:id="41" w:name="_Toc16"/>
      <w:bookmarkEnd w:id="40"/>
      <w:r>
        <w:rPr/>
        <w:t>3</w:t>
      </w:r>
      <w:r>
        <w:rPr>
          <w:rtl w:val="true"/>
        </w:rPr>
        <w:t xml:space="preserve">. </w:t>
      </w:r>
      <w:r>
        <w:rPr>
          <w:rtl w:val="true"/>
        </w:rPr>
        <w:t>عدم حجیتِ روایات حیات پیشین</w:t>
      </w:r>
      <w:bookmarkEnd w:id="4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متکلم بزرگ بغداد، متذکر عدم حجیت روایات حیات پیشین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ایشان بر عدم اعتبار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شیخ مفید و سیدمرتضی، دست‌کم یک دسته از سه دسته روایات دربارۀ حیات پیشین را به دلیل آن‌که خبرِ واحد‌ند، غیر قابل احتجاج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شیخ مفید، خبر واحد را نه موجب علم می‌داند و نه موجب عمل، مگر آن‌که قرینه‌ای از عقل، یا عرف و یا اجماع همراه آن باشد که موجب علم به صدق راوی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مفید</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قاعدۀ کلی را بر روایات دالّ بر خلقت ارواح دوهزار سال پیش از ابدان، تطبیق می‌کند و آن‌ها را اخبار آحاد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نیز در پاسخ به پرسشی دربارۀ روایات عالم ذر، بر همین اصل تأکید می‌کند که اخبار آحاد و هر خبری که موجب علم یقینی نباشد، حجت نیستند، تا چه رسد به اخباری که ظاهرشان مخالف ادلۀ عقل باشند که در این صورت باید روات آن را کاذب دانست؛ مگر آن‌که در لغت و شرع تأویلی برای آن پیدا شود که موافق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 دو سلف خود موافق است که خبر واحد موجب علم نمی‌شود، گرچه انجام عمل عبادی را بر اساس خبر واحد، عقلاً جایز و شرعاً وارد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بر مبنای وی نیز نمی‌توان روایات</w:t>
      </w:r>
      <w:bookmarkStart w:id="42" w:name="pg2646_16476"/>
    </w:p>
    <w:p>
      <w:pPr>
        <w:pStyle w:val="BookText"/>
        <w:rPr/>
      </w:pPr>
      <w:bookmarkEnd w:id="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دربارۀ حیات پیشین را مستند اعتقاد قرار داد، چراکه وی با مفروض گرفتن این‌که روایات مربوط به ذر، یکی بیش نیست یا بیش از یک طریق ندارد، روایت ذر را مبتلا به اشکال سندی می‌داند، زیرا راویِ این روایت، سلیمان بن بشار جهنی و به قولی، مسلم بن بشار از عمر بن خطاب است، و یحیی بن معین دربارۀ او اظهار بی‌اطلاعی کرده است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ادعای خبر واحد بودن روایات حیات پیشین مقبول نمی‌نماید؛ کثرت و تنوع طرق این احادیث به حدّی است که می‌توان به آسانی از تواتر معنوی یا دست‌کم تواتر اجمالیِ روایات حیات پیشین سخن گفت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دلیل یا شاهد دیگر متکلمان بغداد بر عدم حجیت روایات حیات پیشین که تنها شیخ مفید بدان اشاره کرده، اختلاف الفاظ و معانی روایات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وی تصریحی ندارد به این‌که اختلاف این احادیث در حدّ تناقض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اشارۀ وی به اختلاف الفاظ و معانی این روایات، صرفاً تعریضی است بر عدم اعتبار فی‌الجمله و نه بالجملۀ آن‌ها؛ از این رو خود، تقریر یا متنی بی‌اشکال از روایات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متضمنِ حیات پیشین نیستند</w:t>
      </w:r>
      <w:r>
        <w:rPr>
          <w:rFonts w:eastAsia="IRNazanin" w:cs="IRNazanin"/>
          <w:color w:val="111111"/>
          <w:sz w:val="28"/>
          <w:szCs w:val="28"/>
          <w:rtl w:val="true"/>
          <w:lang w:bidi="fa-IR"/>
        </w:rPr>
        <w:t>.</w:t>
      </w:r>
    </w:p>
    <w:p>
      <w:pPr>
        <w:pStyle w:val="Heading3"/>
        <w:numPr>
          <w:ilvl w:val="2"/>
          <w:numId w:val="1"/>
        </w:numPr>
        <w:rPr/>
      </w:pPr>
      <w:bookmarkStart w:id="43" w:name="__RefHeading___Toc660183_1395250215"/>
      <w:bookmarkStart w:id="44" w:name="_Toc17"/>
      <w:bookmarkEnd w:id="43"/>
      <w:r>
        <w:rPr/>
        <w:t>4</w:t>
      </w:r>
      <w:r>
        <w:rPr>
          <w:rtl w:val="true"/>
        </w:rPr>
        <w:t xml:space="preserve">. </w:t>
      </w:r>
      <w:r>
        <w:rPr>
          <w:rtl w:val="true"/>
        </w:rPr>
        <w:t>قائم به نفس نبودن روح</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زمینه‌های نظریِ انکار حیات پیشین توسط متکلمان بغداد، مبنایِ انسان‌شناختی و روح‌شناختی</w:t>
      </w:r>
      <w:r>
        <w:rPr>
          <w:rStyle w:val="FootnoteAnchor"/>
          <w:rtl w:val="true"/>
        </w:rPr>
        <w:footnoteReference w:id="9"/>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مقام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را عرضی می‌داند که بر جسد یا جسم عارض می‌شود، و در صورتی که این عرض از بین برود و شخص بمیرد، اصلاً روحی وجود ندارد؛ لذا خداوند به هنگام احیای مردگان، در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می‌آورد که همان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این‌جا، از روحی دیگر یا روح به معنایی دیگر، سخن به میان نمی‌آورد، اما در مقام تعریفِ حقیقت انسان، انسان را چیزی می‌داند که قائم به نفس است، و حجم و حیز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ترکیب، حرکت و سکون و اجتماع و افتراق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ندارد و در افعال خود محتاج ابزاری است که همان جسد است و در حقیقت، همان چیزی است که حکمای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تعریف از انسان را به هشام بن حکم و نوبختیان نسبت می‌دهد و آن را موافق روایات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یسمی الروح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مقداری کراهت، 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جوهر بسیط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نتیجۀ این تفکیک بین دو معنا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به مثابۀ عارض بر بدن و روح به مثابۀ جوهر بسیط که وجود مستقل از بدن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گونه از حیات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عارض بر بدن که با مرگ از بین می‌رود و حیاتی که به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 یا روح به معنایی غیر از معنای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دارد و پس از مرگ انسان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هر دو معنای روح، نتیجه‌ای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نخست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عارض بر بدن است و با مرگ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می‌گیرد که نمی‌توان به حیات پیشین و تقدم وجود ارواح بر ابدان قائل شد، چراکه لازمۀ قائل شدن بدان، عبارت است از این‌که ارواح، قائم به 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معنای دوم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به مثابۀ جوهر بسیط و قائم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حیات و نعیم و عقاب برزخی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آن جوهر بسیط پس از مرگ انسان، هم‌چنان به حیات خود ادامه می‌دهد و با قرار گرفتن در قالبی مشابه قالب دنیوی، بسته به ایمان و کفرش، منعم یا معذب می‌گردد، تا آن‌که در قیامت مجدداً در بدن دنیوی‌ای که از آن مفارقت کرده بود،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شیخ مفید، بین قول به تنعم و تعذیب اهل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 گرفتن مردگان در اجسامی مشابه اجسام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برگزیده‌اش مبنی بر این‌که نفس انسان و مخاطب تکلیف، شیء محدث قائم به نفس است که بیرون از صفات جواهر</w:t>
      </w:r>
      <w:r>
        <w:rPr>
          <w:rStyle w:val="FootnoteAnchor"/>
          <w:rtl w:val="true"/>
        </w:rPr>
        <w:footnoteReference w:id="10"/>
      </w:r>
      <w:r>
        <w:rPr>
          <w:rFonts w:ascii="IRNazanin" w:hAnsi="IRNazanin" w:eastAsia="IRNazanin"/>
          <w:color w:val="111111"/>
          <w:sz w:val="28"/>
          <w:sz w:val="28"/>
          <w:szCs w:val="28"/>
          <w:rtl w:val="true"/>
          <w:lang w:bidi="fa-IR"/>
        </w:rPr>
        <w:t xml:space="preserve">و اعراض است، مناسبت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بتوان جمعی مقبول از مجموع سخنان شیخ مفید در‌بارۀ روح ارائه داد یا نه، می‌توان دیدگاه وی را در نفی حیات پیشین ارواح، چنین جمع‌بندی کرد که وی، همان‌گونه که اشاره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شد، حیات پیشین انسان را به این دلیل ساده رد می‌کند که روح، عَرَض است و عَرَض نمی‌تواند قائم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به مثابۀ جوهر بسیط نیز گرچه قائم به نفس است، همواره برای افعال خود به بدن نیاز دارد و باید همراه بدن باشد؛ از این رو، اگر قرار باشد ارواح پیش از ابدان دنیوی وجود داشته باشند، باید تصور کرد پیش‌تر در ابدانی غیر از ابدان دیگری قرار داشتند، اما در این صورت، گرچه اشکال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عَرَضی نمی‌تواند قائم به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نمی‌آید، اشکال دیگری پیش می‌آید و آن عبارت است از لزوم تناسخ، که در ادامه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سیدمرتضی در مقام معرفیِ مکلف، او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این‌جا مقصود از آن انسان است، گرچه موجودات حیّ دیگری نیز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حیّ را همین مجموعۀ محسوس می‌داند و نه بخش‌هایی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قولِ نوبختیان را که انسان و حیّ را ذاتی می‌دانستند که نه جوهر متحیز است، نه عرض و حال در این مجموعۀ محسوس، باطل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سخن فلاسفه را که نفس انسان را جوهر بسیط می‌دانند، بی‌معنا و فاسد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روح را عبارت می‌داند از هوایی که در مجاری انسان زنده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قائم به نفس نیست؛ لذا در صورتی که از بدن مفارقت کند، حس، حیات و ادراک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روح خود حیات نیست، بلکه چیزی و در واقع هوایی است جاری در بدن، که حیات بدن و استمرار حیاتِ بدن بدان وابسته است؛ از این رو نمی‌توان گفت، ارواح مؤمنان پس از مرگ همدیگر را زیارت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وی تفسیر آیۀ دال بر حیات برزخی شهدا را به صورت احتمال چنین می‌داند که خداوند پیش از محشر، عده‌ای از مؤمنان را زنده و در بهشت‌های خود منعم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وی بر اساس همین مبنا، خلقت ارواح دو‌هزار سال پیش از ابدان را رد می‌کند، چراکه ارواح به خودیِ خود حیات ندارند تا بتوانند پیش از ابدان خلق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و عبارات شیخ طوسی دربارۀ مکلف، انسان و روح، تفاوت بسیاری با دیدگاه و عبارات سیدمرتضی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مقام بیان این‌که مکلف کیست، او را همان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 را همان انسان می‌داند و 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مجموعۀ تناسب‌دار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امر و نهی و تکلیف به همان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قول معمر، بنی‌نوبخت و شیخ مفید را که حیّ را غیر از این مجموعه دانسته بودند و آن را ذاتی می‌دانستند که نه جوهر است، نه عرض و نه حال در این مجموعه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روح را</w:t>
      </w:r>
      <w:bookmarkStart w:id="45" w:name="pg2646_16479"/>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جسمی رقیق از جنس هوا می‌داند که حیاتِ حیّ بدان است، چراکه در مجاری انسان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روح را غیر از حیات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گفت به رغم آن‌که انسان‌شناسیِ سیدمرتضی و شیخ طوسی در نقطۀ مقابل انسان‌شناسیِ شیخ مفید قرار دارد، هر سه در ردّ حیات پیشین ارواح با یکدیگر، اتفاق نظر دارند؛ شیخ مفید بر اساس عرضی دانستن روح و سیدمرتضی بر اساس این‌که روح قائم به نفس نیست، خلقت ارواح پیش از ابدان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تا آن‌جا که نگارنده مطالعه کرده، در‌بارۀ ردّ قول به حیات پیشین ارواح سخنی نگفته است، اما با لحاظ یک‌سانی یا مشابهت دیدگاه انسان‌شناختیِ او با دیدگاه سیدمرتضی می‌توان گفت، او نیز حیات پیشینِ ارواح</w:t>
      </w:r>
    </w:p>
    <w:p>
      <w:pPr>
        <w:pStyle w:val="BookText"/>
        <w:rPr/>
      </w:pPr>
      <w:r>
        <w:rPr>
          <w:rFonts w:ascii="IRNazanin" w:hAnsi="IRNazanin" w:eastAsia="IRNazanin"/>
          <w:color w:val="111111"/>
          <w:sz w:val="28"/>
          <w:sz w:val="28"/>
          <w:szCs w:val="28"/>
          <w:rtl w:val="true"/>
          <w:lang w:bidi="fa-IR"/>
        </w:rPr>
        <w:t>را قبول ندارد؛ مخصوصاً با توجه به این‌که وی دربارۀ عالم ذر نیز موضعی تقریباً منفی اتخاذ کرده است</w:t>
      </w:r>
      <w:r>
        <w:rPr>
          <w:rFonts w:eastAsia="IRNazanin" w:cs="IRNazanin"/>
          <w:color w:val="111111"/>
          <w:sz w:val="28"/>
          <w:szCs w:val="28"/>
          <w:rtl w:val="true"/>
          <w:lang w:bidi="fa-IR"/>
        </w:rPr>
        <w:t>.</w:t>
      </w:r>
    </w:p>
    <w:p>
      <w:pPr>
        <w:pStyle w:val="Heading3"/>
        <w:numPr>
          <w:ilvl w:val="2"/>
          <w:numId w:val="1"/>
        </w:numPr>
        <w:rPr/>
      </w:pPr>
      <w:bookmarkStart w:id="46" w:name="__RefHeading___Toc660185_1395250215"/>
      <w:bookmarkStart w:id="47" w:name="_Toc18"/>
      <w:bookmarkEnd w:id="46"/>
      <w:r>
        <w:rPr/>
        <w:t>5</w:t>
      </w:r>
      <w:r>
        <w:rPr>
          <w:rtl w:val="true"/>
        </w:rPr>
        <w:t xml:space="preserve">. </w:t>
      </w:r>
      <w:r>
        <w:rPr>
          <w:rtl w:val="true"/>
        </w:rPr>
        <w:t>خلاف عقل بودن روایات حیات پیشین</w:t>
      </w:r>
      <w:bookmarkEnd w:id="47"/>
    </w:p>
    <w:p>
      <w:pPr>
        <w:pStyle w:val="BookText"/>
        <w:rPr/>
      </w:pPr>
      <w:r>
        <w:rPr>
          <w:rFonts w:ascii="IRNazanin" w:hAnsi="IRNazanin" w:eastAsia="IRNazanin"/>
          <w:color w:val="111111"/>
          <w:sz w:val="28"/>
          <w:sz w:val="28"/>
          <w:szCs w:val="28"/>
          <w:rtl w:val="true"/>
          <w:lang w:bidi="fa-IR"/>
        </w:rPr>
        <w:t>یاد نیاوردن ماجرای عوالم پیشین، از جمله استدلال‌های مشترک متکلمان بغداد برای رد‌ّ قول به حیات پیشینِ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ردّ ادعای وجود ارواح پیش از ابدان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ارواح پیش از اجساد خلق شده بودند، ما باید به احوالمان پیش از آفرینش اجساد آگاهی می‌داشتیم، همان‌گونه که به احوالمان پس از آفرینش اجساد آگاهی داریم، و در فرضی که یادمان رفته باشد، باید در صورت یادآوری به یاد می‌آوردیم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در نقد ادعای قائلان به عالم ذر، دو احتمال را مطرح می‌کند؛ یکی آن‌که، این استشهاد و شهادت در زمانی بوده که ذر، عاقل و مکلف بودند؛ و دوم آن‌که، در زمانی بوده که ذر، غیرزنده و غیرعارف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همه یا بیشتر ما باید این ماجرا را یاد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دوران کودکی را به یاد نمی‌آوریم، به دلیل آن است که در آن زمان از کمال عقل برخوردار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سیدمرتضی، تخلل عدم بین حیات فرضی ما در عالم ذر و حیات ما در دنیا و نیز گذشت زمانی طولانی از ماجرای عالم ذر، نمی‌تواند توجیه‌کنندۀ فراموشی عالم ذر باشد، چراکه تخلل عدم و گذشت زمان طولانی، نظیر حالاتی از قبیل خواب، مستی و اغماست که باز مانع یادآوری حوادث گذشته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فرض دوم، خطاب کردن به موجود غیر زنده و استشهاد او، فعلی قبیح است و نمی‌توان آن را به خدا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bookmarkStart w:id="48" w:name="pg2646_16480"/>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به نظر می‌رسد، شیخ طوسی نیز همین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بودن و عاقل نبودن انسان‌ها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داشته است، زیرا وی از سویی، مضمونِ روایت دربارۀ اخراج ذریه به صورت ذر از پشت حضرت آدم را غیرجایز می‌داند، چراکه حجتی بر اطفال نیست و خطاب ایشان در امور متعلق به تکلیف حسن نیست، تا چه رسد به موجودی که به مثابۀ 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در این‌جا احتمال غیرعاقل بودن ذر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ادامۀ عبارتش، این احتمال را که ماجرای عالم ذر به دلیل گذشت زمان طولانی و کوتاه بودن مدت ماجرا فراموش شده باشد، رد می‌کند، چراکه انسان امور عظیمۀ خارق عادت را فراموش نمی‌کند، همان‌گونه که انسان در قیامت، احوال دنیا را به یاد می‌آورد و اصحاب کهف پس از بیداری، ماجرای چند صد سال پیش را به یاد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نیاوردن عوالم پیشین، دلیلی است بر این‌که قول بدان، خلاف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عقل بودن دیدگاه، موجب طرد آن دیدگاه است؛ حتی اگر روایاتی بر آن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شیخ مفید و سیدمرتضی، روایاتی که خلاف عقل باشند، حجت نیستند و باید کنار گذاشته شوند، مگر آن‌که معنای صحیحی برای آن یافت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می‌رسد، فراموشیِ حیات پیشین نمی‌تواند دلیلی بر عدم وجود آن باشد، چراکه می‌توان گفت همان‌گونه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خداوند حیات پیشین را از یاد انسان برده است، چراکه هدف از حیات پیشین آن نبود که انسان‌ها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پیشین را به یاد بیاورند، بلکه آن بود که در نتیجۀ دیدار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در عوالم پیشین صورت گرفت، معرفت به خدا در دل انسان‌ها ایجاد شود و حک گردد، تا انبیا در عالم دنیا همان معرفت را بارور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49" w:name="__RefHeading___Toc660187_1395250215"/>
      <w:bookmarkStart w:id="50" w:name="_Toc19"/>
      <w:bookmarkEnd w:id="49"/>
      <w:r>
        <w:rPr/>
        <w:t>6</w:t>
      </w:r>
      <w:r>
        <w:rPr>
          <w:rtl w:val="true"/>
        </w:rPr>
        <w:t xml:space="preserve">. </w:t>
      </w:r>
      <w:r>
        <w:rPr>
          <w:rtl w:val="true"/>
        </w:rPr>
        <w:t>بطلان تناسخ</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مبانی یا ادلۀ مشترک بغدادیان برای ردّ عوالم پیشین، بطلان تناسخ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شیخ مفید در مقام ردّ عالم ذر، اخباری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ذر از فرزندان آدم استنطاق شد، ایشان نطق کردند و از ایشان پیمان گرفته شد، از اخبار تناسخیه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عامه و حشویه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مقام ردّ دیدگاه شیخ صدوق مبنی بر خلقت ارواح پیش از ابدان، شیخ صدوق را متهم می‌کند که عینا‌ً قول تناسخیان را پذیرفته است، بدون این‌که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آن‌جا که شیخ مفید برای ابطال هر دو عالم ارواح و عالم ذر، به بطلان تناسخ استناد می‌کند، می‌توان احتمال داد که به نظر وی، قول به هر گونه حیات پیشین انسان، چه ارواح بدون ابدان و چه ارواح در ابدان، مستلزم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سیدمرتضی در پاسخ به پرسشی که در آن، استنادِ اصحاب تناسخ به روایات دالّ بر خلقت ارواح پیش از ابدان بازگو شده، تأکید می‌کند خود و استادانش بطلان تناسخ را به دلایل قوی روش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یکی از ادلۀ سیدمرتضی بر بطلان تناسخ، همین یاد نداشتن عوالم پیشین است که آن را دلیلی بر بطلان قول به عالم ذر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ردّ قائلان به تناسخ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دردهایی که بر کودکان وارد می‌شود، در حقیقت جزای اعمال بدِ ایشان در زندگانیِ پیشین است، این‌گونه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زندگانی پیشینی در کار بود، انسان‌ها باید آن را به یاد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سیدمرتضی تعریف مستقلی از تناسخ ارائه نکرده است، اما در پرسشی که به دست وی رسیده، تعریفی ضمنی از تناسخ دیده می‌شود؛ سائل در ضمن پرسش خود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گفت‌وگویی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با ارواح بدون ابدان بوده یا ارواح با ابدان؟ در صورت نخست، چگونه ارواح قائم به نفس بودند، در حالی که ارواح، اعراضند و نیازمندِ محل و ابزارند؛ و در صورت دوم، تناسخ لازم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سیدمرتضی، نسخۀ خطی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این سائل، تناسخ در صورتی لازم می‌آید که در حیات پیشین، ارواح و ابدان با هم باشند و نه ارواح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پاسخ، بطلان تناسخ را مبنایی برای بطلان قول حیات پیشین قرار می‌دهد، اما به تفکیکی که در پرسش شده بود، اشاره نمی‌کند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شیخ طوسی نیز پذیرفتن عالم ذر، مستلزم پذیرفتن تناسخ است، چراکه تناسخ همین است که خداوند پیش‌تر انسان‌ها را مکلف کرده باشد و سپس آن‌ها را برای پاداش و عذاب اعاده کند؛ در حالی که خود انسان‌ها آن تکلیف پیشین را فراموش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bookmarkStart w:id="51" w:name="pg2646_16482"/>
    </w:p>
    <w:p>
      <w:pPr>
        <w:pStyle w:val="BookText"/>
        <w:rPr/>
      </w:pPr>
      <w:bookmarkEnd w:id="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به طور خلاصه، متکلمان بغداد بدون این‌که به روشنی بین دو فرض حیات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بدون ابدان و ارواح با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کنند، آن را بر مبنای بطلان تناسخ، باطل دانسته‌اند؛ اما به نظر می‌رسد، بین هر دو فرض حیات پیشین با تناسخ تفاوت وجود دارد، چراکه تناسخ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روح انسان از یک بدن و قرار گرفتن در بدنی غیر از بدن قبلی، که می‌تواند در طول زمان چندین بار تکرار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تعریف، نه بر حیات پیشین ارواح بدون ابدان صدق می‌کند و نه بر حیات پیشین ارواح در قالب ابدان ذری، زیرا در فرض نخست، اصولاً بدنی در کار نیست؛ و در فرض دوم، گرچه ارواح در عالم پیشین در ابدان قرار گرفته‌اند، اما این ابدان همان ابدانی هستند که ارواح در عالم دنیا نیز در آن‌ها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روح انسان در عالم دنیا وارد همان بدن ذری‌ای می‌شود که در عالم پیشین وارد شده بود؛ با این تفاوت که بدن ذری در دنیا با قرار گرفتن در نطفه، قابلیت رشد و نمو پیدا می‌کند، اما این رشد و نمو هویت جدیدی بدان نمی‌بخشد؛ درست همان‌گونه که رشد و نمو تدریجی فرد در دنیا موجب نمی‌شود که در طول زمان، به چند فرد متفاوت تبدیل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3"/>
        <w:numPr>
          <w:ilvl w:val="2"/>
          <w:numId w:val="1"/>
        </w:numPr>
        <w:rPr/>
      </w:pPr>
      <w:bookmarkStart w:id="52" w:name="__RefHeading___Toc660189_1395250215"/>
      <w:bookmarkStart w:id="53" w:name="_Toc20"/>
      <w:bookmarkEnd w:id="52"/>
      <w:r>
        <w:rPr/>
        <w:t>7</w:t>
      </w:r>
      <w:r>
        <w:rPr>
          <w:rtl w:val="true"/>
        </w:rPr>
        <w:t xml:space="preserve">. </w:t>
      </w:r>
      <w:r>
        <w:rPr>
          <w:rtl w:val="true"/>
        </w:rPr>
        <w:t>بطلان غلو</w:t>
      </w:r>
      <w:bookmarkEnd w:id="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دربارۀ روایات مربوط به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نگارنده بررسی کرده، تنها شیخ مفید به بررسی این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غلات در زمان شیخ مفید احیاناً با استناد به روایاتی که خود نقل می‌کردند، تقریری غالیانه و خارج از چهارچوب اعتقادی امامیه از ماجرای حیات پیشین ارائه می‌کردند و احیاناً برخی امامیان را تحت تأثیر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پرسشی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شیخ مفید رسیده است؛ سائل ضمن پرسش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اجماع داریم که امامان همواره مطهر بودند و اشباح ایشان، قدیم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قول به قدمت اشباح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قولی غالیانه است و با قول به حادث یا محدث بودن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مورد اتفاق امامیه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پس از اشاره به روایات اشباح تأکید می‌کند که غلات، اباطیل بسیاری را بر این روایات مبتنی کرده و در این باره کتاب‌هایی نوشته‌اند که مشتمل بر لغو و هذیان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غلات را متهم می‌کند که نوشته‌های خود را به دروغ، به مشایخ رواییِ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از جمله کتاب الاشباح و الاظله است که غلات، تألیف آن را به محمد بن سنان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تردید در</w:t>
      </w:r>
      <w:bookmarkStart w:id="54" w:name="pg2646_16483"/>
    </w:p>
    <w:p>
      <w:pPr>
        <w:pStyle w:val="BookText"/>
        <w:rPr/>
      </w:pPr>
      <w:bookmarkEnd w:id="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صحت انتساب این اخبار به وی، تصریح می‌کند که در صورت صحت انتساب، باید او را، که متهم به غلو است، ضال و مضل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این قول را که ذوات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آفرینش در عرش بوده‌اند، به غلات جهال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حشویه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قول به قدیم بودن اشباح را، قول طوایفی از غلات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می‌توان گفت، گرچه غالیان تقریری غالیانه از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 روایات فراوانی از طریق روات امامی وارد شده که در عین سخن گفتن از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مخلوقاتی غیرازلی معرفی می‌کنند که در همان عوالم پیشین، به عبادت الهی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مضامین روایات امامی از حیات پیشین اهل‌بیت با روایت غالیانه، مانع از آن است حکم یکی را به دیگری تعمیم دهیم</w:t>
      </w:r>
      <w:r>
        <w:rPr>
          <w:rFonts w:eastAsia="IRNazanin" w:cs="IRNazanin"/>
          <w:color w:val="111111"/>
          <w:sz w:val="28"/>
          <w:szCs w:val="28"/>
          <w:rtl w:val="true"/>
          <w:lang w:bidi="fa-IR"/>
        </w:rPr>
        <w:t>.</w:t>
      </w:r>
    </w:p>
    <w:p>
      <w:pPr>
        <w:pStyle w:val="Heading3"/>
        <w:numPr>
          <w:ilvl w:val="2"/>
          <w:numId w:val="1"/>
        </w:numPr>
        <w:rPr/>
      </w:pPr>
      <w:bookmarkStart w:id="55" w:name="__RefHeading___Toc660191_1395250215"/>
      <w:bookmarkStart w:id="56" w:name="_Toc21"/>
      <w:bookmarkEnd w:id="55"/>
      <w:r>
        <w:rPr>
          <w:rtl w:val="true"/>
        </w:rPr>
        <w:t>نتیجه</w:t>
      </w:r>
      <w:bookmarkEnd w:id="56"/>
    </w:p>
    <w:p>
      <w:pPr>
        <w:pStyle w:val="BookText"/>
        <w:rPr/>
      </w:pPr>
      <w:r>
        <w:rPr>
          <w:rFonts w:ascii="IRNazanin" w:hAnsi="IRNazanin" w:eastAsia="IRNazanin"/>
          <w:color w:val="111111"/>
          <w:sz w:val="28"/>
          <w:sz w:val="28"/>
          <w:szCs w:val="28"/>
          <w:rtl w:val="true"/>
          <w:lang w:bidi="fa-IR"/>
        </w:rPr>
        <w:t>برخلاف محدثان کوفه و قم که بر مبنای روایاتی که نقل می‌کردند، قائل به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انسان‌ها بودند، متکلمان بزرگ بغداد، شیخ مفید، سیدمرتضی و شیخ طوسی، در انکار حیات پیشین اتفاق نظر دارند؛ با این حال شیخ طوسی، هم روایت دالّ بر خلقت نوری را مؤیدانه نقل می‌کند و هم بر اساس روایات، علم و حیات پیشین را برای تعداد محدودی از انسان‌ها می‌پذیرد؛ در مقابل، کراجکی و روشن‌تر از او، ابو‌الصلاح حلبی موضع مثبتی در‌بارۀ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کرده‌اند؛ از این رو، نمی‌توان ایشان را در خطّ آن سه متکلمِ دیگر به حساب آورد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این سه متکلمِ بزرگ بغداد را به انکار حیات پیشینِ اهل‌بیت و انسان‌ها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عقل‌گرایی است که به موجب آن، مضمون روایات در صورتی قابل پذیرشند که مخالف عقل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مخالف عقل تلقی شوند، باید آن‌ها را بر معنای صحیحی غیر از معنای ظاهریِ آن‌ها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بغداد دقیقاً همین مواجهه را با روایات حیات پیشین داشتند؛ ایشان برداشت قائلان به حیات پیشین از روایات را خلاف عقل دانستند، چراکه اگر حیات پیشینی در کار بوده باشد، عقلاً لازم است که آن را به یاد بیاوریم؛ از این رو، این متکلمان معنایی برای روایات در نظر گرفتند که لازمۀ آن، قول به حیات پیشین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از دیگر اسباب مخالفت ایشان با قول به حیات پیشین، تعریف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روح را عَرَض جسم دانسته که نمی‌تواند قائم به نفس باشد، و سیدمرتضی و شیخ طوسی روح را، هوا یا جسمی از جنس هوا دانسته‌اند که در بدن جاری است و گرچه حیات بدن بدان قوام دارد، خودش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 مبنای هیچ‌کدام از این دیدگاه‌ها، نمی‌توان قائل شد که ارواح پیش از ابدان، به مثابۀ موجوداتی زنده تحقق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انسان در بغداد،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شیخ مفید،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مجموعۀ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سیدمرتضی و شیخ طوسی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بسیط دانستن انسان می‌تواند با قول به حیات پیشین انسان جمع گردد، اما با تعریف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مجموعۀ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دشوار بتوان به حیات پیشین انسان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مبانیِ انسان‌شناختی هرچه باشد، هر سه متکلم بزرگ بغداد در انکار حیات پیشین با هم، هم‌نوایند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بغدادیان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عوامل انکارِ حیات پیشین است؛ هر سه متکلم بغدادی، قول به حیات پیشین را همان قول به تناسخ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مقام بیان یکی بودن یا متلازم بودن قول به حیات پیشین و قول به تناسخ، بین دو فرض حیات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ارواح به تنهایی و حیات ارواح با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از غلو یا ردّ آن، شاید مهم‌ترین عاملی بوده که شیخ مفید را به ردّ قول به حیات پیشین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اشباح نوری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هر سه متکلم بغداد، آن‌گاه که قول به حیات پیشین را با استناد به بطلان تناسخ رد می‌کردند، ردّ غلات را در نظر داشتند، چراکه تناسخ، از اقوال برخی طوایفِ غلات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به صورت گذرا، به برخی اشکالات قابل طرح بر آرای متکلمان بغداد دربارۀ حیات پیشین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روایات دالّ بر حیات پیشین، چنان فراوانند که برخلاف متکلمان بغداد، نمی‌توان با ادعای خبر واحد بودن، آن‌ها را کنار گذاشت و نیز نمی‌توان بدون شاهد و دلیل، بر خلاف ظاهر، حمل کرد؛ هم‌چنین روشن شد که برخلاف نظر متکلمان بغداد، قول به حیات پیشین عقلاً می‌تواند با فراموشیِ آن در دنیا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 گردید که قول به حیات پیشین، نه قول به تناسخ است و نه لزوماً غالیانه</w:t>
      </w:r>
      <w:r>
        <w:rPr>
          <w:rFonts w:eastAsia="IRNazanin" w:cs="IRNazanin"/>
          <w:color w:val="111111"/>
          <w:sz w:val="28"/>
          <w:szCs w:val="28"/>
          <w:rtl w:val="true"/>
          <w:lang w:bidi="fa-IR"/>
        </w:rPr>
        <w:t>.</w:t>
      </w:r>
      <w:bookmarkStart w:id="57" w:name="pg2646_16485"/>
    </w:p>
    <w:p>
      <w:pPr>
        <w:pStyle w:val="BookText"/>
        <w:rPr/>
      </w:pPr>
      <w:bookmarkEnd w:id="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 w:name="__RefHeading___Toc660193_1395250215"/>
      <w:bookmarkStart w:id="59" w:name="_Toc22"/>
      <w:bookmarkEnd w:id="58"/>
      <w:r>
        <w:rPr>
          <w:rtl w:val="true"/>
        </w:rPr>
        <w:t>منابع</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ابوالصلاح حلبی، تقی بن نجم،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علی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و اختلاف المصلین، بی‌جا،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افضلی، علی،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اشکالات کلامی و فلسفی در‌باره عالم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بدن انسان و نفش آن‌ها در دنیا، برزخ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حدیث، ش</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مبانی خداشناسی، در فلسفه یونان و ادیان الهی، قم، مؤسسه نبأ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اظله و ارواح، آرای دانشمندان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سال چهارم، ش</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احمد،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خدایاری، علی‌نقی،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نفس‌شناسیِ متکلمان امامیِ سده‌های میانی و کارکرد آن‌ها در تبیین آموزه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نظر، ش</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مسلم،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النبی الاعظم و وجود النوری، قم، دارالانصار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 الطرابلسیات الاولی، نسخه خطی، مرکز احیاء التراث الاسلامی، شماره فیلم</w:t>
      </w:r>
      <w:r>
        <w:rPr>
          <w:rFonts w:eastAsia="IRNazanin" w:cs="IRNazanin"/>
          <w:color w:val="111111"/>
          <w:sz w:val="28"/>
          <w:szCs w:val="28"/>
          <w:rtl w:val="true"/>
          <w:lang w:bidi="fa-IR"/>
        </w:rPr>
        <w:t xml:space="preserve">: </w:t>
      </w:r>
      <w:r>
        <w:rPr>
          <w:rFonts w:eastAsia="IRNazanin" w:cs="IRNazanin"/>
          <w:color w:val="111111"/>
          <w:sz w:val="28"/>
          <w:szCs w:val="28"/>
          <w:lang w:bidi="fa-IR"/>
        </w:rPr>
        <w:t>1690/3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طیف الخیال، مصر، طبع عیسی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حسین بن بابویه،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الإمامیة،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العدة فی أصول الفقه، قم،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الأحکام،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التذکرة بأصول الفقه،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السرویة،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العکبریة،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مقدمات الأصول من علم الکلام،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قم، کنگره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صلّی الله علیهم، قم،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محمدبن علی،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الرسالة العلویّة فی فضل أمیر‌المؤمنین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سائر البریة، قم،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کنز‌الفوائد، قم،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ین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مکدرموت، مارتین،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کلامیِ شیخ 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تهران، دانشگاه</w:t>
      </w:r>
      <w:r>
        <w:rPr>
          <w:rFonts w:eastAsia="IRNazanin" w:cs="IRNazanin"/>
          <w:color w:val="111111"/>
          <w:sz w:val="28"/>
          <w:szCs w:val="28"/>
          <w:rtl w:val="true"/>
          <w:lang w:bidi="fa-IR"/>
        </w:rPr>
        <w:t>.</w:t>
      </w:r>
      <w:bookmarkStart w:id="60" w:name="pg2646_16487"/>
    </w:p>
    <w:p>
      <w:pPr>
        <w:pStyle w:val="BookText"/>
        <w:rPr/>
      </w:pPr>
      <w:bookmarkEnd w:id="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2"/>
        <w:numPr>
          <w:ilvl w:val="1"/>
          <w:numId w:val="1"/>
        </w:numPr>
        <w:rPr/>
      </w:pPr>
      <w:bookmarkStart w:id="61" w:name="__RefHeading___Toc660195_1395250215"/>
      <w:bookmarkStart w:id="62" w:name="_Toc23"/>
      <w:bookmarkEnd w:id="61"/>
      <w:r>
        <w:rPr>
          <w:rtl w:val="true"/>
        </w:rPr>
        <w:t>مفهوم‌شناسیِ اراده و مشیّت الهی در پرتو بیانات امام رضا</w:t>
      </w:r>
      <w:bookmarkEnd w:id="62"/>
    </w:p>
    <w:p>
      <w:pPr>
        <w:pStyle w:val="Heading3"/>
        <w:numPr>
          <w:ilvl w:val="2"/>
          <w:numId w:val="1"/>
        </w:numPr>
        <w:rPr/>
      </w:pPr>
      <w:bookmarkStart w:id="63" w:name="__RefHeading___Toc660197_1395250215"/>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حسینعلی ترکمانی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اسماعیل شعبانی کامران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1392/11/03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1393/02/23</w:t>
      </w:r>
    </w:p>
    <w:p>
      <w:pPr>
        <w:pStyle w:val="Heading3"/>
        <w:numPr>
          <w:ilvl w:val="2"/>
          <w:numId w:val="1"/>
        </w:numPr>
        <w:rPr/>
      </w:pPr>
      <w:bookmarkStart w:id="65" w:name="__RefHeading___Toc660199_1395250215"/>
      <w:bookmarkStart w:id="66" w:name="_Toc25"/>
      <w:bookmarkEnd w:id="65"/>
      <w:r>
        <w:rPr>
          <w:rtl w:val="true"/>
        </w:rPr>
        <w:t>چکیده</w:t>
      </w:r>
      <w:bookmarkEnd w:id="66"/>
    </w:p>
    <w:p>
      <w:pPr>
        <w:pStyle w:val="BookText"/>
        <w:rPr/>
      </w:pPr>
      <w:r>
        <w:rPr>
          <w:rFonts w:ascii="IRNazanin" w:hAnsi="IRNazanin" w:eastAsia="IRNazanin"/>
          <w:color w:val="111111"/>
          <w:sz w:val="28"/>
          <w:sz w:val="28"/>
          <w:szCs w:val="28"/>
          <w:rtl w:val="true"/>
          <w:lang w:bidi="fa-IR"/>
        </w:rPr>
        <w:t>گفتار و کردار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دربردارندۀ ژرف‌ترین معارف عالم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پیش‌رو، در‌پی آن است تا به بررسی یکی از مسائل مهمّ کلام اسلامی، یعنی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پرتو بیانات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هم‌بستگی ساختاری که در روایاتِ رسیده از ایشان ملاحظه می‌شود،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استفاده از مبادی بدیهی در استدلال عقلی، از حدوث اراده سخن گفتند و آن را از افعال خداوند متعال برشمردند؛ هم‌چنین ایشان اثبات کردند که ارادۀ خداوند، نه عین ذاتِ اوست و نه با علم او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بیاناتی در مباحث خدا‌شناسی، با ارائه براهینی محکم، راه هرگونه مغالطه و کج‌روی را در مسائل‌کلامیِ دین مسدود کرده و با ارائه سیرۀ هدایت‌بخش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مسیر قرب بندگان را به سوی حق هموار ساختند</w:t>
      </w:r>
      <w:r>
        <w:rPr>
          <w:rFonts w:eastAsia="IRNazanin" w:cs="IRNazanin"/>
          <w:color w:val="111111"/>
          <w:sz w:val="28"/>
          <w:szCs w:val="28"/>
          <w:rtl w:val="true"/>
          <w:lang w:bidi="fa-IR"/>
        </w:rPr>
        <w:t>.</w:t>
      </w:r>
    </w:p>
    <w:p>
      <w:pPr>
        <w:pStyle w:val="Heading3"/>
        <w:numPr>
          <w:ilvl w:val="2"/>
          <w:numId w:val="1"/>
        </w:numPr>
        <w:rPr/>
      </w:pPr>
      <w:bookmarkStart w:id="67" w:name="__RefHeading___Toc660201_1395250215"/>
      <w:bookmarkStart w:id="68" w:name="_Toc26"/>
      <w:bookmarkEnd w:id="67"/>
      <w:r>
        <w:rPr>
          <w:rtl w:val="true"/>
        </w:rPr>
        <w:t>واژگان کلیدی</w:t>
      </w:r>
      <w:bookmarkEnd w:id="6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مفهوم‌شناسی، روایت، صفات خداوند، اراده و مشیت‌الهی، امام 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bookmarkStart w:id="69" w:name="pg2646_16488"/>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70" w:name="__RefHeading___Toc660203_1395250215"/>
      <w:bookmarkStart w:id="71" w:name="_Toc27"/>
      <w:bookmarkEnd w:id="70"/>
      <w:r>
        <w:rPr>
          <w:rtl w:val="true"/>
        </w:rPr>
        <w:t>مقدمه</w:t>
      </w:r>
      <w:bookmarkEnd w:id="71"/>
    </w:p>
    <w:p>
      <w:pPr>
        <w:pStyle w:val="BookText"/>
        <w:rPr/>
      </w:pPr>
      <w:r>
        <w:rPr>
          <w:rFonts w:ascii="IRNazanin" w:hAnsi="IRNazanin" w:eastAsia="IRNazanin"/>
          <w:color w:val="111111"/>
          <w:sz w:val="28"/>
          <w:sz w:val="28"/>
          <w:szCs w:val="28"/>
          <w:rtl w:val="true"/>
          <w:lang w:bidi="fa-IR"/>
        </w:rPr>
        <w:t>گرچه علوم و معارف بشری همواره درحال تعمیق و توسعه است، تا علوم آسمانی و معارف وحیانی از مجرای پرفیض ولایت جاری نشود، نه سامانی برای آن علوم می‌توان تصورکرد و نه به ثبات علمی و عملی برای آن معارف می‌توان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حساس معرفت که در طول تاریخ، نوابغ و انسان‌های شاخص را به خود مشغول داشته و نظریات و افکار عالی آن‌ها را به سوی آن سوق داده، شناخت ماهیت اراده و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مشرب‌های گوناگون و افکار متفاوت، شاهد صدق مدعاست که با وجود نقاط اشتراک فراوان، نه تنها نظریات سامان‌یافته نداشته‌اند، بلکه همواره در معرض تلأطم و دگرگونی هستند؛ برای نمونه از نظر اشاعره، ارادۀ الهی صفتی ازلی و قدیم است و این با نظر معتزله و برخی امامیه که اراده را صفت فعل و فعل را حادث می‌دانند،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اشاعره این صفت را زاید بر ذات و قائم به ذات می‌دانند، در حالی که از نظر برخی امامیه و معتزله، این صفت قائم به ذات نیست، بلکه صفت فعل است و از نظر بعضی امامیه، این صفت عین ذات است، نه قائم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امر و اراده را متحد یا متلازم نمی‌دانند، درحالی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امامیه و معتزله، امر را بیان‌گر و نشان‌دهندۀ اراده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اشاعرۀ متأخر مانند فخر رازی و غزالی، مثل فلاسفۀ اسلامی، ارادۀ الهی را به علم خدا به ذات خود و به نظام خیر و فیضان نظام خیر از او بر‌می‌گردانند؛ نظامی که مورد رضایت اوست، اما متکلمان متقدم امامیه، اشاعره و معتزله، نظر فلاسفه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منکر داعی و وجود غرض در فعل خداوند هستند، اما بعضی امامیه و معتزله ارادۀ الهی را همان داعی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کسب اطلاعات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زندگی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ابعاد گوناگونی دارد که یکی از ابعاد مهمّ آن، بُعد فرهنگی، علمی و پاس‌داری از حریم عقاید اسلامی در برابر امواج سهمگین حملات مکتب‌ها و فرقه‌های مختلف به اصول و فروع اسلام در شرایط خاصّ عصر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مسئله، که از بُعد علم الهیۀ آن امام نشئت می‌گیرد، در شرایطی که امروز در آن زندگی می‌کنیم، بسیار سازنده، راه‌گشا و حاوی رهنمودهای دقیق و ظریفی در برخورد با مکتب‌ها و مذاهب گوناگون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نگاه اندیشمندان، همواره مهم‌ترین پایۀ استوار کلام شیعه تلقی شدند، به‌طوری که سخنان به‌جامانده از ایشان، استحکام این جریان کلامی را به خوبی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اراده و مشیّت الهی، یکی از ارکان و مباحث برجستۀ کلامی، در جای‌جای روایات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مورد اشاره واقع شده، اما هیچ‌گاه به طور مستوفی و مبسوط، به منظور استخراج</w:t>
      </w:r>
      <w:bookmarkStart w:id="72" w:name="pg2646_16489"/>
    </w:p>
    <w:p>
      <w:pPr>
        <w:pStyle w:val="BookText"/>
        <w:rPr/>
      </w:pPr>
      <w:bookmarkEnd w:id="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مباحث خداشناسی بدان پرداخته نشده بود؛ بر این اساس، هدف پژوهشِ پیش‌رو آن است که این مسئله را از نگاه علمیِ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بررسی کرده و کیفیت برخورد آن حضرت با پیروان مکاتب گوناگون در این مسئله را مورد مطالعۀ دقیق قرار دهد</w:t>
      </w:r>
      <w:r>
        <w:rPr>
          <w:rFonts w:eastAsia="IRNazanin" w:cs="IRNazanin"/>
          <w:color w:val="111111"/>
          <w:sz w:val="28"/>
          <w:szCs w:val="28"/>
          <w:rtl w:val="true"/>
          <w:lang w:bidi="fa-IR"/>
        </w:rPr>
        <w:t>.</w:t>
      </w:r>
    </w:p>
    <w:p>
      <w:pPr>
        <w:pStyle w:val="Heading3"/>
        <w:numPr>
          <w:ilvl w:val="2"/>
          <w:numId w:val="1"/>
        </w:numPr>
        <w:rPr/>
      </w:pPr>
      <w:bookmarkStart w:id="73" w:name="__RefHeading___Toc660205_1395250215"/>
      <w:bookmarkStart w:id="74" w:name="_Toc28"/>
      <w:bookmarkEnd w:id="73"/>
      <w:r>
        <w:rPr>
          <w:rtl w:val="true"/>
        </w:rPr>
        <w:t xml:space="preserve">معنای لغوی </w:t>
      </w:r>
      <w:r>
        <w:rPr>
          <w:rtl w:val="true"/>
        </w:rPr>
        <w:t>«</w:t>
      </w:r>
      <w:r>
        <w:rPr>
          <w:rtl w:val="true"/>
        </w:rPr>
        <w:t>اراده</w:t>
      </w:r>
      <w:r>
        <w:rPr>
          <w:rtl w:val="true"/>
        </w:rPr>
        <w:t xml:space="preserve">» </w:t>
      </w:r>
      <w:r>
        <w:rPr>
          <w:rtl w:val="true"/>
        </w:rPr>
        <w:t xml:space="preserve">و </w:t>
      </w:r>
      <w:r>
        <w:rPr>
          <w:rtl w:val="true"/>
        </w:rPr>
        <w:t>«</w:t>
      </w:r>
      <w:r>
        <w:rPr>
          <w:rtl w:val="true"/>
        </w:rPr>
        <w:t>مشیّت</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عربی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طلب و اختیار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اشتیاق برای انجام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همراه با ملایمت در طلب چیزی، و دربارۀ خداوند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برخی لغویان،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اراده مرادف و به معنای خواستن و طلب‌کردن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مشیّت و اراده کمی با هم متفاوتند؛ مشیّت، صرفاً خواستن چیزی است، اما اراده، به سمت آن چیز رفتن و اقدام کردن است؛ از این‌رو می‌توان گفت مشیّت، مرتبۀ ضعیف اراده است که با فعل فاصله دارد و اراده، مرتبۀ قوی مشیّت و متصل به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75" w:name="__RefHeading___Toc660207_1395250215"/>
      <w:bookmarkStart w:id="76" w:name="_Toc29"/>
      <w:bookmarkEnd w:id="75"/>
      <w:r>
        <w:rPr>
          <w:rtl w:val="true"/>
        </w:rPr>
        <w:t>«</w:t>
      </w:r>
      <w:r>
        <w:rPr>
          <w:rtl w:val="true"/>
        </w:rPr>
        <w:t>اراده و مشیّت الهی</w:t>
      </w:r>
      <w:r>
        <w:rPr>
          <w:rtl w:val="true"/>
        </w:rPr>
        <w:t xml:space="preserve">» </w:t>
      </w:r>
      <w:r>
        <w:rPr>
          <w:rtl w:val="true"/>
        </w:rPr>
        <w:t>در کلام متکلمان و محدثان</w:t>
      </w:r>
      <w:bookmarkEnd w:id="76"/>
    </w:p>
    <w:p>
      <w:p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اندیشمندان اسلامی، در مرید بودن خداوند متفقند، اما در این مسئله که آیا اراده، هم‌سان مشیّت است و یا این‌که چیزی غیر از آن بوده،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درستیِ سخن این اندیشمند، همین بس که در آثار برخی متکلمان چنین می‌نماید که اراده و مشیّت الهی، تفاوت چندانی ندارند و هر دو به یک معنا به کار می‌روند، اما در نظر گروهی دیگر، تفاوت‌هایی بین این دو وجود دارد؛ برای نمونه، عده‌ای اراده را علم به مصلحت یا مفسدۀ فعل، و مشیّت را خواستن انجام یا ترک فعل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و متعلق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ذیل روایتی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الْمَشِیئَةَ قَبْلَ الأَشْیَاءِ ثُمَّ خَلَقَ الأَشْیَاءَ بِالْمَشِیئَة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مشیّت، اراده نیست، بلکه مشیّت یکی از مراتب و اسباب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برخی دیگر، ارادۀ خداوند حادث است و مشیّت او قدیم بوده و ارادۀ خداوند در فعلش، همان دستور و فعل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لاهیجی معتقد است اراده، مشیّت و اختیار از هم منفک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حسن‌زاده آملی نیز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قدرت، علم، اختیار، اراده، مشیّت و نظایر آن‌ها، هریک به حسب مفهوم، غیر از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حسن‌زاده‌آملی،</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bookmarkStart w:id="77" w:name="pg2646_16490"/>
    </w:p>
    <w:p>
      <w:pPr>
        <w:pStyle w:val="BookText"/>
        <w:rPr/>
      </w:pPr>
      <w:bookmarkEnd w:id="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78" w:name="__RefHeading___Toc660209_1395250215"/>
      <w:bookmarkStart w:id="79" w:name="_Toc30"/>
      <w:bookmarkEnd w:id="78"/>
      <w:r>
        <w:rPr>
          <w:rtl w:val="true"/>
        </w:rPr>
        <w:t>«</w:t>
      </w:r>
      <w:r>
        <w:rPr>
          <w:rtl w:val="true"/>
        </w:rPr>
        <w:t>اراده و مشیّت الهی</w:t>
      </w:r>
      <w:r>
        <w:rPr>
          <w:rtl w:val="true"/>
        </w:rPr>
        <w:t xml:space="preserve">» </w:t>
      </w:r>
      <w:r>
        <w:rPr>
          <w:rtl w:val="true"/>
        </w:rPr>
        <w:t>در کلام امام رضا</w:t>
      </w:r>
      <w:r>
        <w:rPr/>
        <w:t></w:t>
      </w:r>
      <w:bookmarkEnd w:id="79"/>
    </w:p>
    <w:p>
      <w:pPr>
        <w:pStyle w:val="BookText"/>
        <w:rPr/>
      </w:pPr>
      <w:r>
        <w:rPr>
          <w:rFonts w:ascii="IRNazanin" w:hAnsi="IRNazanin" w:eastAsia="IRNazanin"/>
          <w:color w:val="111111"/>
          <w:sz w:val="28"/>
          <w:sz w:val="28"/>
          <w:szCs w:val="28"/>
          <w:rtl w:val="true"/>
          <w:lang w:bidi="fa-IR"/>
        </w:rPr>
        <w:t>جهت رفع اختلاف در بیان اراده و مشیّت الهی، رجوع به آرای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می‌نماید که در این زمینه، احادیث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مورد استناد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نکاتی‌که در این فراز شایستۀ تذکر است، این‌که در بسیاری از روایات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اراده و مشیّت دو مفهوم جداگانه تلقی شده و حضرت از آن‌ها به صورت مفاهیم مرادف یاد نکرده‌اند؛ از اراده و مشیّت در بیشتر روایات حضرت، به عنوان مراحل انجام فعل یاد شده است، به طوری‌که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یادآوری مراحل ایجاد یک شیء در خارج، خطاب به یونس‌بن‌عبد‌الرحمن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مشیّت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ذکر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امام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اراده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عزم بر چیزی است که مشیّت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اندازه‌گیری و مرزبندی است؛ مانند مقدار بقا و زمان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ـ حکم ـ محکم ساختن و وجود خارجی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مراتبی دارد؛ خواستن و قصد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این خواسته وقتی محکم‌تر و تفصیلی‌تر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مشیّت، همت کردن به‌کار است و معنای اراده، اتمـام آن‌کار و معنای قَدَر، تعییـن مقدار و مشخصات عمل است؛ هنگامی‌که خداوند چیزی را مشیّت کند، آن را اراده می‌کند و وقتی اراده کند، مقدّرش می‌کند و چون مقدّرش‌کند، قضایش می‌کند و انجامش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ابتداء‌الفعل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ثبوت بر آن مطرح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5:122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می‌توان سخنان ژرف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چنین تبیین کرد که نخستین نمود در افعال الهی، مشیّت اوست و مراد از آن، تعیّن </w:t>
      </w:r>
      <w:r>
        <w:rPr>
          <w:rStyle w:val="FootnoteAnchor"/>
          <w:rtl w:val="true"/>
        </w:rPr>
        <w:footnoteReference w:id="15"/>
      </w:r>
      <w:r>
        <w:rPr>
          <w:rFonts w:ascii="IRNazanin" w:hAnsi="IRNazanin" w:eastAsia="IRNazanin"/>
          <w:color w:val="111111"/>
          <w:sz w:val="28"/>
          <w:sz w:val="28"/>
          <w:szCs w:val="28"/>
          <w:rtl w:val="true"/>
          <w:lang w:bidi="fa-IR"/>
        </w:rPr>
        <w:t>علمیِ موجودات به صورت اجمالی است؛ بنابراین، اراده نیز ـ که مرحله‌ای از مراحل نمود افعال الهی و متأخر از مشیّت است ـ تعیّن علمیِ موجودات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تعیّن نسبت به مرحلۀ پیش از خود، اندکی تفصیلی‌تر و نسبت به</w:t>
      </w:r>
      <w:bookmarkStart w:id="80" w:name="pg2646_16491"/>
    </w:p>
    <w:p>
      <w:pPr>
        <w:pStyle w:val="BookText"/>
        <w:rPr/>
      </w:pPr>
      <w:bookmarkEnd w:id="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مراحل بعدی، اجمالی خواهد بود؛ به همین دلیل،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مشیّت را تصمیم بر انجام فعل، و اراده را اتمام و محکم ساختن آن تصمیم،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81" w:name="__RefHeading___Toc660211_1395250215"/>
      <w:bookmarkStart w:id="82" w:name="_Toc31"/>
      <w:bookmarkEnd w:id="81"/>
      <w:r>
        <w:rPr>
          <w:rtl w:val="true"/>
        </w:rPr>
        <w:t xml:space="preserve">ارادۀ حتمی و عزمی </w:t>
      </w:r>
      <w:r>
        <w:rPr>
          <w:rtl w:val="true"/>
        </w:rPr>
        <w:t>(</w:t>
      </w:r>
      <w:r>
        <w:rPr>
          <w:rtl w:val="true"/>
        </w:rPr>
        <w:t>تکوینی و تشریعی</w:t>
      </w:r>
      <w:r>
        <w:rPr>
          <w:rtl w:val="true"/>
        </w:rPr>
        <w:t>)</w:t>
      </w:r>
      <w:bookmarkEnd w:id="82"/>
    </w:p>
    <w:p>
      <w:pPr>
        <w:pStyle w:val="BookText"/>
        <w:rPr/>
      </w:pPr>
      <w:r>
        <w:rPr>
          <w:rFonts w:ascii="IRNazanin" w:hAnsi="IRNazanin" w:eastAsia="IRNazanin"/>
          <w:color w:val="111111"/>
          <w:sz w:val="28"/>
          <w:sz w:val="28"/>
          <w:szCs w:val="28"/>
          <w:rtl w:val="true"/>
          <w:lang w:bidi="fa-IR"/>
        </w:rPr>
        <w:t>دانشمندان و متکلمان اسلامی برای خداوند، دو نوع اراده قائلند؛ 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تکوینی که تخلف‌ناپذیر و حتمی است، دربارۀ انسان به این است که اختیار و آزادی عمل داشته باشد؛ به عبارت دیگر، خداوند متعال به انسان اختیار، اراده و آزادی داد و براساس آزادی او را مکلّف کرد و مورد خطاب خود و دستورات خود قرارداد؛ اما در مقابلِ این اراده، اراده وکراهت تشریعی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تکوین، آزاد آفریده شده و از سوی دیگر، ازدرون مجهز به عقل، فطرت و نفس ملهمه و از بیرون به هدایت انبیا و اولیای الهی آراسته شده است؛ هم‌چنین شیطان و نفس امّاره، او را به بدی و عصیان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از جانب خداوند متعال مکلّف به دستوراتی شده و از کارهایی منع گردیده است، و این معنای ارادۀ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فهم ارادۀ الهی لازم است حتماً تفاوت ارادۀ تکوینی وتشریعی روشن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طباطبایی،</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تمایز بین این دو اراده، به خوبی تشریح شده است؛ ایشان در پاسخ به این پرسش فتح بن یزید جرجانی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معصیت و نافرمانیِ گناه‌کار، ارادۀ خدا را بی‌اثر و خنثی می‌کند؟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دو اراده و دو مشیّت است؛ یکی ارادۀ حتمی و یکی ارادۀ عزمی؛ لذا می‌بینیم درمواردی، ازچیزهایی نهی‌کرده که انجام آن را خواسته و به چیزهایی امر کرده که انجام آن را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آدم و همسرِ او را ازخوردن فلان درخت نهی کرد، با این‌که می‌خواست از آن درخت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نمی‌خواست، آن‌ها هم نمی‌خوردند و اگر می‌خوردند، باید خواست آن دو بر مشیّت خدا که نخواسته، غلبه کرده باشد و خدا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ابراهیم دستور می‌دهد فرزندش را قربانی‌کند، ولی از سوی دیگر، این را هم خواسته که سرِ این فرزند از تنش جدا نشود؛ اگر نمی‌خواست که اسماعیل ذبح نشود، لازمه‌اش این بود که مشیّت ابراهیم بر مشیّت خدا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کلینی،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83" w:name="pg2646_16492"/>
    </w:p>
    <w:p>
      <w:pPr>
        <w:pStyle w:val="BookText"/>
        <w:rPr/>
      </w:pPr>
      <w:bookmarkEnd w:id="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این روایت، ناظر به این حقیقت است که آنچه از بشرخواسته شده، باید در مقام اطاعت و به صورت اختیاری انجام شود که در نهایت، آن را از حالت جبر بودن خارج می‌کند؛ در غیر این صورت، برخلاف نظام آزمایش و زندگی بشر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قائدتاً این‌گونه امور، تکوینی‌اند و نباید انتظار داشت همواره با خواست خداوند همراه باشد؛ به عبارت دیگر، گاه چیزی مورد ارادۀ تکوینی خداوند قرار می‌گیرد، اما خواست حقیقیِ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روایت، ارادۀ تکوینی را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ارادۀ تشریعی را ارادۀ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دربارۀ ارادۀ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ینهی و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که انجامِ آن را می‌خواهد، اگر‌چه از آن نهی کرده و عدم وقوع آن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نهی خدا، نهی تشریعی است، اما خواستۀ او خواستۀ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ارادۀ تشریعی را متعلّق به فعل دانسته، از حیث این‌که زیبا، شایسته و غیرقبیح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موردی این چنین، داستان گناهِ حضرت آدم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مثال می‌آورد که خداوند، آدم را از خوردن میوۀ درخت نهی‌کرد، حال آن‌که ارادۀ خدا ایجاب می‌کرد که از آن میوه تناول‌کند، زیرا خداوند، آدم را برای زندگی در زمین و جانشینیِ خود در آن آفرید؛ بنابراین، ارادۀ تشریعیِ او مخالف با ارادۀ تکوینیِ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سخنانِ رسیده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پاسخ‌گوی شبهات بسیاری بر آیات قرآن دراین زمینه است؛ مانند آیۀ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پروردگار تو بخواهد، همۀ آنان که در زمینند،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لَهَداکُمْ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می‌خواست، همگان هدایت می‌شدند؛ بدین‌گونه که مشیّت و خواسته در این آیات، مشیّت تکوینی است و خداوند اگر می‌خواست همه مؤمن باشند، به ارادۀ تکوینی چنین می‌کرد، اما خلاف ارادۀ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ابهام تناقض بین این دسته از آیات و آیات دیگر که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مردم را هدایت کرده و راضی نیست بندگانش کافر شوند، رفع می‌شود، زیرا خواست و مشیّت خداوند متعال در این‌گونه آیات، مشیّت تشریعی از ناحیۀ امر و نهی و برانگیختن و بازداشتن برای هدایت و ارشادکامل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موضوع، ضروری است که ارادۀ حق‌تعالی با ارادۀ انسان سنجیده شود تا در پرتو آن، به برخی ابهامات مزبور، پاسخ داده شود</w:t>
      </w:r>
      <w:r>
        <w:rPr>
          <w:rFonts w:eastAsia="IRNazanin" w:cs="IRNazanin"/>
          <w:color w:val="111111"/>
          <w:sz w:val="28"/>
          <w:szCs w:val="28"/>
          <w:rtl w:val="true"/>
          <w:lang w:bidi="fa-IR"/>
        </w:rPr>
        <w:t>.</w:t>
      </w:r>
    </w:p>
    <w:p>
      <w:pPr>
        <w:pStyle w:val="Heading3"/>
        <w:numPr>
          <w:ilvl w:val="2"/>
          <w:numId w:val="1"/>
        </w:numPr>
        <w:rPr/>
      </w:pPr>
      <w:bookmarkStart w:id="84" w:name="__RefHeading___Toc660213_1395250215"/>
      <w:bookmarkStart w:id="85" w:name="_Toc32"/>
      <w:bookmarkEnd w:id="84"/>
      <w:r>
        <w:rPr>
          <w:rtl w:val="true"/>
        </w:rPr>
        <w:t>ارادۀ خداوند و ارادۀ انسان</w:t>
      </w:r>
      <w:bookmarkEnd w:id="8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نعمات بزرگِ خداوند این است که در مقام منّت به انسان، اراده را به او موهبت نموده و او را صاحب اراده و مشیّتی کرده است که اساسِ سعی و کوشش وی بوده و با این نیرو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می‌تواند به حرکت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داشتن نیروی اراده مجبورخواهد بود؛ یعنی خواه ناخواه دراثر نیازهای بی‌شماری که هرلحظه متوجه وی می‌گردد، ناگزیر باید نیروی ارادۀ خویش را به‌کار برد و نقص و نیاز خود را رفع کند؛ اما شکی نیست که اراده و اختیار به مفهومی که درانسان وجود دارد، درخداوند متعال راه ندارد و این از کلام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صفوان‌بن‌یحیی‌گوید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ارادۀ خداوند و بندگان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در پاسخ، ارادۀ خداوند و انسان را این‌گونه وصف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ارادۀ مخلوق عبارت است از خواستِ باطنی‌که پس از آن، فعل واقع می‌شود، اما ارادۀ خداوند احداث و ایجادِ اوست و لاغیر، چه خداوند تأمل، فکر، تصمیم و قصد ندارد و این صفات از صفات ممکنات و از ساحت خداوند،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 فعل است و نه جز این و هنگامی که به چیزی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موجود می‌شود، بدون آن‌که به لفظ و سخن با زبان یا تفکر و اندیشه دربارۀ آن که خالی از کیفیت و چگونگی است نیازی داشته باشد؛ همان‌گونه که خود دارای کیفیت و چگونگی نیست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ظاهرِ روایت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این‌جا صیغة لفظی نیست، زیرا خداوند منزه از آن است که برای تحصیل اوامرش از الفاظ مدد جوید؛ چنان‌که اراده و افعال خداوند هیچ تشابهی با اراده و افعال مخلوقات ندارد، بلکه مراد از امر، حاکمیتِ نظام و قوانین خداوند بر عالم هستی است و برای پیدایش چیزی در نظام هستی، فقط ارادۀ خداوند نیاز است و هیچ علّت دیگری در تحقق آن دخیل نیست؛ به بیان دیگر، مراد ازکلمۀ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ابداعی، تکوینی و وجود منبسط است؛ چنان‌که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تمام موجودات برسبیل وجود ابداعی، دفعة واحده ازذات حق صادر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بی‌تا،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روایت، با بیان متکلمانه، ارادۀ بشر را عبارت از همان خطور و تصمیم دانسته است که ابتدا در روان پدید می‌آید و سپس منجر به فعل خارجی توسط جوارح او می‌گردد؛ به عبارت واضح‌تر، ارادۀ بشر در این روایت، به معنای خواستِ باطنی است که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تصور فعل و تصدیق به فایده و سازگاری آن با غرایز و طبایع، اشتیاق و علاقه در نفس انسان حاصل می‌شود که موجب رجحان طرف فعل نسبت به عدمش می‌گردد؛ اما ارادۀ مقام کبریایی، ایجادِ امرخواسته درخارج است و جز آن نیست، زیرا بشر جز اراده و تصمیم، مقدمات دیگری برای ایجاد و عمل لازم دارد، در صورتی که ارادۀ خداوند، حتمی و قاطع است و عبارت از همان تحقق خواست درخارج است، بدون این‌که به امردیگری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ارادۀ خداوند متعال، صفت فعل و ظهورِخواسته است و ارادۀ او حتمی و قاطع است، به قید دیگری محتاج نخواهد بود و ساحت او منزه از نیروی تفکر یا همت و یا تصمیم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همدانی،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عمیر بن معاویه در روایتی آورده است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 به خدمت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رسیدم و از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اعمال بندگان، مشیّت و ارادۀ خداوند، ساری و جاری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و مشیّت خداوند در مورد طاعات،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رضایت خداوند به آن و کمک کردن بندگان در انجام آن، و مشیّت خداوند در مورد معاصی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و خشمگین کردن از آن عمل و یاری نکردن بندگان در انجام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دربارۀ اعمال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بندگان هیچ کاری، چه خیر و چه شر انجام نمی‌دهند، مگر این‌که خداوند دربارۀ آن کار، قضایی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قضاچیست؟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آن، این است که خداوند حکم می‌کند آن ثواب و عقابی که در دنیا و آخرت به خاطر اعمالشان مستحقّ آن هستند، به ایشان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آنچه از روایت شریف مستفاد می‌گردد، حضرت میان طاعت و معصیت تفاوت گذاشته و معتقدند، هنگام اطاعتِ انسان از خداوند، ارادۀ او با هردو قسمش ـ تکوینی و تشریعی ـ در انجام فعلِ طاعت نقش دارد، اما در معصیت، تنها ارادۀ تکوینیِ خداوند دخالت دارد، با آن‌که از جهت تشریع، نه تنها معصیتِ آدمی آن را اراده نکرده، بلکه از آن اکراه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ارادۀ تکوینیِ خداوند در هر دو فعلِ طاعت و معصیت دخیل است، زیرا هیچ فعلی وجود نمی‌یابد، مگر آن‌که قضای خدا درآن فعل جریان دارد</w:t>
      </w:r>
      <w:r>
        <w:rPr>
          <w:rFonts w:eastAsia="IRNazanin" w:cs="IRNazanin"/>
          <w:color w:val="111111"/>
          <w:sz w:val="28"/>
          <w:szCs w:val="28"/>
          <w:rtl w:val="true"/>
          <w:lang w:bidi="fa-IR"/>
        </w:rPr>
        <w:t>.</w:t>
      </w:r>
      <w:bookmarkStart w:id="86" w:name="pg2646_16495"/>
    </w:p>
    <w:p>
      <w:pPr>
        <w:pStyle w:val="BookText"/>
        <w:rPr/>
      </w:pPr>
      <w:bookmarkEnd w:id="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87" w:name="__RefHeading___Toc660215_1395250215"/>
      <w:bookmarkStart w:id="88" w:name="_Toc33"/>
      <w:bookmarkEnd w:id="87"/>
      <w:r>
        <w:rPr>
          <w:rtl w:val="true"/>
        </w:rPr>
        <w:t xml:space="preserve">متعلقات مفهوم </w:t>
      </w:r>
      <w:r>
        <w:rPr>
          <w:rtl w:val="true"/>
        </w:rPr>
        <w:t>«</w:t>
      </w:r>
      <w:r>
        <w:rPr>
          <w:rtl w:val="true"/>
        </w:rPr>
        <w:t>اراده</w:t>
      </w:r>
      <w:r>
        <w:rPr>
          <w:rtl w:val="true"/>
        </w:rPr>
        <w:t>»</w:t>
      </w:r>
      <w:bookmarkEnd w:id="88"/>
    </w:p>
    <w:p>
      <w:pPr>
        <w:pStyle w:val="BookText"/>
        <w:rPr/>
      </w:pPr>
      <w:r>
        <w:rPr>
          <w:rFonts w:ascii="IRNazanin" w:hAnsi="IRNazanin" w:eastAsia="IRNazanin"/>
          <w:color w:val="111111"/>
          <w:sz w:val="28"/>
          <w:sz w:val="28"/>
          <w:szCs w:val="28"/>
          <w:rtl w:val="true"/>
          <w:lang w:bidi="fa-IR"/>
        </w:rPr>
        <w:t xml:space="preserve">پیش‌تر اشاره شد که بسیاری از دانشمندان فرقه‌های اسلامی در این‌که خداوند متعال مرید است، اتفاق نظر دارند، اما در تفسیر و تبیین جایگاه آن متفق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برای‌کسب اطلاعات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طریق صحیح رجوع به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همۀ عظمت، اهمیت و برجستگیِ خاص در ژرف‌نگری‌ها و دریافت لایه‌ها، حقایق وکشف تأویلات است، نه در فهم معانی از ظواهر؛ بر این اساس در صورتی که بیانات ژرف آن‌ها به درستی فهم شود، دیگر نمی‌توان نقش ثانوی و متأخر از بیاناتشان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طبق مسلک خویش، گاه به صورت مناظره و گاه به صورت پرسش و پاسخ‌هایی، نظریه‌های کلامی خویش را دربارۀ اسما و صفات الهی ابراز داشته و با عنایت و توجه کامل به شبهات و تحریفات منکران و دشمنان دین خدا، پاسخ گفته و مجال هرگونه مغالطه را از مدعیان سلب کرده‌اند؛ بدین روی، جای دارد برخی متعلقاتی را که در ارتباط با مفاهیم اراده و مشیّت الهی بوده است، با ذکر شواهدی از بیانات گهربار حضرت</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ـ برای تبیین جایگاه اراده و مشیّت در میان آن‌ها ـ مورد بحث و بررسی قرار دهیم</w:t>
      </w:r>
      <w:r>
        <w:rPr>
          <w:rFonts w:eastAsia="IRNazanin" w:cs="IRNazanin"/>
          <w:color w:val="111111"/>
          <w:sz w:val="28"/>
          <w:szCs w:val="28"/>
          <w:rtl w:val="true"/>
          <w:lang w:bidi="fa-IR"/>
        </w:rPr>
        <w:t>.</w:t>
      </w:r>
    </w:p>
    <w:p>
      <w:pPr>
        <w:pStyle w:val="Heading3"/>
        <w:numPr>
          <w:ilvl w:val="2"/>
          <w:numId w:val="1"/>
        </w:numPr>
        <w:rPr/>
      </w:pPr>
      <w:bookmarkStart w:id="89" w:name="__RefHeading___Toc660217_1395250215"/>
      <w:bookmarkStart w:id="90" w:name="_Toc34"/>
      <w:bookmarkEnd w:id="89"/>
      <w:r>
        <w:rPr>
          <w:rtl w:val="true"/>
        </w:rPr>
        <w:t>تغایر علم و اراده</w:t>
      </w:r>
      <w:bookmarkEnd w:id="90"/>
    </w:p>
    <w:p>
      <w:pPr>
        <w:pStyle w:val="Heading4"/>
        <w:numPr>
          <w:ilvl w:val="3"/>
          <w:numId w:val="1"/>
        </w:numPr>
        <w:rPr/>
      </w:pPr>
      <w:bookmarkStart w:id="91" w:name="__RefHeading___Toc660219_1395250215"/>
      <w:bookmarkStart w:id="92" w:name="_Toc35"/>
      <w:bookmarkEnd w:id="91"/>
      <w:r>
        <w:rPr>
          <w:rtl w:val="true"/>
        </w:rPr>
        <w:t>اشاره</w:t>
      </w:r>
      <w:bookmarkEnd w:id="9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قرآن‌کریم و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بیان‌های‌گوناگون،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تأکید شده است؛ بدین‌سان، معرفتِ علم خداوند متعال، یکی از نفیس‌ترین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اثبات علمِ نامتناهی برای پروردگار، علیّت علم الهی برای مخلوقات نفی ،</w:t>
      </w:r>
      <w:r>
        <w:rPr>
          <w:rStyle w:val="FootnoteAnchor"/>
          <w:rtl w:val="true"/>
        </w:rPr>
        <w:footnoteReference w:id="19"/>
      </w:r>
      <w:r>
        <w:rPr>
          <w:rFonts w:ascii="IRNazanin" w:hAnsi="IRNazanin" w:eastAsia="IRNazanin"/>
          <w:color w:val="111111"/>
          <w:sz w:val="28"/>
          <w:sz w:val="28"/>
          <w:szCs w:val="28"/>
          <w:rtl w:val="true"/>
          <w:lang w:bidi="fa-IR"/>
        </w:rPr>
        <w:t>و خلقت به اراده و مشیّت خداوند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روایات، اراده و مشیّت، از صفات فعل خداوند و غیر از علم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برخی متکلمان اسلامی ماهیت اراده و مشیّت خداوند با علم او را، مغایرِ هم ندانسته و در توجیه عقاید خود در این باب، نظریات گوناگونی ارائه داده‌اند که به برخی از آن‌ها اشاره خواهیم کرد</w:t>
      </w:r>
      <w:r>
        <w:rPr>
          <w:rFonts w:eastAsia="IRNazanin" w:cs="IRNazanin"/>
          <w:color w:val="111111"/>
          <w:sz w:val="28"/>
          <w:szCs w:val="28"/>
          <w:rtl w:val="true"/>
          <w:lang w:bidi="fa-IR"/>
        </w:rPr>
        <w:t>.</w:t>
      </w:r>
      <w:bookmarkStart w:id="93" w:name="pg2646_16496"/>
    </w:p>
    <w:p>
      <w:pPr>
        <w:pStyle w:val="BookText"/>
        <w:rPr/>
      </w:pPr>
      <w:bookmarkEnd w:id="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4"/>
        <w:numPr>
          <w:ilvl w:val="3"/>
          <w:numId w:val="1"/>
        </w:numPr>
        <w:rPr/>
      </w:pPr>
      <w:bookmarkStart w:id="94" w:name="__RefHeading___Toc660221_1395250215"/>
      <w:bookmarkStart w:id="95" w:name="_Toc36"/>
      <w:bookmarkEnd w:id="94"/>
      <w:r>
        <w:rPr>
          <w:rtl w:val="true"/>
        </w:rPr>
        <w:t>الف</w:t>
      </w:r>
      <w:r>
        <w:rPr>
          <w:rtl w:val="true"/>
        </w:rPr>
        <w:t xml:space="preserve">) </w:t>
      </w:r>
      <w:r>
        <w:rPr>
          <w:rtl w:val="true"/>
        </w:rPr>
        <w:t>نظریۀ علم و امر</w:t>
      </w:r>
      <w:bookmarkEnd w:id="95"/>
    </w:p>
    <w:p>
      <w:p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ارادۀ الهی، کارهای خدا و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علم اوست به نظام احسن یا مصلحت نهفته درکارها؛ علمی که سبب آفرینش پدیده‌ها و انجام کارها در زمان‌های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 حق به ارادۀ ازلی، همانا وصف ذات او به علم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ارادۀ حق به کارهای انسان تعلق می‌گیرد، مراد آن است که خداوند، انسان را به انجام آزادانۀ کارها فرمان می‌دهد؛ بدین‌سان، ارادۀ خداوند به دو معنا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یعنی آفرینش و دیگری امر، یعنی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ارادۀ تکوینی خداوند نفس فعلِ ـ مخلوقات ـ اوست و ارادۀ تشریعی الهی، امر به فعل یا همان اوامر و نواهی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معتزلی،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96" w:name="__RefHeading___Toc660223_1395250215"/>
      <w:bookmarkStart w:id="97" w:name="_Toc37"/>
      <w:bookmarkEnd w:id="96"/>
      <w:r>
        <w:rPr>
          <w:rtl w:val="true"/>
        </w:rPr>
        <w:t>ب</w:t>
      </w:r>
      <w:r>
        <w:rPr>
          <w:rtl w:val="true"/>
        </w:rPr>
        <w:t xml:space="preserve">) </w:t>
      </w:r>
      <w:r>
        <w:rPr>
          <w:rtl w:val="true"/>
        </w:rPr>
        <w:t>علم به مصلحت</w:t>
      </w:r>
      <w:bookmarkEnd w:id="97"/>
    </w:p>
    <w:p>
      <w:pPr>
        <w:pStyle w:val="BookText"/>
        <w:rPr/>
      </w:pPr>
      <w:r>
        <w:rPr>
          <w:rFonts w:ascii="IRNazanin" w:hAnsi="IRNazanin" w:eastAsia="IRNazanin"/>
          <w:color w:val="111111"/>
          <w:sz w:val="28"/>
          <w:sz w:val="28"/>
          <w:szCs w:val="28"/>
          <w:rtl w:val="true"/>
          <w:lang w:bidi="fa-IR"/>
        </w:rPr>
        <w:t xml:space="preserve">در دورۀ پس از شیخ مفید، تفسیر اراده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بالمصلحه الداعیه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قائلان به این نظر، ارادۀ خداوند نوعی علم است؛ آن هم به مصلحت نهفته در فعل، که همان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از اراده را اولین بار، ابواسحاق نوبختی ارائه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اراده را خود داعی می‌دانست، نه زاید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تعریف، منظور از ارادۀ خداوند، علم خدا به مصلحتِ نهفته در فعل است که ایجاد آن را ایجاب می‌کند و به این دلیل، اراده را صفت ذاتی می‌دانند و نه از صفات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مرید بودن حق‌تعالی هم آن است که هرگاه کاری را مصلحت بداند، انجامش می‌دهد؛ چنان‌که اشیای عالم را به تدریج و آن‌گاه که مصلحت دانسته،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98" w:name="__RefHeading___Toc660225_1395250215"/>
      <w:bookmarkStart w:id="99" w:name="_Toc38"/>
      <w:bookmarkEnd w:id="98"/>
      <w:r>
        <w:rPr>
          <w:rtl w:val="true"/>
        </w:rPr>
        <w:t>ج</w:t>
      </w:r>
      <w:r>
        <w:rPr>
          <w:rtl w:val="true"/>
        </w:rPr>
        <w:t xml:space="preserve">) </w:t>
      </w:r>
      <w:r>
        <w:rPr>
          <w:rtl w:val="true"/>
        </w:rPr>
        <w:t>علم به اصلح</w:t>
      </w:r>
      <w:bookmarkEnd w:id="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نظریه، ارادۀ خداوند، نفس داعی است و آن، علم الهی به اصلح است؛ یعنی اراده عبارت است ازعلم خدا به صلاحی که در امور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ارادۀ خدای متعال، همان‌گونه که بیشتر متکلمان شیعه برآنند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خیر و نفع و آنچه صالح‌تر است و ورای علم، چیزی را نسبت به خدای متعال، ثابت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حکمای الهی نیز بر این معنا تصریح کرده و گفته‌اند که ارادۀ حق‌تعالی، عین علمِ او به نظام احسن است و این علم، منشأ آفرینش جهان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ملاصدرا،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مُرید است، یعنی او از ذات خود آگاه است و از علم به ذات، علم به نظام خیر، برخیزد و می‌داندکه این نظام چگونه به صورت قطعی تحقق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سخن را در بخش‌های مختلف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ملاصدرا،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وحکیم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شرح الاسماءالحسنی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هرچند در میان متأخرین از شهرت بسزایی برخوردار است و حتی محقّق خراسانی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نظر صحه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محقق‌خراسانی،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چنین تفسیری از اراده، در واقع انکار اراده است، و از آن‌جایی که علم خداوند عین ذات مقدس اوست، انسان برای شناخت علم خداوند همچون معرفت ذات مقدس او، هیچ راهی ندارد جز این‌که خود خداوند معرفت خودش و علمش را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خداوند خودش را به بنده‌ای بشناساند، او به خداوند و عالم بودنش معرفت خواهد داشت، همان‌گونه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شناخت نایل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روایات رسیده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بی‌تردید علم الهی با ارادۀ الهی تغایر دارد و با آن یک‌سان نیست، زیرا ارادۀ پروردگار از صفات فعلِ اوست </w:t>
      </w:r>
      <w:r>
        <w:rPr>
          <w:rStyle w:val="FootnoteAnchor"/>
          <w:rtl w:val="true"/>
        </w:rPr>
        <w:footnoteReference w:id="20"/>
      </w:r>
      <w:r>
        <w:rPr>
          <w:rFonts w:ascii="IRNazanin" w:hAnsi="IRNazanin" w:eastAsia="IRNazanin"/>
          <w:color w:val="111111"/>
          <w:sz w:val="28"/>
          <w:sz w:val="28"/>
          <w:szCs w:val="28"/>
          <w:rtl w:val="true"/>
          <w:lang w:bidi="fa-IR"/>
        </w:rPr>
        <w:t>همان‌گونه‌که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مجلس مأمون برای سلیمان مروزی، متکلم برجستۀ خراسان که معتقد بود اراده عین علم پروردگار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و علم مساوی نیستند، چراکه نفیِ معلوم به معنای نفیِ علم نیست؛ در حالی که با نفی مراد، بودنِ اراده هم نفی می‌شود، زیرا اگر چیزی اراده نشود، اراده در کار نخواهد بود؛ در حالی که علم ثابت است، هرچند 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مشابه از حسین بن بشار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موسی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چیزی را که موجود نشده، می‌داند که اگر موجود شود چگونه خواهد شد یا امور غیرموجود را نمی‌داند؟ حضرت 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متعال، عالم به اشیاست، پیش از آن‌که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آنچه را شما انجام می‌دهید استنساخ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دوزخیان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بازگردانده شوند، دوباره به آنچه از آن نهی شده‌اند، بازخواهند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می‌دهی که در زمین فساد کرده و خون‌ها بریزد، در حالی که ما با ستایش تو را تسبیح می‌گوییم و تقدیس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می‌دانم آنچه را شما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 از ازل و قدیم، پیش از خلق اشیا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رَبُّنَا وَ تَعَالَی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اشیا را طبق مشیّت و خواست خود آفرید و علمش به آن‌ها پیش از خلقِ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ما از ازل، دانا، شنوا و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بودن و نبودن همۀ امور ممکن، از ازل به علم ذاتی، برای خداوند متعال مکشوف است؛ نیز آنچه بعد از نبود، اراده و مشیّت خداوند بر بودنش تعلق می‌گیرد، برای خداوند مکشوف است و خداوند جاهل برآن نیست که چگونه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ایوب بن نوح به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اشیا پیش از آن‌که خلقشان کند، عالم است یا علم او به اشیا هنگامی است که آفرینش آن‌ها را اراده می‌کند؟ که در این صورت، علمِ او به مخلوقاتش به هنگام خلق و ایجاد آن ها خواهد بود؟حضرت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وی به خطّ مبارک خویش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ازل پیش از آن‌که اشیا را خلق کند، به آن‌ها عالم است؛ همانند علمِ او به اشیا بعد از خلقتشان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روایات مستفاد می‌شود این است که ارادۀ آفرینش و عدم آفرینش اشیا هیچ تأثیری در علم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توجه به حقیقت علم کاملاً روشن است، زیرا با توجه به حقیقت علم درمی‌یابیم که علم غیر از معلوم است و معلومات در مرتبۀ علم، به هیچ نحو، وجود و ثبوت و تحققی ندارند؛ پس معلوم هیچ نقش و مدخلیتی در تحقق علم ندارد، بلکه علم ثابت است، هرچند معلومی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حدیثی به این حقیقت تصریح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معنای ربوبیت بود، آن‌گاه که مربوبی نبود؛ حقیقت الوهیت بود آن‌گاه که مألوهی نبود؛ معنای عالم بود، درحالی‌که معلومی در کار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می‌توان به شیوۀ متکلمان، نتیجۀ بیان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قالبی منطقی بدین صورت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همۀ امور موجود و معدوم و حتی امور محال را نیز دربر می‌گیرد و خداوند به همۀ نظام‌های ممکن و همۀ اطوار ممکن آن‌ها، در عرض هم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هم‌زمان، به آنچه تقدیر فرموده و اموری که هیچ‌گاه به وجود نخواهد آمد، عالم است و علم او اقتضای تعیّن هیچ یک از نظام‌های ممکن را ندارد؛ پس علم، علت تحقق نظام خاصی از</w:t>
      </w:r>
      <w:bookmarkStart w:id="100" w:name="pg2646_16499"/>
    </w:p>
    <w:p>
      <w:pPr>
        <w:pStyle w:val="BookText"/>
        <w:rPr/>
      </w:pPr>
      <w:bookmarkEnd w:id="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میان سایر نظام‌های ممکن نیست؛ در نتیجه، تعیین نظام یا تغییر و تبدیل در مخلوقات، هرگز موجب تغیّر در علم ذات خداوند نمی‌شود، چراکه ممکنات در مرتبۀ ذات و علم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نظام ممکن را تعیّن می‌بخشد و سبب تحقق آن می‌شود، علم خداوند نیست، بلکه اراده و مشیّت اوست</w:t>
      </w:r>
      <w:r>
        <w:rPr>
          <w:rFonts w:eastAsia="IRNazanin" w:cs="IRNazanin"/>
          <w:color w:val="111111"/>
          <w:sz w:val="28"/>
          <w:szCs w:val="28"/>
          <w:rtl w:val="true"/>
          <w:lang w:bidi="fa-IR"/>
        </w:rPr>
        <w:t>.</w:t>
      </w:r>
    </w:p>
    <w:p>
      <w:pPr>
        <w:pStyle w:val="Heading3"/>
        <w:numPr>
          <w:ilvl w:val="2"/>
          <w:numId w:val="1"/>
        </w:numPr>
        <w:rPr/>
      </w:pPr>
      <w:bookmarkStart w:id="101" w:name="__RefHeading___Toc660227_1395250215"/>
      <w:bookmarkStart w:id="102" w:name="_Toc39"/>
      <w:bookmarkEnd w:id="101"/>
      <w:r>
        <w:rPr>
          <w:rtl w:val="true"/>
        </w:rPr>
        <w:t>اراده و مشیّت الهی، متصف به کدامین وصفند؟</w:t>
      </w:r>
      <w:bookmarkEnd w:id="102"/>
    </w:p>
    <w:p>
      <w:pPr>
        <w:pStyle w:val="BookText"/>
        <w:rPr/>
      </w:pPr>
      <w:r>
        <w:rPr>
          <w:rFonts w:ascii="IRNazanin" w:hAnsi="IRNazanin" w:eastAsia="IRNazanin"/>
          <w:color w:val="111111"/>
          <w:sz w:val="28"/>
          <w:sz w:val="28"/>
          <w:szCs w:val="28"/>
          <w:rtl w:val="true"/>
          <w:lang w:bidi="fa-IR"/>
        </w:rPr>
        <w:t>متکلمان، صفات خداوند را دو قسم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صفاتی‌اند که عین ذات وثابت در ذاتند و اتصاف خداوند به ضدّ آن محال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فعل، صفاتی‌اند که عین ذات خداوند نبوده و ثابت هم نیستند؛ به علاوه، می‌توان خدا را به ضدّ آن متصف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رضا، عفو و انتقام، قهر و لطف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این مقدمۀ کوتاه، کلام در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صفات ذاتیِ خداوند است یا صفات فعلیِ او؟ در صورتی که از صفات ذاتی باشد، آیا زاید بر ذات است یا عین ذات؟ برخی متکلمان بر این عقیده‌اند که ارادۀ خداوند، علمِ به اصلح و عین ذات است و غیر از این معنا، چیزی را برای خدا اثبات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رأی، قول دیگری است و آن این‌که ارادۀ خداوند از صفات فعل است، نه از صفات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ابن‌فورک، بی‌تا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چون اشاعره، اراده را یکی از صفات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قدرت، حیات، اراده، سمع، بصر و کلام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تکیۀ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در این معناها، روی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و اراده، از صفات افعال ـ خداوند ـ است؛ پس اگر کسی گمان کند خداوند هم‌چنان خواستار و خواهان است، او یگانه‌پرست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کلام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 عین سادگی، روانی و قابل فهم بودن، حاوی نکات دقیق علمی و منطقیِ بسیاری است، درمی‌یابیم که تعلق اراده به ذات ازلیِ خداوند محال است، زیرا اراده، تنها به امور حادث تعلق می‌گیرد؛ پس اراده، صفت ذات و ازلیِ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روایت به این نکته اشاره می‌فرمایند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همان ساختن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هرچه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می‌شود، در حقیقت مصنوع است؛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بلالفظ و‌لا‌نطق بلسان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عطاردی،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صدایی نیست که با گوش شنیده شود، ندایی نیست که به گوش برسد و لفظی نیست که بر زبان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ـ اراده، صفت فعل است ـ از ظاهرِ آیۀ شریفه‌ای که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بدان استدلال کرده، نیز به خوبی قابل استفاده و استنباط است؛ از آن جمله این‌که اراده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اراده وصفِ ذات می‌بود، باید همواره موجود باشد،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و آغاز زمان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افزون بر عدم پذیرش ذاتی بودن وصف اراده، زاید بر ذات بودن آن را هم عقیدۀ باطلی تلقی کرده و به نکتۀ اساسی و مهمی دربارۀ چنین اعتقاد باطلی ـ که صفات خداوند متعال زاید بر ذات است ـ اشاره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ذَلِکَ وَ دَانَ بِهِ فَقَدِ اتَّخَذَ مَعَ اللَّهِ آلِهَةً أُخْری وَ لَیْسَ مِنْ وَلایَتِنَا عَلَی شَیْ‌ءٍ ثُمَّ قَالَ</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لَمْ یَزَلِ اللَّهُ عَزَّوَجَلَّ عَلِیماً قَادِراً حَیّاً قَدِیماً سَمِیعاً بَصِیراً لِذَاتِهِ تَعَالَی عَمَّا یَقُولُونَ الْمُشْرِکُونَ وَ الْمُشَبِّهُونَ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حضرت از این گفتار، بدین قرار است که اگر صفات خداوند افزون بر ذات باشد، باید مانند ذات خداوند، قدیم و ازلی باشد؛ در این صورت، باید معبود دیگری را در کنار خداوند متصور شد، در حالی که تصور تعدد و کثرت در هر امری، مستلزم آن است که آن امر محدود باشد و هر امر محدودی، مخلوق است، در حالی که خداوند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الهی به چیزی جز ذاتش نیازمند نیست و اگر صفاتش زاید بر ذاتش باشد، از دو حال خارج نیست، زیرا آن صفات یا قدیمند یا حادث؛ اگر قدیم باشند، تعدد قدما لازم است و به تعبیر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فَقَدِ اتَّخَذَ مَعَ اللَّهِ آلِهَةً أُخْری ـ چنین امری محال است، و اگر حادث باشند، به بداهت عقل باطل است، زیرا در این صورت، دارای نقص و نیاز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حادث بودن اراده یا صفت ذات یا قدیم بودن آن، در مناظرۀ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سلیمان مروزی به تفصیل مطرح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سلیمان مروزی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را که در ذهن داری،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دربارۀکسانی که اراده را مانند حیّ و سمیع و بصیر و قدیر اسم و صفت برای خداوند به حساب می‌آورند؟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او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مشیّت و ارادۀ خداوند به خلق موجودات تعلق گرفت، اشیاء پدید آمدند و گونه‌به‌گونه شدند، ولی هیچ‌گاه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شنوا و بینا است، اشیاء حادث و مختلف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شما دلیل است که اراده مانند صفات سمیع، بصیر و قدیر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می‌گویید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بیان علّت تفاوت صفت اراده با دیگر صفات سمیع، بصیر و قدیر است؛ بدین‌گونه که اراده ازصفات فعل است، اما سمیع، بصیر و قدیر از صفات ذات خداوند است که از ذات حق انتزاع می‌شود؛ افزون برآن‌که حضرت با این سخن نشان می‌دهندکه علت حدوث اشیا و مسبوقیت آن‌ها به عدم زمانی که اشیا درآن زمان نبودند و پس ازآن پدید آمدند، آن است که پیش از این پدیدار شدن یا به تعبیر دیگر حادث شدن، باید اراده‌ای باشد، چنان‌که علت گوناگون بودن اشیای پدید آمده نیز تعلق اراده‌های گوناگون به این اشیا بوده است؛ بنابراین اشیا حادثند، چون پیش ازحدوث آن‌ها، ارادۀ خداوند وجود داشته و به آن‌ها تعلق گرفته است؛ نیز اشیا اختلاف دارند، چون ارادۀ خداوند یک‌سان به آن‌ها تعلق نمی‌گیرد، بلکه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اراده‌ای خود باید حادث و مسبوق به 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صفات 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نیستند، زیرا پیش از این دو صفت، عدمی نبوده است؛ پس این صفات حادث نیستند، بلکه ازلی و قدیمند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صفات سمع و بصر، مختلف و گونه به‌گونه نیز نیستند، چون خداوند متعال هنگامی که صداهای مختلف وجود نداشت، یعنی در ازل، سمیع و شنوا بود؛ نیز هنگامی که دیدنی‌های متفاوت وجود نداشت، یعنی در ازل، بصیر و بینا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سلیمان مروزی به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متعال همواره مرید ـ دارای اراده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چیزی غیر از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این‌صورت، تو همواره با خداوند چیزی را ثابت کرده‌ای‌که غیر از اوست و همواره با او همیشگی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چنین چیزی را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می‌گویی آن چیزکه غیر از خداوند است، اراده‌ای است که ازلی نبوده، بلکه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نیست که اراده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سلیمان در سخنان خود آشکارا دچار تناقض‌گویی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آن، دوباره مسئله را مرورکرده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حادث است، زیرا هر چیزی اگر ازلی نباشد، ناگزیر حادث است و اگر حادث نباشد، لزوماً ازلی است</w:t>
      </w:r>
      <w:r>
        <w:rPr>
          <w:rFonts w:eastAsia="IRNazanin" w:cs="IRNazanin"/>
          <w:color w:val="111111"/>
          <w:sz w:val="28"/>
          <w:szCs w:val="28"/>
          <w:rtl w:val="true"/>
          <w:lang w:bidi="fa-IR"/>
        </w:rPr>
        <w:t>»</w:t>
      </w:r>
      <w:bookmarkStart w:id="103" w:name="pg2646_16502"/>
    </w:p>
    <w:p>
      <w:pPr>
        <w:pStyle w:val="BookText"/>
        <w:rPr/>
      </w:pPr>
      <w:bookmarkEnd w:id="1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3"/>
        <w:numPr>
          <w:ilvl w:val="2"/>
          <w:numId w:val="1"/>
        </w:numPr>
        <w:rPr/>
      </w:pPr>
      <w:bookmarkStart w:id="104" w:name="__RefHeading___Toc660229_1395250215"/>
      <w:bookmarkStart w:id="105" w:name="_Toc40"/>
      <w:bookmarkEnd w:id="104"/>
      <w:r>
        <w:rPr>
          <w:rtl w:val="true"/>
        </w:rPr>
        <w:t>استناد حدوث اراده به امر بدیهی</w:t>
      </w:r>
      <w:bookmarkEnd w:id="105"/>
    </w:p>
    <w:p>
      <w:pPr>
        <w:pStyle w:val="BookText"/>
        <w:rPr/>
      </w:pPr>
      <w:r>
        <w:rPr>
          <w:rFonts w:ascii="IRNazanin" w:hAnsi="IRNazanin" w:eastAsia="IRNazanin"/>
          <w:color w:val="111111"/>
          <w:sz w:val="28"/>
          <w:sz w:val="28"/>
          <w:szCs w:val="28"/>
          <w:rtl w:val="true"/>
          <w:lang w:bidi="fa-IR"/>
        </w:rPr>
        <w:t>همان‌گونه که روشن شد،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حدوث ارادۀ الهی را، که امری نظری است، با ارجاع و استناد به این امر بدیهی، که اجتماع و ارتفاع نقیضین محال است، قابل فهم و پذیرش کرده است؛ بنابراین، شیء واحد نمی‌شود، هم ازلی و هم حادث باشد، هم‌چنان که نمی‌شود نه ازلی باشد و نه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و حدوث، نقیضِ یکدیگرند و هر دو طرفِ نقیض از یک موضوع رفع یا سلب نمی‌شوند، زیرا رفع دو طرف نقیض، مستلزم جمع آن دوست؛ چنان‌که این مطلب را ابن‌سینا به دقت بررسی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ازلی بودن اراده ممتنع است، زیرا هر اراده‌ای علتِ تحقق مراد خود است، اما به موجودی که ازلی باشد، ذات ـ خداوند ـ اراده‌ای تعلق نمی‌گیرد، زیرا ذات خدای‌متعال، ازلی است و همواره بوده است، بدون آن‌که پیش از وجودش عدمی باشد؛ به دیگر سخن، وجود او مسبوق به عدم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موجودی با ویژگی ازلیت، به تعلق اراده برای پیدایش و وجود یافتن نیازی ندارد، اما درمقابل، متعلق اراده که همان مراد یا فعل خارجی است، محال است که ازلی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106" w:name="__RefHeading___Toc660231_1395250215"/>
      <w:bookmarkStart w:id="107" w:name="_Toc41"/>
      <w:bookmarkEnd w:id="106"/>
      <w:r>
        <w:rPr>
          <w:rtl w:val="true"/>
        </w:rPr>
        <w:t>نتیجه‌گیری</w:t>
      </w:r>
      <w:bookmarkEnd w:id="107"/>
    </w:p>
    <w:p>
      <w:pPr>
        <w:pStyle w:val="BookText"/>
        <w:rPr/>
      </w:pPr>
      <w:r>
        <w:rPr>
          <w:rFonts w:ascii="IRNazanin" w:hAnsi="IRNazanin" w:eastAsia="IRNazanin"/>
          <w:color w:val="111111"/>
          <w:sz w:val="28"/>
          <w:sz w:val="28"/>
          <w:szCs w:val="28"/>
          <w:rtl w:val="true"/>
          <w:lang w:bidi="fa-IR"/>
        </w:rPr>
        <w:t>بنابر مباحث مبتنی بر روایات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روشن گردید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علم و اراده و مشیّت الهی، از نظر مفهومی 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ارادۀ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ارادۀ الهی، از صفات فعل خداوند است و عین ذات و عین علمِ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برخی متکلمان که ارادۀ خداوند را همان علم به اصلح و عین ذات الهی می‌دانند،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اراده، صفت ذات باشد، مستلزم حدوث ذاتی باری‌تعالی است، زیرا اراده حادث است و از حدوث آن، حدوث ذات لازم می‌آید، در حالی که ذات حق، قدیم است؛ پس اراده، صفت فعل است، نه 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اراده را صفت ذات بدانیم، قدم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زیرا مراد از اراده جدا نمی‌شود؛ پس اراده، صفت فعل است، نه ذات</w:t>
      </w:r>
      <w:r>
        <w:rPr>
          <w:rFonts w:eastAsia="IRNazanin" w:cs="IRNazanin"/>
          <w:color w:val="111111"/>
          <w:sz w:val="28"/>
          <w:szCs w:val="28"/>
          <w:rtl w:val="true"/>
          <w:lang w:bidi="fa-IR"/>
        </w:rPr>
        <w:t>.</w:t>
      </w:r>
      <w:bookmarkStart w:id="108" w:name="pg2646_16503"/>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روایات و عدول از معنای ظاهری آن‌ها باید همراه دلیل و قرینه باشد، وگرنه ظاهر آن‌ها حجت است؛ از این روی، تأویل گروهی از متکلمانکه معتقد به ذاتی بودن صفاتند، درست نیست، زیرا ایشان، روایات دالّ بر فعل بودن صفت اراده را تأویل می‌کنند و معتقدند منظور از روایات، آن است که ارادۀ خداوند مانند ارادۀ بندگان، کیف نفسانی نبوده و در خارج بین علم به اصلح و وجود فعل، فاصله‌ای نیست؛ برخلاف ارادۀ بندگان که پس از موازنه و علم به صلاح، کیف دیگری به نام اراده بین فعل و علم به صلاح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توجیهات، با ذکر اخبار مذکور و روایات بسیار دیگری از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ناسازگار است</w:t>
      </w:r>
      <w:r>
        <w:rPr>
          <w:rFonts w:eastAsia="IRNazanin" w:cs="IRNazanin"/>
          <w:color w:val="111111"/>
          <w:sz w:val="28"/>
          <w:szCs w:val="28"/>
          <w:rtl w:val="true"/>
          <w:lang w:bidi="fa-IR"/>
        </w:rPr>
        <w:t>.</w:t>
      </w:r>
    </w:p>
    <w:p>
      <w:pPr>
        <w:pStyle w:val="Heading3"/>
        <w:numPr>
          <w:ilvl w:val="2"/>
          <w:numId w:val="1"/>
        </w:numPr>
        <w:rPr/>
      </w:pPr>
      <w:bookmarkStart w:id="109" w:name="__RefHeading___Toc660233_1395250215"/>
      <w:bookmarkStart w:id="110" w:name="_Toc42"/>
      <w:bookmarkEnd w:id="109"/>
      <w:r>
        <w:rPr>
          <w:rtl w:val="true"/>
        </w:rPr>
        <w:t>منابع</w:t>
      </w:r>
      <w:bookmarkEnd w:id="1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المرام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حسن محمود، قاهره، المجلس الاعلی للشوون الاسلامیه لجنه احیاء التراث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شفا،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دادجو،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علائی، تصحیح و تحشیه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احمدخراسانی، تهران، شرکت 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ابوالحسن احمد،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اللغۀ،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ابن‌فورک، ابی‌بکر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مقالات اشعری، بیروت، دارالمشرق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العقاید النسفیه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قاهره، مکتبه الکلیات الازهریه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الهی از منظر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حسن‌زاده‌آملی، حسن،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خیرالاثر در رد جبر و قدر، قم، مرکز انتشارات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حسینی‌همدانی، 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درخشان پرتوی از اصول کافی، قم، 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العشر، قم، جامعه مدرسین و مؤسسه نشر اسلامی؛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بیروت، مؤسسه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جمال‌الدین،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انوارالملکوت،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نجفی الزنجانی، قم،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 بن محمد،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التعریفات،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احمدعبدالغفور عطا، تهران، امیری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امام الحرمین،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الی قواطع الادلّه فی اصول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یوسف موسی، مصر، مکتبة الخانجی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محمدکاظم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کفایۀ الاصول،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بیروت،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سبزواری، ملاهادی،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الأسماءالحسنی ، تهران،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ابوالقاسم علی بن حسین،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احمدحسینی، قم، دارالقرآن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بدران،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ملاصدرا،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الحکمه المتعالیه فی الاسفار العقلیه الاربعه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 انتشارات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محمد بن علی بن الحسین بن موسی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قم، مؤسسۀ النشر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تفسیرالقرآن، قم، مؤسسه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مشهد،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خواجه نصیر‌الدین،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چاپ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ابوهلال،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الفروق اللغویة،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بیت الله بیات،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عزیزالله،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الامام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مشهد،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محمد بن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التعلیقات، به ضمیمه کتاب التنبیه علی سبیل السعادة، تهران، چاپ جعفرآل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ابن‌احمد همدانی،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الخمسه،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عثمان، قاهره، مکتبه وهبه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ابوجعفر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 تهران، 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تهران، دفتر فرهنگ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عبدالرزاق،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ایمان در اصول اعتقادات،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لاریجانی، تهران، الزهراء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فی اخبار الائمۀ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المغنی فی ابواب التوحید و العدل،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قنواتی، مصر، وزارت فرهنگ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النعمان العکبری البغدادی،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الاعتقادیّه، بیروت، دارالمفید</w:t>
      </w:r>
      <w:r>
        <w:rPr>
          <w:rFonts w:eastAsia="IRNazanin" w:cs="IRNazanin"/>
          <w:color w:val="111111"/>
          <w:sz w:val="28"/>
          <w:szCs w:val="28"/>
          <w:rtl w:val="true"/>
          <w:lang w:bidi="fa-IR"/>
        </w:rPr>
        <w:t>.</w:t>
      </w:r>
      <w:bookmarkStart w:id="111" w:name="pg2646_16505"/>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2"/>
        <w:numPr>
          <w:ilvl w:val="1"/>
          <w:numId w:val="1"/>
        </w:numPr>
        <w:rPr/>
      </w:pPr>
      <w:bookmarkStart w:id="112" w:name="__RefHeading___Toc660235_1395250215"/>
      <w:bookmarkStart w:id="113" w:name="_Toc43"/>
      <w:bookmarkEnd w:id="112"/>
      <w:r>
        <w:rPr>
          <w:rtl w:val="true"/>
        </w:rPr>
        <w:t>بررسی تبیین عقلانیِ برهان نظم در دیدگاه آیت‌الله مطهری</w:t>
      </w:r>
      <w:bookmarkEnd w:id="113"/>
    </w:p>
    <w:p>
      <w:pPr>
        <w:pStyle w:val="Heading3"/>
        <w:numPr>
          <w:ilvl w:val="2"/>
          <w:numId w:val="1"/>
        </w:numPr>
        <w:rPr/>
      </w:pPr>
      <w:bookmarkStart w:id="114" w:name="__RefHeading___Toc660237_1395250215"/>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قدرت اله قربانی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1392/12/04</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1393/04/17</w:t>
      </w:r>
    </w:p>
    <w:p>
      <w:pPr>
        <w:pStyle w:val="Heading3"/>
        <w:numPr>
          <w:ilvl w:val="2"/>
          <w:numId w:val="1"/>
        </w:numPr>
        <w:rPr/>
      </w:pPr>
      <w:bookmarkStart w:id="116" w:name="__RefHeading___Toc660239_1395250215"/>
      <w:bookmarkStart w:id="117" w:name="_Toc45"/>
      <w:bookmarkEnd w:id="116"/>
      <w:r>
        <w:rPr>
          <w:rtl w:val="true"/>
        </w:rPr>
        <w:t>چکیده</w:t>
      </w:r>
      <w:bookmarkEnd w:id="117"/>
    </w:p>
    <w:p>
      <w:pPr>
        <w:pStyle w:val="BookText"/>
        <w:rPr/>
      </w:pPr>
      <w:r>
        <w:rPr>
          <w:rFonts w:ascii="IRNazanin" w:hAnsi="IRNazanin" w:eastAsia="IRNazanin"/>
          <w:color w:val="111111"/>
          <w:sz w:val="28"/>
          <w:sz w:val="28"/>
          <w:szCs w:val="28"/>
          <w:rtl w:val="true"/>
          <w:lang w:bidi="fa-IR"/>
        </w:rPr>
        <w:t>شهید مطهری دیدگاه دقیقی دربارۀ برهان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مهمّ او این است که تنها با نظر به علیت فاعلی، نمی‌توان از نظمِ موجود در جهان و حتی علیتِ جاری در آن، به هستیِ خدا آگاهی یافت، زیرا نظم به معنای واقعی، هم ناشی از علت غایی و هم علت فاعلی است و با صرف تحقق علت فاعلی، نظم تحقق کامل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 مسائل مهمی در این باره، تلاش می‌کند تقریری قابل قبول از این برهان ارائه دهد، تا امکان طرح آن به صورت برهانی علمی و عقلی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جوادی‌آملی نیز نظریات مناسبی در تکمیل برهان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مقالۀ حاضر، ابتدا ابعاد دیدگاه مطهری در تبیین عقلانی برهان نظم بیان می‌شود و سپس با ارائه مواردی از نظریات آیت‌الله جوادی، تلاش خواهد شد تا به برخی انتقادات وارد بر این برهان، از این رویکرد پاسخ داده شود</w:t>
      </w:r>
      <w:r>
        <w:rPr>
          <w:rFonts w:eastAsia="IRNazanin" w:cs="IRNazanin"/>
          <w:color w:val="111111"/>
          <w:sz w:val="28"/>
          <w:szCs w:val="28"/>
          <w:rtl w:val="true"/>
          <w:lang w:bidi="fa-IR"/>
        </w:rPr>
        <w:t>.</w:t>
      </w:r>
    </w:p>
    <w:p>
      <w:pPr>
        <w:pStyle w:val="Heading3"/>
        <w:numPr>
          <w:ilvl w:val="2"/>
          <w:numId w:val="1"/>
        </w:numPr>
        <w:rPr/>
      </w:pPr>
      <w:bookmarkStart w:id="118" w:name="__RefHeading___Toc660241_1395250215"/>
      <w:bookmarkStart w:id="119" w:name="_Toc46"/>
      <w:bookmarkEnd w:id="118"/>
      <w:r>
        <w:rPr>
          <w:rtl w:val="true"/>
        </w:rPr>
        <w:t>واژگان کلیدی</w:t>
      </w:r>
      <w:bookmarkEnd w:id="1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علیت، علت فاعلی، علت غایی، هدایت، نظم، تصادف</w:t>
      </w:r>
      <w:r>
        <w:rPr>
          <w:rFonts w:eastAsia="IRNazanin" w:cs="IRNazanin"/>
          <w:color w:val="111111"/>
          <w:sz w:val="28"/>
          <w:szCs w:val="28"/>
          <w:rtl w:val="true"/>
          <w:lang w:bidi="fa-IR"/>
        </w:rPr>
        <w:t>.</w:t>
      </w:r>
      <w:bookmarkStart w:id="120" w:name="pg2646_16506"/>
    </w:p>
    <w:p>
      <w:pPr>
        <w:pStyle w:val="BookText"/>
        <w:rPr/>
      </w:pPr>
      <w:bookmarkEnd w:id="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Heading3"/>
        <w:numPr>
          <w:ilvl w:val="2"/>
          <w:numId w:val="1"/>
        </w:numPr>
        <w:rPr/>
      </w:pPr>
      <w:bookmarkStart w:id="121" w:name="__RefHeading___Toc660243_1395250215"/>
      <w:bookmarkStart w:id="122" w:name="_Toc47"/>
      <w:bookmarkEnd w:id="121"/>
      <w:r>
        <w:rPr>
          <w:rtl w:val="true"/>
        </w:rPr>
        <w:t>مقدمه</w:t>
      </w:r>
      <w:bookmarkEnd w:id="122"/>
    </w:p>
    <w:p>
      <w:pPr>
        <w:pStyle w:val="BookText"/>
        <w:rPr/>
      </w:pPr>
      <w:r>
        <w:rPr>
          <w:rFonts w:ascii="IRNazanin" w:hAnsi="IRNazanin" w:eastAsia="IRNazanin"/>
          <w:color w:val="111111"/>
          <w:sz w:val="28"/>
          <w:sz w:val="28"/>
          <w:szCs w:val="28"/>
          <w:rtl w:val="true"/>
          <w:lang w:bidi="fa-IR"/>
        </w:rPr>
        <w:t>تأمل در ویژگی‌های عقلانیِ براهین اثبات وجود خدا، این امکان را نشان می‌دهد که برهان‌های مزبور تا چه حدی می‌توانند مورد پذیرش اکثریت عقلا قرار بگیرند؛ یعنی خصوصیات عقلانیِ براهین خداشناسی، نشان‌دهندۀ امکان بسط آن برای سنت‌های فکری، فلسفی و دینیِ متفاوت و پذیرش وسیع آن از سوی گروه‌های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تأمل در ویژگی‌های عقلانیِ برهان‌ها، امکان دست‌یابی به تبیین‌ها و تقریرهای مشترک و تقریباً همه‌پسند را فراهم می‌سازد که ارزش آن، بی‌نیاز از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براهینی است که به نظر می‌رسد هم امکان ارائه تبیینی عقلانی از آن هست و هم قابلیت پذیرش آن از سوی سنت‌های فکری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در این مقاله ابعاد گوناگون این برهان با تقریر آیت‌الله مطهری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تاریخچۀ برهان نظم نشان می‌دهد که آن از مهم‌ترین براهین اثبات وجود خداست که در سنت‌های فلسفی و کلامیِ غربی و اسلامی، و حتی میان دانشمندان و فیلسوفان،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پدیدارهای تجربی، حسی و مشهود در جهان به منظور تمهید مقدمات این برهان، موجب شد تا اقبال عمومی به آن افزایش یابد؛ از این رو، تاریخ تأملات فلسفی و کلامیِ سنت اسلامی و غربی، بیان‌گر دیدگاه‌های متنوعِ طرف‌دار و گاهی منتقد برهان نظم است؛ ضمن این‌که تحولات دنیای جدید، یعنی رشد علوم تجربی از سویی، و گسترش شک‌گراییِ فلسفی از سوی دیگر، هم ابعاد جدیدی از نظم و هماهنگیِ شگفت‌آور جهان را هویدا ساخته و هم از منظر معرفت‌شناسی‌های تجربی، امکان طرح شک‌ها و تردیدهای جدیدی را بر این برهان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مهمّ آن، اشکالات هیوم و کانت بر تقریرها و مبانیِ این برهان است، که موجب طرح نظریات موافق و مخالف جدیدی در جهان غرب و اسلام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اسلامی ایران معاصر، که به طرق گوناگون طی دو قرن گذشته در معرض اندیشه‌های فلسفیِ غربی بوده و هنوز نیز قرار دارد، مباحث الهیاتی، از جمله برهان‌های اثبات وجود خدا، از طرق متکثری مورد چالش و چون و چرا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برهان نظم به دلایل گوناگونی اهمیت بیشتری دارد و از آن‌جا که در سنت فلسفی و کلامی اسلامی تا عصر حاضر، توجه کمتری به این برهان شده است، این نیاز احساس می‌شود که باید تقریری جدید و عقلانی از این برهان به عمل آید تا در مقابل انتقادات مطرح در اندیشه‌های فلسفی غربی، تاب مقاومت داشته و از اندیشۀ دینی و کلامی به طرزی معقول دفاع گردد</w:t>
      </w:r>
      <w:r>
        <w:rPr>
          <w:rFonts w:eastAsia="IRNazanin" w:cs="IRNazanin"/>
          <w:color w:val="111111"/>
          <w:sz w:val="28"/>
          <w:szCs w:val="28"/>
          <w:rtl w:val="true"/>
          <w:lang w:bidi="fa-IR"/>
        </w:rPr>
        <w:t>.</w:t>
      </w:r>
      <w:bookmarkStart w:id="123" w:name="pg2646_16507"/>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شهید آیت‌الله مطهری از متفکرانی بود که تلاش کرد تا ضمن آشکار کردن نکات ضعف انتقادات فیلسوفان غربی، تبیین مناسب‌تر و عقلانی‌تری از این برهان ارائه دهد تا هم حدود کارکردهای برهان نظم مشخص شود و هم میزان انتظارات ما از آن تصحیح شود، زیرا آسیب‌شناسیِ دیدگاه‌های فیلسوفان غربی نشان می‌دهد، یکی از علل مهمّ انتقادات آن‌ها از این برهان، بررسی آن از منظری نادرست و غیرواقعی بود و در نتیجه انتظاری که از آن دارند، به‌دست‌آمدنی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در برخی آثار خود، با تفکیک قلمرو تجربه از قلمرو عقل، و نگرش تجربی از عقلانی، دیدگاه دقیقی دربارۀ برهان نظم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تحلیل آن به چند مسئله مهم توجه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تلازم علیتِ فاعلی و غایی؛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بودن تصادف با نفی علت غایی، نه علت فاعلی؛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جهان هستی و موجودات آن به عنوان معلول در حکایت از علتِ هستی‌بخش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اصل نظم و هدایت در برهان نظم و لزوم پیوستگیِ طولیِ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مهم مطهری آن است که تنها با نظر به علیت فاعلی، نمی‌توان از نظم موجود در جهان و حتی علیت جاری در آن به هستی خدا آگاهی یافت، زیرا نظم به معنای واقعی، هم ناشی از علت غایی و هم از علت فاعلی است و با صرف تحقق علت فاعلی، نظم تحقق کامل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بیان موارد مزبور، تلاش می‌کند تا تقریری قابل قبول از این برهان ارائه دهد و امکان طرح آن به صورت برهان علمی‌و عقلیِ مقبول،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ابتدا ابعاد دیدگاه مطهری در تبیین عقلانی برهان نظم بیان می‌شود و سپس با ارائه مواردی از نظریات آیت‌الله جوادی‌آملی که در تکمیل نظریات مطهری است، تلاش خواهد شد تا برخی انتقادت وارد بر این برهان، از این رویکرد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فرضیۀ پژوهش این است که مطهری تبیینی از برهان نظم ارائه می‌دهد که هم آن را از انتقادات رایج فیلسوفان غربی مصون داشته و هم حدود کارکردهای برهان نظم را به گونه‌ای مشخص می‌سازد که انتظارات ما از آن اصلاح شود</w:t>
      </w:r>
      <w:r>
        <w:rPr>
          <w:rFonts w:eastAsia="IRNazanin" w:cs="IRNazanin"/>
          <w:color w:val="111111"/>
          <w:sz w:val="28"/>
          <w:szCs w:val="28"/>
          <w:rtl w:val="true"/>
          <w:lang w:bidi="fa-IR"/>
        </w:rPr>
        <w:t>.</w:t>
      </w:r>
    </w:p>
    <w:p>
      <w:pPr>
        <w:pStyle w:val="Heading3"/>
        <w:numPr>
          <w:ilvl w:val="2"/>
          <w:numId w:val="1"/>
        </w:numPr>
        <w:rPr/>
      </w:pPr>
      <w:bookmarkStart w:id="124" w:name="__RefHeading___Toc660245_1395250215"/>
      <w:bookmarkStart w:id="125" w:name="_Toc48"/>
      <w:bookmarkEnd w:id="124"/>
      <w:r>
        <w:rPr>
          <w:rtl w:val="true"/>
        </w:rPr>
        <w:t>ویژگی‌های تقریرات مطهری</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گستردۀ آیت‌الله مطهری دربارۀ برهان نظم در کتاب توحید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او پس از تقسیم براهین اثبات وجود خدا، به سه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دل یا 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فلسفی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علمی و شبه‌فلسفی، برهان نظم را از قسم سوم، یعنی راه و روش‌های علمی، عقلانی و شبه‌فلسفی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این‌گونه براهین هم به مقدمات</w:t>
      </w:r>
      <w:bookmarkStart w:id="126" w:name="pg2646_16508"/>
    </w:p>
    <w:p>
      <w:pPr>
        <w:pStyle w:val="BookText"/>
        <w:rPr/>
      </w:pPr>
      <w:bookmarkEnd w:id="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علمی و تجربی نیاز داریم و هم مقدمات فلسفی و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تلاش می‌کند تا معنای نظم و این‌که منظم بودن عالم چه معنایی دارد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نظم و منظم بودن را با داشتن علت فاعلی در ارتباط مستقیم دانسته، مجموعۀ تصادفی را مجموعه‌ای می‌داند که علت غایی نداشته باشد، و اعتقاد دارد که مادیون نیز نظم به معنای وجود علت فاعلی را پذیرفته و تصادف به معنای نداشتن علت فاعلی را منکرند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27" w:name="__RefHeading___Toc660247_1395250215"/>
      <w:bookmarkStart w:id="128" w:name="_Toc49"/>
      <w:bookmarkEnd w:id="127"/>
      <w:r>
        <w:rPr>
          <w:rtl w:val="true"/>
        </w:rPr>
        <w:t>تلازم علیتِ فاعلی و غایی در برهان نظم</w:t>
      </w:r>
      <w:bookmarkEnd w:id="128"/>
    </w:p>
    <w:p>
      <w:pPr>
        <w:pStyle w:val="BookText"/>
        <w:rPr/>
      </w:pPr>
      <w:r>
        <w:rPr>
          <w:rFonts w:ascii="IRNazanin" w:hAnsi="IRNazanin" w:eastAsia="IRNazanin"/>
          <w:color w:val="111111"/>
          <w:sz w:val="28"/>
          <w:sz w:val="28"/>
          <w:szCs w:val="28"/>
          <w:rtl w:val="true"/>
          <w:lang w:bidi="fa-IR"/>
        </w:rPr>
        <w:t>اهمیت قابل توجه دیدگاه مطهری در برقراری رابطۀ طولی میان علت فاعلی و علت غایی در برهان نظم است؛ یعنی تنها با نظر به علیت فاعلی نمی‌توان از نظم موجود در جهان و حتی علیت جاری در آن به هستی خدا وقوف یافت، زیرا نظم به معنای واقعی، هم ناشی از علت غایی و هم علت فاعلی است و با صرف تحقق علت فاعلی، نظم تحقق کامل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این است که تنها فرض علت فاعلی برای به وجود آمدن شیء کافی نیست، حتماً باید فرض علت غایی بشود؛ یعنی باید فرض کرد که فاعل دارای قوۀ شعور، به معنای فهم و درک این کار و حکمت و تدبیر بوده است، به طوری که نیروی خودش را اداره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مشکل اساسی دیدگاه مادی‌گراها، متکلمان و فیلسوفان را این می‌داند که آن‌ها از نقش و اهمیت علت غایی در برهان نظم غافل بوده اند و تنها به علت فاعلی توجه کرده‌اند که این امر، از ویژگی‌های اصلی دورۀ مدرن است که از اهمیت و نقش غایت و علت غایی غفلت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این باره به اهمیت پیشرفت‌های علمی‌نیز نظر دارد و بر آن است که از جمله کمک‌های علم تجربی و آزمایشی این است که ما را در فهم نظامات داخلی اشیا و در واقع، فهم ساختار غایی آن‌ها کمک فراوانی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علم وقتی که پیش می‌رود، نظامات بیشتری کشف می‌کند؛ نظاماتی که از وجود انتخاب، اختیار، تدبیر و ارادۀ بیشتر حکایت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شهید مطهری، بیان تفاوت این دو، یعنی نظمِ ناشی از علت فاعلی و نظمِ ناشی از علت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ناشی از علت فاعلی بیان‌گر این است که هر معلول و اثری، مؤثر و فاعلی دارد، در حالی که نظمِ ناشی از علت غایی حکایت می‌کند که در ناحیۀ علت انتخاب وجود داشته؛ یعنی این علتی که این معلول را به وجود آورده، در وضع و حالتی قرار داشته که می‌توانسته است این معلول را به شکلی دیگر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شکل‌های مختلفی که امکان داشته این معلول وجود پیدا کند، شکل معینِ به‌خصوصی از ناحیۀ علت انتخاب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اصل علیتِ غایی در این‌جا، این است</w:t>
      </w:r>
      <w:bookmarkStart w:id="129" w:name="pg2646_16509"/>
    </w:p>
    <w:p>
      <w:pPr>
        <w:pStyle w:val="BookText"/>
        <w:rPr/>
      </w:pPr>
      <w:bookmarkEnd w:id="1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که در جایی ممکن است واقع گردد که یا خودِ آن علتی که این معلول را به وجود آورده است، دارای شعور، ادراک و اراده باشد یا آن‌که اگر فرضاً دارای شعور، ادراک و اراده نیست، تحت تسخیر، تدبیر و ارادۀ فاعل بالاتری باشد که آن فاعل بالاتر، او را تدبیر می‌کند، او را می‌کشاند؛ مثل این‌که خود این فاعل، حکم ابزاری را دارد که در دست او، اختیار و اراده‌ای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مطهری،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با این وصف و با لحاظ این ویژگیِ علیت غایی، تصادف را مساوی با نفی علت غایی می‌داند، نه نفی علت فاعلی، و تأکید دارد که معمولاً غربیانِ مادی‌گرا نیز تصادف را به معنای نفی علت فاعلی لحاظ نمی‌کنند، بلکه از آن، نفیِ علت غایی مورد نظرشان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مطهری با اعتقاد به علت غایی در طبیعت، امکان هرگونه تصادف، حتی در معنای نسبیِ آن را نیز رد می‌کند، زیرا از آن‌جا که نظام عالم، نظامی غایی است که در آن و در طبیعت، اشیا به سوی هدف، غایت و انتخاب خودشان حرکت می‌کنند، اگرچه امکان برخی موارد تصادفی جزئی است، در واقع این‌گونه تصادفات، ظاهری و از نظر ما تصادف است، نه در واقعیتِ آن، چراکه اگر ما با دیدی کلی‌تر نگاه کنیم، هیچ چیز تصادف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30" w:name="__RefHeading___Toc660249_1395250215"/>
      <w:bookmarkStart w:id="131" w:name="_Toc50"/>
      <w:bookmarkEnd w:id="130"/>
      <w:r>
        <w:rPr>
          <w:rtl w:val="true"/>
        </w:rPr>
        <w:t>ویژگیِ حکایت‌گری معلول‌ها</w:t>
      </w:r>
      <w:bookmarkEnd w:id="131"/>
    </w:p>
    <w:p>
      <w:pPr>
        <w:pStyle w:val="BookText"/>
        <w:rPr/>
      </w:pPr>
      <w:r>
        <w:rPr>
          <w:rFonts w:ascii="IRNazanin" w:hAnsi="IRNazanin" w:eastAsia="IRNazanin"/>
          <w:color w:val="111111"/>
          <w:sz w:val="28"/>
          <w:sz w:val="28"/>
          <w:szCs w:val="28"/>
          <w:rtl w:val="true"/>
          <w:lang w:bidi="fa-IR"/>
        </w:rPr>
        <w:t>نکتۀ مهم دیگری که شهید مطهری در این‌جا بر آن تأکید دارد، اهمیت و نقش موجودات هستی به عنوان معلول، در حکایت و مرآتیت از علت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با استفاده از این خصوصیت بیان می‌کند که معلول، همان‌گونه که از اصل وجود علت حکایت می‌کند، یعنی حکایت می‌کند که من علتی دارم، از صفات و خصوصیات علت هم تا حدودی حکایت می‌کند؛ یعنی این‌گونه نیست که معلول فقط حکایت کند که من علتی دارم، نه؛ تا حدودی صفاتِ علت خودش را هم نشان می‌دهد؛ مثلاً عظمت معلول، دلیل بر عظمت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ویژگی‌های مهم علت، که معلول می‌تواند گویای آن باشد، علمِ علت است؛ یعنی علم علت در آیینۀ هستیِ معلول، به تجلی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اساسی‌ترین راه‌های شناخت علت‌ها، آغاز شناسایی و پرسش از معلول و ویژگی‌های وجودی آن برای رسیدن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است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Heading3"/>
        <w:numPr>
          <w:ilvl w:val="2"/>
          <w:numId w:val="1"/>
        </w:numPr>
        <w:rPr/>
      </w:pPr>
      <w:bookmarkStart w:id="132" w:name="__RefHeading___Toc660251_1395250215"/>
      <w:bookmarkStart w:id="133" w:name="_Toc51"/>
      <w:bookmarkEnd w:id="132"/>
      <w:r>
        <w:rPr>
          <w:rtl w:val="true"/>
        </w:rPr>
        <w:t>اصل هدایت در تکمیل برهان نظم</w:t>
      </w:r>
      <w:bookmarkEnd w:id="1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در کتاب توحید با طرح اصل هدایت، که او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است، بر آن است که این اصل یا برهان، چیزی غیر از برهان نظم است، زیرا در برهان نظم، سخن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ساختار و نحوۀ هستیِ اشیاست، در حالی که در برهان هدایت، بحث در نحوۀ کار و فعالیت آن‌هاست؛ از این رو، نظم و هدایت دو مقولۀ جدا در راهبری ذهن ما به خالق هستند، هرچند ارتباط دقیقی با هم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نظر می‌رسد اگرچه می‌توان اصل نظم و اصل هدایت موجودات را جدا از هم در نظر گرفت، رابطۀ ذاتی آن‌ها و حتی وابستگیِ درونی هدایت به خلقت و تأخر آن از نظم، بیان‌گر معیت و هم‌دوشیِ آن‌ها در آگاهی‌دهیِ ما به خالق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بر آن است که تأکید بر اصل هدایت در کنار نظم، برای اولین بار در قرآن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چندی، از جمله در آیۀ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به پرسش فرعون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ربکما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 دو نکتۀ مهم و اساسی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خلقت و سپس هدایت موجودات، که این همان برهان هدایت است؛ یعنی برای رسیدن به هستیِ خالق از طریق برهان نظم، صرف ملاحظۀ خلقت منظم موجودات و استنباط یا ادراک نظم عقلانی و کلی آن‌ها کافی نیست، بلکه باید به چگونگی هستی و نحوۀ کارکرد موجودات که ناشی از اصل هدایت آن‌هاست،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با طرح این مطلب، بر آن است که اصل هدایت، نتیجۀ جبری ساختار اشیا نیست، بلکه خالق هستی گرایش و کششی درونی در آن‌ها نهاده است که آن‌ها را به جهت خاصی هدایت و رهبری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تأکید دارد که این ویژگی را پس از قرآن، کسی از متفکران جدّی نگرفته است و در جهان اسلام، تنها فخر رازی است که در تفسیر آیات اول تا سوم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مطهری توجه خاصی به این برهان دارد و توجه به اصل هدایت را در تکمیل و حتی راهبری مستقیم به خدا لازم می‌داند؛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ادعا کنیم که دو نوع مطالعه ما را به خداشناسی می‌رساند؛ یکی مطالعۀ خود ساختمان اشیا و دیگر مطالعۀ طرز 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اولی همان راه و برهان نظم، و دومی راه و برهان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در این آیه، اصل انتظام از اصل هدایت و رهبری کاملاً جدا شده‌اند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جدایی و بیان‌گر اصل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آیات دیگر با مضامین نزدیک به این، نشان‌گر آنند که خداوند تنها خالق موجودات نیست، بلکه هدایت آن‌ها نیز در برنامۀ خالقیت او وجود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سپس تلاش می‌کند تا شواهد فراوانی از هدایت‌های خداوندی را در موجودات هستی، اعم از جمادات، گیاهان و انسان‌ها نشان دهد؛ لذا ضمن توجه به اصول انطباق با محیط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در حیوانات و ترمیم ساختمان و کشش غریزی در حیوانات و نیز انسان‌ها، این امر را تشریح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مطهری می‌کوشد تا با بیان موارد فراوان، اصل هدایت را با اصل علیت غایی پیوند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رویکرد، یکی دیگر از دیدگاه‌های او، تفاوت‌گذاری مشخص میان جان‌داران و موجودات بی‌جان در مسئله انتخاب و ابتکار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او ابتدا نگرش مادی‌گرایان را در نفی علیت غایی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مطهری، مادیون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اصل علت غایی در کار عالم دخالت ندارد؛ اصل علت غایی مربوط به کارهای انسان یا حیوانات است و بس؛ آن‌هم نه به همۀ کارهای انسان، بلکه قسمتی از کارهای انسان، و تعمیم دادن آن به همۀ عالم، کار نادرستی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نقد مادیون، بر تفاوت اساسی موجودات بی‌جان، یعنی موجوداتی که از صرف ماده آفریده شده‌اند و موجودات جان‌دار، تأکید می‌کند؛ بر این اساس که در مادۀ صرف، ابتکار و انتخاب وجود ندارد، در حالی که در موجودات ذی‌حیات، ابتکار و انتخاب وجود دارد که همین امر، وجه فارق و ممیز میان آن‌هاست و می‌تواند دلیل بر وجود غایت در افعال و رفتار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دیدگاه کریسین موریسون، دانشمند امریکایی توجه دارد که در کتاب راز آفرینش انسان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جز بر طبق قوانین و انتظامات خود، عملی انجام نمی‌دهد؛ یک سلسله قوانین و نظامات بالفعل حاضر دارد و اجباراً همان قوانین و نظامات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اتم‌ها، تابع قوانین مربرط به قوۀ جاذبۀ زمین، فعل و انفعالات شیمیایی و تأثیرات مواد الکتریسیته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خود قوۀ ابتکار ندارد و فقط حیات است و هر لحظه نقش‌های تازه و موجودات بدیع به عرصۀ ظهور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وجود حیات، عرصۀ پهناور زمین، عبارت از بیابانی فقیر و لم‌یزرع و دریای مردۀ بی‌فایده‌ای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سپس مواردی از پیچیدگی‌های وجودی انسان را ذکر می‌کند تا نشان دهد اصل هدایت چگونه در هستیِ او ایفای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الهامات و اشراقات علمی را از نمونه‌های بارز این امر می‌داند و دربارۀ اشراقات بر آن است که این‌ها چیزهایی است که تنها از راه تفکر و استدلال حاصل‌شدنی نیستند، بلکه عامل دیگری در کار است که غیر از استدلال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چیزی است که مثل تفکر استدلالی، معلول فرایند‌های گذشته نیست، بلکه بدون دخالت آن‌ها به وجود می‌آید و ذهن انسان تنها آمادگی پیدا می‌کند تا این اشراق یا الهام در او محقق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به سخنان برخی متفکران اسلامی و غربی چون بوعلی‌سینا و اینشتین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در اشارات و دانش‌نامۀ علایی ضمن تفاوت‌گذاری بین انسان‌ها در قوۀ حدس می‌گوید که او کسانی را سراغ دارد که بدون مطالعۀ چیزی، تنها از</w:t>
      </w:r>
      <w:bookmarkStart w:id="134" w:name="pg2646_16512"/>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طریق حدس و الهام، دانش را آموخته‌اند که خود بوعلی و انبیا از نمونه‌های روشن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به این سخن اینشتین نیز توجه دارد که تجارب، مولد فرضیه‌ها نیستند، بلکه فرضیات هستند که تجارب را به دنبال خود می‌کشانند و فرضیه‌های بزرگ دنیا، همان‌هایی هستند که در حالتی یک‌مرتبه به ذهن دانشمند القا و الهام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مطالب بیان‌شدۀ مطهری به دست می‌آید، آن است که نظم موجود در موجودات جان‌دار و بی‌جان جهان، هم نظم فاعلی و هم نظم 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و هماهنگی موجودات هستی به گونه‌ای است که نه تنها انسجام و روابط دقیق میان آن‌ها را نشان می‌دهد، بلکه بیان‌گر این واقعیت است که این نظم از علتی باشعور و آگاه سرچشمه گرفته و به سوی غایتی مشخص و عالی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مشاهدۀ حرکات تکاملی موجودات، به‌ویژه انسان‌ها، بیشتر آشکار می‌شود، زیرا قدرت اختیار، انتخاب و گزینش در انسان‌ها نشان‌گر این است که نه تنها علت فاعلیِ چنین معلول‌هایی دارای این کمالات در مراتب بالاتری است، بلکه این معلول‌ها با گزینش‌های اختیاری خود، رو به سوی غایات برتری دارند؛ بنابراین، واقعیت نظم و هدایت، دو واقعیت بنیادین در نهاد موجودات هستی است که ما را به وجود ناظم و هدایت‌گر اصیل آن‌ها رهنمون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تبیین شهید مطهری از ویژگی‌های گوناگون برهان نظم، می‌توان صورت‌بندی منطقیِ آن را به شکل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نظم، واقعیتی مسلّم و انکارناپذیر در جهان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موجود میان واقعیت‌های هستی، هم حکایت‌گر اصل علیت فاعلی و هم علیت غایی است؛ یعنی مجموعۀ هستی از فاعلی حقیقی نشئت یافته و به سوی غایتی مشخص در حرکت است، که این امر اصل هدایت‌گری را نیز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فاعل و غایت حقیقیِ نظم شگفت‌انگیز جهان، از مبدائی الهی نشئت یافته است که تنها خدا شایستۀ چنین عنوانی است</w:t>
      </w:r>
      <w:r>
        <w:rPr>
          <w:rFonts w:eastAsia="IRNazanin" w:cs="IRNazanin"/>
          <w:color w:val="111111"/>
          <w:sz w:val="28"/>
          <w:szCs w:val="28"/>
          <w:rtl w:val="true"/>
          <w:lang w:bidi="fa-IR"/>
        </w:rPr>
        <w:t>.</w:t>
      </w:r>
    </w:p>
    <w:p>
      <w:pPr>
        <w:pStyle w:val="Heading3"/>
        <w:numPr>
          <w:ilvl w:val="2"/>
          <w:numId w:val="1"/>
        </w:numPr>
        <w:rPr/>
      </w:pPr>
      <w:bookmarkStart w:id="135" w:name="__RefHeading___Toc660253_1395250215"/>
      <w:bookmarkStart w:id="136" w:name="_Toc52"/>
      <w:bookmarkEnd w:id="135"/>
      <w:r>
        <w:rPr>
          <w:rtl w:val="true"/>
        </w:rPr>
        <w:t>نقد دیدگاه‌های هیوم</w:t>
      </w:r>
      <w:bookmarkEnd w:id="1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تأثیرات گستردۀ دیدگاه‌های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برهان‌های اثبات وجود خدا در جهان غرب و جریان‌های روشن‌گریِ ملل شرقی، مطهری را به ریشه‌یابیِ مبانی و نحوۀ نگرش هیوم به این برهان‌ها، به‌ویژه برهان نظم، سوق می‌دهد؛ از این رو، او در کتاب علل گرایش به مادی‌گری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ضمن تأکید بر نارساییِ مفاهیم فلسفیِ غرب در انتقال درست اندیشه‌های فلسفی که به گسترش مادی‌گرایی در آن سرزمین منجر شده است، بر تلقی فیلسوفان غربی از علیت، تأکید خاصی دارد و فهم فیلسوفانی چون هیوم را مورد نقدهای جدی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در ابتدا تأکید دارد که این برهان از ساده‌ترین و عمومی‌ترین برهان‌های اثبات وجود خداست و به واسطۀ ویژگی تجربیِ آن، قابلیت فهم و استفادۀ عمومی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غرب، الهیون به این برهان بیشتر از براهین دیگر دل‌بسته بودند که با انتقادات هیوم و کانت تا حدودی امید آن‌ها به یأس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مطهری، هیوم در کتاب گفت‌وگوهایی دربارۀ دین طبیعی، با در نظر گرفتن دو شخص خیالی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کلئانتس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می‌کند نشان دهد، ادلۀ الهیون برای اثبات وجود خدا از طریق نظم، اتقان و استحکام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موارد عمدۀ انتقادات هیوم از برهان نظم، از کتاب خود او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دیدگاه‌های انتقادیِ خود از این برهان را، از زبان فیلون شکاک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نخستِ خود، با پذیرش این‌که در طبیعت طرح و تدبیری وجود دارد، استدلال می‌کند که طراح آن نیز باید متناسب با آن طرح و تدبیر باشد؛ پس خدایی که از برهان نظم ناشی می‌شود، باید متناسب با مصنوعات بشری و محدود باشد، زیرا معلول‌های آن باید محدود، ناکامل، متکثر، مرد یا زن و شبیه انسان باشند، زیرا معلول‌های او نیز اعضایی چون چشم و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هیوم با فرض وجود علت مشخص برای معلول‌های طبیعی، بر شباهت تامّ علت و معلول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در کتاب گفت‌وگوهایی دربارۀ دین طبیعی، تبیین مبتنی بر تمثیل برهان نظم را این‌گونه بیان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اطراف جهان بنگرید؛ به کل جهان و هر جزئی از آن بیندیشید، آن را چیزی جز دستگاهی بزرگ نخواهید یافت که تقسیمات جزئی‌تری را فراتر از چیزی که حواس و قوای انسان می‌توانند توضیح دهند،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دستگاه‌های متعدد، حتی ریزترین آن‌ها، با دقت با یکدیگر هماهنگ شده‌اند که همۀ انسان‌هایی را که تاکنون به آن اندیشیده‌اند، شگفت‌زده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شگفت‌انگیز وسیله‌ها با اهداف، در سراسر طبیعت، دقیقاً شبیه و حتی فراتر از محصول خلاقیت انسانی، محصول طرح، فکر و هوش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معلول‌ها شبیه یکدیگرند، از طریق قواعد تمثیل به سوی این استنتاج هدایت می‌شویم که علل نیز شبیه هم هستند و پدیدآورندۀ طبیعت، چیزی شبیه ذهن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انسان است؛ هرچند دارای قوای بسیار عظیم‌تر، که مطابق با شکوه و عظمت کاری است که او تحقق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استدلال پسینی و با این استدلال به تنهایی، آیا می‌توانیم وجود پروردگار و شباهتش با ذهن و هوش انسانی را ثابت کنیم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 1980: 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استدلال تمثیلیِ هیوم بدین صورت، قابل تقریر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شبیه دستگاه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معلول‌های مشابه، علت‌های مشابه را ثابت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علت‌های جهان و دستگاه‌ها، شبیه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پدیدآورندۀ طبیعت دارای صفاتی است که به گونه‌ای شبیه و بلکه بزرگ‌تر از ذهن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کلارک،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تقریر، هیوم از راه‌های گوناگونی، چنین تقریرهایی از برهان نظم را مورد اشکال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ایرادات او در کتاب گفت‌وگوهایی دربارۀ دین طبیعی، به طور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نخست، به ویژگی تجربی بودن برهان نظم مربوط می‌گردد که نتوان از آن به استنباطات یقینی و خطاناپذیر دست یافت، زیرا تمثیلِ به‌کاررفته در برهان نظم، خیلی ضعیف است و نمی‌تواند شباهت بین امورِ تجربه‌شده و کل جهان هستی را معلوم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هیوم می‌گوید که آگاهی انسان از مشهودات، او را قادر نمی‌سازد که تعیین کند جهان چه نوع وضعیتی باید داشته باشد، چون هیچ‌یک از آن چیزهایی که او درک نکرده است، نمی‌تواند محال تلقی گردد؛ هم‌چنین مقدم بر تجربه، محال است علت حادثه‌ای یا علت جهان را تعیین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 1980: 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دوم هیوم، به نظم ذاتیِ عالم ماده ارتباط دارد؛ لذا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نظم مشهود در جهان را به ذات ماده نسبت دهیم، نه به ناظم خارج از ذاتشان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ممکن است در ذات خود دارای منبع یا منشأ نظم باشد؛ نظم ناشی از علت ناشناختۀ درونی ممکن است به عالی‌ترین نوع نظم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نظم ناشی از ذهن انسان را، که بخش کوچکی از جهان است، به نظم کل جهان هستی تعمیم داد که نظم جهان هم از منبع، هوش و ذهنی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قانونی را که برای بخش کوچکی از جهان هستی ثابت است، برای کل جهان هستی تعمیم داد؟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هیوم، بر نظریۀ تشبیه و انسان‌انگاری این برهان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نوعی نتیجۀ اشکالات پیشین دربارۀ اصل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تمثیلی، مستلزم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متناهی بودن صفات خدا می‌شود، چون علت باید با معلول سنخیت داشته باشد و معلول تا جایی که ما می‌فهمیم، نامحدود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در اشکال چهارم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ناتوان از اثبات کمالات خداست و نمی‌تواند خطاناپذیریِ او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استدلال می‌کند که برهان مبتنی بر تمثیل نمی‌تواند وحدت و یگانگی خدا 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نهایتاً این‌که آن، مستلزم اثبات خدای انسان‌وار است، زیرا از طریق تعمیم صفات انسانی ایجاد گردیده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 1980: 35-45</w:t>
      </w:r>
      <w:r>
        <w:rPr>
          <w:rFonts w:ascii="IRNazanin" w:hAnsi="IRNazanin" w:eastAsia="IRNazanin"/>
          <w:color w:val="111111"/>
          <w:sz w:val="28"/>
          <w:sz w:val="28"/>
          <w:szCs w:val="28"/>
          <w:rtl w:val="true"/>
          <w:lang w:bidi="fa-IR"/>
        </w:rPr>
        <w:t>؛ 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نتیجۀ انتقادات هیوم را به قرار زیر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نظم، برهان تعقلیِ محض بر اساس بدیهیات اولیه نیست، بلکه برهانی تجربی است و مولود تجربۀ طبیعت است و باید واجد شرایط براهین تجربی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مدعی است که از تجارب ممتد دربارۀ طبیعت، شباهت کامل میان طبیعت و مصنوعات انسان، از قبیل ماشین، کشتی و خانه به دست می‌آید و روشن می‌گردد که جهان از نظر رابطۀ اجزایش با یکدیگر و از نظر تطابق میان ساختمان جهان و آثار و نتایجی که بر آن مترتب می‌شود، عیناً مانند ماشینی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قاعدۀ کلی که در براهین تجربی مورد استفاده قرار می‌گیرد، شباهت معلولات دلیل بر شباهت علل است و نظر به این‌که معلومات و مصنوعات انسان از روح، عقل و اندیشه ناشی شده است، پس جهان نیز از روح، عقل و اندیشه‌ای بزرگ ناشی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سپس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هیوم، اساس این برهان بر شباهت میان مصنوعات طبیعت و مصنوعات انسان است؛ به این صورت که جهان از نظر ترکیب و تألیف اجزا، مانند خانه یا ماشین است که قوۀ بیرونیِ ذی‌شعور، یعنی عقل و روح، آن‌ها را برای دست یافتن به یک سلسله هدف‌ها و غرض‌ها به یکدیگر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شباهت کامل نیست؛ یعنی قطعی و یقینی نیست، بلکه ظنی و احتمالی است؛ علاوه بر این، از دید هیوم، این برهان آن‌گاه می‌توانست ویژگی برهان تجربی را داشته باشد که مکرر تجربه شده بود؛ یعنی مکرر جهان‌هایی به همین شکل، وضع و نظام، از موجوداتی شاعر و انسان‌مآب صادر شده بود و ما با تجربه، رابطۀ چنین معلولی را با علتی انسان‌مآب احساس کرده بودیم؛ پس از آن، با دیدن جهانی شبیه جهان‌های تجربه‌شده، حکم می‌کردیم که این جهان نیز مانند آن جهان‌ها، علتی انسان‌مآب دارد؛ در صورتی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برهان می‌خواهد وجود باری‌تعالی را اثبات کند که مساوی است با حکمت بالغه، قدرت نامتناهی و کمال مطلق؛ به فرض، اگر ثابت 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مبدأ جهان موجودی انسان‌گونه است، برای مدعا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برهان آن‌گاه برای اثبات ذات باری کافی بود که ما به تجربه دریافته باشیم که این جهان، کامل‌ترین جهان ممکن و منطبق بر حکمت بالغه است؛ در صورتی که برای ما که تنها با همین جهان سر و کار داشته و داریم و جهانی دیگر ندیده‌ایم تا میان آن‌ها و این جهان مقایسه کنیم، غیرممکن است که بتوانیم بفهمیم این جهان بر اساس حکمت بالغه ساخته شده؛ یعنی بهترین جهان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ملاحظۀ انتقادات هیوم به برهان نظم نشان می‌دهد، او از ابتدا رویکرد تجربی و پدیدارشناسانه به جهان و نظم موجود آن دارد؛ لذا با پای‌بندی به الزامات معرفت تجربی تلاش می‌کند، امکان وجود خدایی را که غیرتجربی و غیرمادی است، نفی کند؛ یعنی مطابق شناخت تجربی دربارۀ عالم مادی، هرچه به دست می‌آید نیز تجربی است؛ و همان‌گونه که هیوم گفته، به طریق تجربی نمی‌توان امکان وجود جهان‌های منظم دیگر را به طور مکرر شناسایی کرد، تا از نظم آن‌ها برای وجود خدا برهان اقامه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شهید مطهری نیز بیان می‌کند، اشتباه بنیادی هیوم این است که با نگاه صرفاً تجربی به جهان طبیعت تلاش می‌کند تا دربارۀ ماورای طبیعت قضاوت کند، که این عدول از الزامات شناخت تجربی و مغالطۀ آشکار در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اعتبار براهین تجربی را تا آن‌جا می‌داند که از امری تجربی و طبیعی به پدیدار تجربی دیگر استنتاج و استدلال کنیم، در حالی که حتی هیوم در این امر دچار مغالطه شده و خدا را که موجودی غیرمادی و غیرتجربی است، یا مادی در نظر گرفته یا اگر هم غیرمادی لحاظ کرده باشد، تلاش کرده تا به طریق تجربی، رابطۀ موجودات مادی را با این موجود غیرمادی مخدوش سازد؛ در حالی که امور غیرمادی فراوانی، به‌جز خدا وجود دارند که عموم انسان‌ها وجود آن‌ها را تصدیق می‌کنند و تصدیقشان به طریق شناخت تجربی نیست، بلکه از روی آثار گوناگون آن‌هاست؛ از این رو، مطهری اموری مانند عقل، هوش و اندیشه را از واقعیت‌هایی می‌داند که شناخت تجربیِ آن‌ها امکان‌پذیر نیست، زیرا دست‌رسی تجربی به آن‌ها وجود ندارد؛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هیچ عقل و اندیشه‌ای در دست‌رس تجربۀ ما نیست که بتوانیم با آزمایش، رابطۀ اثری را با آن‌ها ادراک کنیم، بلکه از نظر تجربی، از وجود عقل و اندیشه‌ای جز عقل و اندیشۀ خودمان بی‌خبریم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برخلاف گفتۀ هیوم، هیچ‌گونه امکانی برای برقراری شناخت تجربی بین دو موجود تجربی و فراتجربی وجود ندارد، بلکه همواره باید از شناخت‌های غیرتجربی، مثل فلسفی، شهودی و وحیانی کمک گرفت؛ در غیر این صورت، امتناع برقراری چنین رابطۀ معرفتی، منجر به نفی موجودات فراتجربی چون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به گفتۀ مطهری، مشکل دیگر نظریات هیوم به واسطۀ پای‌بندی او به صرف معرفت تجربی، این است که او فکر کرده که الهیون اعتقاد دارند بین مصنوعات انسانی و خدا، شباهتی کامل وجود دارد، در حالی که تفاوت‌های بزرگ و خیره‌کننده‌ای بین نحوۀ خالقیت انسان و خدا وجود دارد، زیرا خدا نه تنها موجودی مجرد است، بلکه در خالقیت خود کاملاً مستقل و علیت او با جهان و مخلوقاتش علیتی حقیقی و فلسفی است، ولی انسان، به واسطۀ وابستگی به خدا، در ایجاد مصنوعاتش هیچ‌گاه فاعل مستقل نیست و فاعلیت و علیتش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مطهری، انسان به حکم این‌که جزئی از طبیعت است، موجودی است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تلاشش این است که خود را از قوه به فعل و از نقص به کمال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حکم این‌که جزئی از اجزای طبیعت است نه خالق طبیعت، تصرف او در طبیعت به شکل برقرار کردن رابطۀ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اجزای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ساخته‌های انسان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موادّ طبیعی که با ارتباطی مصنوعی به خاطر هدف و غایتی که آن هدف و غایت، هدفِ سازنده است نه هدف ساخته‌شده، و سازنده می‌خواهد به وسیلۀ این ارتباط مصنوعی، به هدف و غرضی نایل آید، با یکدیگر پیوند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مقوم صنع بشری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اجزای مصنوع، پیوند مصنوعی است و نه طبیعی؛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غرضی که در این صنع به کار رفته، هدف و غرضِ صانع است؛ یعنی این صانع است که با این مصنوع، خود را به هدفی می‌رساند، از خود رفع نقص می‌کند و به نوعی خود را از قوه به فعلیت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شهید مطهری تلاش می‌کند تا مبانی و پیش‌فرض‌های نقدهای هیوم را به برهان نظم در نظر گرفته و با نشان دادن ضعف و ناکارآمدیِ این مبانی، انتقادات وارد بر این برهان را با استفاده از این مبانی، ناقص، ناکارآمد و اشتباه در استدلال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دیدگاه‌های مطهری در این زمینه، تأکید بر این واقعیت است که رویکرد صرف تجربه‌گرایانۀ هیوم، باعث شده تا او همۀ واقعیت‌های هستی را همچون موجودات مادی در نظر گرفته و لذا برای آن‌ها صفات و خصوصیات مادی در نظر بگیرد؛ هم‌چنین تلقیِ تجربی هیوم از علیت، و این‌که آن تصوری ساختۀ ذهن برای برقراری روابط خاصی میان اشیای مادی است که نمی‌توان برای آن بنیادی ورای ذهن و تداعی نفسانی یافت، باعث شده تا هیوم و هم‌فکرانش به طور کلی، از منظر تجربه‌گرایانه و شناخت پدیدارهای مادی دربارۀ همۀ موجودات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از ملاحظۀ تجربی جهان طبیعت، نمی‌توان به روش تجربی به وجود موجودی غیرمادی چون خدا استدلال کرد، او هستیِ چنین موجودی را مورد تردید و انکار قرار داده است</w:t>
      </w:r>
      <w:r>
        <w:rPr>
          <w:rFonts w:eastAsia="IRNazanin" w:cs="IRNazanin"/>
          <w:color w:val="111111"/>
          <w:sz w:val="28"/>
          <w:szCs w:val="28"/>
          <w:rtl w:val="true"/>
          <w:lang w:bidi="fa-IR"/>
        </w:rPr>
        <w:t>.</w:t>
      </w:r>
      <w:bookmarkStart w:id="137" w:name="pg2646_16518"/>
    </w:p>
    <w:p>
      <w:pPr>
        <w:pStyle w:val="BookText"/>
        <w:rPr/>
      </w:pPr>
      <w:bookmarkEnd w:id="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براساس دیدگاه‌های مطهری، روش تجربی، تنها در حدود عالم تجربه اعتبار دارد و نمی‌تواند دربارۀ ورای آن، نظری سلبی یا ایجابی ارائه دهد و این خطایی است که هیوم بارها دچار آن شده است، در حالی که از ویژگی‌های بسیار مهمّ برهان نظم این است که مقدمۀ دوم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نظمی، ناظمی مدبر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کاملاً غیرتجربی است</w:t>
      </w:r>
      <w:r>
        <w:rPr>
          <w:rFonts w:eastAsia="IRNazanin" w:cs="IRNazanin"/>
          <w:color w:val="111111"/>
          <w:sz w:val="28"/>
          <w:szCs w:val="28"/>
          <w:rtl w:val="true"/>
          <w:lang w:bidi="fa-IR"/>
        </w:rPr>
        <w:t>.</w:t>
      </w:r>
    </w:p>
    <w:p>
      <w:pPr>
        <w:pStyle w:val="Heading3"/>
        <w:numPr>
          <w:ilvl w:val="2"/>
          <w:numId w:val="1"/>
        </w:numPr>
        <w:rPr/>
      </w:pPr>
      <w:bookmarkStart w:id="138" w:name="__RefHeading___Toc660255_1395250215"/>
      <w:bookmarkStart w:id="139" w:name="_Toc53"/>
      <w:bookmarkEnd w:id="138"/>
      <w:r>
        <w:rPr>
          <w:rtl w:val="true"/>
        </w:rPr>
        <w:t>دیدگاه آیت‌الله جوادی</w:t>
      </w:r>
      <w:bookmarkEnd w:id="139"/>
    </w:p>
    <w:p>
      <w:pPr>
        <w:pStyle w:val="BookText"/>
        <w:rPr/>
      </w:pPr>
      <w:r>
        <w:rPr>
          <w:rFonts w:ascii="IRNazanin" w:hAnsi="IRNazanin" w:eastAsia="IRNazanin"/>
          <w:color w:val="111111"/>
          <w:sz w:val="28"/>
          <w:sz w:val="28"/>
          <w:szCs w:val="28"/>
          <w:rtl w:val="true"/>
          <w:lang w:bidi="fa-IR"/>
        </w:rPr>
        <w:t>آیت‌الله جوادی‌آملی نیز از متکلمان و فیلسوفان معاصرند که در ادامۀ نگرش آیت‌الله مطهری، بررسی‌های دقیقی را در ابعاد برهان نظم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مباحث ایشان در کتاب تبیین براهین اثبات وجود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دیدگاه آقای جوادی‌آملی، بررسی فلسفی‌تر و آشکار کردن حدود کارکرد برهان نظم است که می‌تواند برخی ابهامات و تردید‌های فلسفی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ابتدا بررسی ابعاد گوناگون نظم را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تعریف نظم، آن را ناظر به هماهنگی بین چند عنصر و یا عضو می‌داند و هماهنگی را در مقابل هرج و مرج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همواره بین چند امر در ارتباط با یک هدف و غرض است و به همین دلیل، برهان نظم برخلاف براهین دیگر،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حرکت و امکان، هرگز بر مدار یک موجود، سازمان نمی‌یابد و اقامۀ آن نیازمند به چند شیء است که در قیاس با یکدیگر و در ارتباط با یک غرض در نظر گرفته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جوادی‌آملی،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برهان نظم را هم بر مدار نظام فاعلی و غایی و هم بر مدار هماهنگی در عناصر مختلف یک مجموعه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سلسله علل فاعلی با استعانت از امکان ماهوی یا امکان فقری و یا به کمک استحالۀ تسلسل در علل، به علت‌العلل ختم می‌شود و علت‌العلل، که همان علت حقیقی و بالذات است، به عنوان موجودی که از ضرورت ازلی بهره‌مند است و غنا و بی‌نیازی عین ذات آن است، همان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سلسله علل غایی در نهایت به غایت بالذات ختم خواهد شد که عین واجب‌الوجود است؛ در این صورت، علت غایی فاعلیت فاعل را تأمین می‌کند و آن نیز در نهایت به علت فاعلی بازگشت کرده و بلکه سرسلسلۀ علل فاعلی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جوادی‌آملی،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شقّ دوم اختیار شود، یعنی هماهنگی عناصر گوناگون یک مجموعه در نظر باشد، برهان حاصل از آن در صورت تمامیت به غایت بالذات، که همان فاعل نخست است، راه نمی‌برد و فقط مبدأ و علتی را اثبات می‌کند که عهده‌دار هماهنگی معین بوده و نسبت به آن آگاه است و چنین فاعلی می‌تواند امری ممکن، حادث و یا متحرک باشد؛ حتی اگر نظم عمومی مجموع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هستی، مدار استدلال قرار گیرد، ناظم آن می‌تواند موجودی مجرد عالم و قدیر که خارج از مجموعۀ هماهنگ است، باشد و در عین حال واجب نباشد؛ آن‌گاه برای تتمیم برهان نظم و اثبات واجب باید از برهان امکان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جوادی‌آملی،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بررسی برهان نظم، صرف هماهنگی و روابط منظم پدیده‌ها مورد نظر باشد، این برهان در نهایت می‌تواند ناظمی مجرد و باشعور را به اثبات برساند و برای اثبات خدای واجب‌الوجود، نیازمند برهانی دیگر چون امکان و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آیت‌الله جوادی نیز همچون شهید مطهری، به اهمیت نگرش غایت‌مندانه به برهان نظم توجه دارد و آن را منتج به نتیجۀ بهتری می‌داند؛ از این رو، او بر آن است که در رویکرد غایی، دو مقدمۀ برهان را با تحلیل عقلی طوری می‌توان تقریر کرد تا از آسیب‌های احتمالی در امان مانده و به واسطۀ در بر داشتن ویژگی فاعلیت نیز امکان اثبات واجب‌الوجود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صغرای قیاس را چنین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علاوه بر آن‌که نیازمند به علت فاعلی است، محتاج به غایت نیز می‌باشد و به عبارت دیگر، هر فعل را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 قیاس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هر فعل بالفعل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ذاتیِ کبری این است که پیوند و رابطۀ وجودی غایت و فعل، ذاتی است که در نتیجه می‌توان گفت، غایتی که بدین ترتیب برای فعلی اثبات می‌شود، اگر غایت بالذات نبوده و وجود فعلی باشد که دارای غایتی دیگر است، حتماً سلسلۀ غایات به غایت بالذات ختم خواهد شد، زیرا تا غایت بالذات بالفعل موجود نباشد، دیگر غایات که در ربط با او هستند، فعلیت نخواهند یافت و حال آن‌که دیگر غایات و از جمله فعل مورد نظر، بالفعل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جوادی‌آملی،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نظر آقای جوادی‌آملی، برهان نظم دارای دو مقدمه، یک مقدمۀ تجربی و یک مقدمۀ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تجربی بیان می‌کند که نظم، امری تجربی و طبیعی است و مقدمۀ دومِ این قضیه است که هر نظمی نیازمند ناظم است که این، مقدمه‌ای عقلی و فلسفی است؛ به همین دلیل، تجربی بودن مقدمۀ اول این برهان، آن را در حد برهانی محدود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آقای جوادی بر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نظم در مجموعۀ هستی، مسئله‌ای است که جز با برهان عقلی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لم، یعنی تنها از طریق نظر به مبادی عالیه و به وساطت اوصاف و اسمای الهی، نه تنها می توان نظم طبیعت و یا نظم کلی عالم، بلکه می‌توان احسن بودن نظام موجود را نیز اثبات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جوادی‌آملی،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نگرش به نظم و ویژگی‌های تجربی و عقلیِ آن، آیت‌الله جوادی‌آملی با نگرش کسانی که از طریق حساب احتمالات می‌خواهند برهان نظم را استدلالی‌تر کنند، مخالفت می‌کند</w:t>
      </w:r>
      <w:r>
        <w:rPr>
          <w:rFonts w:eastAsia="IRNazanin" w:cs="IRNazanin"/>
          <w:color w:val="111111"/>
          <w:sz w:val="28"/>
          <w:szCs w:val="28"/>
          <w:rtl w:val="true"/>
          <w:lang w:bidi="fa-IR"/>
        </w:rPr>
        <w:t>.</w:t>
      </w:r>
      <w:bookmarkStart w:id="140" w:name="pg2646_16520"/>
    </w:p>
    <w:p>
      <w:pPr>
        <w:pStyle w:val="BookText"/>
        <w:rPr/>
      </w:pPr>
      <w:bookmarkEnd w:id="1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طرف‌داران حساب احتمالات بر آنند که احتمال وقوع تصادفیِ پدیده‌ها، قریب به عدد صفر است؛ از این رو، مجموعه‌ها و روابط موجود در جهان، منظم بوده و احتمال تصادف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مخدوش بودن این نگرش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احتمالات، احتمال وقوع تصادفی و اتفاقیِ یک مجموعه را گرچه به سوی صفر میل می‌دهد، هرگز به صفر نمی‌رساند؛ لذا یقین‌آور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وجود مدبّری حکیم به شیوه‌ای عقلی اثبات نشده باشد و احتمال وقوع تصادفی هیئت موجود برود، بین احتمال وقوع نظام موجود و یا نظام احسن، با احتمال وقوع هریک از حالت‌های ممکن یا متصور و از جمله با احتمال وقوع بدترین و زشت‌ترین مجموعه، تفاوتی نخواهد بود؛ در این صورت، چون یکایک شکل‌های متصور با یکدیگر سنجیده شود، از جهت احتمال امتیازی بین هیچ‌یک از آن‌ها با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احتمالات در هیچ حالتی، حتی دربارۀ پدیدۀ خاصی در نظر گرفته شود، ناظر به اوصاف حقیقی و واقعیِ آن پدیده نیست، بلکه از اعتبارهای ذهنی و عملیِ انسان است و اگر حکایتی برای آن باشد، تنها در قیاس با مقدار و انتظار انسان بوده و کشف حقیقی از جهان خارج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جوادی‌آملی،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Heading3"/>
        <w:numPr>
          <w:ilvl w:val="2"/>
          <w:numId w:val="1"/>
        </w:numPr>
        <w:rPr/>
      </w:pPr>
      <w:bookmarkStart w:id="141" w:name="__RefHeading___Toc660257_1395250215"/>
      <w:bookmarkStart w:id="142" w:name="_Toc54"/>
      <w:bookmarkEnd w:id="141"/>
      <w:r>
        <w:rPr>
          <w:rtl w:val="true"/>
        </w:rPr>
        <w:t>نتیجه گیری</w:t>
      </w:r>
      <w:bookmarkEnd w:id="14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نگاه مطهری به برهان نظم، می‌تواند گویای تبیین عقلانیِ او از این برهان باشد، زیرا مطهری برهان را از ابعاد گوناگونی مورد تأمل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او ابتدا به گستره و کاربرد این برهان در زندگی عمومی انسان، سپس امکان تتبع گروه گسترده‌ای از مردم و دانشمندان و ملموس بودن آن برای همگان توجه دارد؛ از این رو، متوجه است که ناتوانیِ این برهان در اثبات وجود خدا می‌تواند تأثیرات منفیِ بسیاری بر نگرش دینیِ مردم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مطهری، در مقام آسیب‌شناس اندیشۀ دینی، پاسخ‌گویی به انتقادات متفکران غربی را در دستور کار خود قرار می‌دهد، زیرا جامعۀ روشن‌فکری ایران نیز از آن‌ها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مطهری در قدم نخست تأکید دارد که برهان نظم از براهین علمی ـ فلسفی است؛ یعنی برهانی است که یک مقدمۀ آن دارای ویژگی علمی و تجربی، و مقدمۀ دیگر آن دارای ویژگی عقلانی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واقعیت در ارتباط برهان نظم با دو قلمرو عالم تجربه و ورای تجربه است و این‌که غفلت از یکی از این دو قلمرو یا ویژگی علمی و فلسفی، باعث عقیم ماندن برهان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نکتۀ بسیار مهمی است که در پاسخ‌های مطهری به منتقدان برهان، به‌خصوص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هیوم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رابطۀ مجموعۀ منظم با ناظم در برهان نظم، عیناً مانند مجموعه‌های طبیعی نیست، زیرا یک سوی برهان، یعنی خدا، غیرتجربی است؛ در نتیجه نمی‌توان رابطۀ مشابهتی را میان مجموعه‌های عالم مادی و فاعلان آن‌ها با جهان و خدا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علاوه بر پاسخ‌گویی، تقریرِ خاص مطهری از برهان نیز دارای امتیاز ویژه‌ای است و اهمیت تبیین عقلانیِ او را نشان می‌دهد، زیرا او بر پیوند علت غایی و علت فاعلی در تبیین درست برهان نظم تأکید می‌کند که مورد غفلت تجربه‌گرایان و منتقدان برهان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نشان می‌دهد، نظم موجود در مجموعه‌های طبیعی، ناظر به هدفی مشخص است و در واقع، تصور قبلیِ غایات و اهداف است که چنین نظم محکمی را مقرر می‌دارد؛ افزون بر این، اشارات مطهری بر دو اصل خلقت و هدایت، چهرۀ جدیدی از اسرار نظم جهان هستی را نشان می‌دهد؛ یعنی این واقعیت را متذکر می‌شود که درون موجودات و مجموعۀ منظم هستی، گرایشی برای سیر به سوی غایت و هدف خاصی نهاده شده است که می‌توان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 واقعیت در موجودات زنده در مقایسه با غیرجان‌داران، به طرز پیچیده‌تری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می‌توان ویژگی حکایت‌گری مجموعۀ منظم از ناظم خود را نیز در نظر داشت، زیرا پیوند ذاتیِ نظم و ناظم، در علیت فاعلی و غایی، خلقت و هدایت، به طور طبیعی اصل حکایت‌گری را نیز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جوادی‌آملی نیز ویژگی عقلانی و تجربیِ برهان نظم را در نظر داشته، بر این اساس تلاش می‌کند تا نشان دهد تنها زمانی این برهان، کارکرد یک برهان مناسب را دارد که هریک از مقدمات آن دارای منشأ خاص تجربی و عقلی خود باشند و رابطۀ علیت فاعلی و غایی نیز در آن‌ها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ملاحظۀ نحوۀ نگرش آیت‌الله مطهری و آیت‌الله جوادی‌آملی به برهان نظم، می‌توان مشخص ساخت که دیدگاه آن‌ها به این برهان، دارای خصوصیات عقلانی و فلسفی است، زیرا می‌تواند صفات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مقدم بر ورود به تبیین برهان، با نگاهی پیشینی، آن را از زمرۀ براهین نیمه‌تجربی و نیمه‌علمی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مشخص می‌شود که نگرش صرف تجربی، مانع از فهم درست جایگاه برهان نظم است، و باید نگرشی علمی ـ فلسفی به این برهان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واقع‌بینانه موجب می‌شود، هم توانمندی‌ها و هم محدودیت‌های برهان نظم آشکار شود و حدود انتظارات به‌حق ما از آن، تصحیح گردد</w:t>
      </w:r>
      <w:r>
        <w:rPr>
          <w:rFonts w:eastAsia="IRNazanin" w:cs="IRNazanin"/>
          <w:color w:val="111111"/>
          <w:sz w:val="28"/>
          <w:szCs w:val="28"/>
          <w:rtl w:val="true"/>
          <w:lang w:bidi="fa-IR"/>
        </w:rPr>
        <w:t>.</w:t>
      </w:r>
      <w:bookmarkStart w:id="143" w:name="pg2646_16522"/>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ملاحظۀ پیوند ذاتی علیت فاعی و غایی و سرایت دادن آن به هردو عالم مادی و غیرمادی، این امکان را ایجاد می‌کند تا از تفسیر تجربی و پدیدارشناسانۀ علیت فراتر رفته، به فهم وجودی آن و ابعاد متافیزیکی آن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ملاحظۀ دو صفت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ما را به پیچیدگی‌های اسرارآمیز هستیِ منظم جهان رهنمون می‌سازد که تنها با نگاه ظاهری حسّی، عمق آن‌ها ادراک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است که مرآتیت و حکایت‌گریِ مجموعه‌های منظم نیز معنای خاصی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تفاوت نوع رابطۀ فاعل و فعل را در امور انسانی و الهی به خوبی نشان می‌دهند؛ این امر، مانع از شبیه‌انگاری فاعلیت علیت الهی با علیت بشری و تشبیه مصنوعات بشری به مخلوقات الهی می‌شود</w:t>
      </w:r>
      <w:r>
        <w:rPr>
          <w:rFonts w:eastAsia="IRNazanin" w:cs="IRNazanin"/>
          <w:color w:val="111111"/>
          <w:sz w:val="28"/>
          <w:szCs w:val="28"/>
          <w:rtl w:val="true"/>
          <w:lang w:bidi="fa-IR"/>
        </w:rPr>
        <w:t>.</w:t>
      </w:r>
    </w:p>
    <w:p>
      <w:pPr>
        <w:pStyle w:val="Heading3"/>
        <w:numPr>
          <w:ilvl w:val="2"/>
          <w:numId w:val="1"/>
        </w:numPr>
        <w:rPr/>
      </w:pPr>
      <w:bookmarkStart w:id="144" w:name="__RefHeading___Toc660259_1395250215"/>
      <w:bookmarkStart w:id="145" w:name="_Toc55"/>
      <w:bookmarkEnd w:id="144"/>
      <w:r>
        <w:rPr>
          <w:rtl w:val="true"/>
        </w:rPr>
        <w:t>منابع</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براهین اثبات وجود خدا، تهران، اسراء،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منظومه،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تهران، صدرا،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گرایش به مادی‌گری، تهران، صدرا، چاپ پانزدهم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یزدانی، عباس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نقد‌های هیوم بر تقریر مبتنی بر تمثیل دلیل نظم و ارزیابی پاسخ‌های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متافیزیک، دانشگاه اصفهان،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کلارک، جیمز کلی،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عقل،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یزدانی، زنجان، دانشگاه زنجان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Hume, D. (1980), Dialogues Concerning Natural Religion, ed. Richard H. Popkin, Indianapolis, Hackett</w:t>
      </w:r>
      <w:r>
        <w:rPr>
          <w:rFonts w:eastAsia="Times New Roman" w:cs="Times New Roman" w:ascii="Times New Roman" w:hAnsi="Times New Roman"/>
          <w:color w:val="111111"/>
          <w:sz w:val="28"/>
          <w:szCs w:val="28"/>
          <w:rtl w:val="true"/>
          <w:lang w:val="en-US" w:bidi="en-US"/>
        </w:rPr>
        <w:t>.</w:t>
      </w:r>
      <w:bookmarkStart w:id="146" w:name="pg2646_16523"/>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2"/>
        <w:numPr>
          <w:ilvl w:val="1"/>
          <w:numId w:val="1"/>
        </w:numPr>
        <w:rPr/>
      </w:pPr>
      <w:bookmarkStart w:id="147" w:name="__RefHeading___Toc660261_1395250215"/>
      <w:bookmarkStart w:id="148" w:name="_Toc56"/>
      <w:bookmarkEnd w:id="147"/>
      <w:r>
        <w:rPr>
          <w:rtl w:val="true"/>
        </w:rPr>
        <w:t>گونه شناسی رفتارهای اعتقادی شیعیانِ امامیه با امامان معصوم</w:t>
      </w:r>
      <w:bookmarkEnd w:id="148"/>
    </w:p>
    <w:p>
      <w:pPr>
        <w:pStyle w:val="Heading3"/>
        <w:numPr>
          <w:ilvl w:val="2"/>
          <w:numId w:val="1"/>
        </w:numPr>
        <w:rPr/>
      </w:pPr>
      <w:bookmarkStart w:id="149" w:name="__RefHeading___Toc660263_1395250215"/>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حامد منتظری مقدم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سید آیت الله احمدی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1392/10/25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1392/12/15</w:t>
      </w:r>
    </w:p>
    <w:p>
      <w:pPr>
        <w:pStyle w:val="Heading3"/>
        <w:numPr>
          <w:ilvl w:val="2"/>
          <w:numId w:val="1"/>
        </w:numPr>
        <w:rPr/>
      </w:pPr>
      <w:bookmarkStart w:id="151" w:name="__RefHeading___Toc660265_1395250215"/>
      <w:bookmarkStart w:id="152" w:name="_Toc58"/>
      <w:bookmarkEnd w:id="151"/>
      <w:r>
        <w:rPr>
          <w:rtl w:val="true"/>
        </w:rPr>
        <w:t>چکیده</w:t>
      </w:r>
      <w:bookmarkEnd w:id="152"/>
    </w:p>
    <w:p>
      <w:pPr>
        <w:pStyle w:val="BookText"/>
        <w:rPr/>
      </w:pPr>
      <w:r>
        <w:rPr>
          <w:rFonts w:ascii="IRNazanin" w:hAnsi="IRNazanin" w:eastAsia="IRNazanin"/>
          <w:color w:val="111111"/>
          <w:sz w:val="28"/>
          <w:sz w:val="28"/>
          <w:szCs w:val="28"/>
          <w:rtl w:val="true"/>
          <w:lang w:bidi="fa-IR"/>
        </w:rPr>
        <w:t>شناخت و ارزیابیِ رفتارها و مناسبات شیعیان در تعامل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ره‌یافتی ضروری برای شناخت دقیق عقاید آنان و سیرۀ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حوزه های گوناگون اعتقادی،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باورها و مناسبات اعتقادیِ شیعیان با امامان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مورد بررسی قرار گرفته است؛ افزون بر این، گونه‌های مختلف روابط اعتقادیِ شیعیان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معرفی شده و به این پرسش که شیعیان چگونه از مقام رفیع معنوی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بردند و آیا روابط شیعیان با امامان، متناسب با جایگاه الوهیِ ایشان بوده،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شیعیان عصرِ حضور، برای شناخت امامان، دفاع از کیان امامت و پیشوایان معصوم و تمسک به مقام معنویِ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مهم‌ترین محورهای مناسبات شیعیان در حوزۀ اعتقادی است که با وجود تفاوت رفتاریِ شیعیان در برخی موارد، سیر تکامل معرفتی و رفتاریِ ایشان در تعامل با امامان، مشهود است</w:t>
      </w:r>
      <w:r>
        <w:rPr>
          <w:rFonts w:eastAsia="IRNazanin" w:cs="IRNazanin"/>
          <w:color w:val="111111"/>
          <w:sz w:val="28"/>
          <w:szCs w:val="28"/>
          <w:rtl w:val="true"/>
          <w:lang w:bidi="fa-IR"/>
        </w:rPr>
        <w:t>.</w:t>
      </w:r>
    </w:p>
    <w:p>
      <w:pPr>
        <w:pStyle w:val="Heading3"/>
        <w:numPr>
          <w:ilvl w:val="2"/>
          <w:numId w:val="1"/>
        </w:numPr>
        <w:rPr/>
      </w:pPr>
      <w:bookmarkStart w:id="153" w:name="__RefHeading___Toc660267_1395250215"/>
      <w:bookmarkStart w:id="154" w:name="_Toc59"/>
      <w:bookmarkEnd w:id="153"/>
      <w:r>
        <w:rPr>
          <w:rtl w:val="true"/>
        </w:rPr>
        <w:t>واژگان کلیدی</w:t>
      </w:r>
      <w:bookmarkEnd w:id="1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شناخت امام، تمسک معنوی، رفتار اعتقادی، شیعیان</w:t>
      </w:r>
      <w:r>
        <w:rPr>
          <w:rFonts w:eastAsia="IRNazanin" w:cs="IRNazanin"/>
          <w:color w:val="111111"/>
          <w:sz w:val="28"/>
          <w:szCs w:val="28"/>
          <w:rtl w:val="true"/>
          <w:lang w:bidi="fa-IR"/>
        </w:rPr>
        <w:t>.</w:t>
      </w:r>
      <w:bookmarkStart w:id="155" w:name="pg2646_16524"/>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Heading3"/>
        <w:numPr>
          <w:ilvl w:val="2"/>
          <w:numId w:val="1"/>
        </w:numPr>
        <w:rPr/>
      </w:pPr>
      <w:bookmarkStart w:id="156" w:name="__RefHeading___Toc660269_1395250215"/>
      <w:bookmarkStart w:id="157" w:name="_Toc60"/>
      <w:bookmarkEnd w:id="156"/>
      <w:r>
        <w:rPr>
          <w:rtl w:val="true"/>
        </w:rPr>
        <w:t>مقدمه</w:t>
      </w:r>
      <w:bookmarkEnd w:id="157"/>
    </w:p>
    <w:p>
      <w:pPr>
        <w:pStyle w:val="BookText"/>
        <w:rPr/>
      </w:pP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شیعیان عصر خویش، اوصیای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منصوب از جانب خداوند و معصوم از هر پلیدی و خطا هستند؛ آنان،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واسطۀ خالق و مخلوق، حجت‌های خداوند بر خلق و حافظ دین الهی دانسته و معتقد بودند، زمین هیچ‌گاه بدون امام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پایۀ همین باورها، امام را مفترض الطاعه و سرپیچی از فرامینش را موجب هلاکت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زمینۀ شکل‌گیری فرهنگیِ مناسب با این باورها و متناسب با شخصیت و مقام امامان بزرگوار را در بین شیعیان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برآن است تا با بررسیِ احادیث و روایات با رویکردی تاریخی، به ارزیابی رفتارهای اعتقادی شیعیانِ عصر حضور در تعامل با امامان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تحقیقات انجام شده در این زمینه، معمولاً بر جنبۀ اثباتیِ باورهای شیعیان، متمرکز است، ولی پژوهش حاضر بر جنبۀ ثبوتیِ معتقدات شیعه و بیان نمونه‌های تاریخی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امامت از دیدگاه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نوشتۀ سیدعلی هاشمی، نیم‌نگاهی به رفتارهای اعتقادی شیعیان در بحث امامت دارد، اما بیشتر به بررسی سیرِ اندیشه های امامیه و عقاید شیعیان 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گروهی از شیعیان در همان دورۀ حضور امامان، در اعتقادات خویش به امامان، گرایش‌های افراطی یا تفریطی داشتند و حتی مورد نهی و طرد امامان قرار گرفتند،</w:t>
      </w:r>
    </w:p>
    <w:p>
      <w:pPr>
        <w:pStyle w:val="BookText"/>
        <w:rPr/>
      </w:pPr>
      <w:r>
        <w:rPr>
          <w:rFonts w:ascii="IRNazanin" w:hAnsi="IRNazanin" w:eastAsia="IRNazanin"/>
          <w:color w:val="111111"/>
          <w:sz w:val="28"/>
          <w:sz w:val="28"/>
          <w:szCs w:val="28"/>
          <w:rtl w:val="true"/>
          <w:lang w:bidi="fa-IR"/>
        </w:rPr>
        <w:t>که پرداختن به مبانی، عوامل و ریشه های این اختلافات، از اهداف و حوصلۀ این تحقیق خارج</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8" w:name="__RefHeading___Toc660271_1395250215"/>
      <w:bookmarkStart w:id="159" w:name="_Toc61"/>
      <w:bookmarkEnd w:id="158"/>
      <w:r>
        <w:rPr>
          <w:rtl w:val="true"/>
        </w:rPr>
        <w:t>جایگاه اعتقادیِ امامان نزد شیعیان</w:t>
      </w:r>
      <w:bookmarkEnd w:id="159"/>
    </w:p>
    <w:p>
      <w:pPr>
        <w:pStyle w:val="Heading4"/>
        <w:numPr>
          <w:ilvl w:val="3"/>
          <w:numId w:val="1"/>
        </w:numPr>
        <w:rPr/>
      </w:pPr>
      <w:bookmarkStart w:id="160" w:name="__RefHeading___Toc660273_1395250215"/>
      <w:bookmarkStart w:id="161" w:name="_Toc62"/>
      <w:bookmarkEnd w:id="160"/>
      <w:r>
        <w:rPr>
          <w:rtl w:val="true"/>
        </w:rPr>
        <w:t>اشاره</w:t>
      </w:r>
      <w:bookmarkEnd w:id="1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جهت روشن شدن جایگاه اعتقادی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شیعیان، به توضیح کوتاهی دربارۀ دو مؤلفه مهم در این زمینه،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شیعیان، اعتقاد و تأکید بر وصایت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امیرالمؤمنین، مالک اشتر حضرت را این چنین ستودند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اوصیا و وارث علم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بی تا، </w:t>
      </w:r>
      <w:r>
        <w:rPr>
          <w:rFonts w:eastAsia="IRNazanin" w:cs="IRNazanin"/>
          <w:color w:val="111111"/>
          <w:sz w:val="28"/>
          <w:szCs w:val="28"/>
          <w:lang w:bidi="fa-IR"/>
        </w:rPr>
        <w:t>2:179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خزیمة بن ثابت انصاری در آغاز خلافت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پس از بیعت با ایشان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دین و دنیای خود، مردی را برگزیدیم که رسولخدا او را برای ما برگزیده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اصحاب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روز جمل، در رجز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نَقتُل من یُخالفُ الوصیّا؛ با هر کس که به مخالفت با وصی برخیزد،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کان له ولیا ثم ارتضاه بعده وصیا؛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در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وصایت او پس از خود، رضایت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منقری،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ابوذر در حق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بر همین باور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کسی را که خدا پیش داشته، مقدم می‌داشتید و کسی را که خدا پس انداخته، عقب می‌انداختید و ولایت و وراثت را در خاندان پیامبر خود می‌نهادید، البته از بالای سر و از زیر پای خود می‌خوردید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یعقوبی، بی تا، </w:t>
      </w:r>
      <w:r>
        <w:rPr>
          <w:rFonts w:eastAsia="IRNazanin" w:cs="IRNazanin"/>
          <w:color w:val="111111"/>
          <w:sz w:val="28"/>
          <w:szCs w:val="28"/>
          <w:lang w:bidi="fa-IR"/>
        </w:rPr>
        <w:t>2:171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اطاعت از پیشوایان معصوم، از دیگر مؤلفه هایی است که باور شیعیانِ عصر حضور بدان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مفترض الطاعه بودن، مقام بالایی است که اگر به الهی بودن این امر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بر عصمتِ ایشان نیز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معتقد بودند، اطاعت از ایشان بر اساس این‌که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هستند، امر صریح خداوند است و پیروی از امامِ مفترض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الطاعه، سبب کسب فضایل و رسیدن به کمال است، چنان‌که نافرمانی از ایشان موجب نابودی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دوران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بین شیعیان و پیروان خالص حضرت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ابی بکر بر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وارد شد و از حضرت خواست دستش را بگشاید تا با ایشان تجدید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تو امامِ واجب‌الاطاعه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 فراوانی از باور شیعیان در دوران ائمۀ دوازده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لزوم پیروی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که جهت رعایت اختصار، تنها به بیانِ یک نمونه بسنده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دچار بیماری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نزدیکانش امر کرد تا فردی را اجیر کنند، نزد قبر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برود و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حضرت، جهت انجام این فرمان از خانه خارج شد، فردی را جلوی درب خانه دید و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می‌روم، ولی ـ شبهه‌ای در ذهنم ایجاد شده و آن این‌که ـ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امامی است که طاعتش واجب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امامی است که طاعتش واجب است؛پس این کار چه معنایی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ابن‌فهد،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اشارۀ اجمالی به جایگاه اعتقادی امامان در باور شیعیان، سه مقولۀ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دفاع از امام و تمسک به مقام امام،که مهم‌ترین رفتارهای اعتقادی شیعیان ومتأثر از باور و دیدگاه ایشان دربارۀ مقام معنوی و اعتقادی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بررسی قرار گرفته و رفتار شیعیان در این زمینه ارزیابی می شود</w:t>
      </w:r>
      <w:r>
        <w:rPr>
          <w:rFonts w:eastAsia="IRNazanin" w:cs="IRNazanin"/>
          <w:color w:val="111111"/>
          <w:sz w:val="28"/>
          <w:szCs w:val="28"/>
          <w:rtl w:val="true"/>
          <w:lang w:bidi="fa-IR"/>
        </w:rPr>
        <w:t>.</w:t>
      </w:r>
      <w:bookmarkStart w:id="162" w:name="pg2646_16526"/>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4"/>
        <w:numPr>
          <w:ilvl w:val="3"/>
          <w:numId w:val="1"/>
        </w:numPr>
        <w:rPr/>
      </w:pPr>
      <w:bookmarkStart w:id="163" w:name="__RefHeading___Toc660275_1395250215"/>
      <w:bookmarkStart w:id="164" w:name="_Toc63"/>
      <w:bookmarkEnd w:id="163"/>
      <w:r>
        <w:rPr>
          <w:rtl w:val="true"/>
        </w:rPr>
        <w:t>الف</w:t>
      </w:r>
      <w:r>
        <w:rPr>
          <w:rtl w:val="true"/>
        </w:rPr>
        <w:t xml:space="preserve">) </w:t>
      </w:r>
      <w:r>
        <w:rPr>
          <w:rtl w:val="true"/>
        </w:rPr>
        <w:t>تلاش برای شناخت امام</w:t>
      </w:r>
      <w:bookmarkEnd w:id="164"/>
    </w:p>
    <w:p>
      <w:pPr>
        <w:pStyle w:val="Heading5"/>
        <w:numPr>
          <w:ilvl w:val="4"/>
          <w:numId w:val="1"/>
        </w:numPr>
        <w:rPr/>
      </w:pPr>
      <w:bookmarkStart w:id="165" w:name="__RefHeading___Toc660277_1395250215"/>
      <w:bookmarkStart w:id="166" w:name="_Toc64"/>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شیعیان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شناخت امامان، اوصاف و جانشینان ایشان، اهمیت بسیاری قائل بودند و این را بر اساس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لایعرف امامه مات میتة جاهلیه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وظیفه‌ای دینی و ترک آن را به مثابۀ هلاکت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این هدف، متحمل سفرهای پرمشقت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یکی از مصادیق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کوچیدن برای شناخت امام، بیان شده است، چنان‌که از گفت‌وگوی عبد الاعلی با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امامی از دنیا رفت و شیعه ای در خراسان نمی داند وصیّ او کیست، همین دوری و بی‌اطلاعی برای او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عذر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از دنیا برود، دلیل وصی او بر کسانی است که در بلد او هستند ـ یعنی امام جدید برای اهل آن شهر بر امامت خویش استدلال می نماید و حجت را تمام می کند ـ ولی کسانی که در شهرِ امام نیستند، بر آن‌هاست که ـ برای شناخت امام ـ کوچ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معرفت می تواند از طریق ویژگی های امامِ حاضر و یا جانشینِ امام متوفا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گاه برای شناخت امام، به خودِ امام مراجعه می کردند و گاه با پرسیدن از اصحاب دانشمند و نزدیکان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کشف حقیقت و انجام وظیفۀ دینیِ خود برای شناخت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برای تشخیص و شناخت امامِ جدید، وی را آزموده و انتظار پاسخ به مسائل و مشکلاتشان را داشته و امید به دیدن کراماتی، به‌ویژه دادن خبرِ غیبی و پاسخ به پرسش، پیش از طرح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دو گفتار پی می گیریم</w:t>
      </w:r>
      <w:r>
        <w:rPr>
          <w:rFonts w:eastAsia="IRNazanin" w:cs="IRNazanin"/>
          <w:color w:val="111111"/>
          <w:sz w:val="28"/>
          <w:szCs w:val="28"/>
          <w:rtl w:val="true"/>
          <w:lang w:bidi="fa-IR"/>
        </w:rPr>
        <w:t>:</w:t>
      </w:r>
    </w:p>
    <w:p>
      <w:pPr>
        <w:pStyle w:val="Heading5"/>
        <w:numPr>
          <w:ilvl w:val="4"/>
          <w:numId w:val="1"/>
        </w:numPr>
        <w:rPr/>
      </w:pPr>
      <w:bookmarkStart w:id="167" w:name="__RefHeading___Toc660279_1395250215"/>
      <w:bookmarkStart w:id="168" w:name="_Toc65"/>
      <w:bookmarkEnd w:id="167"/>
      <w:r>
        <w:rPr/>
        <w:t>1</w:t>
      </w:r>
      <w:r>
        <w:rPr>
          <w:rtl w:val="true"/>
        </w:rPr>
        <w:t xml:space="preserve">. </w:t>
      </w:r>
      <w:r>
        <w:rPr>
          <w:rtl w:val="true"/>
        </w:rPr>
        <w:t>شناخت اوصاف و ویژگی‌های امام</w:t>
      </w:r>
      <w:bookmarkEnd w:id="168"/>
    </w:p>
    <w:p>
      <w:pPr>
        <w:pStyle w:val="BookText"/>
        <w:rPr/>
      </w:pPr>
      <w:r>
        <w:rPr>
          <w:rFonts w:ascii="IRNazanin" w:hAnsi="IRNazanin" w:eastAsia="IRNazanin"/>
          <w:color w:val="111111"/>
          <w:sz w:val="28"/>
          <w:sz w:val="28"/>
          <w:szCs w:val="28"/>
          <w:rtl w:val="true"/>
          <w:lang w:bidi="fa-IR"/>
        </w:rPr>
        <w:t>شیعیان پس از درک ضرورتِ کسب معرفت دربارۀ امام، جهت شناخت و تطبیق ویژگی های امام، به آزمودن امام و پرسش مسائل پیچیده، روی می‌آوردند تا از این طریق به اطمینان قلبینایل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مطالبی که شیعیان در محضر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علم یا عصمت و یا قدرت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کردند، از این قبیل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بسیار مهمّ امام که شیعیان به دنبال شناخت آن بودند، گسترۀ علم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بسیاری در روایات در این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تبیین ویژگی های امام، یکی از مواردی که همواره بر آن تأکید داشتند، علم امام بوده است؛ این‌که امام باید عالم به حلال و حرام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پاسخ‌گویی به هر پرسشی،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bookmarkStart w:id="169" w:name="pg2646_16527"/>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ارجاع به این ویژگی برای شناخت امام، احتمالاً از این جهت بوده که سنجش علم امام، امری قابل امتحان وتشخیص است؛ برخلاف برخی اوصاف مثل عصمت که امری باطنی بوده و تشخیص آن از عهدۀ مردمخارج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برای معرفی امامان به دیگران و اثبات حقانیت ایشان، آن‌ها را به علم امام رهنمون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هشام از مقام امامت و علم امام برای مرد شامی سخن گفت و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را از خبرهای آسمان و زمین خبر می دهد، 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این معنا را بدانم؟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 خواهی، از او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پس از پرسیدن مسائلی از امام و پی بردن به دانش الهی و حقانیت امام، شیعۀ حضرت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امام بر انجام کارهای خارق العاده و دیدن کرامت از ایشان، از دیگر مواردی است که دانستن آن برای شیعیان اهمیت داشت و دنبال رسیدن به یقین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اگرچه به آن ایمان داشتند، مایل بودند به طور مستقیم آن را مشاهده کنند تا ایمانشان استحکام یابد؛ مانند درخواست حضرت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خداوند، مبنی بر مشاهدۀ زنده شدن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مواردی خاص، از توانایی الهی خویش برای همین منظور بهره گرفته و در پاسخ به خواستۀ برخی شیعیان، معجزاتی از ایشان رخ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به پرسش ابوبصیر دربارۀ قدرت امام بر زنده کردن مرده ها و شفای بیماران، بر دیدگان ابوبصیر دست کشید و او زمین و آسمان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ابوبصیر داستان خویش را برای ابن ابی عمیر نقل کرد، او این‌چنین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گواهم که این سخن درست است، چنان‌که این روزِ روشن،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اخیر به خوبی از وضوح چنین باوری نزد شیعیان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 جوانی از نسل ابوذر غفاری در زمان امام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هرگز امام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اختلافی که نزد آن‌ها دربارۀ امامتِ حضرت پیش آمده بود، برای دیدن نشانه یا کرامتی از امام و رسیدن به اطمینان و آرامش قلبی، به سامرا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در مسیر دارالاماره و بیان نَسَب وی و نام مادرش، دربارۀ امامت حضرتش به یقین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5"/>
        <w:numPr>
          <w:ilvl w:val="4"/>
          <w:numId w:val="1"/>
        </w:numPr>
        <w:rPr/>
      </w:pPr>
      <w:bookmarkStart w:id="170" w:name="__RefHeading___Toc660281_1395250215"/>
      <w:bookmarkStart w:id="171" w:name="_Toc66"/>
      <w:bookmarkEnd w:id="170"/>
      <w:r>
        <w:rPr/>
        <w:t>2</w:t>
      </w:r>
      <w:r>
        <w:rPr>
          <w:rtl w:val="true"/>
        </w:rPr>
        <w:t xml:space="preserve">. </w:t>
      </w:r>
      <w:r>
        <w:rPr>
          <w:rtl w:val="true"/>
        </w:rPr>
        <w:t>شناخت جانشین امام</w:t>
      </w:r>
      <w:bookmarkEnd w:id="171"/>
    </w:p>
    <w:p>
      <w:pPr>
        <w:pStyle w:val="Heading6"/>
        <w:numPr>
          <w:ilvl w:val="5"/>
          <w:numId w:val="1"/>
        </w:numPr>
        <w:rPr/>
      </w:pPr>
      <w:bookmarkStart w:id="172" w:name="__RefHeading___Toc660283_1395250215"/>
      <w:bookmarkStart w:id="173" w:name="_Toc67"/>
      <w:bookmarkEnd w:id="172"/>
      <w:r>
        <w:rPr>
          <w:rtl w:val="true"/>
        </w:rPr>
        <w:t>اشاره</w:t>
      </w:r>
      <w:bookmarkEnd w:id="1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باورِ دینی، شناختِ امام جدید و به دنبال آن، اعتراف به مقام امامت وی، امری بود که شیعیان با دقت و سرعت، در دوران زندگانی امامِ وقت یا پس از رحلت او، پی‌گیر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حاضر از دنیا می رفت و جانشین او را نمی شناختند، دچار سرگردانی شده و در تکاپو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برای شناخت امام جدید برمی آمدند؛ برای نمونه، فیض بن مختار که می پنداشت اسماعیل پس از پدرش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جانشین وی خواهد بود، به سبب برخوردی که از اسماعیل دربارۀ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دید و سخنی که از حضرت دربارۀ او شنید،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 نداشتیم که پس از شما، امرِ امامت به اسماعیل خواهد رسید، و اکنون سخنان شما را دربارۀ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می ترسیم اتفاق افتاد، امامِ ما کیست؟امام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 مبارکش را بوسیده،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فرزندش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که پنج سال بیشتر نداشت، به فیض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برخی شیعیان به سبب عواملی، مانند اختناق سیاسی و عدم امکان تصریح و اعلان امامتِ امام جدید از سوی امام وقت، ابهاماتی در مسئله امامت به وجود می آمد و آن‌هایی که صرفاً دغدغۀ شناخت امام را داشتند، جهت شناخت امام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سرگردانیِ عبدالله بن مغیره پس از شهادت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امرِ امامت، متوقف و سرگردان شده بود، در آن حال حج گزارده و زمانی که به مکه رسید، به رکنِ ملتزم چسبیده و از خدا این‌چنین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خواسته و حال من آگاهی؛ مرا به بهترین آیین راهنمایی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دعایت را مستجاب و به دینت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تو حجت خدا و امین او بر مردم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سعی می کردند حتی زمان اندکی هم بدون شناخت امام سپری نکنند و برای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امام زمانشان از دنیا می‌رفت تا امامتِ امام جدید به آن‌ها ابلاغ و ثابت گردد، در این باره چاره ای بیندیشند تا دچار حیرت و سرگردانی نگردند؛لذا افرادی این مسئله را با امام زمان خویش در میان می گذاشتند، تا بدانند در چنین مواقعی تکلیفشان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را نشناختم و جای او را ندانستم، چه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و دوست‌دار آن حجت زندۀ تو هستم که از فرزندان امامِ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کافی است؛ ان‌شاء‌الله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نیز پس از شهادت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اختلاف شیعیان دربارۀ جانشین امام، فرزندش عبید را از کوفه به مدینه فرستاد تا در این باره خبری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عبید برگردد، زراره بیمار شد و در حالت احتضار قرار گرفت؛ در این حال، مصحفی طلبید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کسی است که این قرآن، امامتِ او را اثبات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74" w:name="pg2646_16529"/>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شیعیان معرفت به امام جدید و شناخت جانشین امام متوفا را، در یکی از راه‌های ذیل جست‌وجو می کردند</w:t>
      </w:r>
      <w:r>
        <w:rPr>
          <w:rFonts w:eastAsia="IRNazanin" w:cs="IRNazanin"/>
          <w:color w:val="111111"/>
          <w:sz w:val="28"/>
          <w:szCs w:val="28"/>
          <w:rtl w:val="true"/>
          <w:lang w:bidi="fa-IR"/>
        </w:rPr>
        <w:t>:</w:t>
      </w:r>
    </w:p>
    <w:p>
      <w:pPr>
        <w:pStyle w:val="Heading6"/>
        <w:numPr>
          <w:ilvl w:val="5"/>
          <w:numId w:val="1"/>
        </w:numPr>
        <w:rPr/>
      </w:pPr>
      <w:bookmarkStart w:id="175" w:name="__RefHeading___Toc660285_1395250215"/>
      <w:bookmarkStart w:id="176" w:name="_Toc68"/>
      <w:bookmarkEnd w:id="175"/>
      <w:r>
        <w:rPr>
          <w:rtl w:val="true"/>
        </w:rPr>
        <w:t>یکم</w:t>
      </w:r>
      <w:r>
        <w:rPr>
          <w:rtl w:val="true"/>
        </w:rPr>
        <w:t xml:space="preserve">: </w:t>
      </w:r>
      <w:r>
        <w:rPr>
          <w:rtl w:val="true"/>
        </w:rPr>
        <w:t>پرسش از امام</w:t>
      </w:r>
      <w:r>
        <w:rPr>
          <w:rtl w:val="true"/>
        </w:rPr>
        <w:t>:</w:t>
      </w:r>
      <w:bookmarkEnd w:id="176"/>
    </w:p>
    <w:p>
      <w:pPr>
        <w:pStyle w:val="BookText"/>
        <w:rPr/>
      </w:pPr>
      <w:r>
        <w:rPr>
          <w:rFonts w:ascii="IRNazanin" w:hAnsi="IRNazanin" w:eastAsia="IRNazanin"/>
          <w:color w:val="111111"/>
          <w:sz w:val="28"/>
          <w:sz w:val="28"/>
          <w:szCs w:val="28"/>
          <w:rtl w:val="true"/>
          <w:lang w:bidi="fa-IR"/>
        </w:rPr>
        <w:t>در مواردی، شیعیان خدمت امام رسیده و از امام زمان خویش دربارۀ جانشینش پرسش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هر صبح و شام، به سراغِ جان‌ها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شد، این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شانۀراست ابوالحسن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زد و او در آن وقت، پنج‌ساله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به موارد بسیاری از این قبیل روایات در مجامع روایی، از جمله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پذیرفتنی است که برخی مسائل، آن‌چنان که در پرتو تبیین دانشمندان شیعی، برای ما روشن است، برای شیعیانِ دوران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خفقان موجود و رفتار</w:t>
      </w:r>
    </w:p>
    <w:p>
      <w:pPr>
        <w:pStyle w:val="BookText"/>
        <w:rPr/>
      </w:pPr>
      <w:r>
        <w:rPr>
          <w:rFonts w:ascii="IRNazanin" w:hAnsi="IRNazanin" w:eastAsia="IRNazanin"/>
          <w:color w:val="111111"/>
          <w:sz w:val="28"/>
          <w:sz w:val="28"/>
          <w:szCs w:val="28"/>
          <w:rtl w:val="true"/>
          <w:lang w:bidi="fa-IR"/>
        </w:rPr>
        <w:t>تقیه آمیز امامان، روشن نبوده باشد؛ مانند جریان به امامت رسیدن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روایات به دست می آید، تحلیل این مسئله برای برخی شیعیان، دشوار بود و امامان با استدلالِ به نبوت برخی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آنان را راهنمایی می کردند</w:t>
      </w:r>
      <w:r>
        <w:rPr>
          <w:rFonts w:eastAsia="IRNazanin" w:cs="IRNazanin"/>
          <w:color w:val="111111"/>
          <w:sz w:val="28"/>
          <w:szCs w:val="28"/>
          <w:rtl w:val="true"/>
          <w:lang w:bidi="fa-IR"/>
        </w:rPr>
        <w:t>.</w:t>
      </w:r>
    </w:p>
    <w:p>
      <w:pPr>
        <w:pStyle w:val="Heading6"/>
        <w:numPr>
          <w:ilvl w:val="5"/>
          <w:numId w:val="1"/>
        </w:numPr>
        <w:rPr/>
      </w:pPr>
      <w:bookmarkStart w:id="177" w:name="__RefHeading___Toc660287_1395250215"/>
      <w:bookmarkStart w:id="178" w:name="_Toc69"/>
      <w:bookmarkEnd w:id="177"/>
      <w:r>
        <w:rPr>
          <w:rtl w:val="true"/>
        </w:rPr>
        <w:t>دوم</w:t>
      </w:r>
      <w:r>
        <w:rPr>
          <w:rtl w:val="true"/>
        </w:rPr>
        <w:t xml:space="preserve">: </w:t>
      </w:r>
      <w:r>
        <w:rPr>
          <w:rtl w:val="true"/>
        </w:rPr>
        <w:t>بررسی نشانه های امام</w:t>
      </w:r>
      <w:r>
        <w:rPr>
          <w:rtl w:val="true"/>
        </w:rPr>
        <w:t>:</w:t>
      </w:r>
      <w:bookmarkEnd w:id="1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و معیارِ امامت نزد شیعیان، همان نص و نصب الهی است، ولی شیعیان برای شناخت امام، از برخی نشانه ها و شاخص‌هایی که از سخنان خود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آمد، برای شناسایی مصداق امام در هر دوره بهره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شناخت امام بر اساس علائم و نشانه های امامت بود؛ لذا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علائم امامت یا دربارۀ کلیات دیگری که بتواند آن‌ها را در شناختِ امام کمک کند، استفسار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کامل به ارادۀ مخاطبان، به بیان معیارها و ویژگی های امام می پرداختند، تا ایمان شیعیان بر اساس معرفت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الأُمُورِ الَّتِی تُوجِبُ حُجَّةَ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روایاتی را که علائم امامت را ذکر کردند، در آن‌جا گرد آورده است؛ برای مثال، معاویۀ بن وهب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امام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ولادت، تربیت خوب و دوری از لهو و 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نصری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علائمی شناخته می شود؟ امام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سکینه، وقار، علم و 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ـ ویژگی هایی ـ شناخته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خصالی که نخستینِ آن‌ها نصّ پدرش است؛ دیگر این‌که هر پرسشی از او شود، پاسخ می دهد؛ از فردا خبر دهد و با مردم به هر زبانی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2:224</w:t>
      </w:r>
      <w:r>
        <w:rPr>
          <w:rFonts w:eastAsia="IRNazanin" w:cs="IRNazanin"/>
          <w:color w:val="111111"/>
          <w:sz w:val="28"/>
          <w:szCs w:val="28"/>
          <w:rtl w:val="true"/>
          <w:lang w:bidi="fa-IR"/>
        </w:rPr>
        <w:t>).</w:t>
      </w:r>
      <w:bookmarkStart w:id="179" w:name="pg2646_16530"/>
    </w:p>
    <w:p>
      <w:pPr>
        <w:pStyle w:val="BookText"/>
        <w:rPr/>
      </w:pPr>
      <w:bookmarkEnd w:id="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Heading6"/>
        <w:numPr>
          <w:ilvl w:val="5"/>
          <w:numId w:val="1"/>
        </w:numPr>
        <w:rPr/>
      </w:pPr>
      <w:bookmarkStart w:id="180" w:name="__RefHeading___Toc660289_1395250215"/>
      <w:bookmarkStart w:id="181" w:name="_Toc70"/>
      <w:bookmarkEnd w:id="180"/>
      <w:r>
        <w:rPr>
          <w:rtl w:val="true"/>
        </w:rPr>
        <w:t>سوم</w:t>
      </w:r>
      <w:r>
        <w:rPr>
          <w:rtl w:val="true"/>
        </w:rPr>
        <w:t xml:space="preserve">: </w:t>
      </w:r>
      <w:r>
        <w:rPr>
          <w:rtl w:val="true"/>
        </w:rPr>
        <w:t>آزمودن امام</w:t>
      </w:r>
      <w:r>
        <w:rPr>
          <w:rtl w:val="true"/>
        </w:rPr>
        <w:t>:</w:t>
      </w:r>
      <w:bookmarkEnd w:id="181"/>
    </w:p>
    <w:p>
      <w:pPr>
        <w:pStyle w:val="BookText"/>
        <w:rPr/>
      </w:pPr>
      <w:r>
        <w:rPr>
          <w:rFonts w:ascii="IRNazanin" w:hAnsi="IRNazanin" w:eastAsia="IRNazanin"/>
          <w:color w:val="111111"/>
          <w:sz w:val="28"/>
          <w:sz w:val="28"/>
          <w:szCs w:val="28"/>
          <w:rtl w:val="true"/>
          <w:lang w:bidi="fa-IR"/>
        </w:rPr>
        <w:t>آزمودن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هم‌چنین برای اطمینان و کشف حقیقت، امام یا کسی را که مدعی امامت بود، بر اساس معیارهای پیش گفته از جانب امامان پیشین، امتحان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امام برای شیعیان دارای دو جنبۀ اثباتی و سلبی بود و از این طریق، هم به بطلانِ ادعای کسی که به ناحق مدّعی امامت یا در مظانّ شایستگی جایگاه امامت بود، پی می بردند وهم دربارۀ امامی که حقّاً لیاقت مقام امامت را داشت، به یقین می رسیدند؛ مانند داستان هشام بن سالم که با گروهی از شیعیان پس از شهادت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امامتِ عبدالله افطح معتقد شده بودند، پس از آزمودن وی و درماندگی‌اش در پاسخ به پرسش‌های مطرح‌شده، نزد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رهنمون شده و پس از آزمودن و اطمینان از علم سرشار آن حضرت، به امامت وی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نیز بر اساس آنچه از امام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شنیده بود، جعفر را که مدعی جانشینی حضرت بود، آزمود و پس از ناتواناییِ او در پاسخ به مسائلش، آنچه را شنیده بود، در فرزند خردسال امام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یافت و او را جانشین حضرت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4"/>
        <w:numPr>
          <w:ilvl w:val="3"/>
          <w:numId w:val="1"/>
        </w:numPr>
        <w:rPr/>
      </w:pPr>
      <w:bookmarkStart w:id="182" w:name="__RefHeading___Toc660291_1395250215"/>
      <w:bookmarkStart w:id="183" w:name="_Toc71"/>
      <w:bookmarkEnd w:id="182"/>
      <w:r>
        <w:rPr>
          <w:rtl w:val="true"/>
        </w:rPr>
        <w:t>ب</w:t>
      </w:r>
      <w:r>
        <w:rPr>
          <w:rtl w:val="true"/>
        </w:rPr>
        <w:t xml:space="preserve">) </w:t>
      </w:r>
      <w:r>
        <w:rPr>
          <w:rtl w:val="true"/>
        </w:rPr>
        <w:t>دفاع از حریم امامان</w:t>
      </w:r>
      <w:bookmarkEnd w:id="183"/>
    </w:p>
    <w:p>
      <w:pPr>
        <w:pStyle w:val="Heading5"/>
        <w:numPr>
          <w:ilvl w:val="4"/>
          <w:numId w:val="1"/>
        </w:numPr>
        <w:rPr/>
      </w:pPr>
      <w:bookmarkStart w:id="184" w:name="__RefHeading___Toc660293_1395250215"/>
      <w:bookmarkStart w:id="185" w:name="_Toc72"/>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از آن‌جا که در دوران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در جامعۀ اسلامی در اقلیت بوده و حاکمیت در اختیار مخالفان آنان قرار داشت، و از سویی نیز محبوبیت امامان شیعه، تهدیدی برای حاکمان به حساب می‌آمد، تبلیغات بسیاری بر ضد شیعه، به‌ویژه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 از این رو، هرگاه کسانی به حریم کبریاییِ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می کردند، شیعیان با توجه به میزان شناختشان از 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فراخور توانایی علمی و جایگاه اجتماعی‌شان، با وجود فشار و خفقان سیاسی، به دفاع از حریم ایشان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و جایگاه مخالفان اهل بیت، دفاع شیعیان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قابل بررسی است</w:t>
      </w:r>
      <w:r>
        <w:rPr>
          <w:rFonts w:eastAsia="IRNazanin" w:cs="IRNazanin"/>
          <w:color w:val="111111"/>
          <w:sz w:val="28"/>
          <w:szCs w:val="28"/>
          <w:rtl w:val="true"/>
          <w:lang w:bidi="fa-IR"/>
        </w:rPr>
        <w:t>:</w:t>
      </w:r>
    </w:p>
    <w:p>
      <w:pPr>
        <w:pStyle w:val="Heading5"/>
        <w:numPr>
          <w:ilvl w:val="4"/>
          <w:numId w:val="1"/>
        </w:numPr>
        <w:rPr/>
      </w:pPr>
      <w:bookmarkStart w:id="186" w:name="__RefHeading___Toc660295_1395250215"/>
      <w:bookmarkStart w:id="187" w:name="_Toc73"/>
      <w:bookmarkEnd w:id="186"/>
      <w:r>
        <w:rPr/>
        <w:t>1</w:t>
      </w:r>
      <w:r>
        <w:rPr>
          <w:rtl w:val="true"/>
        </w:rPr>
        <w:t xml:space="preserve">. </w:t>
      </w:r>
      <w:r>
        <w:rPr>
          <w:rtl w:val="true"/>
        </w:rPr>
        <w:t>دفاع از امامان در مقابل خلفا و حاکمان</w:t>
      </w:r>
      <w:r>
        <w:rPr>
          <w:rtl w:val="true"/>
        </w:rPr>
        <w:t>:</w:t>
      </w:r>
      <w:bookmarkEnd w:id="1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فضایل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ایشان نزد حاکمان، به جهتِ پی‌آمدهایی مانند شکنجه و قتل، به مراتب دشوارتر بود، و شیعیانی که به اختیار یا به اکراه به بیان مناقب امامان و جانبازی در راه عقیده می پرداختند، از عواقب آن بی 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هر چند سخن گفتن در پشتیبانی از امامان، آن هم در حضور سنگ‌دلانی چون معاویه، ابن زیاد، حجّاج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تاوان سختی را به دنبال داشت، شنیدن و دیدن صحنه های توهین آمیز به اولیای خداوند و امامان معصوم، برای شیعیان ایشان به مراتب ناگوارتر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بی شک، لعن و ناسزا به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سخت ترین توهین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مخالفان بود که پشتوانۀ آن، رفتار کینه‌توزانه معاویه در سبّ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فرزندان و یاران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صورت بدعتی فراگیر در قلمرو اسلامی، حتی در کوفه و مدینه نهادینه شد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مثلاً روزی معاویه در مجلسی عمومی، نظرِ حاضران را دربارۀ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 و آن‌ها سخنان ناروایی دربارۀ حضرت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شیعیان اهل کوفه، در سخنان شیوایی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ستود، به بیان فضایل آن حضرت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پناه گاهی بلند و تکیه گاهی رفیع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او فساد را از ریشه برکند و شرک را از جامعه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وسیلۀ او بر زمین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به دست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جامعه رخت بربست و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سیدِ عرب و امامِ امت است که از همگان، افضل، اعلم، اجمل و احکم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مشاهیر شیعه که دارای جایگاه اجتماعیِ ویژه ای بودند، در این زمینه نقش برجسته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طایی هنگامی که دید معاویه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توهین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در پاسخ به سخنان تهدید آمیز معاویه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برای ما بریده شدن گلو و تنگ شدن نفس در سینه، آسان‌تر از شنیدنِ بدگویی و سخنان ناراحت‌کننده ای دربارۀ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ابن‌خلدون،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کندی و عمرو بن حمق خزاعی و همراهان آن دو از شیعیان علی بن ابی 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برابر بدگویی های مغیره و دیگر حاکمان امویِ کوفه به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اعتراض کرده و هرگاه می‌شنیدند، مغیره و یاران معاویه،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روی منبر لعن می‌کنند، به پا خاسته و لعن را به خودشان باز می‌گرداندند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بی تا،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نیز در مقابل درخواست ابن‌زیاد مبنی بر بیزاری جستن از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پس از گریه بر مظلومیت حضرت، به ابن‌زیاد و بنی‌امیه حمله کرده و سخنان تندی علیه آنان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به سختی خشمگین شد و فرمان داد، دست و پای میثم را بریده و به دارش آویزند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ازدی، که یک چشم خود را در جنگ جمل و چشم دیگرش را در جنگ صفین از دست داده بود، پس از واقعۀ عاشورا سخنان ابن زیاد را در مسجد کوفه شنید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یاران او را یاری کرد و کذّاب بن کذّاب را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ابن‌عفیف از جای برخاست و</w:t>
      </w:r>
      <w:bookmarkStart w:id="188" w:name="pg2646_16532"/>
    </w:p>
    <w:p>
      <w:pPr>
        <w:pStyle w:val="BookText"/>
        <w:rPr/>
      </w:pPr>
      <w:bookmarkEnd w:id="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بن کذّاب تویی و پدر تو آن کسی که به تو امارت داده و پدرش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ابن‌زیاد دستور داد وی را به شهادت رسانده و نعشش را بر درِ مسجد به دار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ابن‌حبیب، بی تا</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از این دست فراوان است و حتی زنان شیعی هم به دفاع از کیان امامت و حریم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نقش خوبی ایفا کردند؛ برای مثال، دارمیه حجونیه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حره بنت حلیمه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ابن‌جبرئیل،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منطقی استوار و سخنانی شیوا، از حق و جایگاه امیرالمؤمنین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کردند</w:t>
      </w:r>
      <w:r>
        <w:rPr>
          <w:rFonts w:eastAsia="IRNazanin" w:cs="IRNazanin"/>
          <w:color w:val="111111"/>
          <w:sz w:val="28"/>
          <w:szCs w:val="28"/>
          <w:rtl w:val="true"/>
          <w:lang w:bidi="fa-IR"/>
        </w:rPr>
        <w:t>.</w:t>
      </w:r>
    </w:p>
    <w:p>
      <w:pPr>
        <w:pStyle w:val="Heading5"/>
        <w:numPr>
          <w:ilvl w:val="4"/>
          <w:numId w:val="1"/>
        </w:numPr>
        <w:rPr/>
      </w:pPr>
      <w:bookmarkStart w:id="189" w:name="__RefHeading___Toc660297_1395250215"/>
      <w:bookmarkStart w:id="190" w:name="_Toc74"/>
      <w:bookmarkEnd w:id="189"/>
      <w:r>
        <w:rPr/>
        <w:t>2</w:t>
      </w:r>
      <w:r>
        <w:rPr>
          <w:rtl w:val="true"/>
        </w:rPr>
        <w:t xml:space="preserve">. </w:t>
      </w:r>
      <w:r>
        <w:rPr>
          <w:rtl w:val="true"/>
        </w:rPr>
        <w:t>دفاع از امام در برابر دیگر مخالفان</w:t>
      </w:r>
      <w:r>
        <w:rPr>
          <w:rtl w:val="true"/>
        </w:rPr>
        <w:t>:</w:t>
      </w:r>
      <w:bookmarkEnd w:id="190"/>
    </w:p>
    <w:p>
      <w:pPr>
        <w:pStyle w:val="BookText"/>
        <w:rPr/>
      </w:pPr>
      <w:r>
        <w:rPr>
          <w:rFonts w:ascii="IRNazanin" w:hAnsi="IRNazanin" w:eastAsia="IRNazanin"/>
          <w:color w:val="111111"/>
          <w:sz w:val="28"/>
          <w:sz w:val="28"/>
          <w:szCs w:val="28"/>
          <w:rtl w:val="true"/>
          <w:lang w:bidi="fa-IR"/>
        </w:rPr>
        <w:t>شیعیان، به‌خصوص دانشمندان ایشان، که مرزبانان عقیدتی شیعه‌اند، در هر فرصتی در برابر مخالفان، به‌ویژه کینه توزان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دفاع و جدال احسن پرداخته و از جایگاه امامت و حریم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مناظرات شیعیان با مخالفان در مباحث کلامی، به‌خصوص در مسئله امامت، اهمیت فراوانی دارد، شیعیان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فرصتی به دست می آوردند، مانند دورۀ امامین صادقین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مناظره با مخالفان و دفاع از اعتقادات خویش و حریم امامت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مؤمن طاق، هشام بن سالم، قیس بن ماصر و در رأس همه، هشام بن حکم ـ که به گفتۀ یونس بن یعقوب از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همه در مناظره قوی بودند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طریق به تبیین مسئله امامت و دفاع از امامان</w:t>
      </w:r>
    </w:p>
    <w:p>
      <w:pPr>
        <w:pStyle w:val="BookText"/>
        <w:rPr/>
      </w:pP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به‌خصوص هشام بن حکم، جوان متکلم شیعی که حضرت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با قلب، زبان و دستش یار و معینِ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حضور آن حضرت با مرد شامی، که خود را عالم به فقه و کلام می دانست و برای مناظره و مباحثه با شیعیان به مدینه آمده بود، دربارۀ امامت مناظره کرده و بر او پیروز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حسن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خبر رسید که یکی از فقهای شیعه با فردی ناصبی سخن گفته و با دلیل، او را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در مجلسی که تعدادی از علویان و بنی هاشم نیز در آن مجلس حضور داشتند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صدر مجلس در جایگاه مخصوص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ویژة امام به این مرد، بر حاضران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دفاع از رفتار خویش</w:t>
      </w:r>
      <w:bookmarkStart w:id="191" w:name="pg2646_16533"/>
    </w:p>
    <w:p>
      <w:pPr>
        <w:pStyle w:val="BookText"/>
        <w:rPr/>
      </w:pPr>
      <w:bookmarkEnd w:id="1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این فرد توانسته با ادله ای که خدا به او آموخت، آن ناصبی را شکست دهد، از هر گونه شرافت نَسَبی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عسکری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خوبی توانسته بودند اهمیت بحث امامت را با مناظرات متعدد و موفقیت در دفاع از کیان امامت، در جامعه نهادینه کنند، به گونه ای که در مواردی، مخالفان برای بحث و مناظره دربارۀ امامت، سراغ شیعیان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 بن میثم ـ از یاران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ـ به گفت‌وگو و مناظره با ضرار بن عمرو، در باب امامت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مناظرۀ هشام بن حکم با ضرار به درخواست یحیی بن خالد برمکی و غلبۀ هشام بر او در مسئله امامت و دفاع از حقّ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دست تلاش شیعیان در دفاع از حریم امامت است</w:t>
      </w:r>
      <w:r>
        <w:rPr>
          <w:rFonts w:eastAsia="IRNazanin" w:cs="IRNazanin"/>
          <w:color w:val="111111"/>
          <w:sz w:val="28"/>
          <w:szCs w:val="28"/>
          <w:rtl w:val="true"/>
          <w:lang w:bidi="fa-IR"/>
        </w:rPr>
        <w:t>.</w:t>
      </w:r>
    </w:p>
    <w:p>
      <w:pPr>
        <w:pStyle w:val="Heading4"/>
        <w:numPr>
          <w:ilvl w:val="3"/>
          <w:numId w:val="1"/>
        </w:numPr>
        <w:rPr/>
      </w:pPr>
      <w:bookmarkStart w:id="192" w:name="__RefHeading___Toc660299_1395250215"/>
      <w:bookmarkStart w:id="193" w:name="_Toc75"/>
      <w:bookmarkEnd w:id="192"/>
      <w:r>
        <w:rPr>
          <w:rtl w:val="true"/>
        </w:rPr>
        <w:t>ج</w:t>
      </w:r>
      <w:r>
        <w:rPr>
          <w:rtl w:val="true"/>
        </w:rPr>
        <w:t xml:space="preserve">) </w:t>
      </w:r>
      <w:r>
        <w:rPr>
          <w:rtl w:val="true"/>
        </w:rPr>
        <w:t>تمسک به مقام معنوی امامان</w:t>
      </w:r>
      <w:bookmarkEnd w:id="193"/>
    </w:p>
    <w:p>
      <w:pPr>
        <w:pStyle w:val="Heading5"/>
        <w:numPr>
          <w:ilvl w:val="4"/>
          <w:numId w:val="1"/>
        </w:numPr>
        <w:rPr/>
      </w:pPr>
      <w:bookmarkStart w:id="194" w:name="__RefHeading___Toc660301_1395250215"/>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با توجه به آموزه های دینی و مبانی عقلانی، استمداد از کسانی که هدایت یافته و مقام روحانیِ والایی دارند، پذیرفته و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پایۀ نگرشی که به مقام معنویِ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وجاهت ایشان نزد پروردگار، اتصال به عالم ماورا و واسطۀ فیض دانستن</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همواره به دنبال بهره گرفتن از این ذوات نورانی، برای دنیا و آخرت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مهم‌ترین موارد ارتباط و تمسک اعتقادی شیعیان به مقام معنوی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حوزۀ ذیل قابل بررسی است</w:t>
      </w:r>
      <w:r>
        <w:rPr>
          <w:rFonts w:eastAsia="IRNazanin" w:cs="IRNazanin"/>
          <w:color w:val="111111"/>
          <w:sz w:val="28"/>
          <w:szCs w:val="28"/>
          <w:rtl w:val="true"/>
          <w:lang w:bidi="fa-IR"/>
        </w:rPr>
        <w:t>:</w:t>
      </w:r>
    </w:p>
    <w:p>
      <w:pPr>
        <w:pStyle w:val="Heading5"/>
        <w:numPr>
          <w:ilvl w:val="4"/>
          <w:numId w:val="1"/>
        </w:numPr>
        <w:rPr/>
      </w:pPr>
      <w:bookmarkStart w:id="196" w:name="__RefHeading___Toc660303_1395250215"/>
      <w:bookmarkStart w:id="197" w:name="_Toc77"/>
      <w:bookmarkEnd w:id="196"/>
      <w:r>
        <w:rPr/>
        <w:t>1</w:t>
      </w:r>
      <w:r>
        <w:rPr>
          <w:rtl w:val="true"/>
        </w:rPr>
        <w:t xml:space="preserve">. </w:t>
      </w:r>
      <w:r>
        <w:rPr>
          <w:rtl w:val="true"/>
        </w:rPr>
        <w:t>توسل جستن</w:t>
      </w:r>
      <w:r>
        <w:rPr>
          <w:rtl w:val="true"/>
        </w:rPr>
        <w:t>:</w:t>
      </w:r>
      <w:bookmarkEnd w:id="1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فراهیدی در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وَسَّلْتُ الی رَبّی وسیلةً أی عَمِلْت عملا أتقرّبُ بِه الیه؛ مراد از وسیله، هر عملی است که موجب تقرب و نزدیکی به پروردگار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اصطلاح، یعنی هر آنچه انسان از طریق آن برای آمرزش گناهان و برآوردن حاجت خود، به خدا متوسل شود و تقرب جوید؛ مانند پیامبر، بندگان صالح واعمال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 را در جهت کسب کمالات معنوی و قرب به درگاه الهی، به توسل به اسباب تقرب امر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الهی داشته باشید و به سوی او، وسیله تحصیل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برخی آیات دیگر، از ادلۀ شیعه بر جواز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 لزوم توسل به اولیای الهی هنگام دعا،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نبویِ مستند نزد شیعه و اهل‌سنت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دعایی محجوب است تا این‌که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متقی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سیرۀ عملی مسلمانان و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جواز توسل به شخصیت های معنوی و آبرومند نزد خدا،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کند و آن حضرت خود مردم را به این مسئله رهنمون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مسند خود، داستانی از توسل مرد نابینا به رسول خدا آورده است که حضرت در پایان به او فرمود این‌چنین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و أتوجّه إلیک بنبیّک محمد نبیّ الرّحمة یا محمّد إنّی توجّهت بک إلی ربّی فی حاجتی هذه فتقضی لی اللهمّ شفّعه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از نسل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هر کس از آن‌ها پیروی کند، از خدا اطاعت پیروی کرده، و هر کس نافرمانیِ آن‌ها را کند، نافرمانیِ خدا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ریسمان محکم و وسیله به سوی خداوند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رسیدن به حاجات مادی و معنوی خویش و در زمان گرفتاری ها و سختی ها پس از توجه به خدا، دست توسل به سوی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دراز کرده و از وجاهت و حرمت آنان نزد خدای تعالی در رفع گرفتاری ها و برآورده شدن حاجات، کمک می طلبیدند تا با وساطت آن بزرگواران، به اخذ فیض از مبدأ هستی نایل شده و بدین طریق مشکلاتشان حل و حاجاتشان برآورده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درخواست شیعیان مبنی بر طلب دعا در گرفتاری ها، علاوه بر دعا در حقّ ایشان، دعاهایی نیز به ایشان آموخته وآن‌ها را به وساطت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توجه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 جعفی که بسیاری از اوقات از درد چشم ناراحت بود، روزی از این درد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دعایی به تو نیاموزم که برای دنیا و آخرتت سودمند باشد و از درد چشم نیز آسوده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نماز صبح و پس از مغرب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آلش بر تو، از تو درخواست می کنم که بر محمد و آلش درود فرستی و در چشمم نور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شیعیان فقط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ها و مشکلات خویش شکایت و درخواست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نشان از اعتقاد ایشان به آبرومندیِ امامان نزد پروردگار و توانایی آنان و امید به برآورده شدن خواسته هایشان از این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حیّان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نامه ای نوشت و از آن حضرت خواست برای شفای بیماری‌اش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برایش دعایی کرد و به او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العملی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بدان عمل کرد و سلامتیِ خود را باز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ابنا‌بسطام،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نیز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خواست جهت شفا، دستی بر سر فرزندش که لکنت زبان داشت، بکشد و حضرت او را نزد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رهنمون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bookmarkStart w:id="198" w:name="pg2646_16535"/>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5"/>
        <w:numPr>
          <w:ilvl w:val="4"/>
          <w:numId w:val="1"/>
        </w:numPr>
        <w:rPr/>
      </w:pPr>
      <w:bookmarkStart w:id="199" w:name="__RefHeading___Toc660305_1395250215"/>
      <w:bookmarkStart w:id="200" w:name="_Toc78"/>
      <w:bookmarkEnd w:id="199"/>
      <w:r>
        <w:rPr/>
        <w:t>2</w:t>
      </w:r>
      <w:r>
        <w:rPr>
          <w:rtl w:val="true"/>
        </w:rPr>
        <w:t xml:space="preserve">. </w:t>
      </w:r>
      <w:r>
        <w:rPr>
          <w:rtl w:val="true"/>
        </w:rPr>
        <w:t>شفاعت‌خواهی</w:t>
      </w:r>
      <w:r>
        <w:rPr>
          <w:rtl w:val="true"/>
        </w:rPr>
        <w:t>:</w:t>
      </w:r>
      <w:bookmarkEnd w:id="200"/>
    </w:p>
    <w:p>
      <w:pPr>
        <w:pStyle w:val="BookText"/>
        <w:rPr/>
      </w:pPr>
      <w:r>
        <w:rPr>
          <w:rFonts w:ascii="IRNazanin" w:hAnsi="IRNazanin" w:eastAsia="IRNazanin"/>
          <w:color w:val="111111"/>
          <w:sz w:val="28"/>
          <w:sz w:val="28"/>
          <w:szCs w:val="28"/>
          <w:rtl w:val="true"/>
          <w:lang w:bidi="fa-IR"/>
        </w:rPr>
        <w:t xml:space="preserve">شریف مرتضی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شفاعت و فایدۀ آن، درخواست برداشته شدن عقاب از مستحقّ عقاب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وساطت جهت نجات گنهکار به کار می‌رود، این است که مقام و موقعیت شفاعت‌کننده و نیروی تأثیر او یا عوامل نجاتی که در وجود شفاعت‌شونده هست، با هم ضمیمه می‌شوند و به کمک هم، موجب خلاصی گنهکار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قرآن، شفاعت ذاتاً حقّخداوند متعال است و شفیع حقیقی و مطلق،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مانعِ شفاعت غیر خداوند نیست، چراکه غیر خداوند متعال نیز می‌توانند با اذن و فرمان الهی شفیع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آیات متعددی بر این امر دلالت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اتفاق نظر دارند که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رستاخیز، مرتکبان گناه کبیره را شفاعت می‌کنند و بر اثر شفاعت آنان، گروه فراوانی از شیعیان خطاکار نجات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شیعیانِ ایشان را در جایگاه شفیع و واسطۀ آمرزش گناهان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اولیای خدا، منوط به اذن پروردگار جهان است و بدون اذن خدا، هیچ‌کس نمی‌تواند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شفاعت امتشرا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فرمود و به ما شفاعت شیعیانمان را عطا کرد و شیعیان ما می توانند خویشاوندانشان را شفاعت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سعید،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شامل حال کدام دسته از گنهکاران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موارد بر باور شیعیان به برخورداری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شفاعت، دلالت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ادعیه و زیاراتی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می‌آموختند، آن‌ها را به جایگاه شفاعت و ارتباط آن با تمسک و پیروی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دعای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محمد بن صدقه عنبری آموخت،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عترت پیامبرت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جوییم؛ پس شفاعت ایشان را روزیِ ما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به درخواست موسی بن عمران نخعی از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مبنی بر تعلیم زیارت‌نامه‌ای بلیغ و کامل برای زیارت امامان، صادر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حداقل چهار بار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فراز آن این‌چنین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 پیروی</w:t>
      </w:r>
      <w:bookmarkStart w:id="201" w:name="pg2646_16536"/>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از شما توفیق دهد و شفاعتتان را روزی ام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بخشودگیِ گناهان ما را از خدا بخواهید و شفیع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تأثیر محبتِ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اخروی خویش اعتقاد داشته و به سبب دوستیِ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نجات از عذاب و رستگاری در آخرت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با حالت گریه و تضرع و بیان سال‌مندی و نابیناییِ خویش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 خواهد ـ به سبب محبت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 را برای او ضمانت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اسود در منا خدمت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مشرف شد، امام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پایش مجروح شده؛ از وضع رقت‌بار او متأثر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پاهایت این‌طور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جوان و لاغری داشتم و به خاطر آن، بیشتر راه را پیاده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متأثر شد، زیاد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آلوده به گناهان می شوم، تا بدان‌جا که گمان می‌کنم به هلاکت و نابودی افتاده ام؛ در آن حال، به یاد دوستیِ شما می افتم و همان، امید نجاتی برای من آورده و اندوه مرا برطرف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شیعی نیز در اشعار خود، به تبیین مقام شفاعت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مصعب عبدی، از یاران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قصیده ای شیوا، مقام شفاعت‌گریِ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ایشان در آخرت را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ابن‌شهر 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ایوب خرّیتی پس از شهادت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خطاب به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شعری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دو بیت از آن، که شفاعتِ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 قیامت طلب کرده،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به تو پناه می برم و نزد شما راه نجاتی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کسی به شفاعت شما از من پیشی نگیرد، چون کسی در محبت شما بر من پیشی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بی تا</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202" w:name="__RefHeading___Toc660307_1395250215"/>
      <w:bookmarkStart w:id="203" w:name="_Toc79"/>
      <w:bookmarkEnd w:id="202"/>
      <w:r>
        <w:rPr/>
        <w:t>3</w:t>
      </w:r>
      <w:r>
        <w:rPr>
          <w:rtl w:val="true"/>
        </w:rPr>
        <w:t xml:space="preserve">. </w:t>
      </w:r>
      <w:r>
        <w:rPr>
          <w:rtl w:val="true"/>
        </w:rPr>
        <w:t>تبرک‌جویی و شفاخواهی</w:t>
      </w:r>
      <w:r>
        <w:rPr>
          <w:rtl w:val="true"/>
        </w:rPr>
        <w:t>:</w:t>
      </w:r>
      <w:bookmarkEnd w:id="20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زیادی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از چیزی، یعنی طلب برکت از طریق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به چیزی جست، یعنی از آن طلبِ میمنت و برکت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اصطلاحیِ آن، طلب برکت از طریق اشیا یا افرادی است که خدا آن‌ها را به منزلت و مقام خاصی، امتیاز داده و آن‌ها را بر دیگر اشیا و معانی مقدم داشته است و مردم از طریق آن‌ها، کسب خیر و برکت و طلب شفا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هدف از تبرک خواستن از اولیای الهی، کسب خیر و برکت در زندگی و رشد مادی و معنوی بوده است و یکی از مصادیق آن، تبرک جستن شیعیان به آثار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شفاست؛ البته آنان می دانستند این برکت و شفا، اصالتاً از جانب خدای متعال و به برکت و مقام ایشان نزد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حدیثی شیعه و اهل‌سنت با نقل متواتر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ایشان و با مباشرت و خواستۀ خود آن حضرت، با مسّ دست، بدن، مو یا لباس و آب وضوی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تیمن و برکت جستن از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مسلم، بی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پس از وفات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روش را با تبرک به آثار ایشان ادامه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این سنت را در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از امامان و آثار ایشان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نوشته‌ای به هشام بن احمر داد تا چیزهایی را که در آن نام برده بود، از بازار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پس از خرید لوازم، نوشته را به جهت برکت نزد خود نگه‌داری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شش‌صد دینار صله از جانب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دعبل پس از خواندن قصیدۀ معروفش، عطا گردید، اما دعبل از حضرت خواست، پول را بازپس ستاند و تنها یکی از جامه های خویش را به وی دهد و حضرت او را به این امر مفتخر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بازگشت از مرو، به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اطلاع اهالی قم از تبرکی که دعبل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همراه داشت، از وی درخواستِ خرید آن را به هزار دینارکردند، اما دعبل امتناع ورزید و از قم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دنبال او آمده، راه را بر او گرفته و آن جامه را به زور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قم بازگشت و دربارۀ بازگرداندن آن جبه با ایشان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نخواهیم داد، ولی اگر می‌خواهی، این هزار دینار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تکه‌ای از آن را نیز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هزار دینار پول و تکه‌ای از آن پارچه را به او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خواستن دعبل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تلاش شیعیان قم برای به دست آوردن آن پیراهن و خریدن آن به قیمت گزاف، به صراحت نهادینه شدن فرهنگ تبرک جوییِ شیعیان به آثار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را به تصویر می کشد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جهت عیادت علی بن عبیدالله، که در بستر بیماری افتاده بود، به منزل ایشان آمدند و پس از تفقد از حال ایشان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علی بن عبیدالله، خودش را به مکان جلوس امام انداخت، آن‌جا را می بوسید و به بدن خود می مالید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پایانِ گزارش مفصلی که شیخ صدوق از دیدار هیئت قمی با امام حسن عسکری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در موقع خداحافظی،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خدا و حرمت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داد که خرقه ای ـ پارچه ای ـ به او کرامت فرماید تا آن را کفن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از اصحاب امام عسکری</w:t>
      </w:r>
      <w:r>
        <w:rPr>
          <w:rFonts w:ascii="IRNazanin" w:hAnsi="IRNazanin" w:eastAsia="IRNazanin"/>
          <w:color w:val="111111"/>
          <w:sz w:val="28"/>
          <w:sz w:val="28"/>
          <w:szCs w:val="28"/>
          <w:lang w:bidi="fa-IR"/>
        </w:rPr>
        <w:t></w:t>
      </w:r>
      <w:bookmarkStart w:id="204" w:name="pg2646_16538"/>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در نظر داشتم قدری نقره از آن حضرت بگیرم تا جهت تبرک با آن انگشتری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مدت عمرِ طولانی خود، تربت امام حسین را به گونه‌ای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فرموده بودند و توصیف کردند، به کاربردم؛ شکر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ناگواری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205" w:name="__RefHeading___Toc660309_1395250215"/>
      <w:bookmarkStart w:id="206" w:name="_Toc80"/>
      <w:bookmarkEnd w:id="205"/>
      <w:r>
        <w:rPr>
          <w:rtl w:val="true"/>
        </w:rPr>
        <w:t>نتیجه</w:t>
      </w:r>
      <w:bookmarkEnd w:id="206"/>
    </w:p>
    <w:p>
      <w:pPr>
        <w:pStyle w:val="BookText"/>
        <w:rPr/>
      </w:pPr>
      <w:r>
        <w:rPr>
          <w:rFonts w:ascii="IRNazanin" w:hAnsi="IRNazanin" w:eastAsia="IRNazanin"/>
          <w:color w:val="111111"/>
          <w:sz w:val="28"/>
          <w:sz w:val="28"/>
          <w:szCs w:val="28"/>
          <w:rtl w:val="true"/>
          <w:lang w:bidi="fa-IR"/>
        </w:rPr>
        <w:t>از ارزیابیِ رفتارهای شیعیان در تعامل با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در نحوۀ برخورد و تعامل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ویژه ای داشته و پای‌بند به آداب خاصی بوده اند، و این مسئله به نوع نگرش و اعتقادشان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هرچه بیشتر از عمر شیعه و به دنبال حرکت آگاهی‌بخش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به‌خصوص پس از تلاش های فرهنگی امامین صادقین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تلاش اصحاب دانشمند ائمه، مبانی فکری و عقیدتی شیعیان در باب امامت و مسائل آن، روز به روز روشن تر گردید و شیعیان به آگاهی بیشتری از ابعاد شخصیتی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علمی ایشان دست یافتند؛ میزان این شناخت و آگاهی، در نحوة رفتار و شیوۀ برخورد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داشته است؛ لذا نتایجی که از ارزیابی رفتارهای شیعیان دربارۀ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بر مبنای رفتار غالب جامعۀ شیعی در عصر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متأثر از تفکر و نوع دیدگاه شیعیان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مدعی عمومیتِ این قواعد و نتایج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اعتقادی شیعیان دربارۀ ائمه اطهار، بیشتر از سرِ نیاز و جنبۀ کمال خواهی و استمداد طلبی نسبت به نیازهای مادی و معنوی خویش و متأثر از اعتقادات و آموزه های دینی و مذهبی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راه‌های گوناگون برای شناخت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ایشان، قدم برداشته و معرفت به امام را وظیفۀ دینی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اوصیای بر حقّ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همۀ کمالات دانسته و در حدّ توان با زبان و قلم خویش به معرفی و دفاع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در این راه هزینه های سنگینی پرداختند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قداست و واجب‌الاطاعه بودن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گرفتن توان‌مندی و وجهة ربوبی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شکل گیری حس اطاعت، تکریم و احساس تکلیف دربارۀ رعایت حرمت و دفاع از حریم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امید رسیدن به کمال مادی و معنوی از طریق توسل به ایشان، در بین شیعیان عصر حضور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مقام معنوی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تبرّک جستن به آثار ایشان و نیز تلاش برای بهره مندی از شفاعت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رفتارهای شیعیان بوده که منشأ اعتقادی داشته است</w:t>
      </w:r>
      <w:r>
        <w:rPr>
          <w:rFonts w:eastAsia="IRNazanin" w:cs="IRNazanin"/>
          <w:color w:val="111111"/>
          <w:sz w:val="28"/>
          <w:szCs w:val="28"/>
          <w:rtl w:val="true"/>
          <w:lang w:bidi="fa-IR"/>
        </w:rPr>
        <w:t>.</w:t>
      </w:r>
      <w:bookmarkStart w:id="207" w:name="pg2646_16539"/>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طریق چنین پژوهش‌هایی و با شناسایی، ارزیابی و بازنگریِ رفتارهای شیعیان عصرِ حضور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به معرفی و ارائه الگوهای صحیح رفتاری پرداخت، و جامعۀ شیعیِ اکنون و هنگام ظهور حضرت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نحوۀ تعاملِ سنجیده و رفتار صحیح نسبت به آن حضرت آشنا کرد</w:t>
      </w:r>
      <w:r>
        <w:rPr>
          <w:rFonts w:eastAsia="IRNazanin" w:cs="IRNazanin"/>
          <w:color w:val="111111"/>
          <w:sz w:val="28"/>
          <w:szCs w:val="28"/>
          <w:rtl w:val="true"/>
          <w:lang w:bidi="fa-IR"/>
        </w:rPr>
        <w:t>.</w:t>
      </w:r>
    </w:p>
    <w:p>
      <w:pPr>
        <w:pStyle w:val="Heading3"/>
        <w:numPr>
          <w:ilvl w:val="2"/>
          <w:numId w:val="1"/>
        </w:numPr>
        <w:rPr/>
      </w:pPr>
      <w:bookmarkStart w:id="208" w:name="__RefHeading___Toc660311_1395250215"/>
      <w:bookmarkStart w:id="209" w:name="_Toc81"/>
      <w:bookmarkEnd w:id="208"/>
      <w:r>
        <w:rPr>
          <w:rtl w:val="true"/>
        </w:rPr>
        <w:t>منابع</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 الحدید، عبدالحمید،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نهج‌البلاغة، قم، کتاب‌خانه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حبیب بغدادی،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ایلزة لیختنشتیتر، بیروت، دار الآفاق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ابن‌حنبل،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احمد، بیروت، دارالصادر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ابن‌خلدون، عبدالرحمن بن محمد،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خلدون،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شحاده، بیروت، دارالفکر،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ابن‌سعد، 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الطبقات الکبری، الطبقه الخامسه،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صامل السلمی، بی جا، مکتبه الصدیق،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قم،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ابن‌طیفور، احمد بن ابی‌طاهر،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قم،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ابن‌فهد حلّی،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عدۀ الداعی، دارالکتاب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دارالصادر،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کشف‌الغمة، تبریز، مکتبه بنی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حسن بن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 مدرسه امام 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بخاری،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کوفی، ابراهیم بن محمد،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الغارات،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عزیزالله عطاردی، بی جا،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مقتضب الأثر فی النص علی الأئمه الإثنی عشر، قم، مکتبة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اهوازی، حسین بن سعید،</w:t>
      </w:r>
      <w:r>
        <w:rPr>
          <w:rFonts w:eastAsia="IRNazanin" w:cs="IRNazanin"/>
          <w:color w:val="111111"/>
          <w:sz w:val="28"/>
          <w:szCs w:val="28"/>
          <w:rtl w:val="true"/>
          <w:lang w:bidi="fa-IR"/>
        </w:rPr>
        <w:t>(</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عرفانیان، بی جا،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 جاوید، قم، مؤسسه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شاذان بن جبرئیل،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الفضایل، قم،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علم الهدی،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قم، دار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الحسین بن بابویه قمی،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قم،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وعقاب الاعمال، قم، دارالرضی،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انصاری‌زنجانی، قم، الهادی،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قم، کتاب‌خانه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علی اهل اللجاج، مشهد،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الأمم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ابراهیم، بیروت، دارالتراث،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بیروت، مؤسسه فقه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و حسین نیشابوری، ابنا بسطام،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 الائمه، قم،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العین، قم، هجرت،چاپ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راوندی، سعید بن عبدالله،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الجرائج، قم، مؤسسه امام مهدی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مشهد، نشر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بکری حیانی، بیروت، مؤسسۀ الرساله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داغر، قم، دارالهجره،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معرفۀ حجج الله علی العباد،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فی المذاهب و المختارات، قم، کنگره شیخ 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منقری، نصر بن مزاحم،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وقعۀ صفین،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قاهره، مؤسسۀ العربیه،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ابی‌یعقوب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 دارالصادر</w:t>
      </w:r>
      <w:r>
        <w:rPr>
          <w:rFonts w:eastAsia="IRNazanin" w:cs="IRNazanin"/>
          <w:color w:val="111111"/>
          <w:sz w:val="28"/>
          <w:szCs w:val="28"/>
          <w:rtl w:val="true"/>
          <w:lang w:bidi="fa-IR"/>
        </w:rPr>
        <w:t>.</w:t>
      </w:r>
      <w:bookmarkStart w:id="210" w:name="pg2646_16541"/>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2"/>
        <w:numPr>
          <w:ilvl w:val="1"/>
          <w:numId w:val="1"/>
        </w:numPr>
        <w:rPr/>
      </w:pPr>
      <w:bookmarkStart w:id="211" w:name="__RefHeading___Toc660313_1395250215"/>
      <w:bookmarkStart w:id="212" w:name="_Toc82"/>
      <w:bookmarkEnd w:id="211"/>
      <w:r>
        <w:rPr>
          <w:rtl w:val="true"/>
        </w:rPr>
        <w:t>مفضل بن عمر و جریان تفویض</w:t>
      </w:r>
      <w:bookmarkEnd w:id="212"/>
    </w:p>
    <w:p>
      <w:pPr>
        <w:pStyle w:val="Heading3"/>
        <w:numPr>
          <w:ilvl w:val="2"/>
          <w:numId w:val="1"/>
        </w:numPr>
        <w:rPr/>
      </w:pPr>
      <w:bookmarkStart w:id="213" w:name="__RefHeading___Toc660315_1395250215"/>
      <w:bookmarkStart w:id="214" w:name="_Toc83"/>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حسن حیدری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1393/01/15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1393/06/08</w:t>
      </w:r>
    </w:p>
    <w:p>
      <w:pPr>
        <w:pStyle w:val="Heading3"/>
        <w:numPr>
          <w:ilvl w:val="2"/>
          <w:numId w:val="1"/>
        </w:numPr>
        <w:rPr/>
      </w:pPr>
      <w:bookmarkStart w:id="215" w:name="__RefHeading___Toc660317_1395250215"/>
      <w:bookmarkStart w:id="216" w:name="_Toc84"/>
      <w:bookmarkEnd w:id="215"/>
      <w:r>
        <w:rPr>
          <w:rtl w:val="true"/>
        </w:rPr>
        <w:t>چکیده</w:t>
      </w:r>
      <w:bookmarkEnd w:id="216"/>
    </w:p>
    <w:p>
      <w:pPr>
        <w:pStyle w:val="BookText"/>
        <w:rPr/>
      </w:pPr>
      <w:r>
        <w:rPr>
          <w:rFonts w:ascii="IRNazanin" w:hAnsi="IRNazanin" w:eastAsia="IRNazanin"/>
          <w:color w:val="111111"/>
          <w:sz w:val="28"/>
          <w:sz w:val="28"/>
          <w:szCs w:val="28"/>
          <w:rtl w:val="true"/>
          <w:lang w:bidi="fa-IR"/>
        </w:rPr>
        <w:t>مفضل بن عمر، از شخصیت‌های بزرگ شیعه در قرن دوم هجری است که روایات بسیاری از وی در منابع حدیثیِ امامیه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وی را به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حتی او را بنیان‌گذار این جریان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مفضل و نیز صحت و سقم نسبتِ تفویض به وی، علاوه بر آن که گوشه ای از تاریخ مدرسۀ کلامی کوفه را آشکار می‌کند، دریچه‌ای برای شناخت جریان متهم به غلو در فضای کوفۀ قرن دوم به روی ما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داده‌های تاریخیِ موجود دربارۀ مفضل و هم‌چنین تاریخ شکل‌گیریِ جریان تفویض نشان می‌دهد، به هیچ وجه نمی‌توان وی را از بنیان‌گذاران و منتسبان به این جریان به حساب آورد؛ به عبارت دقیق‌تر، اطلاعات موجود دربارۀ مفضل، هیچ‌گونه تفکر تفویضی را برای وی اثبات نمی‌کند</w:t>
      </w:r>
      <w:r>
        <w:rPr>
          <w:rFonts w:eastAsia="IRNazanin" w:cs="IRNazanin"/>
          <w:color w:val="111111"/>
          <w:sz w:val="28"/>
          <w:szCs w:val="28"/>
          <w:rtl w:val="true"/>
          <w:lang w:bidi="fa-IR"/>
        </w:rPr>
        <w:t>.</w:t>
      </w:r>
    </w:p>
    <w:p>
      <w:pPr>
        <w:pStyle w:val="Heading3"/>
        <w:numPr>
          <w:ilvl w:val="2"/>
          <w:numId w:val="1"/>
        </w:numPr>
        <w:rPr/>
      </w:pPr>
      <w:bookmarkStart w:id="217" w:name="__RefHeading___Toc660319_1395250215"/>
      <w:bookmarkStart w:id="218" w:name="_Toc85"/>
      <w:bookmarkEnd w:id="217"/>
      <w:r>
        <w:rPr>
          <w:rtl w:val="true"/>
        </w:rPr>
        <w:t>واژگان کلیدی</w:t>
      </w:r>
      <w:bookmarkEnd w:id="2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متهم به غلو، مفوّضه، اصحاب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مفضل بن عمر</w:t>
      </w:r>
      <w:r>
        <w:rPr>
          <w:rFonts w:eastAsia="IRNazanin" w:cs="IRNazanin"/>
          <w:color w:val="111111"/>
          <w:sz w:val="28"/>
          <w:szCs w:val="28"/>
          <w:rtl w:val="true"/>
          <w:lang w:bidi="fa-IR"/>
        </w:rPr>
        <w:t>.</w:t>
      </w:r>
      <w:bookmarkStart w:id="219" w:name="pg2646_16542"/>
    </w:p>
    <w:p>
      <w:pPr>
        <w:pStyle w:val="BookText"/>
        <w:rPr/>
      </w:pPr>
      <w:bookmarkEnd w:id="2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Heading3"/>
        <w:numPr>
          <w:ilvl w:val="2"/>
          <w:numId w:val="1"/>
        </w:numPr>
        <w:rPr/>
      </w:pPr>
      <w:bookmarkStart w:id="220" w:name="__RefHeading___Toc660321_1395250215"/>
      <w:bookmarkStart w:id="221" w:name="_Toc86"/>
      <w:bookmarkEnd w:id="220"/>
      <w:r>
        <w:rPr>
          <w:rtl w:val="true"/>
        </w:rPr>
        <w:t xml:space="preserve">شخصیت‌شناسیِ </w:t>
      </w:r>
      <w:r>
        <w:rPr>
          <w:rtl w:val="true"/>
        </w:rPr>
        <w:t>«</w:t>
      </w:r>
      <w:r>
        <w:rPr>
          <w:rtl w:val="true"/>
        </w:rPr>
        <w:t>مفضل بن عمر</w:t>
      </w:r>
      <w:r>
        <w:rPr>
          <w:rtl w:val="true"/>
        </w:rPr>
        <w:t>»</w:t>
      </w:r>
      <w:bookmarkEnd w:id="221"/>
    </w:p>
    <w:p>
      <w:pPr>
        <w:pStyle w:val="BookText"/>
        <w:rPr/>
      </w:pPr>
      <w:r>
        <w:rPr>
          <w:rFonts w:ascii="IRNazanin" w:hAnsi="IRNazanin" w:eastAsia="IRNazanin"/>
          <w:color w:val="111111"/>
          <w:sz w:val="28"/>
          <w:sz w:val="28"/>
          <w:szCs w:val="28"/>
          <w:rtl w:val="true"/>
          <w:lang w:bidi="fa-IR"/>
        </w:rPr>
        <w:t>ابوعبدالله مفضل بن عمر، یکی از شخصیت‌های بزرگِ کوفه در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سال‌روز دقیق تولد، وفات و مکان دفن مفضل گزارشی در دست نیست، ولی با کنار هم نهادن برخی شواهد تاریخی، می‌توان ولادت وی را در حدود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زمان وفات مفضل نیز تنها گزارشی در رجال کشی، حاکی از وفات وی در دوران امامت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پیش از زندانی شدن ایشان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اولیۀ رجالی، مفضل را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ابن‌داود،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خاندان‌های مشهور یمنیِ ساکن در کوفه و یکی از تیره‌های قبیلۀ مَذحِج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ابن‌حزم،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ماسینیون،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صفری،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این خاندان پس از فتوحات، به عراق مهاجرت کرده و در کوفه ساکن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دورۀ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شمار شیعیان در میان جعفیان رو به افزایش گذارد و در زمان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جعفیان به تشیع تا بدان‌جا پیش رفت که بنوجعفی به قبیله ای شیعی شناخته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 شخصی به این قبیله، قرینه ای بر تشیع وی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بزرگ این قبیله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مفضل بن عمر، محمد بن مفضل بن عمر، اسماعیل بن جابر، فیض بن مختار و سه برادر به نام‌های ایوب بن حرّ، ادیم بن حرّ و زکریا بن حرّ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گزارش های موجود در منابع امامیه، می توان به جایگاه ممتاز اجتماعی و فرهنگی مفضل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مفضل در جایگاه وکیل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وجوهات شرعی شیعیان را گرفته و آن را به امام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مفضل را مأمور کرد تا اگر بین شیعیان نزاعی رخ داد، با مال امام که نزد اوست، نزاع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گاهی مفضل مسئولیت خرید برای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مفضل را واسطۀ رساندن پیام خویش به برخی اصحاب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اردبیلی،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پایۀ برخی گزارش ها، می توان به وجود شبکه ای اجتماعی در کنار مفضل پی برد که در برخی روایات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مفضل به کمک آن‌ها مسئولیت نمایندگی از امام را در کوفه پیش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گاهی که لازم بود، خودش شخصاً به حضور امام شرف‌یاب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کسی را به نمایندگی 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نقل کشّی، وقتی ابوالخطاب به انحراف گرایید، شیعیان کوفه نزد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و مرشد و راهنمایی در امور دینی از آن جناب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آنان،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مفضل را به ایشان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را بر شما نصب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گوش کنید و از او قبول کنید، چراکه او نسبت به خدا و من، غیر از سخن حق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نشان می‌دهد، جایگاه علمی و دینی مفضل در میان شیعیان کوفه پذیرفته شده بود و تنها اشکال آن‌ها به هم‌نشینی وی با افرادی به ظاهر لاابالی و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کلینی،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مفضل دستور می دهند که دانش خود را بنویس و آن را میان برادرانت منتشر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از صحت دانش وی نزد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شیخ مفید،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مفضل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همۀ اصحابِ من، علمی مانند تو داشتند، هیچ اختلافی میانشان پیش نمی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فیض بن مختار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میان حلقۀ اصحاب نشسته و حدیث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دچار تردید شده و زمانی تردیدم از میان می‌رود که نزد مفضل رفته و او دربارۀ صحت و سقم احادیث قضاوت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جانم آرام گرفته و به یقین و اطمینان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همان‌گونه است که تو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تاریخی نشان می‌دهد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مفضل را مَحرم اسرار خویش می‌دانست و گاهی معارفی به او تعلیم می‌فرمود و از او می‌خواست آن‌ها را برای نااهلان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موارد، بر جایگاه رفیع علمی و معنوی مفضل نزد ایشان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شواهد، وی در این دوران فعالیت‌های پنهان سیاسی به محوریت اسماعیل داشت؛ لذا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وجود ارتباط محبت‌آمیزی که بین مفضل و اسماعیل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مفضل را از چنین ارتباطی با اسماعیل نهی کرد تا سوء‌ظن حکومت به مفضل، باعث کشته شدن اسماعیل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وثیق مفضل با مقام امامت، در دوران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ادامه یافت تا بدان‌جا که ایشان، مفضل را انس و مایۀ آرامش جان خویش معرفی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حضرت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مفضل را وکیل ارشد خویش قرار داد، به گونه‌ای که تمام وجوهات شرعی را به وی حواله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bookmarkStart w:id="222" w:name="pg2646_16544"/>
    </w:p>
    <w:p>
      <w:pPr>
        <w:pStyle w:val="BookText"/>
        <w:rPr/>
      </w:pPr>
      <w:bookmarkEnd w:id="2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نجاشی پنج کتاب به مفضل نسبت می دهد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و الاسلام، یوم و لیلة، فکِّر، وصیة المفضل و علل‌الشرائع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 امامیه، تنها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الاهلیلجة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وصیة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احادیث فراوانی از مفضل در منابع حدیثی امامیه، در موضوعات گوناگونِ کلامی، فقهی و اخلاقی نقل شده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مفضل در میان مذاهب اسماعیلیه و نُصیریه نیز مورد توجه و احترام است </w:t>
      </w:r>
      <w:r>
        <w:rPr>
          <w:rStyle w:val="FootnoteAnchor"/>
          <w:rtl w:val="true"/>
        </w:rPr>
        <w:footnoteReference w:id="29"/>
      </w:r>
      <w:r>
        <w:rPr>
          <w:rFonts w:ascii="IRNazanin" w:hAnsi="IRNazanin" w:eastAsia="IRNazanin"/>
          <w:color w:val="111111"/>
          <w:sz w:val="28"/>
          <w:sz w:val="28"/>
          <w:szCs w:val="28"/>
          <w:rtl w:val="true"/>
          <w:lang w:bidi="fa-IR"/>
        </w:rPr>
        <w:t>و تعدادی کتاب، به وی نسبت داده‌اند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 الاهلیلجه</w:t>
      </w:r>
      <w:r>
        <w:rPr>
          <w:rStyle w:val="FootnoteAnchor"/>
          <w:rtl w:val="true"/>
        </w:rPr>
        <w:footnoteReference w:id="30"/>
      </w:r>
      <w:r>
        <w:rPr>
          <w:rFonts w:ascii="IRNazanin" w:hAnsi="IRNazanin" w:eastAsia="IRNazanin"/>
          <w:color w:val="111111"/>
          <w:sz w:val="28"/>
          <w:sz w:val="28"/>
          <w:szCs w:val="28"/>
          <w:rtl w:val="true"/>
          <w:lang w:bidi="fa-IR"/>
        </w:rPr>
        <w:t xml:space="preserve">، الرسالة المفضلیة </w:t>
      </w:r>
      <w:r>
        <w:rPr>
          <w:rStyle w:val="FootnoteAnchor"/>
          <w:rtl w:val="true"/>
        </w:rPr>
        <w:footnoteReference w:id="31"/>
      </w:r>
      <w:r>
        <w:rPr>
          <w:rFonts w:ascii="IRNazanin" w:hAnsi="IRNazanin" w:eastAsia="IRNazanin"/>
          <w:color w:val="111111"/>
          <w:sz w:val="28"/>
          <w:sz w:val="28"/>
          <w:szCs w:val="28"/>
          <w:rtl w:val="true"/>
          <w:lang w:bidi="fa-IR"/>
        </w:rPr>
        <w:t>، کتاب الصراط و کتاب الهفت الشریف</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روایاتی از مفضل در کتاب الهدایة الکبری موجود است که مؤلف آن از سران نُصیریه شمرده شده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دربارۀ این کتاب از قدیم اظهار نظرهای مختلفی وجود داشته است و برخی آن را از کتب فرقۀ نصیریه می‌دانند</w:t>
      </w:r>
      <w:r>
        <w:rPr>
          <w:rFonts w:eastAsia="IRNazanin" w:cs="IRNazanin"/>
          <w:color w:val="111111"/>
          <w:sz w:val="28"/>
          <w:szCs w:val="28"/>
          <w:rtl w:val="true"/>
          <w:lang w:bidi="fa-IR"/>
        </w:rPr>
        <w:t>.</w:t>
      </w:r>
    </w:p>
    <w:p>
      <w:pPr>
        <w:pStyle w:val="Heading3"/>
        <w:numPr>
          <w:ilvl w:val="2"/>
          <w:numId w:val="1"/>
        </w:numPr>
        <w:rPr/>
      </w:pPr>
      <w:bookmarkStart w:id="223" w:name="__RefHeading___Toc660323_1395250215"/>
      <w:bookmarkStart w:id="224" w:name="_Toc87"/>
      <w:bookmarkEnd w:id="223"/>
      <w:r>
        <w:rPr>
          <w:rtl w:val="true"/>
        </w:rPr>
        <w:t>ارتباط مفضل با جریان تفویض</w:t>
      </w:r>
      <w:bookmarkEnd w:id="2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واگذاری امری به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امامیه، تفویض به معانی گوناگونی به کار رفته است که برخی مورد قبول و برخی ناصحیح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اندیشه نیز، دو دستۀ عمده، به مفوضه معروف شده‌اند؛ دستۀ اول، در مقابل جبریه و دستۀ دوم، یکی از اصناف غلات بودند</w:t>
      </w:r>
      <w:bookmarkStart w:id="225" w:name="pg2646_16545"/>
    </w:p>
    <w:p>
      <w:pPr>
        <w:pStyle w:val="BookText"/>
        <w:rPr/>
      </w:pPr>
      <w:bookmarkEnd w:id="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که همین دستۀ دوم مورد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مفوضه، شکل تعدیل‌شدۀ غلات نخستین، و به غلات درون گروهی معرفی شده اند، که فرق اساسی آن‌ها با غلات در این است که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نمی دانند، اما فضایل و اختیارات خدایی برای آن‌ها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آمدی،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جریان مورد لعن قرار گرفته و معتقدان به آن، مشرک معرفی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به این جریان منسوب شده‌اند، شخصیت بزرگی همچون مفضل بن عمر است</w:t>
      </w:r>
      <w:r>
        <w:rPr>
          <w:rStyle w:val="FootnoteAnchor"/>
          <w:rtl w:val="true"/>
        </w:rPr>
        <w:footnoteReference w:id="34"/>
      </w:r>
      <w:r>
        <w:rPr>
          <w:rFonts w:ascii="IRNazanin" w:hAnsi="IRNazanin" w:eastAsia="IRNazanin"/>
          <w:color w:val="111111"/>
          <w:sz w:val="28"/>
          <w:sz w:val="28"/>
          <w:szCs w:val="28"/>
          <w:rtl w:val="true"/>
          <w:lang w:bidi="fa-IR"/>
        </w:rPr>
        <w:t>که بررسی صحت و سقم این انتساب، نیاز به مطالعۀ شواهد و اطلاعات تاریخی دارد</w:t>
      </w:r>
      <w:r>
        <w:rPr>
          <w:rFonts w:eastAsia="IRNazanin" w:cs="IRNazanin"/>
          <w:color w:val="111111"/>
          <w:sz w:val="28"/>
          <w:szCs w:val="28"/>
          <w:rtl w:val="true"/>
          <w:lang w:bidi="fa-IR"/>
        </w:rPr>
        <w:t>.</w:t>
      </w:r>
    </w:p>
    <w:p>
      <w:pPr>
        <w:pStyle w:val="Heading3"/>
        <w:numPr>
          <w:ilvl w:val="2"/>
          <w:numId w:val="1"/>
        </w:numPr>
        <w:rPr/>
      </w:pPr>
      <w:bookmarkStart w:id="226" w:name="__RefHeading___Toc660325_1395250215"/>
      <w:bookmarkStart w:id="227" w:name="_Toc88"/>
      <w:bookmarkEnd w:id="226"/>
      <w:r>
        <w:rPr>
          <w:rtl w:val="true"/>
        </w:rPr>
        <w:t>شواهد ارتباط مفضل با جریان تفویض</w:t>
      </w:r>
      <w:bookmarkEnd w:id="227"/>
    </w:p>
    <w:p>
      <w:pPr>
        <w:pStyle w:val="Heading4"/>
        <w:numPr>
          <w:ilvl w:val="3"/>
          <w:numId w:val="1"/>
        </w:numPr>
        <w:rPr/>
      </w:pPr>
      <w:bookmarkStart w:id="228" w:name="__RefHeading___Toc660327_1395250215"/>
      <w:bookmarkStart w:id="229" w:name="_Toc89"/>
      <w:bookmarkEnd w:id="228"/>
      <w:r>
        <w:rPr>
          <w:rtl w:val="true"/>
        </w:rPr>
        <w:t>الف</w:t>
      </w:r>
      <w:r>
        <w:rPr>
          <w:rtl w:val="true"/>
        </w:rPr>
        <w:t xml:space="preserve">) </w:t>
      </w:r>
      <w:r>
        <w:rPr>
          <w:rtl w:val="true"/>
        </w:rPr>
        <w:t>روایات نکوهش مفضل</w:t>
      </w:r>
      <w:bookmarkEnd w:id="229"/>
    </w:p>
    <w:p>
      <w:pPr>
        <w:pStyle w:val="Heading5"/>
        <w:numPr>
          <w:ilvl w:val="4"/>
          <w:numId w:val="1"/>
        </w:numPr>
        <w:rPr/>
      </w:pPr>
      <w:bookmarkStart w:id="230" w:name="__RefHeading___Toc660329_1395250215"/>
      <w:bookmarkStart w:id="231" w:name="_Toc90"/>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اولین شاهد بر این ارتباط، روایاتی است که متضمن مذمت و نکوهش مفضل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پاره‌ای از این روایات از جهت سندی نیز مخدوشند، در این‌جا به برخی اشکالات دلالیِ این روایات می‌پردازیم و تفصیل آن را به منابع دیگر ارجاع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نقل‌هایی که بر مذمت مفضل دلالت دارند، نُه روایت است که در این میان، تنها سه روایت به امام معصوم منتهی می‌شود و بقیۀ موارد، نقل کلام امام نیست؛ لذا ابتدا روایاتی که کلام معصوم است، مورد بررسی قرار می‌دهیم</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از حماد بن عثمان، وی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 که ایشان به مفضل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فرزند من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مفضل همیشه با اسماعیل بود و دربارۀ او با خطابیه هم‌عقیده بود، ولی سرانجام از آن عقیده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دیگری به همین مضمون، هشام بن حکم و حمّاد بن عثمان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اسماعیل بن جابر نقل می‌کنند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مفضل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چه کار داری؟ آیا می‌خواهی او را بکشی؟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دو روایت، توجه به چند نکته حایز اهمیت است؛ اول این‌که، منظور از کفر در این دو روایت، کفر فقهی نیست، بلکه روایت در مقام مبالغه است و شدت نهی حضرت را می‌رساند، زیرا اگر منظور کفر فقهی باشد، مفضل مرتد فطری می‌شود و توبۀ مرتد فطری قبول نیست؛ در حالی که روایات مدح مفضل از سوی امام کاظم و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نشان‌دهندۀ ایمان وی در اواخر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اسماعیل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انتهای روایت اول، کلام امام نیست، بلکه از سوی راوی یا مؤلفان بعدی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این نقل قول معصوم باشد، منظور همراهی مفضل با تمام اعتقادات خطابیه نیست، زیرا خطابیه محارم و منکرات را مباح می‌شمردند و این با روایات فقهی بسیاری که از مفضل تلقی به قبول و نقل شده 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داریم که نشان می‌دهد مفضل از پیروان ابوالخطّاب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ابن‌حیون،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این‌که ممکن است، این روایت در مقام تشبیه باشد؛ به این معنا که در ترویج امامت اسماعیل غلو می‌کرد، نه این‌که اعتقادات غالیانه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از این دو روایت استفاده می‌شود که مفضل در برهه‌ای از دوران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دنبال این بود که اسماعیل را به عنوان امام بعدی مطرح کند و تشابه او نیز به خطابیه در این امر بود </w:t>
      </w:r>
      <w:r>
        <w:rPr>
          <w:rStyle w:val="FootnoteAnchor"/>
          <w:rtl w:val="true"/>
        </w:rPr>
        <w:footnoteReference w:id="36"/>
      </w:r>
      <w:r>
        <w:rPr>
          <w:rFonts w:ascii="IRNazanin" w:hAnsi="IRNazanin" w:eastAsia="IRNazanin"/>
          <w:color w:val="111111"/>
          <w:sz w:val="28"/>
          <w:sz w:val="28"/>
          <w:szCs w:val="28"/>
          <w:rtl w:val="true"/>
          <w:lang w:bidi="fa-IR"/>
        </w:rPr>
        <w:t>، ولی از آن‌جا که این امر، به خطر افتادنِ جان اسماعیل را در بر داشت، مورد نهی شدید امام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معنا، روایت شمارۀ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کشی است که گویا مفضل این اعتقاد را ترویج می‌کرده و چون شخصیت اجتماعی داشته، این اعتقاد در برخی اصحاب نیز نفوذ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ترویج این اعتقاد از سوی مفضل، مشکل بزرگی نیست، زیرا ممکن است زمان صدور این روایت، هنوز از سوی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طور رسمی امامتِ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نشده بود؛ لذا بعضی اصحاب مانند مفضل، به مقتضای اَمارات و حدیثی که بر امامت فرزند بزرگ‌تر دلالت داشت، به امامت اسماعیل اعتقاد داشتند، اما پس از نهی امام و هم‌چنین پس از مرگ اسماعیل، از این اعتقاد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برداشت آن است که مفضل خود از کسانی است که نص بر امامت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کرده است که نشان می‌دهد، وی معتقد به امامت ایشان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روایت سوم در این باب، نقلی است از عبدالله بن مسکان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زائده و عامر بن جذاعه 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بندگان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رزق ما را جز خداوند کس دیگری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محتاج طعامی برای خانوادۀ خود شدم؛ پس ناراحت شدم و به فکر فرو رفتم تا این‌که خوراکشان را تهیه کردم و آن‌گاه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او را لعنت می‌کنی و از او بیزاری می‌جویی؟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او را لعنت کردند و از او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از او بیزار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روایت، چند نکته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این اعتقاد از سوی این دو شخص، دلالت ندارد که حتماً مفضل چنین اعتقادی داشته و ممکن است آن‌ها اندیشۀ مفضل را در این باره به درستی نفهمیده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روایت حتی علم ویژۀ خویش را انکار و خود را مانند افراد معمولی معرفی می‌کند، و این با روایات متواتر مبنی بر علم ویژۀ امام و ولایت تکوینی ایشان سازگاری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حجر و عامر، در نظر حضرت از کسانی بودند که تحمل درک معارف و اسرار مقام امامت را نداشتند</w:t>
      </w:r>
      <w:r>
        <w:rPr>
          <w:rStyle w:val="FootnoteAnchor"/>
          <w:rtl w:val="true"/>
        </w:rPr>
        <w:footnoteReference w:id="37"/>
      </w:r>
      <w:r>
        <w:rPr>
          <w:rFonts w:ascii="IRNazanin" w:hAnsi="IRNazanin" w:eastAsia="IRNazanin"/>
          <w:color w:val="111111"/>
          <w:sz w:val="28"/>
          <w:sz w:val="28"/>
          <w:szCs w:val="28"/>
          <w:rtl w:val="true"/>
          <w:lang w:bidi="fa-IR"/>
        </w:rPr>
        <w:t>؛ لذا حضرت در مقابل آن‌ها، فضایل خاص خویش را انکار می‌کنند و از مفضل نه تنها دفاع نکرده، بلکه تبری می‌جویند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هم‌چنین روایات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کشی نشان می‌دهد، این دو نفر دربارۀ مفضل حالت عداوتی داشته‌اند که حتی با نهی امام از این کار دست برنمی‌داشتند؛ مخصوصاً روایت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کشی نشان می‌دهد، دفاع امام از مفضل، باعث تشدید این عداوت می‌شده و شاید امام برای این‌که این عداوت تشدید نشود، از مفضل تبرّی جستند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أَنَّهُ کَانَ یُشِیرُ أَنَّکُمَا لَمِنَ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حکم از مفضل نقل می‌کند که وی به دو نفر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از پیامبران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بررسی این روایت نشان می‌دهد، مرجع ضمیر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نیست </w:t>
      </w:r>
      <w:r>
        <w:rPr>
          <w:rStyle w:val="FootnoteAnchor"/>
          <w:rtl w:val="true"/>
        </w:rPr>
        <w:footnoteReference w:id="39"/>
      </w:r>
      <w:r>
        <w:rPr>
          <w:rFonts w:ascii="IRNazanin" w:hAnsi="IRNazanin" w:eastAsia="IRNazanin"/>
          <w:color w:val="111111"/>
          <w:sz w:val="28"/>
          <w:sz w:val="28"/>
          <w:szCs w:val="28"/>
          <w:rtl w:val="true"/>
          <w:lang w:bidi="fa-IR"/>
        </w:rPr>
        <w:t xml:space="preserve">از سوی دیگر،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معنای لغوی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معنای این روایت واضح نیست و اجمال دارد؛ لذا بر اندیشه‌ای خاص دربارۀ مفضل دلالت ندارد و قابلیت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گزارش را کشی چنین نقل کرده است که فرقۀ غالی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کتب خویش از مفضل روایت کرده‌اند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ابوالخطاب، هفتاد پیامبر کشته شدند که او را دیدند و پیامبر ما در او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ابی‌عبدالله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داخل شدیم، در حالی که دوازده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هریک از ما سلام کرد و ما را به نام یک پیامبر نامید؛ به بعضی از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بعضی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آخرین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پیامبران فرقی نگذار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که از کتب غلات نقل شده، نمی‌توان اندیشه‌ای را برای مفضل اثبات یا نفی کرد، زیرا نشان‌دهندۀ اعتقاد آن‌هاست، نه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سیرۀ فرقه‌های باطل است که اعتقادات خود را به شخص بزرگی از امامان یا اصحاب امامان نسبت می‌دهند، هم چنان که صوفیان خود را به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منسوب می‌کنند؛ از سوی دیگر، هیچ روایتی از مفضل در منابع معتبر امامیه وجود ندارد که بر این اندیشۀ مفضل دلالت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دیگری از کشی،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عده‌ای مانند مفضل بن عمر، بیان و عمرو نبطی بودند که خدمت ایشان می‌رسیدند و وقتی که از نزد حضرت می‌رفتند، احادیثی دروغ بر ایشان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قول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می‌کردند که معرفت امام از روزه و نماز کفایت می‌کند، و نیز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ابرها همراه باد سیر می‌کند، و خدای آسمان و زمین امام است؛ در حالی که این چیزها را ایشان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مورد نفرین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اعتقادی به امامت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توان درک درست فضایل خاص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لذا نقل چنین کسی نمی‌تواند اندیشه‌ای برای مفضل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روایت ضعف داخلی دارد، زیرا در روایات شمارۀ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کشی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سجاد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دروغ می‌بست، نه بر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آن، چنین اندیشه‌ای از مفضل در منابع معتبر یافت نمی‌شود و روایات وی، با چنین اعتقاداتی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کشی از معاویۀ بن وهب و اسحاق بن عمار نقل می‌کند که برای زیارت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مفضل همسفر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فرسخ از کوفه دور شدند، فجر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شدند و نماز خواندند، ولی مفضل برای نماز پیاده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خروج از منزل نماز 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روایت چند نکته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مفضل شخصیتی است که افرادی همچون معاویۀ بن وهب و اسحاق بن عمار دوست دارند، در زیارت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او هم‌سفر شوند؛ ثانیاً، مفضل به زیارت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اعتقاد دارد؛ ثالثاً، وقتی آن‌ها به مفضل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نمی‌خوانی؟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خوانده‌ام؛ یعنی در خانه نمازی خوانده‌ام که صحیح بوده است؛ رابعاً، نماز پیش از وقت از اندیشه‌های غالیانه نیست، بلکه آن‌ها به اصل نماز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نکات، به نظر می‌رسد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فجر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لازمۀ آن این است که مفضل پیش از دخول وقت، نماز خوانده باشد، و این با سیاق روایت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فجر در این روایت، فجر کاذب است که افضل اوقات نماز شب است و منظور از نماز، نماز شب است که خواندن آن پیش از فجر کاذب نیز جایز است؛ مخصوصاً برای مسافر که عذر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غریب نیست، زیرا در عصر حضور، اصحاب به نماز شب اهتمام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همراهی افرادی همچون معاویۀ بن وهب و اسحاق بن عمار با مفضل و عدم اعتراض و جدایی از وی، نشان می‌دهد عمل مفضل جایز بوده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دیگری، کشی از اسماعیل بن عامر نقل می‌کند که وی 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ایشان توصیف کرد و پس از ایشان، از اسماعیل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او فرمود که اسماعیل، امامِ پس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اسماعیل بن عامر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w:t>
      </w:r>
      <w:bookmarkStart w:id="232" w:name="pg2646_16550"/>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اسماعیل به عنوان امام بعدی نام بردی؟ وی گفت که مفضل بن عمر به او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روایت نیز می‌توان گفت، مفضل می‌خواست از طریق اسماعیل بن عامر، دربارۀ امام بعدی استعلام کند، نه این‌که وی به امامت اسماعیل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قرینۀ این سخن آن است که 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أمرنی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المفضل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بر فرضی که روایت، نشان از عقیدۀ مفضل بر امامت اسماعیل باشد، قدحی بر وی وارد نمی‌شود، زیرا هنوز از سوی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طور رسمی امامتِ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معرفی نشده بود و بعضی اصحاب به مقتضای امارات و حدیثی که بر امامت فرزندِ بزرگ‌تر دلالت داشت، به امامت اسماعیل اعتقاد داشتند و پس از نهی امام و هم‌چنین پس از مرگ اسماعیل، از این اعتقاد برگشتند؛ شاهد آن این است که مفضل از کسانی است که نصّ بر امامت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نیز بر اندیشه‌های غالیانه و تفویضی مفضل دلالتی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روایت این بحث، خالد جوّان نقل می‌کند که وی همراه مفضل و جمعی از اصحاب در مدینه، دربارۀ ربوبیت امامان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در خانۀ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برویم، تا از ایشان در این باب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خانۀ ایشان رسیدیم، ایشان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ایشان بندگان گرامی خداوند هستند؛ بر قول خداوند سبقت نگیرند و به اوامر خداوند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دلالتی بر این ندارد که مفضل به ربوبیت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بلکه شاید یکی از همراهانش چنین اعتقادی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کشی، این سه نفر را اهل ارتفاع و غلو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شاید هیچ کدام چنین اعتقادی نداشتند، بلکه برایشان شبهه ایجاد شد و برای حل آن نزد امام رفتند؛ البته در کشف الغمه روایتی از مفضل به همین مضمون نقل شده که از آن برداشت می‌شود که گویا این سه نفر، به اندیشۀ ربوبیت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کرده بودند، ولی در آخر روایت مفضل قسم می‌خورد که به اعتقاد صحیح باشد و همان سخنی را بگوید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5"/>
        <w:numPr>
          <w:ilvl w:val="4"/>
          <w:numId w:val="1"/>
        </w:numPr>
        <w:rPr/>
      </w:pPr>
      <w:bookmarkStart w:id="233" w:name="__RefHeading___Toc660331_1395250215"/>
      <w:bookmarkStart w:id="234" w:name="_Toc91"/>
      <w:bookmarkEnd w:id="233"/>
      <w:r>
        <w:rPr>
          <w:rtl w:val="true"/>
        </w:rPr>
        <w:t>جمع‌بندی روایات نکوهش</w:t>
      </w:r>
      <w:bookmarkEnd w:id="2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روایات نکوهش مفضل، این نتیجه را به دست می‌دهد که روایات مزبور، اندیشۀ تفویضی را برای مفضل اثبات نمی‌کنند و قابلیت توجیه به معانی درست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w:t>
      </w:r>
      <w:bookmarkStart w:id="235" w:name="pg2646_16551"/>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مقابل این احادیث، روایات متواتری داریم که مضمون آن‌ها، نفی هر گونۀ اندیشۀ تفویضی و غالیانه برای مفضل است که برای رعایت اختصار، از ذکر آن‌ها خودداری می‌کنیم</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236" w:name="__RefHeading___Toc660333_1395250215"/>
      <w:bookmarkStart w:id="237" w:name="_Toc92"/>
      <w:bookmarkEnd w:id="236"/>
      <w:r>
        <w:rPr>
          <w:rtl w:val="true"/>
        </w:rPr>
        <w:t>ب</w:t>
      </w:r>
      <w:r>
        <w:rPr>
          <w:rtl w:val="true"/>
        </w:rPr>
        <w:t xml:space="preserve">) </w:t>
      </w:r>
      <w:r>
        <w:rPr>
          <w:rtl w:val="true"/>
        </w:rPr>
        <w:t>سخنان برخی رجالیون متقدم</w:t>
      </w:r>
      <w:bookmarkEnd w:id="237"/>
    </w:p>
    <w:p>
      <w:pPr>
        <w:pStyle w:val="Heading5"/>
        <w:numPr>
          <w:ilvl w:val="4"/>
          <w:numId w:val="1"/>
        </w:numPr>
        <w:rPr/>
      </w:pPr>
      <w:bookmarkStart w:id="238" w:name="__RefHeading___Toc660335_1395250215"/>
      <w:bookmarkStart w:id="239" w:name="_Toc93"/>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دومین شاهد بر انتساب مفضل به جریان تفویض، کلماتی است که از سوی ابن‌غضائری و نجاشی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ابن‌غضائری، مفضل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متهافت، مرتفع القول و 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به دلیل این‌که غلات در احادیث او دست برده اند، نوشتن احادیث وی را جایز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ابن‌غضائری،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دربارۀ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فاسد‌المذهب و مضطرب‌الروایة است که به او اعتنایی نمی‌شود و متهم به خطابی‌گری است و کتبی دارد که مورد اعتماد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240" w:name="__RefHeading___Toc660337_1395250215"/>
      <w:bookmarkStart w:id="241" w:name="_Toc94"/>
      <w:bookmarkEnd w:id="240"/>
      <w:r>
        <w:rPr>
          <w:rtl w:val="true"/>
        </w:rPr>
        <w:t>بررسی</w:t>
      </w:r>
      <w:bookmarkEnd w:id="241"/>
    </w:p>
    <w:p>
      <w:pPr>
        <w:pStyle w:val="BookText"/>
        <w:rPr/>
      </w:pPr>
      <w:r>
        <w:rPr>
          <w:rFonts w:ascii="IRNazanin" w:hAnsi="IRNazanin" w:eastAsia="IRNazanin"/>
          <w:color w:val="111111"/>
          <w:sz w:val="28"/>
          <w:sz w:val="28"/>
          <w:szCs w:val="28"/>
          <w:rtl w:val="true"/>
          <w:lang w:bidi="fa-IR"/>
        </w:rPr>
        <w:t xml:space="preserve">دقت در عبارت ابن‌غضائری نشان می‌دهد، وی به سبب روایاتی که اهل غلو از مفضل نقل کرده‌اند، چنین نسبت‌هایی به او داده است، ولی خود او اعتراف کرده که این روایات را غالیان به مفضل بسته‌اند و انتساب آن‌ها به وی ثابت نیست؛ افزون بر این، استناد به سخن ابن‌غضائری نمی‌تواند اندیشه‌ای غالیانه یا تفویضی را برای مفضل ثابت کند، زیرا در انتساب این کتاب به ابن‌غضائری تردید است، و در فرض مجهول بودن مؤلف کتاب، نمی توان به آن استناد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منشأ نسبت های ابن‌غضائری و نجاشی، روایات و کتبی است که از سوی غلات به مفضل نسبت داده شده و در آن زمان در دست بوده است؛ همان‌گونه که خودشان به این نکته اشاره کرده‌اند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ادامه خواهیم گفت که این کتب نیز نمی‌توانند، اندیشه‌ای غالیانه را برای مفضل ثابت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داشت که نسبتِ غلو و تفویض به برخی اصحاب همچون مفضل، به احتمال فراوان، به جهت نقل برخی فضایل خاصّ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 رجالیان قدیم، غلو</w:t>
      </w:r>
      <w:bookmarkStart w:id="242" w:name="pg2646_16552"/>
    </w:p>
    <w:p>
      <w:pPr>
        <w:pStyle w:val="BookText"/>
        <w:rPr/>
      </w:pPr>
      <w:bookmarkEnd w:id="2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به حساب می‌آمد؛ لذا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اتهامِ غلو از سوی قدما مورد اعتماد نیست، زیرا اعتقاد به پایین‌ترین درجات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آنان غلو شمرده شده و حتی آنان بعضی از اموری را که ما هم‌اکنون از ضروریات مذهب تشیع می‌دانیم، غلو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دیدگاه بزرگانی همچون شیخ مفید و شیخ طوسی در مقابل این نظر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مفضل را از یاران خاص و مورد وثوق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نیز وی را از یاران و موالیان خاصّ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مدح ایشان قرار گرفته است،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در بررسیِ سند روایتی که در سلسلۀ آن، مفضل بن عمر و محمد بن سنان قرار گرفته‌اند، روایت را فقط به خاطر محمد بن سنان ضعیف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نشان می‌دهد، شیخ مفید و شیخ طوسی انتساب عقاید غالیانه به مفضل را قبول ندارند</w:t>
      </w:r>
      <w:r>
        <w:rPr>
          <w:rFonts w:eastAsia="IRNazanin" w:cs="IRNazanin"/>
          <w:color w:val="111111"/>
          <w:sz w:val="28"/>
          <w:szCs w:val="28"/>
          <w:rtl w:val="true"/>
          <w:lang w:bidi="fa-IR"/>
        </w:rPr>
        <w:t>.</w:t>
      </w:r>
    </w:p>
    <w:p>
      <w:pPr>
        <w:pStyle w:val="Heading4"/>
        <w:numPr>
          <w:ilvl w:val="3"/>
          <w:numId w:val="1"/>
        </w:numPr>
        <w:rPr/>
      </w:pPr>
      <w:bookmarkStart w:id="243" w:name="__RefHeading___Toc660339_1395250215"/>
      <w:bookmarkStart w:id="244" w:name="_Toc95"/>
      <w:bookmarkEnd w:id="243"/>
      <w:r>
        <w:rPr>
          <w:rtl w:val="true"/>
        </w:rPr>
        <w:t>ج</w:t>
      </w:r>
      <w:r>
        <w:rPr>
          <w:rtl w:val="true"/>
        </w:rPr>
        <w:t xml:space="preserve">) </w:t>
      </w:r>
      <w:r>
        <w:rPr>
          <w:rtl w:val="true"/>
        </w:rPr>
        <w:t>آثار مفضل در میراث غیرامامیه</w:t>
      </w:r>
      <w:bookmarkEnd w:id="244"/>
    </w:p>
    <w:p>
      <w:pPr>
        <w:pStyle w:val="Heading5"/>
        <w:numPr>
          <w:ilvl w:val="4"/>
          <w:numId w:val="1"/>
        </w:numPr>
        <w:rPr/>
      </w:pPr>
      <w:bookmarkStart w:id="245" w:name="__RefHeading___Toc660341_1395250215"/>
      <w:bookmarkStart w:id="246" w:name="_Toc9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سومین شاهد بر ارتباط مفضل با جریان تفویض، وجود آثاری منتسب به مفضل در میان میراث فرقه‌های 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کتاب‌ها، کتاب الصراط است که شامل احادیث مفضل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تعریف صراط، عقاب، بیان شرایط نجات مؤمن و سرانجام مخالفان و منکران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الهفت الشریف، نیز از کتب دیگر منسوب به مفضل است که به صورت محاوراتی میان مفضل و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تدوین شده و به خاطر ابواب نخستین آن،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الهفت و الاظلة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الهفت و الاشباح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نیز به نام الرسالة المفضلیة به صورت پرسش و پاسخ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در مجموعه‌ای به نام المجموعة المفضلیة وجود دارد؛ علاوه بر این‌ها، روایات زیادی از مفضل در کتاب الهدایة الکبری وجود دارد که شامل مطالبی غالیانه است و از آن‌ها در کتب امامیه اثری نیست</w:t>
      </w:r>
      <w:r>
        <w:rPr>
          <w:rFonts w:eastAsia="IRNazanin" w:cs="IRNazanin"/>
          <w:color w:val="111111"/>
          <w:sz w:val="28"/>
          <w:szCs w:val="28"/>
          <w:rtl w:val="true"/>
          <w:lang w:bidi="fa-IR"/>
        </w:rPr>
        <w:t>.</w:t>
      </w:r>
    </w:p>
    <w:p>
      <w:pPr>
        <w:pStyle w:val="Heading5"/>
        <w:numPr>
          <w:ilvl w:val="4"/>
          <w:numId w:val="1"/>
        </w:numPr>
        <w:rPr/>
      </w:pPr>
      <w:bookmarkStart w:id="247" w:name="__RefHeading___Toc660343_1395250215"/>
      <w:bookmarkStart w:id="248" w:name="_Toc97"/>
      <w:bookmarkEnd w:id="247"/>
      <w:r>
        <w:rPr>
          <w:rtl w:val="true"/>
        </w:rPr>
        <w:t>بررسی</w:t>
      </w:r>
      <w:bookmarkEnd w:id="24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این کتاب ها، حاوی مطالب باطنی است که در قرون متأخر منتشر شده و سند صحیحی بر انتساب آن‌ها به مفضل وجود ندارد؛ ضمن آن‌که، قرائنی بر خلاف آن هم موجود است؛ مثلاً در کتاب الصراط، اشاراتی به درگیری میان نُصیریه و اسحاقیه وجود دارد که نشان می دهد این کتاب در دوران غیبت صغرا نوشته شده و به مفضل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مضامین این کتاب‌ها عموماً متضمن جهان‌شناسی و نظام معرفتی غالیان</w:t>
      </w:r>
      <w:bookmarkStart w:id="249" w:name="pg2646_16553"/>
    </w:p>
    <w:p>
      <w:pPr>
        <w:pStyle w:val="BookText"/>
        <w:rPr/>
      </w:pPr>
      <w:bookmarkEnd w:id="2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نُصیریه است و با روایات مفضل در منابع معتبر امامیه، که عموماً متضمن معانی پذیرفته‌شده نزد شیعه است، سازگاری ندارد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250" w:name="__RefHeading___Toc660345_1395250215"/>
      <w:bookmarkStart w:id="251" w:name="_Toc98"/>
      <w:bookmarkEnd w:id="250"/>
      <w:r>
        <w:rPr>
          <w:rtl w:val="true"/>
        </w:rPr>
        <w:t>د</w:t>
      </w:r>
      <w:r>
        <w:rPr>
          <w:rtl w:val="true"/>
        </w:rPr>
        <w:t xml:space="preserve">) </w:t>
      </w:r>
      <w:r>
        <w:rPr>
          <w:rtl w:val="true"/>
        </w:rPr>
        <w:t>مضامین برخی روایات مفضل</w:t>
      </w:r>
      <w:bookmarkEnd w:id="251"/>
    </w:p>
    <w:p>
      <w:pPr>
        <w:pStyle w:val="Heading5"/>
        <w:numPr>
          <w:ilvl w:val="4"/>
          <w:numId w:val="1"/>
        </w:numPr>
        <w:rPr/>
      </w:pPr>
      <w:bookmarkStart w:id="252" w:name="__RefHeading___Toc660347_1395250215"/>
      <w:bookmarkStart w:id="253" w:name="_Toc99"/>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در ابتدای بحث اشاره شد که شاخصۀ اصلی مفوضه این است که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اما فضایل و اختیاراتی خدایی برای آن‌ها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مفضل، نمونه‌هایی از فضایل ویژۀ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که ممکن است تفکر تفویض از آن برداشت شود و ما به دو دسته روایت اشاره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روایاتی دربارۀ علم ویژۀ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مفضل،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مشرق و مغرب، در آسمان و زمین، در خشکی و دریاست و تعداد آن‌ها را می 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علم به مرگ و میرها، نَسَب‌ها و علم به گذشته و آینده برای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روایاتی است که دربارۀ ولایت تکوینیِ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مفضل،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خزانه‌های زمین و کلیدهایش نزد ماست؛ اگر من بخواهم با یک پایم به زمین اشاره کنم و بگویم هر چه طلا داری بیرون کن، بیرون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وقتی عبدالله بن حسن خواست با تازیانه به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بزند، ایشان به دست وی اشاره کرد و دست او خشک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5"/>
        <w:numPr>
          <w:ilvl w:val="4"/>
          <w:numId w:val="1"/>
        </w:numPr>
        <w:rPr/>
      </w:pPr>
      <w:bookmarkStart w:id="254" w:name="__RefHeading___Toc660349_1395250215"/>
      <w:bookmarkStart w:id="255" w:name="_Toc100"/>
      <w:bookmarkEnd w:id="254"/>
      <w:r>
        <w:rPr>
          <w:rtl w:val="true"/>
        </w:rPr>
        <w:t>بررسی</w:t>
      </w:r>
      <w:bookmarkEnd w:id="2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روایات، فضایل ویژه‌ای را برای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می‌کنند، مفهوم تفویضِ باطل بر آن‌ها صادق نیست، زیرا همان‌گونه که در جای خود گفته شده، مفهوم تفویضِ باطل جایی است که تفویض در خلق، رزق، تربیت، احیا، اماته و امر دین بدون وحی و الهام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غیر موارد مذکور، اطلاق فضایل خاص برای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تفکر تفویض نیست؛ ثانیاً، در برخی از این روایات هرچند مضمونی غالیانه نقل شده، ولی به صورت سؤال از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نشان می‌دهد مفضل، صاحب آن عقیده نبوده و در مقام رفع شبهه از حضرت سؤال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bookmarkStart w:id="256" w:name="pg2646_16554"/>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257" w:name="__RefHeading___Toc660351_1395250215"/>
      <w:bookmarkStart w:id="258" w:name="_Toc101"/>
      <w:bookmarkEnd w:id="257"/>
      <w:r>
        <w:rPr>
          <w:rtl w:val="true"/>
        </w:rPr>
        <w:t>نتیجه گیری</w:t>
      </w:r>
      <w:bookmarkEnd w:id="258"/>
    </w:p>
    <w:p>
      <w:pPr>
        <w:pStyle w:val="BookText"/>
        <w:rPr/>
      </w:pPr>
      <w:r>
        <w:rPr>
          <w:rFonts w:ascii="IRNazanin" w:hAnsi="IRNazanin" w:eastAsia="IRNazanin"/>
          <w:color w:val="111111"/>
          <w:sz w:val="28"/>
          <w:sz w:val="28"/>
          <w:szCs w:val="28"/>
          <w:rtl w:val="true"/>
          <w:lang w:bidi="fa-IR"/>
        </w:rPr>
        <w:t>با بررسی اطلاعات تاریخی موجود به این نتیجه می‌رسیم که دلیل محکمی برای انتساب مفضل به جریان تفویض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بدو امر این گمان به نظر می‌رسد که برخی از روایاتِ نکوهش وی یا آثاری که به وی منسوب است، شاهدی بر این انتساب باشد، ولی با قدری تأمل، این گمان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موجود، پیدایش تفکر تفویض مربوط به زمان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ولی هنوز به صورت جریانی ممتاز در جامعه شناخته نشده بود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این جریان در زمان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جریانی منسجم و خطرناک تبدیل شد که برخورد شدید ایشان را در پی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مفضل را نمی‌توان از سران جریان مفوضه دانست، چراکه وی در زمان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دنیا رفت و زمانی که این جریان انسجام یافت، وی در قید حیات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وجود نهی شدید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جریان تفویض، مفضل در بیان ایشان، بسیار ستوده شده، که این خود گواه بر عدم انتساب وی به جریان تفویض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دیگر بر عدم انتساب مفضل به جریان تفویض، روایات فقهی بسیاری است که از وی نقل شده و نشان از التزام وی به احکام شریعت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از ویژگی‌های جریان مفوضه، عدم پای‌بندی به احکام شریعت و اباحه‌گری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ریشۀ اتهام مفضل به جریان تفویض را باید در فضای کوفۀ قرن دوم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تاریخی نشان می‌دهد، در کوفه جریانی مخالف با مفضل وجود 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این جریان به دو دلیل با مفضل دشمنی می‌کردند؛ برخی افراد این جریان، مفضل را به دلیل هم‌نشینی با افرادی به ظاهر لاابالی و فاسد مورد اشکال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افراد احساس می‌کردند مفضل به تکالیف شرعی بی‌اعتنایی می‌کند و ارادت یاران خویش را به جایگاه امامت کافی می‌داند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برخی دیگر نیز مفضل را به سبب مضامین روایات وی، مورد اشکال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احساس می‌کردند مفضل شئون ربوبی برای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 دشمنی و جبهه‌گیری، و از سوی دیگر جایگاه اجتماعی و فرهنگی مفضل سبب شد تا برخی شیعیان برای رفع شبهه دربارۀ شخصیت مفضل، به حضور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شرف‌یاب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سیاسی و اجتماعی این دوران سبب شد که تلاش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زدودن غبار از چهرۀ مفضل به ثمر ننشیند و اتهام وی به گرایشات غالیانه در میان برخی شیعیان باور گردد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امر زمینۀ خوبی شد تا جریان مفوضه، پس از شکل‌گیری و انسجام،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تفویضیِ خویش را به شخصیت بزرگی همچون مفضل منتسب گردانند، تا هم از جایگاه وی در ترویج تفکرات خویش استفاده کنند و نیز چنین اندیشه‌هایی مورد قبول جامعه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می‌بینیم که در دوره‌های بعد، احادیث تفویضیِ منسوب به مفضل در جامعه شایع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جریان نصیریه، افکار خویش را در قالب کتبی منسوب به مفضل مطرح کردند؛ در حالی که شواهد نشان می‌دهد این کتاب‌ها در قرون بعدی نگارش یافتند</w:t>
      </w:r>
      <w:r>
        <w:rPr>
          <w:rFonts w:eastAsia="IRNazanin" w:cs="IRNazanin"/>
          <w:color w:val="111111"/>
          <w:sz w:val="28"/>
          <w:szCs w:val="28"/>
          <w:rtl w:val="true"/>
          <w:lang w:bidi="fa-IR"/>
        </w:rPr>
        <w:t>.</w:t>
      </w:r>
      <w:bookmarkStart w:id="259" w:name="pg2646_16556"/>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0" w:name="__RefHeading___Toc660353_1395250215"/>
      <w:bookmarkStart w:id="261" w:name="_Toc102"/>
      <w:bookmarkEnd w:id="260"/>
      <w:r>
        <w:rPr>
          <w:rtl w:val="true"/>
        </w:rPr>
        <w:t>منابع</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 الدین،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مهدی، قاهره،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 بن محمد،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ابن‌حزم، علی بن احمد،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جمهرة انساب العرب،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ابن‌حیون، نعمان بن محمد،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دعائم الاسلام،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فیضی،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ابن‌داود، حسن بن علی،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بحرالعلوم،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ابن‌عمر، مفضل،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المنصف بن عبدالجلیل، بیروت، دارالمدار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المجموعة المفضلیة،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و الشیخ موسی،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لأجل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الهفت الشریف،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غالب، لبنان، دارالاندلس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الهفت و الاظلة،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تامر و الأب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خلیفه الیسوعی، بیروت، مطبعة کاثولیکیة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ابن‌غضائری، احمد بن حسین،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حسینی،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تبریز، بنی‌هاشمی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الرواة، قم، مکتبة آیت‌الله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الاسلامیین، آلمان، فرانس شتاینر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الشیعة، بیروت، دارالتعارف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و بیان الفرقة الناجیة منهم، بیروت، دارالجیل و دارالآفاق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پاک‌نیا، عبدالکریم،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کوفی امین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شخصیت و زندگی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دانشگاه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ابن‌شعبه،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خلاصة الاقوال، نجف، دارالذخائر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حیدری، حسن،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آراء کلامی مفضل بن عمر، پایان‌نامه کارشناسی ارشد، دانشگاه ادیان و مذاهب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قم، مدینة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محمدحسین،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کوفه و نقش آن در قرون نخستین اسلامی، تهران، دانشگاه امام حسین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رحمتی، محمدکاظم،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جعفی و کتاب الصراط منسوب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ماه دین، ش</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علی‌آبادی،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نکاتی در نقد مقاله نگاهی به شخصیت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اندیشه،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فی الملل و النحل، قم، مؤسسه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عبدالکریم،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بدران،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الاعمال، قم، دارالشریف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 قم،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کوچه‌باغی، قم، مکتبة آیت‌الله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صفری فروشانی، نعمت‌الله،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جریان ها و برآیندها تا پایان 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بنیاد پژوهش‌های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جهان اسلام،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حداد عادل، تهران، بنیاد دایرة‌المعارف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ضحاک، ابن‌ابی‌عاصم،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الآحاد و المثانی،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فیصل، دارالدرایة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إعلام الوری بأعلام الهدی،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الامامة،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 مؤسسة البعثة، قم، 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قم، دارالثقافه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الموسوی خرسان،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تهرانی و علی ناصح، قم، دارالمعارف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رامیار، مشهد،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عرفان، امیرمحسن،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کاوشی در بازشناسی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موعود، ش</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الهام،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شخصیت مفضل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اندیشه، 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معرفة 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مشهد،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 دارالکتب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 سیدمحمدهادی،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درباره گفتمان تفویض در نخستین سده‌های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امامت‌پژوهی، 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مناسبات فکری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مفهوم غلو در اندیشه جریان‌های متقدم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دانشگاه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ماسینیون، لویی،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جغرافیای تاریخی کوفه،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عبدالرحیم قنوات، تهران،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خطط الکوفه و شرح خریطتها،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محمد المصعبی،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سلمان الجبوری، نجف، مطبعة الغری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فی علم الرجال، تهران،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طباطبائی، سیدحسین،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در فرایند تکامل،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ایزدپناه، تهران،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مکتوب شیعه از سه قرن نخستین هجری،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قرائی و رسول جعفریان، قم، مورخ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فرق اسلامی، مشهد،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الاختصاص،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محمود محرمی، قم، المؤتمر العالمی لالفیة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 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مؤسسه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قم، مؤسسه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2" w:name="pg2646_16559"/>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Heading2"/>
        <w:numPr>
          <w:ilvl w:val="1"/>
          <w:numId w:val="1"/>
        </w:numPr>
        <w:rPr/>
      </w:pPr>
      <w:bookmarkStart w:id="263" w:name="__RefHeading___Toc660355_1395250215"/>
      <w:bookmarkStart w:id="264" w:name="_Toc103"/>
      <w:bookmarkEnd w:id="263"/>
      <w:r>
        <w:rPr>
          <w:rtl w:val="true"/>
        </w:rPr>
        <w:t>حق تشریع امام بین نفی و اثبات</w:t>
      </w:r>
      <w:bookmarkEnd w:id="264"/>
    </w:p>
    <w:p>
      <w:pPr>
        <w:pStyle w:val="Heading3"/>
        <w:numPr>
          <w:ilvl w:val="2"/>
          <w:numId w:val="1"/>
        </w:numPr>
        <w:rPr/>
      </w:pPr>
      <w:bookmarkStart w:id="265" w:name="__RefHeading___Toc660357_1395250215"/>
      <w:bookmarkStart w:id="266" w:name="_Toc104"/>
      <w:bookmarkEnd w:id="265"/>
      <w:r>
        <w:rPr>
          <w:rtl w:val="true"/>
        </w:rPr>
        <w:t>اشاره</w:t>
      </w:r>
      <w:bookmarkEnd w:id="266"/>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علیزاده نجار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1392/12/08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1393/04/09</w:t>
      </w:r>
    </w:p>
    <w:p>
      <w:pPr>
        <w:pStyle w:val="Heading3"/>
        <w:numPr>
          <w:ilvl w:val="2"/>
          <w:numId w:val="1"/>
        </w:numPr>
        <w:rPr/>
      </w:pPr>
      <w:bookmarkStart w:id="267" w:name="__RefHeading___Toc660359_1395250215"/>
      <w:bookmarkStart w:id="268" w:name="_Toc105"/>
      <w:bookmarkEnd w:id="267"/>
      <w:r>
        <w:rPr>
          <w:rtl w:val="true"/>
        </w:rPr>
        <w:t>چکیده</w:t>
      </w:r>
      <w:bookmarkEnd w:id="268"/>
    </w:p>
    <w:p>
      <w:pPr>
        <w:pStyle w:val="BookText"/>
        <w:rPr/>
      </w:pPr>
      <w:r>
        <w:rPr>
          <w:rFonts w:ascii="IRNazanin" w:hAnsi="IRNazanin" w:eastAsia="IRNazanin"/>
          <w:color w:val="111111"/>
          <w:sz w:val="28"/>
          <w:sz w:val="28"/>
          <w:szCs w:val="28"/>
          <w:rtl w:val="true"/>
          <w:lang w:bidi="fa-IR"/>
        </w:rPr>
        <w:t xml:space="preserve">برخی اندیشمندان امامیه بر پایۀ مستنداتی از عقل و نقل، حقّ تشریع را از امام نفی کرده و نقش امام را تنها مبلّغ شریعت دانسته‌اند؛ مستنداتی نظیر آیات نخستین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و اخباری که از بیان تمامی احکام در کتاب خدا حکایت دارد، ادله‌ای که از کامل شدن دین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احادیثی که از املای احکام توسط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پرده برمی‌دارد، احادیثی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خود چیزی نمی‌گویند و سایر ادله‌ای که مجالی برای تشریع امام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به مهم‌ترین براهین نفیِ این مقام از دیدگاه برخی صاحب‌نظران پرداخته و در نهایت، ناکارآمدیِ آن را به اثبات رسانده است</w:t>
      </w:r>
      <w:r>
        <w:rPr>
          <w:rFonts w:eastAsia="IRNazanin" w:cs="IRNazanin"/>
          <w:color w:val="111111"/>
          <w:sz w:val="28"/>
          <w:szCs w:val="28"/>
          <w:rtl w:val="true"/>
          <w:lang w:bidi="fa-IR"/>
        </w:rPr>
        <w:t>.</w:t>
      </w:r>
    </w:p>
    <w:p>
      <w:pPr>
        <w:pStyle w:val="Heading3"/>
        <w:numPr>
          <w:ilvl w:val="2"/>
          <w:numId w:val="1"/>
        </w:numPr>
        <w:rPr/>
      </w:pPr>
      <w:bookmarkStart w:id="269" w:name="__RefHeading___Toc660361_1395250215"/>
      <w:bookmarkStart w:id="270" w:name="_Toc106"/>
      <w:bookmarkEnd w:id="269"/>
      <w:r>
        <w:rPr>
          <w:rtl w:val="true"/>
        </w:rPr>
        <w:t>واژگان کلیدی</w:t>
      </w:r>
      <w:bookmarkEnd w:id="27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حقّ تشریع، احکام، امام</w:t>
      </w:r>
      <w:r>
        <w:rPr>
          <w:rFonts w:eastAsia="IRNazanin" w:cs="IRNazanin"/>
          <w:color w:val="111111"/>
          <w:sz w:val="28"/>
          <w:szCs w:val="28"/>
          <w:rtl w:val="true"/>
          <w:lang w:bidi="fa-IR"/>
        </w:rPr>
        <w:t>.</w:t>
      </w:r>
      <w:bookmarkStart w:id="271" w:name="pg2646_16560"/>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3"/>
        <w:numPr>
          <w:ilvl w:val="2"/>
          <w:numId w:val="1"/>
        </w:numPr>
        <w:rPr/>
      </w:pPr>
      <w:bookmarkStart w:id="272" w:name="__RefHeading___Toc660363_1395250215"/>
      <w:bookmarkStart w:id="273" w:name="_Toc107"/>
      <w:bookmarkEnd w:id="272"/>
      <w:r>
        <w:rPr>
          <w:rtl w:val="true"/>
        </w:rPr>
        <w:t>پیش‌درآمد</w:t>
      </w:r>
      <w:bookmarkEnd w:id="273"/>
    </w:p>
    <w:p>
      <w:pPr>
        <w:pStyle w:val="BookText"/>
        <w:rPr/>
      </w:pPr>
      <w:r>
        <w:rPr>
          <w:rFonts w:ascii="IRNazanin" w:hAnsi="IRNazanin" w:eastAsia="IRNazanin"/>
          <w:color w:val="111111"/>
          <w:sz w:val="28"/>
          <w:sz w:val="28"/>
          <w:szCs w:val="28"/>
          <w:rtl w:val="true"/>
          <w:lang w:bidi="fa-IR"/>
        </w:rPr>
        <w:t xml:space="preserve">خداوند متعال، که مالک و حاکم هستی است، مجموعه‌ای از اعتقادات، احکام و قوانین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بشر قرار داده و در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یاد کرده و هرگونه تعرض، تجاوز و تعدی به آن را ممنوع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گونه‌های تعرض و تعدی در حدود الهی، تشریع و تصرف در احکام دین است که بشر هیچ‌گونه ولایت و حکومتی در این حوزه ندارد، زیرا مناطات احکام دور از دست‌رس عقل است، و چه بسا عقل با وهم مشتبه شود و چه بسا اسیر هوای نفس باشد؛ بنابراین، نهایت وظیفه‌ای که عقل دارد، ادراک یا کشف احکام از منابع و مصادر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و علم ویژۀ الهی هستند؛ از این رو، نه به هوای نفس دچارند و نه به مناطات جاهلند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سبحان مقام ولایت بر تشریع را به ایشان عطا کرده است؟ و اگر بگوییم خود خداوند چنین اختیاری به ایشان تفویض کرده است، چه محذوری پیش خواهد آمد؟</w:t>
      </w:r>
    </w:p>
    <w:p>
      <w:pPr>
        <w:pStyle w:val="BookText"/>
        <w:rPr/>
      </w:pPr>
      <w:r>
        <w:rPr>
          <w:rFonts w:ascii="IRNazanin" w:hAnsi="IRNazanin" w:eastAsia="IRNazanin"/>
          <w:color w:val="111111"/>
          <w:sz w:val="28"/>
          <w:sz w:val="28"/>
          <w:szCs w:val="28"/>
          <w:rtl w:val="true"/>
          <w:lang w:bidi="fa-IR"/>
        </w:rPr>
        <w:t xml:space="preserve">این مسئله یکی از گزاره‌های مهمّ معرفتی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مورد اختلاف واقع شده و گروهی از بزرگان در آثار خود، به بررسی این مسئله پرداخته و بر پایۀ مستندات نقلی و عقلی، با هرگونه حقّ تشریعی برای امام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بررسی آرا و گفتار بعضی از ایشان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نوشتار پیش‌رو عهده‌دار تحلیلِ دیدگاه‌های مخالفِ حقّ تشریع امام است و فعلاً در صدد اثبات حقّ تشریع نیست</w:t>
      </w:r>
      <w:r>
        <w:rPr>
          <w:rFonts w:eastAsia="IRNazanin" w:cs="IRNazanin"/>
          <w:color w:val="111111"/>
          <w:sz w:val="28"/>
          <w:szCs w:val="28"/>
          <w:rtl w:val="true"/>
          <w:lang w:bidi="fa-IR"/>
        </w:rPr>
        <w:t>.</w:t>
      </w:r>
    </w:p>
    <w:p>
      <w:pPr>
        <w:pStyle w:val="Heading3"/>
        <w:numPr>
          <w:ilvl w:val="2"/>
          <w:numId w:val="1"/>
        </w:numPr>
        <w:rPr/>
      </w:pPr>
      <w:bookmarkStart w:id="274" w:name="__RefHeading___Toc660365_1395250215"/>
      <w:bookmarkStart w:id="275" w:name="_Toc108"/>
      <w:bookmarkEnd w:id="274"/>
      <w:r>
        <w:rPr>
          <w:rtl w:val="true"/>
        </w:rPr>
        <w:t>مفهوم‌شناسی</w:t>
      </w:r>
      <w:bookmarkEnd w:id="275"/>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روشن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برای راه الهی و معنوی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در قرآن کریم نیز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از همین ماده است؛ یعنی چیزی را راه و طریق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زبیدی، بی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راه و طریق دینی است، در شکل مصدریِ یاد‌شده نیز یعنی چیزی در دین قرار دادن؛ حق باشد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تشریع یعنی قانون‌گذاری در دین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واژۀ تشـریع در فقه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ما علم أنّه لیس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تعـریف شده است</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bookmarkStart w:id="276" w:name="pg2646_16561"/>
    </w:p>
    <w:p>
      <w:pPr>
        <w:pStyle w:val="BookText"/>
        <w:rPr/>
      </w:pPr>
      <w:bookmarkEnd w:id="2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خوئی،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که در دین نیست، در دین داخل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حکم به حرمت تشریع کرده‌اند، زیرا بشر به مناطات احکام و حقایق نهفته در اعمال شناختی ندارد تا بتواند چیزی را در دین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به طور کلی بدون لحاظ مشرِّع جعل اصطلاح کنیم، باید بگوییم تشریع یعنی قرار دادن حکمی یا قانونی در دین که قبلا در آن نبوده است و احکامی که در طول رسالت پیامبر به مرور زمان از سوی خداوند جعل می‌شد تشریع گفته می‌شود؛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اذان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تشریع نیز همین است، اما این امر را دربارۀ امام معصوم بررسی می‌کنیم که در مقام شارع بخواهد حکمی جعل کند</w:t>
      </w:r>
      <w:r>
        <w:rPr>
          <w:rFonts w:eastAsia="IRNazanin" w:cs="IRNazanin"/>
          <w:color w:val="111111"/>
          <w:sz w:val="28"/>
          <w:szCs w:val="28"/>
          <w:rtl w:val="true"/>
          <w:lang w:bidi="fa-IR"/>
        </w:rPr>
        <w:t>.</w:t>
      </w:r>
    </w:p>
    <w:p>
      <w:pPr>
        <w:pStyle w:val="Heading3"/>
        <w:numPr>
          <w:ilvl w:val="2"/>
          <w:numId w:val="1"/>
        </w:numPr>
        <w:rPr/>
      </w:pPr>
      <w:bookmarkStart w:id="277" w:name="__RefHeading___Toc660367_1395250215"/>
      <w:bookmarkStart w:id="278" w:name="_Toc109"/>
      <w:bookmarkEnd w:id="277"/>
      <w:r>
        <w:rPr>
          <w:rtl w:val="true"/>
        </w:rPr>
        <w:t>تشریع امام در مقام ثبوت</w:t>
      </w:r>
      <w:bookmarkEnd w:id="278"/>
    </w:p>
    <w:p>
      <w:pPr>
        <w:pStyle w:val="BookText"/>
        <w:rPr/>
      </w:pPr>
      <w:r>
        <w:rPr>
          <w:rFonts w:ascii="IRNazanin" w:hAnsi="IRNazanin" w:eastAsia="IRNazanin"/>
          <w:color w:val="111111"/>
          <w:sz w:val="28"/>
          <w:sz w:val="28"/>
          <w:szCs w:val="28"/>
          <w:rtl w:val="true"/>
          <w:lang w:bidi="fa-IR"/>
        </w:rPr>
        <w:t xml:space="preserve">تلقیِ ما از امامت، امامتی است که به دو خصلتِ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است؛ عصمت از هرگونه نسیان، عصیان، سهو و خطا، و علم به ملکوت اشیا، ملاکات احکام و همۀ حقایق نهفته در هستی، که هر دو شاخصه عقلاً و نقلاً در جای خود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هیچ‌گاه برخلاف رضای الهی گام برنمی‌دارد، هرگز هوای نفس بر او چیره نمی‌شود و نیز رفتار و گفتار او همواره بر اساس علم حقیقی است، نه علم ظاهری و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امامی که در اوج کمال و در مرتبۀ عصمت قرار دارد، به گونه‌ای که ترک اولی هم از او منتفی است و در آگاهی کامل از نتایج سودمند و ویران‌کنندۀ احکام یا مصالح و مفاسد آن قرار گرفت و اسرار عالم به رویش مکشوف گشت، عقل چه منعی می‌بیند که خداوند متعال اموری را که بر پایۀ آن ضوابط اداره می‌شود، به او واگذار کند؟</w:t>
      </w:r>
      <w:r>
        <w:rPr>
          <w:rFonts w:eastAsia="IRNazanin" w:cs="IRNazanin"/>
          <w:color w:val="111111"/>
          <w:sz w:val="28"/>
          <w:szCs w:val="28"/>
          <w:rtl w:val="true"/>
          <w:lang w:bidi="fa-IR"/>
        </w:rPr>
        <w:t>!</w:t>
      </w:r>
    </w:p>
    <w:p>
      <w:pPr>
        <w:pStyle w:val="Heading3"/>
        <w:numPr>
          <w:ilvl w:val="2"/>
          <w:numId w:val="1"/>
        </w:numPr>
        <w:rPr/>
      </w:pPr>
      <w:bookmarkStart w:id="279" w:name="__RefHeading___Toc660369_1395250215"/>
      <w:bookmarkStart w:id="280" w:name="_Toc110"/>
      <w:bookmarkEnd w:id="279"/>
      <w:r>
        <w:rPr>
          <w:rtl w:val="true"/>
        </w:rPr>
        <w:t>محذور عقلیِ تشریع</w:t>
      </w:r>
      <w:bookmarkEnd w:id="280"/>
    </w:p>
    <w:p>
      <w:pPr>
        <w:pStyle w:val="BookText"/>
        <w:rPr/>
      </w:pPr>
      <w:r>
        <w:rPr>
          <w:rFonts w:ascii="IRNazanin" w:hAnsi="IRNazanin" w:eastAsia="IRNazanin"/>
          <w:color w:val="111111"/>
          <w:sz w:val="28"/>
          <w:sz w:val="28"/>
          <w:szCs w:val="28"/>
          <w:rtl w:val="true"/>
          <w:lang w:bidi="fa-IR"/>
        </w:rPr>
        <w:t>برخی صاحب‌نظران، ثبوتِ این مقام را دچار دو محذور عقلی دانسته‌اند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این‌که تأمین بخشی از محتوای دین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معصومان‌ع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شده باشد، به این معنا که اراده و علم ازلی الهی تعیین‌کنندۀ محتوای برخی احکام نباشد، بلکه آن را به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باشد، به دو دلیل محال است که حدّ وسط یکی به خداوند برمی‌گردد و حدّ وسط دیگری به مخلوق؛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نامحدود هرگز قدرتش که عین ذات اوست، محدود نمی‌شود و محال است در حیطه‌ای که به غیر تفویض می‌کند، قدرت نداشته باشد یا اعمال قدرت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قدرت یا عدم اعمال آن، مساوق فقد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ربوبیت خدا در آن مورد است، به طوری که زمام آن را به دیگری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محض نمی‌تواند مستقل باشد؛ پس اختیار موجودات و داد و ستد و اعمال اختیار و قدرت آن‌ها، همگی در دست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تفویض به این معنا که مستلزم فاعلیت استقلالی مفوّض‌الیه است، نه تنها در امر تشریع، بلکه در هر امر دیگری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مذکور، غیر از تقریری است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توضیح مطلب، توجه به دو نکته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ذی‌شعوری دارای اراده، و در ارادۀ خود مستقل است، اما هیچ موجودی در مقابل ذات اقدس ربوبی مستقل نیست؛ به این معنا که خداوند دستش از تصرف در ارادۀ موجودات، کوتاه یا بسته نیست، بلکه تحقق هر اراده‌ای در هستی باید مورد مشیت خداوند قرار گیرد، اما مشیت خداوند به معنای این نیست که خدا هر فعلی را اراده می‌کند، زیرا در این صورت هیچ اراده و اختیاری را نمی‌توان به بشر نسبت داد و مستلزم جبر در افعال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عصمتند و با وجود این خصیصه، هیچ‌گاه اراده‌ای برخلافِ رضای خداوند نخواهند داشت؛ لذا هرچه ایشان اراده و مشیت کنند، مورد مشیت خدا نیز قرار خواهد گرفت، چنان‌که برخی روایات به این مسئله اشاره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مراد ما از تفویضِ تشریع احکام به معصومان، تفویض استقلالی یا سلب اراده و قدرت خداوند یا عدم اعمال قدرت نیست، بلکه می‌گوییم خداوند نیز اراده دارد و اعمال قدرت می‌کند، اما اراده و اعمال قدرت او با تأیید و امضای فعل معصومان تحقق می‌یابد؛ همان‌گونه که انسان‌ها در رفتار خود مختارند و انجام فعل اختیاری از سوی انسان، منافاتی با قدرت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معصومان هیچ‌گاه چیزی را که مورد خشنودی خداوند نباشد، اراده نخواهند کرد، همواره فعل اختیاری آن‌ها مورد امضای خداوند خواهد بود؛ ثانیاً، شکی نیست که خداوند به هر کسی بهره‌ای از عقل، علم و فهم را عطا فرموده؛ پس همان‌گونه که عقل در عطای کمترین مرتبۀ این فهم و مقام، منعی نمی‌بیند در مراتبِ بالاتر نیز همین‌گونه است، زیرا حکم عقل کلی است و در نُمودها جداسازی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نظر عقل، خداوند می‌تواند قدرت فهم مصالح و مفاسد، و قدرت ادارۀ مملکتی را به کسی بدهد تا بر اساس آن تصمیم‌گیری کند، همین‌طور می‌تواند قدرت فهم مصالح عالم و احکام شریعت و نیز ادارۀ آن را به دیگری واگذار کند و این به معنای فقد ربوبیت خداوند نخواهد بود؛</w:t>
      </w:r>
      <w:bookmarkStart w:id="281" w:name="pg2646_16563"/>
    </w:p>
    <w:p>
      <w:pPr>
        <w:pStyle w:val="BookText"/>
        <w:rPr/>
      </w:pPr>
      <w:bookmarkEnd w:id="2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البته این مقام را جز به معصومانی که عالم به جمیع مناطات و ملاکات هستند، عطا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محالی در تفویض لازم نمی‌آید، بلکه عقل به ثبوت این مسئله اذعان می‌کند</w:t>
      </w:r>
      <w:r>
        <w:rPr>
          <w:rFonts w:eastAsia="IRNazanin" w:cs="IRNazanin"/>
          <w:color w:val="111111"/>
          <w:sz w:val="28"/>
          <w:szCs w:val="28"/>
          <w:rtl w:val="true"/>
          <w:lang w:bidi="fa-IR"/>
        </w:rPr>
        <w:t>.</w:t>
      </w:r>
    </w:p>
    <w:p>
      <w:pPr>
        <w:pStyle w:val="Heading3"/>
        <w:numPr>
          <w:ilvl w:val="2"/>
          <w:numId w:val="1"/>
        </w:numPr>
        <w:rPr/>
      </w:pPr>
      <w:bookmarkStart w:id="282" w:name="__RefHeading___Toc660371_1395250215"/>
      <w:bookmarkStart w:id="283" w:name="_Toc111"/>
      <w:bookmarkEnd w:id="282"/>
      <w:r>
        <w:rPr>
          <w:rtl w:val="true"/>
        </w:rPr>
        <w:t>تشریع امام در مقام اثبات</w:t>
      </w:r>
      <w:bookmarkEnd w:id="283"/>
    </w:p>
    <w:p>
      <w:pPr>
        <w:pStyle w:val="Heading4"/>
        <w:numPr>
          <w:ilvl w:val="3"/>
          <w:numId w:val="1"/>
        </w:numPr>
        <w:rPr/>
      </w:pPr>
      <w:bookmarkStart w:id="284" w:name="__RefHeading___Toc660373_1395250215"/>
      <w:bookmarkStart w:id="285" w:name="_Toc112"/>
      <w:bookmarkEnd w:id="284"/>
      <w:r>
        <w:rPr>
          <w:rtl w:val="true"/>
        </w:rPr>
        <w:t>دیدگاه صاحب حاشیه بر معالم</w:t>
      </w:r>
      <w:bookmarkEnd w:id="285"/>
    </w:p>
    <w:p>
      <w:pPr>
        <w:pStyle w:val="Heading5"/>
        <w:numPr>
          <w:ilvl w:val="4"/>
          <w:numId w:val="1"/>
        </w:numPr>
        <w:rPr/>
      </w:pPr>
      <w:bookmarkStart w:id="286" w:name="__RefHeading___Toc660375_1395250215"/>
      <w:bookmarkStart w:id="287" w:name="_Toc113"/>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میرزامحمدتقی اصفهانی، صاحب حاشیه بر معالم، یکی از منتقدانی است که مهم‌ترین دلایل نفی حقّ تشریع را یک‌جا بیان کرده و غالب پژوهش‌گران و منکران پس از او نیز همین اشکالات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حقیقت شرعیه، به پاسخ این پرسش می‌پردازد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صحیح است یا خیر؟ سپس بر اساس ادله‌ای که حقّ تشریع پیامبر را ثابت می‌کند، این مقام را تا حدودی برای پیامبر 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حکمی از احکام، صادق باشد،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جزئی شارع است؛ اما از آن‌جا که برخی اخبار بر تفویض احکام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دارد، شارع دانستن ائمه را خلاف اتفاق می‌انگارد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اشکالاتی را مطرح می‌کند که برخی متوجه شارعیت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متوجه حقّ تشریع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برون‌رفتی از پذیرش این مقام برای امامان بیابد و وقتی این مقام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نباشد، به مراتب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مقام تفویض واقعاً مشکل است، زیرا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برای دریافت حکم شرعی، نزول وحی را انتظار می‌کشید، چنان‌که بنا بر آیۀ شریفه‌ای از قرآن، حضرت در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پیشه، منتظر وحی ماندند؛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تفویض شده بود، چرا انتظار می‌کشید؟ و نیز آیات و احادیث، بیان‌گر این است که حضرت از نزد خود چیزی نمی‌گفتند، بلکه هر آنچه می‌فرمود، از جانب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بر اخبار فراوان، همه‌چیز در قرآن بیان شده است و دین 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رسید و هیچ چیزی نماند، جز آن‌که خدا حکمش را برای پیامبر بیان فرمود و پیامبر اسلام نیز آن را برای امیر‌مؤمنان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اصفهانی،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دربردارندۀ چهار اشکال است که شواهد و مستنداتی از کتاب و سنت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احادیث شریف، حکایت از آن دارد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احکام، منتظر وحی می‌ماندند؛ مانند داستان تغییر قبله که طبق برخی نقل‌ها، پس از سرزنش یهود،</w:t>
      </w:r>
      <w:bookmarkStart w:id="288" w:name="pg2646_16564"/>
    </w:p>
    <w:p>
      <w:pPr>
        <w:pStyle w:val="BookText"/>
        <w:rPr/>
      </w:pPr>
      <w:bookmarkEnd w:id="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حضرت شب‌هنگام از خانه بیرون آمد، به آسمان نگریست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نزول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فردای آن، جبرئیل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اگر پیامبر حقّ تشریع داشت، چرا منتظر وحی ماند و خود برای تغییر قبله اقدام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حکم قرآن،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سخن‌گوی وحی بود و از نزد خود چیزی عرضه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حساب، نسبتِ جعل حکم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معارض با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حکم قرآن و احادیث شریف، همۀ نیازهای بشر در کتاب خدا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حکمی نمانده تا پیامبر یا امام آن را جعل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حکم قرآن، دین خدا در روز غدیر کامل شد و نعمت‌های الهی بر بشر تمام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بگوییم امام می‌تواند جعل حکم داشته باشد، معنایش این است که هنوز مطالب ناگفته‌ای وجود دارد که توسط امام قابل جعل است و دین کامل نشد</w:t>
      </w:r>
      <w:r>
        <w:rPr>
          <w:rFonts w:eastAsia="IRNazanin" w:cs="IRNazanin"/>
          <w:color w:val="111111"/>
          <w:sz w:val="28"/>
          <w:szCs w:val="28"/>
          <w:rtl w:val="true"/>
          <w:lang w:bidi="fa-IR"/>
        </w:rPr>
        <w:t>.</w:t>
      </w:r>
    </w:p>
    <w:p>
      <w:pPr>
        <w:pStyle w:val="Heading5"/>
        <w:numPr>
          <w:ilvl w:val="4"/>
          <w:numId w:val="1"/>
        </w:numPr>
        <w:rPr/>
      </w:pPr>
      <w:bookmarkStart w:id="289" w:name="__RefHeading___Toc660377_1395250215"/>
      <w:bookmarkStart w:id="290" w:name="_Toc114"/>
      <w:bookmarkEnd w:id="289"/>
      <w:r>
        <w:rPr>
          <w:rtl w:val="true"/>
        </w:rPr>
        <w:t>بررسی و نظر</w:t>
      </w:r>
      <w:bookmarkEnd w:id="290"/>
    </w:p>
    <w:p>
      <w:pPr>
        <w:pStyle w:val="BookText"/>
        <w:rPr/>
      </w:pPr>
      <w:r>
        <w:rPr>
          <w:rFonts w:ascii="IRNazanin" w:hAnsi="IRNazanin" w:eastAsia="IRNazanin"/>
          <w:color w:val="111111"/>
          <w:sz w:val="28"/>
          <w:sz w:val="28"/>
          <w:szCs w:val="28"/>
          <w:rtl w:val="true"/>
          <w:lang w:bidi="fa-IR"/>
        </w:rPr>
        <w:t>این اشکالات اگرچه ظاهری قوی و غیر قابل خدشه دارد، اما به نظر می‌رسد هر یک از این اشکالات از چند جهت قابل درنگ است؛ پاسخ این اشکالات با ترتیب مذکور،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مقام تشریع برای پیامبر و امامان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موجبۀ جزئیه است نه موجبۀ کلیه؛ به بیان دیگر، ما در پی آنیم که بگوییم آیا امام هم می‌تواند در مواردی جعل داشته باشد یا خیر، و قصد نداریم به طور کلی جعل همۀ احکام را به پیامبر یا امام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چه اشکالی دارد در برخی موارد، پیامبر منتظر وحی بماند و در برخی موارد نیز خود اقدام به تعیین حکم کند، هم‌چنان که چنین بوده است </w:t>
      </w:r>
      <w:r>
        <w:rPr>
          <w:rFonts w:eastAsia="IRNazanin" w:cs="IRNazanin"/>
          <w:color w:val="111111"/>
          <w:sz w:val="28"/>
          <w:szCs w:val="28"/>
          <w:rtl w:val="true"/>
          <w:lang w:bidi="fa-IR"/>
        </w:rPr>
        <w:t>.</w:t>
      </w:r>
      <w:r>
        <w:rPr>
          <w:rStyle w:val="FootnoteAnchor"/>
          <w:rtl w:val="true"/>
        </w:rPr>
        <w:footnoteReference w:id="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هر آنچه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وحی است؛ اما معنای وحی چیست؟ آیا بدین معناست که لزوماً پیش از هرگونه گفتاری، ملکی از غیب نازل شود؟ اساساً آیا در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وجود دارد که وحی نباشد؟ بی‌تردید، تمامی رفتارها و کردارهای پیامبر، حتی نشست و برخاستش، خفتن، خوردن و آشامیدنش، مشی و سکونش، همه و همه، حجت است و منشأ حکم، اما آیا در تمامی این‌ها و پیش از هر عملی، وحی نازل می‌شود؟ خلاصه این‌که، معنای وحی از دیدگاه این دسته از منتقدان چیست؟ بی‌شک، همۀ رفتارها و گفتارهای پیامبر وحی است، اما معنای وحی لزوماً نزول جبرئیل پیش از گفتار و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گاهی پیش از گفتار و رفتار حضرت، ملک نازل می‌شود و گاهی بدین صورت است که خدای متعال به پیامبرش اذن در عملی یا حکمی می‌دهد و سپس کردار و گفتار او را با وحی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امامی که ما به او معتقدیم، مسدَّد و مؤیّد به وحی، و همۀ اعمال و سخنانش بر طبق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اولاً، در مسئله حقّ تشریع و جعل حکم نیز وحی از نوع تسدیدی و تأییدی است؛ یعنی جعل حکم توسط نبی مورد تأیید وحی قرار خواهد گرفت، و با وجود دو خصلت مهمّ عصمت و علم، پیامبر هیچ‌گاه برخلاف وحی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کلام دربارۀ امام نیز مطرح می‌شود؛ گاهی از پیش، الهام می‌شود و گاهی پس از جعل،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وحی دو گونه است؛ گاهی تشریعی است؛ یعنی پیش از انجام فعل یا صدور دستور، وحی نازل می‌شود و حکمی را از ناحیۀ خداوند به رسول یا امام ابلاغ می‌کند، و گاه تأییدی و تسدیدی است؛ چنان‌که دربارۀ حضرت عیسی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أَیَّدْتُکَ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سند صحیح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مخلوقی از مخلوقات خداوند، که بزرگ‌تر از جبرئیل و میکائیل است، همواره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به او خبر می‌دهد و استوارش می‌سازد و او همواره همراه امامان پس از وی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بهبهانی پس از اشاره به بحث تفویض در احکام و ذکرِ اشکال یاد‌شده، کلینی را از معتقدان این تفویض می‌شمارد و وحی را تنها تابع و اجازه‌دهنده قلمداد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محل اشکال عندهم لمنافاته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الکلینی قائل به و الاخبار الکثیرة واردة فیه و وجه بانها تثبت من الوحی إلا أنّ الوحی تابع و مجیز، فتامل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 توجه به صدر آیات یادشده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قرینۀ مقابله،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مقام نفی پیروی پیامبر از هواست و در این فراز به این نکته اشاره می‌کند که هر چه پیامبر بفرمایند، حکمی الهی قلمداد می‌شود نه هوایی نفسانی، و معنای حقّ تشریع نیز، سخن گفتن از روی هوا نیست؛ پس اگر پیامبر با پشتوانۀ علم و عصمت این حق را داشته باشد که حکمی را جعل کند، با این آیه منافات نخواهد داشت؛ افزون بر این‌که، با همین پشتوانه تمامی تصمیمات پیامبر و امام، مورد اجازه و تأیید وحی خواهد بود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ثالثاً، بر فرض تنزل و این‌که معنای یادشده از وحی را نپذیریم، اما این پرسش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برخی تفاسیر،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مشهدی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چیزی جز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آیۀ پانزدهم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وحی بودن قرآن است؛ وقتی مشرکان، تغییر قرآن را از پیامبر مطالبه می‌کنند، خداوند در پاسخ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من نمی‌توانم از پیش خودم این قرآن را تغییر دهم، بلکه از وحی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 آیۀ شریفه ربطی به بحث حاضر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همه‌چیز را بیان فرمود، معنایش بیان تمام جزئیات احکام در قرآن نیست؛ چنان‌که شمار رکعات نماز، چگونگی مناسک حج و مانند آن به صراحت در قرآن ذکر نشده،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احکام یا به صراحت در قرآن آمده،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سخن دیگر، قرآن کریم با مشخص کردن پیامبر به عنوان مرجع دریافت دین، هیچ‌یک از احکام را فروگذار نکرده است؛ بنابراین قرآن همه‌چیز را بیان فرموده، اما به دو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لفظِ صریح و یا توسط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 بسا احکامی را پیامبر هم نفرموده باشند، باز به حکم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ائمۀ اطهار بیان یا جعل می‌شود و یا خود پیامبر راهش را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اطاع علیاً فقد اطاعنی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حاکم نیشابوری،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ما بر این باوریم که اگر بنا بر پذیرش این مقام باشد،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قرآن، ملاک‌ها و حقایق نهفته در احکام آگاهند و بر طبق آن حکم جعل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معرفی پیامبر و امام در قرآن به عنوان مرجع، تمام معارف در قرآن بیان شده است؛ پس این آیات نیز نه تنها بر نفی تشریع دلالت ندارد، بلکه می‌تواند مؤیدی برای پذیرش این مقام باشد </w:t>
      </w:r>
      <w:r>
        <w:rPr>
          <w:rFonts w:eastAsia="IRNazanin" w:cs="IRNazanin"/>
          <w:color w:val="111111"/>
          <w:sz w:val="28"/>
          <w:szCs w:val="28"/>
          <w:rtl w:val="true"/>
          <w:lang w:bidi="fa-IR"/>
        </w:rPr>
        <w:t>.</w:t>
      </w:r>
      <w:r>
        <w:rPr>
          <w:rStyle w:val="FootnoteAnchor"/>
          <w:rtl w:val="true"/>
        </w:rPr>
        <w:footnoteReference w:id="5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دین در زمان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درستی ا‌ست، اما چه زمانی دین به کمال رسید؟ آنچه مسلّم است، نزول این آیه پس از نصب امیرمؤمنان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امامت و اخذ بیعت از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اولاً، این آیه با اعتقاد به حقّ تشریع سازگارتر است تا نفی آن، زیرا پس از نصب امام، مرجعیت احکام مشخص شد؛ یعنی اگر حکمی</w:t>
      </w:r>
      <w:bookmarkStart w:id="291" w:name="pg2646_16567"/>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هم مانده باشد، از جانب ایشان می‌تواند جعل شود و این یعنی کمال دین؛ چنان‌که حضرت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الامامة من تمام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مراد از اکمال دین، بیان شدن کلیۀ احکام در عصر پیامبر باشد، این مسئله دو صورت دارد؛ برخی احکام به تفصیل جعل شده و برخی به طور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قواعدش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پیامبر یا امام می‌توانند بر طبق آن قواعد، احکام را به تفصیل، یعنی با تمام حدود و ثغورش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جعل حکم از ناحیۀ امام، منافاتی با اکمال دین نخواهد داشت</w:t>
      </w:r>
      <w:r>
        <w:rPr>
          <w:rFonts w:eastAsia="IRNazanin" w:cs="IRNazanin"/>
          <w:color w:val="111111"/>
          <w:sz w:val="28"/>
          <w:szCs w:val="28"/>
          <w:rtl w:val="true"/>
          <w:lang w:bidi="fa-IR"/>
        </w:rPr>
        <w:t>.</w:t>
      </w:r>
    </w:p>
    <w:p>
      <w:pPr>
        <w:pStyle w:val="Heading4"/>
        <w:numPr>
          <w:ilvl w:val="3"/>
          <w:numId w:val="1"/>
        </w:numPr>
        <w:rPr/>
      </w:pPr>
      <w:bookmarkStart w:id="292" w:name="__RefHeading___Toc660379_1395250215"/>
      <w:bookmarkStart w:id="293" w:name="_Toc115"/>
      <w:bookmarkEnd w:id="292"/>
      <w:r>
        <w:rPr>
          <w:rtl w:val="true"/>
        </w:rPr>
        <w:t>دیدگاه آیت‌الله بروجردی</w:t>
      </w:r>
      <w:bookmarkEnd w:id="293"/>
    </w:p>
    <w:p>
      <w:pPr>
        <w:pStyle w:val="Heading5"/>
        <w:numPr>
          <w:ilvl w:val="4"/>
          <w:numId w:val="1"/>
        </w:numPr>
        <w:rPr/>
      </w:pPr>
      <w:bookmarkStart w:id="294" w:name="__RefHeading___Toc660381_1395250215"/>
      <w:bookmarkStart w:id="295" w:name="_Toc116"/>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مجموع تقریرات درس ایشان که به قلم برخی شاگردان به رشتۀ تحریر درآمده، حاکی از آن است که او دستورات شرعی صادره از رسول خدا 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ارشادی می‌داند؛ لذا اگر کسی از آن سر باز زند، از جهت مخالفت با پیامبر و امام سزاوار عقاب نیست، بلکه عقاب او به جهت سرکشی از دستور خداوند است؛ بنابراین تخلف از دستورات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وارده، فسق را نیز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مبتنی بر عدم حقّ تشریع برای معصومان است، زیرا ارشادی دانستن اوامر در احکام، یعنی از جانب خود اختیاری نداشتن و تنها ناقل دستورات وحی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بروجردی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نهی‌های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است؛ قسم اول، دستوراتی که به عنوان اظهار سلطنت و اعمال مولویت صادر شده؛ مانند آنچه در جنگ و جهاد از ایشان سر زده و نیز هر آنچه در امور دنیایی و مانند آن که به اصحاب و بندگانشان امر فرمودند؛ مثل خرید و فروش دارایی‌ها یا ساخت بنا یا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دستوراتی است که در مقام تبلیغ و ارشاد به احکام خدا صادر شده؛ مانند نماز، غسل و هرچه که مقصود از آن اعمالِ مولویت نیست، بلکه غرض، بیان حکم خداست؛ نظیر اوامر مرجع تقلید برای مقلدان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بروجرودی،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باور ایشان امر و نهی‌هایی که در بیان احکام وارد شده، همانند فتوای فقیه است که مخالفت با او حرام و موجب فسق نیست، بلکه حرمت آن به جهت مخالفت خداوند است؛ پس دستورات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ارشادی و ناظر به بیان احکام است که به خودیِ خود اطاعت و عصیانی ندارد، بلکه همانند دستورات فقیه، تنها کاشفِ احکام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فتحصل أن الأوامر و النواهی المنقولة عن ائمتنا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w:t>
      </w:r>
      <w:bookmarkStart w:id="296" w:name="pg2646_16568"/>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جلّها ارشادیة بهذا المعنی و لیست بمولویّة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رک؛ بروجردی،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استفاده می‌شود پیامبر 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ولایتی در احکام شرعی ندارند و هرگونه اِعمال مولویت از ایشان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اندیشمندانِ دیگر نیز گویا به پیروی از این نظریه، رأی صریحی صادر کرده و مقامات و وظیفۀ پیامبر و امام در شرعیات را به مثابۀ مسئله‌گو قلمداد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النبی لیس شارعاً للأحکام، بل مبین و ناقل له و لیس شأنه فی المقام الا شأن ناقل الفتیا بالنسبة الی المقلدین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Heading5"/>
        <w:numPr>
          <w:ilvl w:val="4"/>
          <w:numId w:val="1"/>
        </w:numPr>
        <w:rPr/>
      </w:pPr>
      <w:bookmarkStart w:id="297" w:name="__RefHeading___Toc660383_1395250215"/>
      <w:bookmarkStart w:id="298" w:name="_Toc117"/>
      <w:bookmarkEnd w:id="297"/>
      <w:r>
        <w:rPr>
          <w:rtl w:val="true"/>
        </w:rPr>
        <w:t>بررسی و نظر</w:t>
      </w:r>
      <w:bookmarkEnd w:id="298"/>
    </w:p>
    <w:p>
      <w:pPr>
        <w:pStyle w:val="BookText"/>
        <w:rPr/>
      </w:pPr>
      <w:r>
        <w:rPr>
          <w:rFonts w:ascii="IRNazanin" w:hAnsi="IRNazanin" w:eastAsia="IRNazanin"/>
          <w:color w:val="111111"/>
          <w:sz w:val="28"/>
          <w:sz w:val="28"/>
          <w:szCs w:val="28"/>
          <w:rtl w:val="true"/>
          <w:lang w:bidi="fa-IR"/>
        </w:rPr>
        <w:t>در گفتۀ یاد‌شده، دلیل و برهان اقامه نگردیده است؛ از این رو، ممکن است ابهاماتی در ذهن مخاطب ایجاد شود که نیازمند درنگ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ناقلِ احکام خداوند باشند، شأنشان همانند راویان احادیث خواهد بود و تنها وثاقت و صداقت در گفتار و در نهایت، عدالت برای ایشان کافی است و دیگر عصمت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مظفر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اهل‌بیت همانند راویان و حدیث‌کنندگان از پیامبر نیستند، تا گفتارشان به عنوان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بیان احکام از سوی ائمه، از نوع روایت و حکایت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نیز از نوع اجتهاد و نظر و استنباط از مصادر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ایشان خود مصدرِ تشریعند و خودِ گفتارشان سنت است، نه این‌که حکایتِ سنت باشد و اما چنانچه احیاناً روایات و احادیثی را از پیامبر نقل می‌کنند، به جهت نقل نص است یا به جهت اقامۀ حجت بر دیگران و انگیزه‌های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سخن را بپذیریم، در رویارویی با احادیثی که به جعل احکام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می‌کنند، مانند اضافه کردن دو رکعت در نمازهای چهاررکعتی و یک رکعت در مغرب و نیز حرام کردن مسکرات و مانند آن، چه توجیهی مورد قبول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اصل اولی و سنگ بنای نخستین در دستورات صادره از معصومان، مولویت است و حمل بر ارشادیت، نیازمند دلیل است، زیرا بر طبق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ادله‌ای که اطاعت از معصومان واجب دانسته شده، خود امام موضوعِ اطاعت است، نه به عنوان واسطه در بیان احکام؛ از این رو، برخی صاحب نظران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الأوامر و النواهی الصادرة عن المعصومین کلّها مولویة و هذا هو الأصل فیها إلاّ ما قام الدلیل علی إرشادیّته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bookmarkStart w:id="299" w:name="pg2646_16569"/>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4"/>
        <w:numPr>
          <w:ilvl w:val="3"/>
          <w:numId w:val="1"/>
        </w:numPr>
        <w:rPr/>
      </w:pPr>
      <w:bookmarkStart w:id="300" w:name="__RefHeading___Toc660385_1395250215"/>
      <w:bookmarkStart w:id="301" w:name="_Toc118"/>
      <w:bookmarkEnd w:id="300"/>
      <w:r>
        <w:rPr>
          <w:rtl w:val="true"/>
        </w:rPr>
        <w:t>دیدگاه ملکی میانجی</w:t>
      </w:r>
      <w:bookmarkEnd w:id="301"/>
    </w:p>
    <w:p>
      <w:pPr>
        <w:pStyle w:val="Heading5"/>
        <w:numPr>
          <w:ilvl w:val="4"/>
          <w:numId w:val="1"/>
        </w:numPr>
        <w:rPr/>
      </w:pPr>
      <w:bookmarkStart w:id="302" w:name="__RefHeading___Toc660387_1395250215"/>
      <w:bookmarkStart w:id="303" w:name="_Toc119"/>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استاد محمد‌باقر ملکی‌میانجی، یکی دیگر از ناقدانی است که حقّ تشریع برای امام را بر اساس یک روایت و با پیوند ادله و قرائنی دیگر،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که عیاشی در تفسیر آورده و نورالثقلین نیز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آیۀ اولی‌الامر دربارۀ علی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آن‌ها را در جایگاه انبیا قرار داده، به‌جز آن‌که ایشان نه چیزی را حلال می‌کنند و نه چیزی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عیاشی،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شواهد قطعیِ دیگری هست که دلالت دارد بر این‌که دین خدا کامل شد و نعمت‌های الهی تمام گشت؛ و این‌که هر گونه امر و نهی و وضع حکم در سنت، مختص به رسول خداست؛ و این‌که همۀ نیاز‌های بشر در کتاب خدا آمده و رسول خدا آن را در سنت شریف بیان و به امیرالمؤمنین املا نمود؛ حضرت امیر نیز آن را نوشت و ائمۀ اطهار نیز آن را در گنجینۀ خود نگه داشتند، همان‌گونه که مردم طلا و نقرۀ خویش را انباشته و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احکام شرعی، حتی جریمۀ یک خراش در آن نوشته شده و نزد خدا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اولی‌الامری که خداوند اطاعتشان را واجب و آن را قرین اطاعت از خدا و رسول قرار داده است، حقّ هیچ‌گونه تشریعی در دین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میانجی،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5"/>
        <w:numPr>
          <w:ilvl w:val="4"/>
          <w:numId w:val="1"/>
        </w:numPr>
        <w:rPr/>
      </w:pPr>
      <w:bookmarkStart w:id="304" w:name="__RefHeading___Toc660389_1395250215"/>
      <w:bookmarkStart w:id="305" w:name="_Toc120"/>
      <w:bookmarkEnd w:id="304"/>
      <w:r>
        <w:rPr>
          <w:rtl w:val="true"/>
        </w:rPr>
        <w:t>بررسی و نظر</w:t>
      </w:r>
      <w:bookmarkEnd w:id="305"/>
    </w:p>
    <w:p>
      <w:pPr>
        <w:pStyle w:val="BookText"/>
        <w:rPr/>
      </w:pPr>
      <w:r>
        <w:rPr>
          <w:rFonts w:ascii="IRNazanin" w:hAnsi="IRNazanin" w:eastAsia="IRNazanin"/>
          <w:color w:val="111111"/>
          <w:sz w:val="28"/>
          <w:sz w:val="28"/>
          <w:szCs w:val="28"/>
          <w:rtl w:val="true"/>
          <w:lang w:bidi="fa-IR"/>
        </w:rPr>
        <w:t>آنچه سبب اشکال در ذهن این اندیشمند شده، روایتی است از تفسیر عیاشی و نور الثقلین که هر دو نقل، تهی از سند است و آن‌سان که پیداست، خودش به این نکته توجه داشت؛ از این رو، حدیث را با قرائنی که موجب تقویت آن شود، مقرون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 نکتۀ قابل درنگ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ضعف سندیِ خبر مذکور، در مقابل آن، احادیثِ صحیحۀ تفویض وجود دارد که روایت نورالثقلین را توان رویارویی با آن‌ها نیست؛ برای نمونه، کلینی با سندی صحیح در اولین روایت بابِ تفویض، از ابواسحاق نحوی روایت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محبت خود پرورش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اخلاق عظیم و برجسته‌ای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کرده، خودداری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پیامبر اطاعت کند، خدا را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خدا به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تفویض کرد و او را امین خود قرار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کلینی از محمد بن سنان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جواد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و از اختلاف شیعه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یگانگیِ خود تنها بوده، سپس محمد،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هزار دهر مکث کردند، تا این‌که خداوند تمامی موجودات را آفرید و ایشان را شاهدِ آن آفرینش قرار داد و اطاعتشان را واجب کرد و امور موجودات را به ایشان واگذار نمود؛ پس اینان هر چه را بخواهند حلال می‌کنند و هرچه را بخواهند حرام می‌کنند و جز آنچه خدای بخواهد،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دیانت همین است و هر کس از آن پیشی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 هر کس از آن تخلف کند، نابود شده و هر کس ملازم آن باشد،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 نگه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تفسیر عیاشی و نورالثقلین، هم ضعف سندی دارد و هم معارض؛ البته بررسی و وجه دلالت احادیث معارض، مجالی دیگر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شاهد در گفتۀ مذکور مطرح شده که دو شاهد اول ـ کمال دین و بیان همۀ نیازهای بشر در قرآن ـ پیش‌تر در ترازوی نقد قرار گرفت، اما شاهد سوم،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نیاز بشر است، حتی جریمۀ یک خراش، توسط پیامبر بر امیرمؤمنان املا گردیده و با خطّ ایشان به نگارش در‌آمد، و ائمۀ اطهار نیز آن را به امانت نزد خود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بر دسته‌ای از روایات است که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صحیح نقل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دریچه‌ای از دانش به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آموخت که از آن هزار دریچه علم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هزار باب دانش آموخت که از هر بابِ آن، هزار باب دیگر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لحظاتی انگشت به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همه‌اش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ماست، اما مردم چه می‌دانند که 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به طول هفتاد زراعِ پیامبر که حضرت به زبانش آن را املا کرد و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دست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صحیفه، همۀ حرام‌ها و حلال‌ها و هر چه که مردم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آن احتیاج داشته باشند، آمده است؛ حتی جریمه یک خراش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دستی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اختیارتان هستم؛ هر چه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مبارکش نیشگونی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جریمۀ این هم در آن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حضرت خشمگین به نظر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علی بن سعید</w:t>
      </w:r>
      <w:r>
        <w:rPr>
          <w:rStyle w:val="FootnoteAnchor"/>
          <w:rtl w:val="true"/>
        </w:rPr>
        <w:footnoteReference w:id="58"/>
      </w:r>
      <w:r>
        <w:rPr>
          <w:rFonts w:ascii="IRNazanin" w:hAnsi="IRNazanin" w:eastAsia="IRNazanin"/>
          <w:color w:val="111111"/>
          <w:sz w:val="28"/>
          <w:sz w:val="28"/>
          <w:szCs w:val="28"/>
          <w:rtl w:val="true"/>
          <w:lang w:bidi="fa-IR"/>
        </w:rPr>
        <w:t>در معنای جفر آمده است؛</w:t>
      </w:r>
    </w:p>
    <w:p>
      <w:pPr>
        <w:pStyle w:val="BookText"/>
        <w:rPr/>
      </w:pPr>
      <w:r>
        <w:rPr>
          <w:rFonts w:ascii="IRNazanin" w:hAnsi="IRNazanin" w:eastAsia="IRNazanin"/>
          <w:color w:val="111111"/>
          <w:sz w:val="28"/>
          <w:sz w:val="28"/>
          <w:szCs w:val="28"/>
          <w:rtl w:val="true"/>
          <w:lang w:bidi="fa-IR"/>
        </w:rPr>
        <w:t>در آن کتابهایی است و علم هرآنچه که تا قیامت مردم به آن نیاز دارند از حلال و حرام وجود دارد، رسول خدا آنرا املاء کرد و علی ع با دست خودش آن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w:t>
      </w:r>
      <w:r>
        <w:rPr>
          <w:rStyle w:val="FootnoteAnchor"/>
          <w:rtl w:val="true"/>
        </w:rPr>
        <w:footnoteReference w:id="59"/>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با وجود آن، نیازی به مردم نداریم، بلکه مردم محتاج مایند؛ نزد ما کتابی است که رسول خدا املا فرموده و امیرالمؤمنین نگاشته است؛ صحیفه‌ای که هر حلال و حرامی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بزرگان دیگر نیز این اخبار را به عنوان دلیلی برنبود حق تشریع برای ائمه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اخبار نیز به دلایل زیر توانائی نفی ولایت امام بر احکام را ندارند؛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سوم و سایر روایاتی که با این مضمون وارد شده، حکایت از آن دارد که تمامی احکامِ حلال و حرام را پیامبر به امیرالمؤمنین املاء فرمودند، اما هیچکدام نفی تفویض و حق تشریعِ ائمه نمی‌کند؛ زیرا چه بسا مقصود این اخبار، املاء احکامی است که تشریعش تمام شده و تا آن زمان مورد احتیاج مردم واقع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مراد از این روایات حتی روایت دوم، مطلق احکام باشد، چه احکامی که به طور تفصیلی تشریع شده است و چه احکامی که به طور اجمال و در قالب قواعد کلیه‌ای به امام املاء و آموخته شد تا در زمان نیاز، به تفصیل نسبت به جعل جزئیات آن اقدام نماید؛ شاهدش</w:t>
      </w:r>
      <w:bookmarkStart w:id="306" w:name="pg2646_16572"/>
    </w:p>
    <w:p>
      <w:pPr>
        <w:pStyle w:val="BookText"/>
        <w:rPr/>
      </w:pPr>
      <w:bookmarkEnd w:id="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نیز روایت ابو بصیر است که سخن از گشایش ابواب علم است که گوشه‌ای از آن، جامعه، جفر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این روایات، در مقابل آن احادیث تفویض وجود دارد که ظاهرش اثبات ولایت امام بر تشریع است، بنابراین باید میان این دو دسته از احادیث جمع عرفی شود به این صورت که مثلا بگوئیم مراد از املاء رسول و کتابِ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املاءِ بیشتر احکام باشد و مراد از روایات مقابل، شمار دیگری از احکام باشد، و همین مقدار در اثبات حق تشریع کفایت می‌کند؛ یعنی بیشتر احکام توسط پیامبر به امیرالمؤمنین املاء شد و مقداری از احکام نیز به ائمه واگذار شد</w:t>
      </w:r>
      <w:r>
        <w:rPr>
          <w:rFonts w:eastAsia="IRNazanin" w:cs="IRNazanin"/>
          <w:color w:val="111111"/>
          <w:sz w:val="28"/>
          <w:szCs w:val="28"/>
          <w:rtl w:val="true"/>
          <w:lang w:bidi="fa-IR"/>
        </w:rPr>
        <w:t>.</w:t>
      </w:r>
    </w:p>
    <w:p>
      <w:pPr>
        <w:pStyle w:val="Heading4"/>
        <w:numPr>
          <w:ilvl w:val="3"/>
          <w:numId w:val="1"/>
        </w:numPr>
        <w:rPr/>
      </w:pPr>
      <w:bookmarkStart w:id="307" w:name="__RefHeading___Toc660391_1395250215"/>
      <w:bookmarkStart w:id="308" w:name="_Toc121"/>
      <w:bookmarkEnd w:id="307"/>
      <w:r>
        <w:rPr>
          <w:rtl w:val="true"/>
        </w:rPr>
        <w:t>دیدگاه علامه طباطبائی</w:t>
      </w:r>
      <w:bookmarkEnd w:id="308"/>
    </w:p>
    <w:p>
      <w:pPr>
        <w:pStyle w:val="Heading5"/>
        <w:numPr>
          <w:ilvl w:val="4"/>
          <w:numId w:val="1"/>
        </w:numPr>
        <w:rPr/>
      </w:pPr>
      <w:bookmarkStart w:id="309" w:name="__RefHeading___Toc660393_1395250215"/>
      <w:bookmarkStart w:id="310" w:name="_Toc122"/>
      <w:bookmarkEnd w:id="309"/>
      <w:r>
        <w:rPr>
          <w:rtl w:val="true"/>
        </w:rPr>
        <w:t>اشاره</w:t>
      </w:r>
      <w:bookmarkEnd w:id="31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تفسیر المیزان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پرداخته و پیامبر اسلام را دارای دو ویژگی و مقام معرفی کرده است؛ یکی مقام تشریع و بیان احکامی که در قرآن نیامده و دیگری مقام ولایت در حکومت که بر اساس آن، حکمرانی و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توضیح این مطلب، به اختیارات اولی‌الامر اشاره می‌کند و با استفاده از ذیل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منکرِ حقّ تشریع برای اولی‌الامر شده است، با این تلقی که مراد از تنازع، کشمکش در احکام شریعت است، زیرا در غیر احکام، امام نیز مرجعیت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ندارند حکم جدیدی وضع کنند یا حکمی که در کتاب خدا و سنت پیامبر آمده را نسخ کنند، وگرنه وجوب ارجاع تنها به کتاب و سنت یا تنها ردّ به خدا و رسول معنا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اولی الامر نیز ارجاع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 لِمُؤْمِنٍ وَ لامُؤْمِنَةٍ إِذا قَضَی اللَّهُ وَ رَسُولُهُ أَمْراً أَنْ یَکُونَ لَهُمُ الْخِیَرَةُ مِنْ أَمْرِهِم ْوَ مَنْ یَعْصِ اللَّهَ وَ رَسُولَهُ فَقَدْ ضَلَّ ضَلالاً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خدا و پیغمبر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خدای متعال همان تشریع است و دستورات پیامبر نیز، یا همان دستورات خداوند است یا اعم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دستوراتی که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اختیاری که اولی‌الامر دارند این است که تنها در موارد نفوذ ولایتشان اظهار نظر کنند و حکم خدا و پیامبر را در قضایا و موضوعات کشف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از آن‌جا که اولی‌الامر اختیاری در تشریع ندارند و چیزی جز احکام خدا و پیغمبر که در کتاب و سنت آمده نزدشان نیست، در موارد درگیری فقط به خدا و رسول ارجاع داده شد و نام ایشان ذکر نگردید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محققان دیگر نیز گویا به تبعیت از صاحب المیزان، با صراحت این آیه را دلیلی بر عدم حقّ تشریع امام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تهرانی،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311" w:name="pg2646_16573"/>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5"/>
        <w:numPr>
          <w:ilvl w:val="4"/>
          <w:numId w:val="1"/>
        </w:numPr>
        <w:rPr/>
      </w:pPr>
      <w:bookmarkStart w:id="312" w:name="__RefHeading___Toc660395_1395250215"/>
      <w:bookmarkStart w:id="313" w:name="_Toc123"/>
      <w:bookmarkEnd w:id="312"/>
      <w:r>
        <w:rPr>
          <w:rtl w:val="true"/>
        </w:rPr>
        <w:t>بررسی و نظر</w:t>
      </w:r>
      <w:bookmarkEnd w:id="313"/>
    </w:p>
    <w:p>
      <w:pPr>
        <w:pStyle w:val="BookText"/>
        <w:rPr/>
      </w:pPr>
      <w:r>
        <w:rPr>
          <w:rFonts w:ascii="IRNazanin" w:hAnsi="IRNazanin" w:eastAsia="IRNazanin"/>
          <w:color w:val="111111"/>
          <w:sz w:val="28"/>
          <w:sz w:val="28"/>
          <w:szCs w:val="28"/>
          <w:rtl w:val="true"/>
          <w:lang w:bidi="fa-IR"/>
        </w:rPr>
        <w:t>عبارات مذکور، پرسش‌ها و اشکالاتی را در پی دارد که پذیرش این گفتار را مشکل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نکره است و تعریف آن به احکام، نیازمند دلیل است؛ حال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احکام و تعیین مصداق معین ـ احکام شرعی ـ برای آن چیست؟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باشد؛ یعنی اگر در امامتِ فردی نزاع شد، باید به گفتار خدا و پیامبر مراجعه کنید، زیرا از آن‌جایی که خودِ مدعیِ امامت ـ اولی الامر ـ یک سوی دعواست، ممکن است گفتار او مورد پذیرش مخالفان قرار نگیرد؛ 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نمی‌تواند احکام شرعی باشد؛ علاوه بر این‌که حوزۀ احکام شرعی، از وظایف اصلیِ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بپذیریم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است، آیا معنای این‌که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کشمکش به خدا و رسول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امام رجوع نکنید؟ این حصر چگونه از آیه فهمیده می‌شود؟ و این‌گونه مفهوم‌گیری با کدام قاعدۀ اصولی سازگار است؟ ذکر نشدن اولی‌الامر در ذیل آیه نیز نمی‌تواند دلیل باشد، زیرا ردّ به امام، همان ردّ به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الرد إلی الله و الرسول و قبول أمرهما و نهیهما و خبرهما یرفع التنازع و الإمام قائم مقام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فالرد إلیه رد إلی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صدر آیه به اولی‌الامر اشاره شد، در ذیل آیه به دلیل مساوات ایشان در مقام طاعت با پیامبر از ذکر دوبارۀ آن خودداری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آن‌که در خبر صحیحی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خاصة أمَرَ جمیع المؤمنین إلی یوم القیامة بطاعتنا فإن خفتم تنازعاً فی أمر فردّوه إلی الله و إلی الرسول و إلی أولی الأَمر منکم کذا نزلت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4"/>
        <w:numPr>
          <w:ilvl w:val="3"/>
          <w:numId w:val="1"/>
        </w:numPr>
        <w:rPr/>
      </w:pPr>
      <w:bookmarkStart w:id="314" w:name="__RefHeading___Toc660397_1395250215"/>
      <w:bookmarkStart w:id="315" w:name="_Toc124"/>
      <w:bookmarkEnd w:id="314"/>
      <w:r>
        <w:rPr>
          <w:rtl w:val="true"/>
        </w:rPr>
        <w:t>احادیثی در نفی تشریع</w:t>
      </w:r>
      <w:bookmarkEnd w:id="315"/>
    </w:p>
    <w:p>
      <w:pPr>
        <w:pStyle w:val="Heading5"/>
        <w:numPr>
          <w:ilvl w:val="4"/>
          <w:numId w:val="1"/>
        </w:numPr>
        <w:rPr/>
      </w:pPr>
      <w:bookmarkStart w:id="316" w:name="__RefHeading___Toc660399_1395250215"/>
      <w:bookmarkStart w:id="317" w:name="_Toc125"/>
      <w:bookmarkEnd w:id="316"/>
      <w:r>
        <w:rPr>
          <w:rtl w:val="true"/>
        </w:rPr>
        <w:t>اشاره</w:t>
      </w:r>
      <w:bookmarkEnd w:id="3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از اخبار در منابع روایی وجود دارد که همۀ سخنان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برآمده از سخنان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 گونه‌ای که امام هیچ‌گاه از خود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صاحب‌نظران این اخبار را دلیلی دیگر بر عدم حقّ تشریع امام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چنین می‌نماید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خود رأیی در دین صادر نمی‌کنند و هر آنچه می‌گویند، بر اساس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سخن دیگر،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حاملان علومی هستند که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نزدشان امانت گذاشته شد؛ احکام شریعت نیز بخشی از همان دانش‌هاست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عهده‌دار بیان آن برای مردمند</w:t>
      </w:r>
      <w:r>
        <w:rPr>
          <w:rFonts w:eastAsia="IRNazanin" w:cs="IRNazanin"/>
          <w:color w:val="111111"/>
          <w:sz w:val="28"/>
          <w:szCs w:val="28"/>
          <w:rtl w:val="true"/>
          <w:lang w:bidi="fa-IR"/>
        </w:rPr>
        <w:t>.</w:t>
      </w:r>
      <w:bookmarkStart w:id="318" w:name="pg2646_16574"/>
    </w:p>
    <w:p>
      <w:pPr>
        <w:pStyle w:val="BookText"/>
        <w:rPr/>
      </w:pPr>
      <w:bookmarkEnd w:id="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بخشی از این احادیث که در بصائر الدرجات، کافی و سایر جوامع روایی متفرق است، در کتاب جامع أحادیث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چهارم از ابواب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گرد آمده، که در ادامه به پاره‌ای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از عنبسه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مسئله‌ای پرسید و حضرت نیز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 چنان باشد،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چیزی پاسخ دادم، از رسول‌الله است؛ این‌گونه نیست که با رأی خودمان چیزی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از قتیبه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مسئله‌ای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چنین و چنان باشد، پاسخ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پاسخت می‌دهم، از رسول خداست؛ ما از کسانی نیستیم که بگویی، نظر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رأی خودمان چیزی بگوییم، گمراه شده‌ایم، همان‌گونه که کسانی که پیش از ما بوده‌اند، گمراه شدند؛ ما بر اساس بینه‌ای سخن می‌گوییم که پروردگارمان برای پیامبرش بیان فرموده و او برای ما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5"/>
        <w:numPr>
          <w:ilvl w:val="4"/>
          <w:numId w:val="1"/>
        </w:numPr>
        <w:rPr/>
      </w:pPr>
      <w:bookmarkStart w:id="319" w:name="__RefHeading___Toc660401_1395250215"/>
      <w:bookmarkStart w:id="320" w:name="_Toc126"/>
      <w:bookmarkEnd w:id="319"/>
      <w:r>
        <w:rPr>
          <w:rtl w:val="true"/>
        </w:rPr>
        <w:t>تحلیل و بررسی</w:t>
      </w:r>
      <w:bookmarkEnd w:id="320"/>
    </w:p>
    <w:p>
      <w:pPr>
        <w:pStyle w:val="BookText"/>
        <w:rPr/>
      </w:pPr>
      <w:r>
        <w:rPr>
          <w:rFonts w:ascii="IRNazanin" w:hAnsi="IRNazanin" w:eastAsia="IRNazanin"/>
          <w:color w:val="111111"/>
          <w:sz w:val="28"/>
          <w:sz w:val="28"/>
          <w:szCs w:val="28"/>
          <w:rtl w:val="true"/>
          <w:lang w:bidi="fa-IR"/>
        </w:rPr>
        <w:t>در فقه حدیث، توجه به چند نکته لازم است؛ توجه به الفاظ حدیث بر طبق قواعد اصولی، نبود معارض و نیز توجه به موقعیت تاریخیِ صدور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بسیاری از احادیث ناظر به عقیده‌ای خاص، در بستر تاریخی خاصی بوده‌اند، یا در حال تقیه صادر شده‌اند و مانند این موارد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دسته از احادیث، که با بیان‌های گوناگونی وارد شده‌اند، یک مقصود بیشتر ندارند و همگی ناظر به فتاوایی‌اند که با ظن و گمان و بر اساس اجتهادی شخصی صادر می‌شدند؛ به‌خصوص در دورانی که قیاس و استحسان در فتاوا رواج یافته بود و برخی گمان می‌کردند، احکام صادره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حدس و گمان است؛ لذا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ظن شما در فلان مسئله چیست؟ امام نیز در مقام پاسخِ این مطلب است که</w:t>
      </w:r>
      <w:bookmarkStart w:id="321" w:name="pg2646_16575"/>
    </w:p>
    <w:p>
      <w:pPr>
        <w:pStyle w:val="BookText"/>
        <w:rPr/>
      </w:pPr>
      <w:bookmarkEnd w:id="3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ما هیچ‌گاه بر اساس رأی و گمان یا بر اساس اجتهاد خود سخن نمی‌گوییم، بلکه آنچه می‌گوییم حکم خدا و رسول است؛ از این رو، در برخی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 اساس رأی و هوایمان فتوا بدهیم، از هلاک‌شدگان خواهیم بود، اما آنچه می‌گوییم نشانه‌هایی است از سخنان رسول خدا، و علمِ ریشه‌داری است که از پدرانمان ارث برده‌ایم و آن را نگه می‌داریم؛ همان‌گونه که مردم طلا و نقره‌هایشان را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ذیل حدیث دوم ـ روایت قتیبه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راوی این بود که مرا از رأی خود که بر اساس ظن و اجتهاد است،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او را از گمانش نهی کرد و برای او توضیح داد که ائمه جز با قطع و یقین و آنچه از جانب رسول خدا رسیده است، سخن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322" w:name="__RefHeading___Toc660403_1395250215"/>
      <w:bookmarkStart w:id="323" w:name="_Toc127"/>
      <w:bookmarkEnd w:id="322"/>
      <w:r>
        <w:rPr>
          <w:rtl w:val="true"/>
        </w:rPr>
        <w:t>نتیجه</w:t>
      </w:r>
      <w:bookmarkEnd w:id="323"/>
    </w:p>
    <w:p>
      <w:pPr>
        <w:pStyle w:val="BookText"/>
        <w:rPr/>
      </w:pPr>
      <w:r>
        <w:rPr>
          <w:rFonts w:ascii="IRNazanin" w:hAnsi="IRNazanin" w:eastAsia="IRNazanin"/>
          <w:color w:val="111111"/>
          <w:sz w:val="28"/>
          <w:sz w:val="28"/>
          <w:szCs w:val="28"/>
          <w:rtl w:val="true"/>
          <w:lang w:bidi="fa-IR"/>
        </w:rPr>
        <w:t>طبق این نوشتار، دلایلی که برای انکار حقّ تشریع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ناکارآمد و ناتمام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نکاتی که در این دیدگاه‌ها باید مورد توجه قرار گیرد، در محورهای زیر قابل جمع‌بندی است و چنانچه این محورها مورد پذیرش قرار گیرد، مسئله حق تشریع قابل انکار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می‌تواند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تنزیلی و وحی تسدیدی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آنچه در قرآن کریم آمده است،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پیامبر یا امام می‌فرمایند، وحی است، منافاتی با حق تشریع ندارد، زیرا در مسئله حقّ تشریع و جعل حکم، وحی از نوع تسدیدی و تأییدی است؛ یعنی حکمی که نبی یا امام جعل کنند، مورد تأیید وحی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قرآن همه‌چیز را بیان فرموده، معنایش نفی حقّ تشریع امام نیست، زیرا مقصود بیان کلیات احکام در قرآن است، زیرا بسیاری از جزئیات احکام، مانند شمار رکعات نماز، چگونگیِ مناسک حج و مانند آن، به صراحت در قرآن ذکر نشده است؛ از این رو، نمی‌توان با این ادله، حقّ تشریع امام در جزئیات احکام را نفی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حکم از ناحیۀ امام، منافاتی با اکمال دین در زمان پیامبر نیز نخواهد داشت، زیرا با نصب امام، دینِ کامل و مرجعیت احکام مشخص شد؛ پس اگر حکمی هم مانده باشد، می‌تواند از جانب ایشان جعل شود و این یعنی کمال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روایاتی که از املای تمامی احکامِ حلال و حرام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حکایت دارد، به معنای نفی تفویض و حقّ تشریعِ ائمه نیست، زیرا چه بسا</w:t>
      </w:r>
      <w:bookmarkStart w:id="324" w:name="pg2646_16576"/>
    </w:p>
    <w:p>
      <w:pPr>
        <w:pStyle w:val="BookText"/>
        <w:rPr/>
      </w:pPr>
      <w:bookmarkEnd w:id="3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مقصود این اخبار، املای احکامی است که تشریعش تمام شده و تا آن زمان مورد احتیاج مردم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برخی احادیث، ائمه فرموده‌اند از جانب خود چیزی نمی‌گویند، مقصود آن است که امام بر اساس ظن و اجتهاد چیزی نمی‌گوید، بلکه هر آنچه بفرماید، همان حکم واقعیِ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هر یک از ادلۀ منکران، محملی دیگر غیر از نفی حقّ تشریع دارد و آنچه به راقمِ این سطور جرئت و قوّت قلب داده تا ادلۀ نفی تشریع را نقد کند، اخباری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جایگاه رفیع خود اشاره کرده و مقامات خود را بلند و دست‌نیافتنی دانسته‌اند </w:t>
      </w:r>
      <w:r>
        <w:rPr>
          <w:rStyle w:val="FootnoteAnchor"/>
          <w:rtl w:val="true"/>
        </w:rPr>
        <w:footnoteReference w:id="60"/>
      </w:r>
      <w:r>
        <w:rPr>
          <w:rFonts w:ascii="IRNazanin" w:hAnsi="IRNazanin" w:eastAsia="IRNazanin"/>
          <w:color w:val="111111"/>
          <w:sz w:val="28"/>
          <w:sz w:val="28"/>
          <w:szCs w:val="28"/>
          <w:rtl w:val="true"/>
          <w:lang w:bidi="fa-IR"/>
        </w:rPr>
        <w:t>از این رو، به سادگی نمی‌توان در نفی برخی مقاماتِ امام سخن گفت و چه بسا مقامی از مقامات امامان باشد که تاکنون ناشناخته بوده و بر اساس پژوهشی بتوان آن را به اثبات رساند یا از نفیِ آن، سر باز زد</w:t>
      </w:r>
      <w:r>
        <w:rPr>
          <w:rFonts w:eastAsia="IRNazanin" w:cs="IRNazanin"/>
          <w:color w:val="111111"/>
          <w:sz w:val="28"/>
          <w:szCs w:val="28"/>
          <w:rtl w:val="true"/>
          <w:lang w:bidi="fa-IR"/>
        </w:rPr>
        <w:t>.</w:t>
      </w:r>
    </w:p>
    <w:p>
      <w:pPr>
        <w:pStyle w:val="Heading3"/>
        <w:numPr>
          <w:ilvl w:val="2"/>
          <w:numId w:val="1"/>
        </w:numPr>
        <w:rPr/>
      </w:pPr>
      <w:bookmarkStart w:id="325" w:name="__RefHeading___Toc660405_1395250215"/>
      <w:bookmarkStart w:id="326" w:name="_Toc128"/>
      <w:bookmarkEnd w:id="325"/>
      <w:r>
        <w:rPr>
          <w:rtl w:val="true"/>
        </w:rPr>
        <w:t>منابع</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آشتیانی، میرزامحمدحسن،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بحرالفوائد فی شرح الفرائد، قم، ذوی‌القربی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جزری، مبارک بن محمد،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النهایۀ فی غریب الحدیث و الاثر، قم، مؤسسة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منزلت عقل در هندسه معرفت دینی،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ابوعبدالله محمد بن عبدالله الضبی،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فی الحدیث،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حسینی‌میلانی، سیدعلی،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الاصول، قم، مرکز الحقائق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نفحات الأزهار فی خلاصة عبقات الانوار، قم، مرکز الحقائق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حسینی‌تهرانی،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امام‌شناسی، مشهد، علامه 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علامه حسن بن یوسف بن مطهر،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الالفین،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دمشق ـ بیروت، دارالقلم ـ دارالشامیه، نشر طلیعه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فی علم الرجال، قم، مؤسسة النشر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محمد 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علی‌أکبر الغفاری، تهران، مکتبة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ابوجعفر محمد بن 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میرزامحسن کوچه‌باغی، قم، مکتبة آیة‌الله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 مؤسسة الأعلمی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بروجردی، حاج‌آقا‌حسین،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الحجة فی الفقه،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حائری‌یزدی، قم،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احادیث الشیعه، قم، المطبعة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لمحات الاصول،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تهران، مؤسسه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الاصول،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منتظری، قم، مطبعة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فضل بن 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عبدعلی بن جمعه،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عاشور، بیروت، مؤسسة التاریخ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ابی‌نصر محمد بن مسعود بن 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التفسیر،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 المکتبة العلمیة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قمی، قم،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لدرر أخبار ائمه الاطهار،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مرآة العقول فی شرح أخبار آل‌الرسول، تهران،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مشهدی، میرزامحمد،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الدقائق،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محمدحسن، </w:t>
      </w:r>
      <w:r>
        <w:rPr>
          <w:rFonts w:eastAsia="IRNazanin" w:cs="IRNazanin"/>
          <w:color w:val="111111"/>
          <w:sz w:val="28"/>
          <w:szCs w:val="28"/>
          <w:rtl w:val="true"/>
          <w:lang w:bidi="fa-IR"/>
        </w:rPr>
        <w:t>(</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الصدق لنهج الحق، قم، مؤسسة آل‌البیت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الفقه، قم، مؤسسه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فقهیة هامه، قم، مدرسة الامام علی بن ابی‌طالب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میانجی، محمدباقر،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بدایع الکلام فی تفسیر آیات الاحکام، بیروت،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چهل حدیث، تهران، مؤسسه تنظیم و نشر آثار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خوئی،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التنقیح فی شرح العروة الوثقی،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غروی، قم، مؤسسة احیاء آثار الامام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الهدایۀ فی الاصول،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صافی اصفهانی، قم، مؤسسه صاحب‌الامر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اصفهانی، محمدتقی،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هدایة المسترشدین فی شرح اصول معالم الدین،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فی شرح شرائع الإسلام،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واسطی زبیدی، محب‌الدین سیدمحمدمرتضی حسینی،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بهبهانی، محمدباقر،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منهج المقال فی تحقیق احوال الرجال،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میرزا‌محمد بن علی استرآبادی، قم، مؤسسه آل‌البیت لإحیاء التراث</w:t>
      </w:r>
      <w:r>
        <w:rPr>
          <w:rFonts w:eastAsia="IRNazanin" w:cs="IRNazanin"/>
          <w:color w:val="111111"/>
          <w:sz w:val="28"/>
          <w:szCs w:val="28"/>
          <w:rtl w:val="true"/>
          <w:lang w:bidi="fa-IR"/>
        </w:rPr>
        <w:t>.</w:t>
      </w:r>
      <w:bookmarkStart w:id="327" w:name="pg2646_16579"/>
    </w:p>
    <w:p>
      <w:pPr>
        <w:pStyle w:val="BookText"/>
        <w:rPr/>
      </w:pPr>
      <w:bookmarkEnd w:id="3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Heading2"/>
        <w:numPr>
          <w:ilvl w:val="1"/>
          <w:numId w:val="1"/>
        </w:numPr>
        <w:rPr/>
      </w:pPr>
      <w:bookmarkStart w:id="328" w:name="__RefHeading___Toc660407_1395250215"/>
      <w:bookmarkStart w:id="329" w:name="_Toc129"/>
      <w:bookmarkEnd w:id="328"/>
      <w:r>
        <w:rPr>
          <w:rtl w:val="true"/>
        </w:rPr>
        <w:t>کشف و تجربۀ دینی در دیدگاه غزالی</w:t>
      </w:r>
      <w:bookmarkEnd w:id="329"/>
    </w:p>
    <w:p>
      <w:pPr>
        <w:pStyle w:val="Heading3"/>
        <w:numPr>
          <w:ilvl w:val="2"/>
          <w:numId w:val="1"/>
        </w:numPr>
        <w:rPr/>
      </w:pPr>
      <w:bookmarkStart w:id="330" w:name="__RefHeading___Toc660409_1395250215"/>
      <w:bookmarkStart w:id="331" w:name="_Toc130"/>
      <w:bookmarkEnd w:id="330"/>
      <w:r>
        <w:rPr>
          <w:rtl w:val="true"/>
        </w:rPr>
        <w:t>اشاره</w:t>
      </w:r>
      <w:bookmarkEnd w:id="331"/>
    </w:p>
    <w:p>
      <w:pPr>
        <w:pStyle w:val="Heading3"/>
        <w:numPr>
          <w:ilvl w:val="2"/>
          <w:numId w:val="1"/>
        </w:numPr>
        <w:rPr/>
      </w:pPr>
      <w:bookmarkStart w:id="332" w:name="__RefHeading___Toc660411_1395250215"/>
      <w:bookmarkStart w:id="333" w:name="_Toc131"/>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واژگان کلیدی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ماهیت تجربۀ دینی</w:t>
      </w:r>
    </w:p>
    <w:p>
      <w:pPr>
        <w:pStyle w:val="BookText"/>
        <w:rPr/>
      </w:pPr>
      <w:r>
        <w:rPr>
          <w:rFonts w:ascii="IRNazanin" w:hAnsi="IRNazanin" w:eastAsia="IRNazanin"/>
          <w:color w:val="111111"/>
          <w:sz w:val="28"/>
          <w:sz w:val="28"/>
          <w:szCs w:val="28"/>
          <w:rtl w:val="true"/>
          <w:lang w:bidi="fa-IR"/>
        </w:rPr>
        <w:t>غزالی؛ صاحب تجربۀ دینی</w:t>
      </w:r>
    </w:p>
    <w:p>
      <w:pPr>
        <w:pStyle w:val="BookText"/>
        <w:rPr/>
      </w:pPr>
      <w:r>
        <w:rPr>
          <w:rFonts w:ascii="IRNazanin" w:hAnsi="IRNazanin" w:eastAsia="IRNazanin"/>
          <w:color w:val="111111"/>
          <w:sz w:val="28"/>
          <w:sz w:val="28"/>
          <w:szCs w:val="28"/>
          <w:rtl w:val="true"/>
          <w:lang w:bidi="fa-IR"/>
        </w:rPr>
        <w:t>دیدگاه غزالی در باب تجربۀ دینی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بحث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و مقدمات کشف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محاسبه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و سماع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کـشـف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رؤیت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ـــــــــــــــــــــــــ</w:t>
      </w:r>
    </w:p>
    <w:p>
      <w:pPr>
        <w:pStyle w:val="BookText"/>
        <w:rPr/>
      </w:pPr>
      <w:r>
        <w:rPr>
          <w:rFonts w:ascii="IRNazanin" w:hAnsi="IRNazanin" w:eastAsia="IRNazanin"/>
          <w:color w:val="111111"/>
          <w:sz w:val="28"/>
          <w:sz w:val="28"/>
          <w:szCs w:val="28"/>
          <w:rtl w:val="true"/>
          <w:lang w:bidi="fa-IR"/>
        </w:rPr>
        <w:t>محمدامین خوانساری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1392/09/10</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1393/03/20</w:t>
      </w:r>
    </w:p>
    <w:p>
      <w:pPr>
        <w:pStyle w:val="Heading3"/>
        <w:numPr>
          <w:ilvl w:val="2"/>
          <w:numId w:val="1"/>
        </w:numPr>
        <w:rPr/>
      </w:pPr>
      <w:bookmarkStart w:id="334" w:name="__RefHeading___Toc660413_1395250215"/>
      <w:bookmarkStart w:id="335" w:name="_Toc132"/>
      <w:bookmarkEnd w:id="334"/>
      <w:r>
        <w:rPr>
          <w:rtl w:val="true"/>
        </w:rPr>
        <w:t>چکیده</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جدید است، اما پیشینۀ گسترده‌ای در فرهنگ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اندیشمندان اسلامی دربارۀ حالات کشف، مانند الهام و وحی داشته‌اند، می‌تواند بستری برای این موضوع در اندیشۀ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از جمله کسانی است که تحولاتِ تجربه گونه‌ای را از سر گذرانده و مباحث گسترده‌ای در مباحث تجربۀ دینی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گزارش و تحلیلی از دیدگاه‌های غزالی در باب تجربۀ دینی ارائه شده است؛ هم‌چنین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انسان و هستی، روشن شده است و نیز اسباب و مقدماتی که انسان باید برای کشف اخذ کند، برشمرده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دینی نزد غزالی، گاهی الهام‌گونه و گاهی هم وحی‌ِ پیامبرانه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رؤیت خداوند در آخرت نیز، مسئله‌ای مهم است که غزالی، هم با رویکرد کلامی و هم با رویکردی عرفانی، به امکانِ آن پرداخته است</w:t>
      </w:r>
      <w:r>
        <w:rPr>
          <w:rFonts w:eastAsia="IRNazanin" w:cs="IRNazanin"/>
          <w:color w:val="111111"/>
          <w:sz w:val="28"/>
          <w:szCs w:val="28"/>
          <w:rtl w:val="true"/>
          <w:lang w:bidi="fa-IR"/>
        </w:rPr>
        <w:t>.</w:t>
      </w:r>
    </w:p>
    <w:p>
      <w:pPr>
        <w:pStyle w:val="Heading3"/>
        <w:numPr>
          <w:ilvl w:val="2"/>
          <w:numId w:val="1"/>
        </w:numPr>
        <w:rPr/>
      </w:pPr>
      <w:bookmarkStart w:id="336" w:name="__RefHeading___Toc660415_1395250215"/>
      <w:bookmarkStart w:id="337" w:name="_Toc133"/>
      <w:bookmarkEnd w:id="336"/>
      <w:r>
        <w:rPr>
          <w:rtl w:val="true"/>
        </w:rPr>
        <w:t>واژگان کلیدی</w:t>
      </w:r>
      <w:bookmarkEnd w:id="33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تجربۀ دینی، کشف، وحی، الهام، رؤیت، المنقذ من الضلال، احیاء علوم الدین، غزالی</w:t>
      </w:r>
      <w:r>
        <w:rPr>
          <w:rFonts w:eastAsia="IRNazanin" w:cs="IRNazanin"/>
          <w:color w:val="111111"/>
          <w:sz w:val="28"/>
          <w:szCs w:val="28"/>
          <w:rtl w:val="true"/>
          <w:lang w:bidi="fa-IR"/>
        </w:rPr>
        <w:t>.</w:t>
      </w:r>
      <w:bookmarkStart w:id="338" w:name="pg2646_16580"/>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3"/>
        <w:numPr>
          <w:ilvl w:val="2"/>
          <w:numId w:val="1"/>
        </w:numPr>
        <w:rPr/>
      </w:pPr>
      <w:bookmarkStart w:id="339" w:name="__RefHeading___Toc660417_1395250215"/>
      <w:bookmarkStart w:id="340" w:name="_Toc134"/>
      <w:bookmarkEnd w:id="339"/>
      <w:r>
        <w:rPr>
          <w:rtl w:val="true"/>
        </w:rPr>
        <w:t>مقدمه</w:t>
      </w:r>
      <w:bookmarkEnd w:id="340"/>
    </w:p>
    <w:p>
      <w:pPr>
        <w:pStyle w:val="BookText"/>
        <w:rPr/>
      </w:pP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نوپدید در دوران جدید است و انبوهی از مسائل را در مباحث الهیات، عرفان و فلسفۀ دین به همراه داشته است، این مفهوم سابقۀ دیرین و فراگیر در گسترۀ تفکری ادیانی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مفاهیم هستند که در رابطه با خدا و انسان شکل گرفته و در علوم حدیثی، فلسفی و عرفانی گنجانده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کوشش این پژوهش بر این بود که به اجمال، ماهیت تجربۀ دینی را تبیین و تمایز آن را در گسترۀ فکری اسلام و مسیحیت بیان کند و در ادامه به اندیشۀ غزالی دربارۀ تجربۀ دینی با تأکید بر دو کتاب المنقذ من الضلال و احیاء علوم الدین بپردازد؛ بدین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بحث تلقی شده و ماهیت حجاب میان انسان و هستی،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اسباب و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شده‌اند</w:t>
      </w:r>
      <w:r>
        <w:rPr>
          <w:rFonts w:eastAsia="IRNazanin" w:cs="IRNazanin"/>
          <w:color w:val="111111"/>
          <w:sz w:val="28"/>
          <w:szCs w:val="28"/>
          <w:rtl w:val="true"/>
          <w:lang w:bidi="fa-IR"/>
        </w:rPr>
        <w:t>.</w:t>
      </w:r>
    </w:p>
    <w:p>
      <w:pPr>
        <w:pStyle w:val="Heading3"/>
        <w:numPr>
          <w:ilvl w:val="2"/>
          <w:numId w:val="1"/>
        </w:numPr>
        <w:rPr/>
      </w:pPr>
      <w:bookmarkStart w:id="341" w:name="__RefHeading___Toc660419_1395250215"/>
      <w:bookmarkStart w:id="342" w:name="_Toc135"/>
      <w:bookmarkEnd w:id="341"/>
      <w:r>
        <w:rPr>
          <w:rtl w:val="true"/>
        </w:rPr>
        <w:t>ماهیت تجربۀ دینی</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رویدادی نفسانی دانست که تقریباً زمان‌مند بوده، در معرض صاحب تجربه قرار می‌گیرد و از آن تا حدی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زمان‌مند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احساس‌های دیگری که زمان‌مند نیستند و در طول عمر به دست آمده‌اند،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صاحب تجربه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اختیار و انفعالی بودن شخص در این تجارب نیست، بلکه سلسله فعالیت‌های درونی و نفسانی را که به طور مستقیم کسب می‌شوند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تجارب، شخص باید با قدرتی بیرونی، تجاربی را احساس کند؛ هم‌چنین باید در این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تجربه از آن تا حدی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آگاهی‌بخشی از همان رویداد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در همان زمانِ تجربه ایجاد می‌شود و آنچه بعدها گفته می‌شود، در واقع گزارشی از آن تجربه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تجربه زمانی دینی می‌شود که در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بگیرد و متعلق آن، امری دینی باشد؛ متعلق آن، یا موجود یا حضوری فوق‌طبیعی باشد؛ مثل وجود خداوند یا تجلی خداوند در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موجودی باشد که به نحوی با خداوند مرتبط است؛ مثل شخصیتی مقدس و یا آن، حقیقتی غایی و توصیف‌ناپذیر باشد؛ مثل نیروانا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پترسون و دیگران،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میان تجربۀ عرفانی و تجربۀ دینی، تفاوت‌هایی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پاره‌ای از تجارب، شخصِ صاحب تجربه احساس می‌کند خدای یگانۀ مورد اعتقاد بیشتر ادیان و مذاهب را تجربه کرده و آن خدا، غیر او بوده است و در پاره‌ای دیگر از تجارب، احساس صاحب تجربه این</w:t>
      </w:r>
      <w:bookmarkStart w:id="343" w:name="pg2646_16581"/>
    </w:p>
    <w:p>
      <w:pPr>
        <w:pStyle w:val="BookText"/>
        <w:rPr/>
      </w:pPr>
      <w:bookmarkEnd w:id="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است که یگانگیِ همۀ چیزها و فقدان هرگونه غیریت و تمایز واقعی را تجربه کرده و حتی میان خود و حق، تغایری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نوع دوم را همگان تجارب عرفانی نام می‌نهند، اما تجارب نوع اول را بعضی تجارب دینی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تجربۀ چیز یگانه، یعنی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تجربۀ یگانگی چیزها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مهم در تفاوت تجربۀ دینی در حوزۀ اسلام و مسیحیت این است که در عالم مسیحیت، تجربۀ دینی مفهومی بسیار عام است و شامل انواع حالت‌های احساسی، ایده‌های خاص ذهنی، بصیرت‌ها و کشف و شهود عرفانی است، اما در جهان اسلام این‌گونه نیست و مثلاً به حالت‌های احساسی که در ضمن دعا و نیایش پیدا می‌شود، تجربۀ دینی اطلاق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لگنهاوزن،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میان تجربۀ دینی به معنای اعم و تجربۀ عرفانی در مباحث اسلامی را می‌توان در تفاوت میان کشف صوری و کشف معنوی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صوری، کشفی است که از طریق حواس پنج‌گانه در عالم مثال صورت می‌گیرد و کشف معنوی، کشفی مجرد از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صوری، انسان با حواسّ باطنی اموراتی را کشف می‌کند، اما کشف معنوی، ناظر به نوعی ادراک در مکاشفۀ عارف است که از سنخ ادراکات حسی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مباحثی که غزالی در المنقذ من الضلال دارد، کشف، نوری است که خداوند در دل انسان می‌افکند و بیشتر معارف بشری به مدد آن نور حاصل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کشف، آثار و عوارضی در زیست تجربه‌کننده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در ماورای عالم عقل، جهان دیگری وجود دارد که در آدمی، دیدۀ دیگری گشوده می‌گردد و به امور نهانی آگاه می‌شود و چیزهایی را درک می‌کند که عقل از ادراک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خاصیتی است که خداوند به انسان داده است، تا بتواند حقیقت کشف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3"/>
        <w:numPr>
          <w:ilvl w:val="2"/>
          <w:numId w:val="1"/>
        </w:numPr>
        <w:rPr/>
      </w:pPr>
      <w:bookmarkStart w:id="344" w:name="__RefHeading___Toc660421_1395250215"/>
      <w:bookmarkStart w:id="345" w:name="_Toc136"/>
      <w:bookmarkEnd w:id="344"/>
      <w:r>
        <w:rPr>
          <w:rtl w:val="true"/>
        </w:rPr>
        <w:t>غزالی؛ صاحب تجربۀ دینی</w:t>
      </w:r>
      <w:bookmarkEnd w:id="3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را می‌توان در جایگاه کسی که صاحب تجربۀ دینی است، بررسی کرد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او در المنقذ به حالات شخصیِ این دوره‌اش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 حقیقت‌جویی را با سرشت خود آمیخته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این را لطفی از جانب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حرصِ درک حقایق باعث شد که او با تفکر در دین تقلیدی اطرافیان، به حال درونی خویش نگاهی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ناگه، بندهای تقلید را گشوده و باورهای موروثی را گسسته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آغازی می‌شود تا غزالی در مسیر شناخت قرار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مطلوبش را علم به حقایق امور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علومی را که یقین‌آور نیستند در تردید می‌بیند و به ناچار، به دنبال طلب ماهیت حقیقت علم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غزالی به آن‌جا می‌رسد که حتی به حسیات و ضروریات و در مرحلۀ بعد، به عقلیات نیز اعتمادی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تردیدی همه‌جانبه در احوالاتش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درد برایم کشنده بود و با این حال، نزدیک دوماه دچارش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اقتضای حال، نه مقال، بر روش سفسطه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خروج غزالی از این وادی حیرت را باید نوعی تجربه‌ای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رفع حیرت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شفایی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حالتی که نه با دلیل و نه با کلمات، بلکه بر اثر نوری الهی بر دل انسان اتفاق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نوری است که کلید تمام دانستنی‌هاست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این کشف، کشفی است دلیل‌ناپذیر؛ کشفی است که به واسطۀ آن، شخص از رحمت پردامنۀ الهی سرشار می‌شود؛ کشفی است که در آن اختیاری نیست، بلکه به تعبیر پیامبرانه،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که خداوند در دل می‌افکند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حقیقتی را که صوفیه مدعیِ آنند، اصیل دانسته و به تفصیل از حالات صوفیان سخن به میان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گفته‌ها، از روی تجارب غزالی است که آن‌ها را در راه کسب حقیقت دینی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حقیقت صوفیه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با علم و عمل</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کارشان را ره سپردن از گردنه‌های دشوار نفس و برکنار داشتن آن از خوی‌های ناپسند و صفات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علم را آسان‌تر از عمل می‌داند؛ از این رو، به تحصیل علوم صوفیان می‌پردازد و سعی می‌کند با خواندن کتب صوفیه، به کنه مقاصدشان دست یابد، اما متوجه می‌شود که برای فهم تصوف باید به تجربه آن را فهم نماید و بین علم و عمل از این جهت، تفاوتِ بسیار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صوفیان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احوال و نه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باید احوالات فارغ از علم را از راه سلوک و ذوق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دچار نوعی کشمکش درونی می‌شود، به گونه‌ای که به تعبیر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زبانم قفل نهاد و کارم از اختیار به اضطرار</w:t>
      </w:r>
      <w:bookmarkStart w:id="346" w:name="pg2646_16583"/>
    </w:p>
    <w:p>
      <w:pPr>
        <w:pStyle w:val="BookText"/>
        <w:rPr/>
      </w:pPr>
      <w:bookmarkEnd w:id="3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احوالات و تجربیات، غزالی را به مدت ده سال در سفر می‌کشاند، تا تجربیات عزلت، خلوت و ریاضت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حاصل این ریاضت‌نشینی و عزلت‌گزینی را انکشافاتی توصیف‌ناپذیر</w:t>
      </w:r>
      <w:r>
        <w:rPr>
          <w:rStyle w:val="FootnoteAnchor"/>
          <w:rtl w:val="true"/>
        </w:rPr>
        <w:footnoteReference w:id="67"/>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به گزارش اندکی از این تجربیات در حدی که نفعی برساند،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این حالات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از پیشتازان خلق به سوی خدایند که همۀ حرکات و سکنات ظاهر و باطنشان، مقتبس از بالاترین نور، یعنی نور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تطهیر دل، همان کلید در نماز، یعنی سپردن همۀ دل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شرط هم فنای کلی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مکاشفات و مشاهدات از اول راه، که فنای در خداست، شروع می‌شود و تا جایی پیش می‌رود که در بیداری، فرشتگان و ارواح پیامبران را مشاهده می‌کند و صوت و سخن آنان را می‌شنود و فیض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مشاهدۀ صورت و نمونه‌ها به درجات بالاتر می‌رسد که سخن گفتن از آن‌ها دشوار است و بیننده نمی‌تواند به تعبیر آن‌ها بپردازد، زیرا دچار خطای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می‌رسد که پاره‌ای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همۀ این امور را اشتباه می‌داند و این را از مقولات توصیف‌ناپذیر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کرامت اولیا همانند حقیقتِ نبوت، توصیف‌ناپذیر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اشاره به حالت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حرا و تعبیر اعراب از این حالت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عشق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سالک با ذوق، و دیگران از راه تجربه و شنیدن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عبارات، تحقیق از راه برهان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دریافت مستقیم آن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باور از طریق تجربه و گمان درست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Heading3"/>
        <w:numPr>
          <w:ilvl w:val="2"/>
          <w:numId w:val="1"/>
        </w:numPr>
        <w:rPr/>
      </w:pPr>
      <w:bookmarkStart w:id="347" w:name="__RefHeading___Toc660423_1395250215"/>
      <w:bookmarkStart w:id="348" w:name="_Toc137"/>
      <w:bookmarkEnd w:id="347"/>
      <w:r>
        <w:rPr>
          <w:rtl w:val="true"/>
        </w:rPr>
        <w:t>دیدگاه غزالی در باب تجربۀ دینی</w:t>
      </w:r>
      <w:bookmarkEnd w:id="348"/>
    </w:p>
    <w:p>
      <w:pPr>
        <w:pStyle w:val="Heading4"/>
        <w:numPr>
          <w:ilvl w:val="3"/>
          <w:numId w:val="1"/>
        </w:numPr>
        <w:rPr/>
      </w:pPr>
      <w:bookmarkStart w:id="349" w:name="__RefHeading___Toc660425_1395250215"/>
      <w:bookmarkStart w:id="350" w:name="_Toc13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در این پژوهش می‌کوشیم تا دیدگاه غزالی در باب تجربۀ دینی را با تأکیدی بر کتاب احیاء علوم الدین، که حاصل سال‌های تحول و عزلت وی است، بررسی کنیم</w:t>
      </w:r>
      <w:r>
        <w:rPr>
          <w:rFonts w:eastAsia="IRNazanin" w:cs="IRNazanin"/>
          <w:color w:val="111111"/>
          <w:sz w:val="28"/>
          <w:szCs w:val="28"/>
          <w:rtl w:val="true"/>
          <w:lang w:bidi="fa-IR"/>
        </w:rPr>
        <w:t>.</w:t>
      </w:r>
    </w:p>
    <w:p>
      <w:pPr>
        <w:pStyle w:val="Heading4"/>
        <w:numPr>
          <w:ilvl w:val="3"/>
          <w:numId w:val="1"/>
        </w:numPr>
        <w:rPr/>
      </w:pPr>
      <w:bookmarkStart w:id="351" w:name="__RefHeading___Toc660427_1395250215"/>
      <w:bookmarkStart w:id="352" w:name="_Toc139"/>
      <w:bookmarkEnd w:id="351"/>
      <w:r>
        <w:rPr/>
        <w:t>1</w:t>
      </w:r>
      <w:r>
        <w:rPr>
          <w:rtl w:val="true"/>
        </w:rPr>
        <w:t xml:space="preserve">. </w:t>
      </w:r>
      <w:r>
        <w:rPr>
          <w:rtl w:val="true"/>
        </w:rPr>
        <w:t>مبانی بحث</w:t>
      </w:r>
      <w:bookmarkEnd w:id="352"/>
    </w:p>
    <w:p>
      <w:pPr>
        <w:pStyle w:val="Heading5"/>
        <w:numPr>
          <w:ilvl w:val="4"/>
          <w:numId w:val="1"/>
        </w:numPr>
        <w:rPr/>
      </w:pPr>
      <w:bookmarkStart w:id="353" w:name="__RefHeading___Toc660429_1395250215"/>
      <w:bookmarkStart w:id="354" w:name="_Toc140"/>
      <w:bookmarkEnd w:id="353"/>
      <w:r>
        <w:rPr>
          <w:rtl w:val="true"/>
        </w:rPr>
        <w:t>اشاره</w:t>
      </w:r>
      <w:bookmarkEnd w:id="3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کشف و تجربۀ دینی در گرو مباحث مختلفی، از جمله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هستی و انسان، حجاب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بحث را در هستی و انسان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bookmarkStart w:id="355" w:name="pg2646_16584"/>
    </w:p>
    <w:p>
      <w:pPr>
        <w:pStyle w:val="BookText"/>
        <w:rPr/>
      </w:pPr>
      <w:bookmarkEnd w:id="3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به عنوان متعلَّق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متعلِّق می‌گوییم و پس از آن به نقش و جایگاه حجاب در بحث می‌پردازیم</w:t>
      </w:r>
      <w:r>
        <w:rPr>
          <w:rFonts w:eastAsia="IRNazanin" w:cs="IRNazanin"/>
          <w:color w:val="111111"/>
          <w:sz w:val="28"/>
          <w:szCs w:val="28"/>
          <w:rtl w:val="true"/>
          <w:lang w:bidi="fa-IR"/>
        </w:rPr>
        <w:t>.</w:t>
      </w:r>
    </w:p>
    <w:p>
      <w:pPr>
        <w:pStyle w:val="Heading5"/>
        <w:numPr>
          <w:ilvl w:val="4"/>
          <w:numId w:val="1"/>
        </w:numPr>
        <w:rPr/>
      </w:pPr>
      <w:bookmarkStart w:id="356" w:name="__RefHeading___Toc660431_1395250215"/>
      <w:bookmarkStart w:id="357" w:name="_Toc141"/>
      <w:bookmarkEnd w:id="356"/>
      <w:r>
        <w:rPr>
          <w:rtl w:val="true"/>
        </w:rPr>
        <w:t>الف</w:t>
      </w:r>
      <w:r>
        <w:rPr>
          <w:rtl w:val="true"/>
        </w:rPr>
        <w:t xml:space="preserve">) </w:t>
      </w:r>
      <w:r>
        <w:rPr>
          <w:rtl w:val="true"/>
        </w:rPr>
        <w:t>هستی</w:t>
      </w:r>
      <w:r>
        <w:rPr>
          <w:rtl w:val="true"/>
        </w:rPr>
        <w:t>:</w:t>
      </w:r>
      <w:bookmarkEnd w:id="357"/>
    </w:p>
    <w:p>
      <w:pPr>
        <w:pStyle w:val="BookText"/>
        <w:rPr/>
      </w:pPr>
      <w:r>
        <w:rPr>
          <w:rFonts w:ascii="IRNazanin" w:hAnsi="IRNazanin" w:eastAsia="IRNazanin"/>
          <w:color w:val="111111"/>
          <w:sz w:val="28"/>
          <w:sz w:val="28"/>
          <w:szCs w:val="28"/>
          <w:rtl w:val="true"/>
          <w:lang w:bidi="fa-IR"/>
        </w:rPr>
        <w:t xml:space="preserve">از نظر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باید از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غزالی را از طرف‌داران وحدت وجود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توحید، نفی کثرت و رسیدن به وحدت است، اما در نهایتِ توحید، موحّد جمع کثرت و وحدت می‌کند؛ یعنی در عین توجه به کثرت، غرق در وحدت است و در عین وحدت، نظر به کثرت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طبیعت به عالم معنا و ملکوت نزدیک‌تر شویم، حیثیتِ نوری پدیده‌ها را شدیدتر و اصیل‌تر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سراسر نور است و نورهای خاکی، برگرفته از نورهای افلاکی‌اند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هستی پرتوی از جمال خداوند است و همه از اوست؛ بلکه خود اوست و هستیِ همه‌چیز، نور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هر چیزی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کیانیِ اشیا، نابودشدنی است و آنچه می‌ماند، وجه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در هستی جز وجه خداوند چیزی نیست، یعنی این‌که خداوند، وجود گوهری دارد؛ بنابراین هستیِ حقیقی، ویژۀ خداوند متعال است و هرچه جز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 از نگاهی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وجودی و حیث ایجادی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وجودیِ هستی که همان هستِ حقیقی و راستین الهی است که غنیّ بالذات و آفریدگار اشیاست و تنها موجود،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ایجادیِ هستی، پدیده‌هایند که هستِ مجازی، ایجاد‌شده و سراسر فقر ذاتی‌اند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نگرش، هستی یکی است و آن هم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عالَم را به سه بخش کلی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 جبروت و ملکوت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عالم خلقت، شهادت و همین خاک و افلاک و ناسوت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قدسی است که جایگاه فرشتگان است که افاضۀ نورها بر انسان از جانب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میان ملک و ملکوت است؛ آغاز ملک و پایان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جبروت، همانند کشتی میان زمین و آب است؛ کسی که در زمین راه می‌رود، در عالم ملک است و اگر بتواند سوار کشتی شود، همانند کسی است که در کشتی سوار شده و اگر بتواند بدون احتیاج به کشتی در آب راه رود، در عالم ملکوت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رمزگشایی از عالم ملک و ملکوت، در گرو نحوۀ ارتباط میان عالم محسوس و عالم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پذیرفتن موازنۀ میان عالم محسوس و معقول و تأثیر شناخت این موازنه بر</w:t>
      </w:r>
      <w:bookmarkStart w:id="358" w:name="pg2646_16585"/>
    </w:p>
    <w:p>
      <w:pPr>
        <w:pStyle w:val="BookText"/>
        <w:rPr/>
      </w:pPr>
      <w:bookmarkEnd w:id="3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شناخت ارتباط ملک و ملکوت، به نوعی تشکیک در مراتب هستی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موازنه می‌تواند پایه و اساس بسیاری از مسائل باشد و نقش عمده‌ای در فهم 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این مسائل،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حقایق، مثال یا تمثلی است که به شکل نور یا صورتی زیبا برای انسان ظهور می‌یابد و حاکی از زیبایی معنوی و جمال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تمثل به معنای تغییر و انقلاب نیست، بلکه تنها نوعی ظهور و تجلی است که حقیقتی را روشن می‌کند؛ برای مثال، ظهورات جبرئیل بر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تمثل بشر برای حضرت مریم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نوعی تجلی و ظهور از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نیز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می‌تواند تعبیر کند که عالم مثال و مناسبات میان معانی گوناگون را دریافت کند؛ مناسباتی که با وجود اختلاف ظاهری، با یکدیگر مناسبتی دارند که از عالم مثال و تمثل نشئت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توانایی رسیدن به حقایق و ملکوت را در عالم رؤیا دارد، ولی این حقایق به آشکارا رخ نمی‌نمایند، بلکه همواره به صورت تمثل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معرفت می‌تواند به جایی برسد که علم و معرفت بی‌واسطه را از جانب خداوند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این معرفت را مخصوص انبیا ندانسته و این شایستگی را برای سایر انسان‌ها نیز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نگرش غزالی به عالَم، وحدت‌گراست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تفسیر معنوی از عالَم، انسان را در موقعیتی هم‌گون با عالم قرار می‌دهد، به گونه‌ای که همیشه همراه با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دیگر جزئی دورافتاده و یا افکنده از عالم نیست تا نتواند عالم را بشناسد، بلکه او جزئی از عالم معنوی است و غایتی برایش متصور است که تمام عالم به دنبال آن غایت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درنوریدن میان عالم محسوس و عالم معقول می‌تواند از عالم ملک به عالم ملکوت راه یابد و اسرار عالم ملکوت را بگشاید</w:t>
      </w:r>
      <w:r>
        <w:rPr>
          <w:rFonts w:eastAsia="IRNazanin" w:cs="IRNazanin"/>
          <w:color w:val="111111"/>
          <w:sz w:val="28"/>
          <w:szCs w:val="28"/>
          <w:rtl w:val="true"/>
          <w:lang w:bidi="fa-IR"/>
        </w:rPr>
        <w:t>.</w:t>
      </w:r>
    </w:p>
    <w:p>
      <w:pPr>
        <w:pStyle w:val="Heading5"/>
        <w:numPr>
          <w:ilvl w:val="4"/>
          <w:numId w:val="1"/>
        </w:numPr>
        <w:rPr/>
      </w:pPr>
      <w:bookmarkStart w:id="359" w:name="__RefHeading___Toc660433_1395250215"/>
      <w:bookmarkStart w:id="360" w:name="_Toc142"/>
      <w:bookmarkEnd w:id="359"/>
      <w:r>
        <w:rPr>
          <w:rtl w:val="true"/>
        </w:rPr>
        <w:t>ب</w:t>
      </w:r>
      <w:r>
        <w:rPr>
          <w:rtl w:val="true"/>
        </w:rPr>
        <w:t xml:space="preserve">) </w:t>
      </w:r>
      <w:r>
        <w:rPr>
          <w:rtl w:val="true"/>
        </w:rPr>
        <w:t>انسان</w:t>
      </w:r>
      <w:r>
        <w:rPr>
          <w:rtl w:val="true"/>
        </w:rPr>
        <w:t>:</w:t>
      </w:r>
      <w:bookmarkEnd w:id="3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انسان‌شناختیِ غزالی، متأثر از نحله های فکری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 انسان را در گرو شناخت مسائل نفسانی، و وجود نفس را از بدیهیات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جوهری ملکوتی است که تقسیم‌پذیر نیست و قائم به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جایگاه معقولات است و حلول‌ناپذیر، فرامکانی و مکان‌ناپذیر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نابودی ندارد و خطاب شرع به آن است و دائماً در حفظ، شناخت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به دوگانگیِ نفس و بدن معتقد است که بر این اساس، جسم انسان، تنها بهرۀ خاکیِ وجود انسان و نفس، بخش افلاکی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نابود می‌شود، جسم است و نفس جاودان است، زیرا جسم از ماده و نفس، جوهری مجرد و ملکوتی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نفس، مجرد و روحانی است و آبشخور الهی دارد</w:t>
      </w:r>
      <w:r>
        <w:rPr>
          <w:rFonts w:eastAsia="IRNazanin" w:cs="IRNazanin"/>
          <w:color w:val="111111"/>
          <w:sz w:val="28"/>
          <w:szCs w:val="28"/>
          <w:rtl w:val="true"/>
          <w:lang w:bidi="fa-IR"/>
        </w:rPr>
        <w:t>.</w:t>
      </w:r>
      <w:bookmarkStart w:id="361" w:name="pg2646_16586"/>
    </w:p>
    <w:p>
      <w:pPr>
        <w:pStyle w:val="BookText"/>
        <w:rPr/>
      </w:pPr>
      <w:bookmarkEnd w:id="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غزالی در مشکاۀ الانوار،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پنج‌گانۀ نفس براساس این آیه می‌پردازد؛</w:t>
      </w:r>
    </w:p>
    <w:p>
      <w:pPr>
        <w:pStyle w:val="BookText"/>
        <w:rPr/>
      </w:pPr>
      <w:r>
        <w:rPr>
          <w:rFonts w:ascii="IRNazanin" w:hAnsi="IRNazanin" w:eastAsia="IRNazanin"/>
          <w:color w:val="111111"/>
          <w:sz w:val="28"/>
          <w:sz w:val="28"/>
          <w:szCs w:val="28"/>
          <w:rtl w:val="true"/>
          <w:lang w:bidi="fa-IR"/>
        </w:rPr>
        <w:t xml:space="preserve">نفس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ادراکات حواس پنج‌گانه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دریافت‌های نفس حساس و حسی را انباشته می‌کند و به هنگام نیاز در اختیار نفس عقلی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ادراک معانی فراحسی و فراخیالی، یعنی معارف ضروری کلی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فکری یا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با دریافت امور عقلی و ترکیب آن‌ها با یکدیگر، معارف تازه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قدسی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که ویژۀ پیامبران و برخی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ملکوتی و ربانی که نفس عقلی و فکری از درک آن‌ها ناتوان است، در این نفس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غزالی، اصالت با نفس است، به گونه‌ای که گاهی نفس به تنهایی و فارغ از جسم عمل می‌کند؛ همانند ادراک از راه رؤیای صادقه و یا الهام است؛ البته میان نفس و بدن، پیوند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نفس گاه چنان می‌شود که نفس نه تنها در تن خویش، بلکه بر اشخاص و اشیا هم می‌تواند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مرگ نیز گسستنِ پیوند نفس با تن و بی‌بهره ماندن نفس از حواس، حرکات و تخیلات است، اما ویژگی‌های حقیقی انسان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غزالی برای نفس غایات دنیایی و عقبایی متصور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دنیاییِ مطلوب، در حصول علم و آزادی و در نهایت، رسیدن به توحید محض، فهم، شهود و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فرجامین مرحلۀ توحید، که همان مرحلۀ فنای در توحید است، تمام هستی را خیر مطلق و نیکوییِ مطلق می‌بیند و خود را با این زیبایی، خیر و هماهنگی متحد می‌یابد و جزئی از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عقباییِ مطلوب هم لقاء‌الله یا دیدار خداوند در سرای جاوید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362" w:name="__RefHeading___Toc660435_1395250215"/>
      <w:bookmarkStart w:id="363" w:name="_Toc143"/>
      <w:bookmarkEnd w:id="362"/>
      <w:r>
        <w:rPr/>
        <w:t>2</w:t>
      </w:r>
      <w:r>
        <w:rPr>
          <w:rtl w:val="true"/>
        </w:rPr>
        <w:t xml:space="preserve">. </w:t>
      </w:r>
      <w:r>
        <w:rPr>
          <w:rtl w:val="true"/>
        </w:rPr>
        <w:t>حجاب</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بحث از کشف و تجربۀ دینی، در گرو بحث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انسان پس از این‌که موازنۀ میان انسان و هستی را شناخت، باید حقیقت حجاب را بشناسد تا بتواند از موانع آن درگذرد و به کشف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دل هر شخصی، مستعدّ دریافت حقیقت حق و تجلی اشیای گوناگون است، به شرطی که حجاب‌ها را از دل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موانع تجلی حقیقت و حجاب‌های دل را برطرف کرد، تا حجابی میان دل و حقیقت حایل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هنگام حصول علم سه چیز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حقایق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اشیا و حصول و حضور حقایق در دل؛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است که حقایق اشیا در آن نقش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حقایق اشیاست؛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حصول آن نقش و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خالی ماندن قلب از علم، به پنج سبب است که غزالی آن‌ها را چنین برمی‌شمارد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نقصانی که در دل شخص وجود دارد، که مانع ظهور علوم نزد شخص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تیرگیِ معاصی بر دل شخص متراکم شده و مانع پدیدار شدن حق در دل شخص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مقابل حقیقت مطلوب نباشد؛ یعنی اندیشۀ شخص در مسائل دیگری غیر از کسب حقیقت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حجابی که میان شخص و حقیقت حق حایل می‌شود و سبب می‌شود، شخص به همان روش تقلیدی خودش بماند و به دنبال ادراک حقیقت نرود؛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جهت مطلوب را نمی‌داند و به همین جهت در گمراهی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این اسباب را رفع کند، به حقایق امور معرفت پیدا می‌کند، زیرا هر دلی به فطرتش، صلاحیت معرفت حقایق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انسان نیز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امانتِ الهی خداوند به بندگان، معرفت و توحیدی است که خداوند در نهان بشری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جایگاه و معنای بهشت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فراخیِ ملک بنده در بهشت، به اندازۀ فراخیِ 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شخص حجاب‌ها را بزداید و معرفت حاصل کند و حق‌تعالی و صفات و افعال الهی برای شخص روشن گردد، معرفت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اشراق نور معرفت نیست؛ اشراقی که تجلی او در مراتب ایمانی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که گاهی بی‌هیچ علمی است؛ نه علم کسبی و نه علم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ایمانی عوامانه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ایمانی از استدلال کسب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مرتبۀ اشراق معرفت، ایمانی عارفانه است که مشاهده‌ای به نور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 صورتی که حجاب‌ها مرتفع شود، تواناییِ این را دارد که حقیقت حق در وی متجلی شود، اما این پنج حجاب میان دل و حقیقتِ دل، مانع می‌شوند؛ همانند پرده‌ای می‌مانند که بین آینۀ دل و لوح محفوظ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لوح محفوظ لوحی است که تمام قضای</w:t>
      </w:r>
    </w:p>
    <w:p>
      <w:pPr>
        <w:pStyle w:val="BookText"/>
        <w:rPr/>
      </w:pPr>
      <w:r>
        <w:rPr>
          <w:rFonts w:ascii="IRNazanin" w:hAnsi="IRNazanin" w:eastAsia="IRNazanin"/>
          <w:color w:val="111111"/>
          <w:sz w:val="28"/>
          <w:sz w:val="28"/>
          <w:szCs w:val="28"/>
          <w:rtl w:val="true"/>
          <w:lang w:bidi="fa-IR"/>
        </w:rPr>
        <w:t>الهی تا روز قیامت در آن منقّش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قلب و لوح محفوظ همچون آینه‌هایی هستند که در صورت تجلی حقایق از لوح به قلب، معرفت‌بخشی حاصل می‌شود، اما حجاب همچون مانعی میان دو آینه است که گاهی به دست برداشته می‌شود و گاهی به رایحه‌ای؛ به گونه‌ای که رایحۀ لطف الهی عطا شود و حجاب‌ها را از چشم دل باز کند و بعضی 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حقایقی که در لوح محفوظ نگاشته شده است، آشکار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bookmarkStart w:id="364" w:name="pg2646_16588"/>
    </w:p>
    <w:p>
      <w:pPr>
        <w:pStyle w:val="BookText"/>
        <w:rPr/>
      </w:pPr>
      <w:bookmarkEnd w:id="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لازمۀ آگاهی بر نفس، ارادۀ شخص بر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اراده در رفعِ حجاب‌های میان حقّ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حجاب میان مرید و مراد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حجاب‌هایی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جاه، تقلید و معصیت را از جملۀ این حجاب‌ها و موانع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هر کدام از این حجاب ها با شروطی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باید مال را از ملک خویش، مگر به قدر ضرورت بیرون کند، از مواضع جاه برخیزد و به تواضع روی آورد؛ هم‌چنین باید حجاب تقلید را بزداید و از تعصبات مذهبی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مجاهده به دنبال کشف باشد و از مجادله در تعصب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نیز حجابی است که با توبه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مریدی که رفع حجاب کند، در ابتدای مسیر اصلاح قرار گرفته و باید با اموری همانند گرسنگی، بیداری، خاموشی و خلوت‌گزینی، ریاضت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کلید مکاشفه است و در مقابلش قوت، حجابی برای مکاشفه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سبب صفای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نیز به واسطۀ عزلت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عزلت باید دل از علایق مادی خالی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365" w:name="__RefHeading___Toc660437_1395250215"/>
      <w:bookmarkStart w:id="366" w:name="_Toc144"/>
      <w:bookmarkEnd w:id="365"/>
      <w:r>
        <w:rPr/>
        <w:t>3</w:t>
      </w:r>
      <w:r>
        <w:rPr>
          <w:rtl w:val="true"/>
        </w:rPr>
        <w:t xml:space="preserve">. </w:t>
      </w:r>
      <w:r>
        <w:rPr>
          <w:rtl w:val="true"/>
        </w:rPr>
        <w:t>اسباب و مقدمات کشف</w:t>
      </w:r>
      <w:bookmarkEnd w:id="366"/>
    </w:p>
    <w:p>
      <w:pPr>
        <w:pStyle w:val="Heading5"/>
        <w:numPr>
          <w:ilvl w:val="4"/>
          <w:numId w:val="1"/>
        </w:numPr>
        <w:rPr/>
      </w:pPr>
      <w:bookmarkStart w:id="367" w:name="__RefHeading___Toc660439_1395250215"/>
      <w:bookmarkStart w:id="368" w:name="_Toc14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برای رفع حجاب میان انسان و هستی، و رسیدن به مقام کشف، باید مقدمات و اسبابی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مقدماتی را که می‌توان در آثار غزالی برشمرد، چنین هستند</w:t>
      </w:r>
      <w:r>
        <w:rPr>
          <w:rFonts w:eastAsia="IRNazanin" w:cs="IRNazanin"/>
          <w:color w:val="111111"/>
          <w:sz w:val="28"/>
          <w:szCs w:val="28"/>
          <w:rtl w:val="true"/>
          <w:lang w:bidi="fa-IR"/>
        </w:rPr>
        <w:t>:</w:t>
      </w:r>
    </w:p>
    <w:p>
      <w:pPr>
        <w:pStyle w:val="Heading5"/>
        <w:numPr>
          <w:ilvl w:val="4"/>
          <w:numId w:val="1"/>
        </w:numPr>
        <w:rPr/>
      </w:pPr>
      <w:bookmarkStart w:id="369" w:name="__RefHeading___Toc660441_1395250215"/>
      <w:bookmarkStart w:id="370" w:name="_Toc146"/>
      <w:bookmarkEnd w:id="369"/>
      <w:r>
        <w:rPr>
          <w:rtl w:val="true"/>
        </w:rPr>
        <w:t>الف</w:t>
      </w:r>
      <w:r>
        <w:rPr>
          <w:rtl w:val="true"/>
        </w:rPr>
        <w:t xml:space="preserve">) </w:t>
      </w:r>
      <w:r>
        <w:rPr>
          <w:rtl w:val="true"/>
        </w:rPr>
        <w:t>تفکر</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معرفت در دل حاضر شود، تا معرفت سوم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معرفت هم یا به تقلید است یا به شناخت نفسیِ شخص، که نتیجۀ آن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تذکر، نظر، تأمل و تدبر، مرادف های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فایدۀ تفکر در تکثیر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ها گاهی به نور الهی حاصل می‌گردد که به فطرت در دل حاصل می‌گردد، همان‌گونه که انبیا چنین بودند؛ گاهی هم به تعلیم و ممارست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غزالی، ثمرۀ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حال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 البته ثمرۀ خاصۀ آن، علم است و چنین سیری را طی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علم در دل حاصل گردد، حالِ دل می‌گردد؛ و هنگامی که حال دل گردید، اعمال جوارح می‌گردد؛ پس عمل، تابع حال و حال، تابع علم است و علم، تابع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مبدأ و مفتاح همۀ خیرات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371" w:name="__RefHeading___Toc660443_1395250215"/>
      <w:bookmarkStart w:id="372" w:name="_Toc147"/>
      <w:bookmarkEnd w:id="371"/>
      <w:r>
        <w:rPr>
          <w:rtl w:val="true"/>
        </w:rPr>
        <w:t>ب</w:t>
      </w:r>
      <w:r>
        <w:rPr>
          <w:rtl w:val="true"/>
        </w:rPr>
        <w:t xml:space="preserve">) </w:t>
      </w:r>
      <w:r>
        <w:rPr>
          <w:rtl w:val="true"/>
        </w:rPr>
        <w:t>مراقبه و محاسبه</w:t>
      </w:r>
      <w:r>
        <w:rPr>
          <w:rtl w:val="true"/>
        </w:rPr>
        <w:t>:</w:t>
      </w:r>
      <w:bookmarkEnd w:id="37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از جمله اموری را که ارباب بصائر آن را ذکر کرده‌اند، محاسبه، مراقبه و مطالبۀ نفس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مرحله را به تفصیل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معاقبه، مجاهده و معاتبه</w:t>
      </w:r>
      <w:r>
        <w:rPr>
          <w:rFonts w:eastAsia="IRNazanin" w:cs="IRNazanin"/>
          <w:color w:val="111111"/>
          <w:sz w:val="28"/>
          <w:szCs w:val="28"/>
          <w:rtl w:val="true"/>
          <w:lang w:bidi="fa-IR"/>
        </w:rPr>
        <w:t>.</w:t>
      </w:r>
      <w:bookmarkStart w:id="373" w:name="pg2646_16589"/>
    </w:p>
    <w:p>
      <w:pPr>
        <w:pStyle w:val="BookText"/>
        <w:rPr/>
      </w:pPr>
      <w:bookmarkEnd w:id="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مشارطه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مشارطتِ نفس بدین معناست که موظفی‌های نفس گفته شود و بر آنچه با او وفا کرده است، شرط و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در مراقبه، به مراعات دل به سوی رقیب و مشغول شدن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مراقبه، ثمرۀ 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معرفت به اموری همانند خداوند و عالم دیگر را دارا باشند، از مقربان الهی می‌گردند؛ اینان یا از صدیقین و غرق جلال الهی‌اند و فارغ از دیگران و مردم می‌شوند؛ یا از پرهیزگارانی‌اند که در دل‌هایشان یقین به خداوند در ظاهر و باطن غالب گشته است، اما ملاحظۀ جلال خداوند، آن‌ها را مدهوش نگردانیده، بلکه دل‌هایشان بر اعتدال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حساب با شریک آن است که در سرمایه و سود و زیان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بنده در دین، فرایض؛ سود، نوافل، و زیان،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به نفس حساب کند و از اکتساب معصیت و ارتکاب تقصیر در حقّ خداوند نترسد، نباید نفس را رها کند، زیرا اگر چنین کند، انجام معصیت بر شخص آسان و سببِ هلاکت شخص می‌شود، بلکه باید نفس را عقوبت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است که با نفس خود حساب کند و ببنید چه معصیتی کرده است که باید نفس را معاقبت نماید و اگر کاهلی کرده است، باید آن را ادب کند تا تدارک و جبران فوت‌شده‌ها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دشمنان، نفس است که میان دو پهلوی شخص است که تمایل به شرّ دارد و از خیر گریز دارد؛ پس اگر نفس را توبیخ و دائماً ملامت کند، نفس لوّامه می‌شود، به امید این‌که نفس مطمئنه شود و در زمرۀ بندگان راضی و مرضی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5"/>
        <w:numPr>
          <w:ilvl w:val="4"/>
          <w:numId w:val="1"/>
        </w:numPr>
        <w:rPr/>
      </w:pPr>
      <w:bookmarkStart w:id="374" w:name="__RefHeading___Toc660445_1395250215"/>
      <w:bookmarkStart w:id="375" w:name="_Toc148"/>
      <w:bookmarkEnd w:id="374"/>
      <w:r>
        <w:rPr>
          <w:rtl w:val="true"/>
        </w:rPr>
        <w:t>ج</w:t>
      </w:r>
      <w:r>
        <w:rPr>
          <w:rtl w:val="true"/>
        </w:rPr>
        <w:t xml:space="preserve">) </w:t>
      </w:r>
      <w:r>
        <w:rPr>
          <w:rtl w:val="true"/>
        </w:rPr>
        <w:t>ریاضت نفس</w:t>
      </w:r>
      <w:r>
        <w:rPr>
          <w:rtl w:val="true"/>
        </w:rPr>
        <w:t>:</w:t>
      </w:r>
      <w:bookmarkEnd w:id="37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غزالی، برای هر نوع بیماری، علاج و دارویی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هر چیزی به ضد آن است و علاج دل هم در ریاضت و مجاهدت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مهم در مجاهده این است که بر آنچه عزم کرده،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علامت و شاخصه‌ای برای امراض دل، به اصل اشیا و موجد و مخترع حقیقی، که خدای متعال است، اشاره می‌کند؛ اگر او شناخته شود، همه‌چیز شناخته شده و اگر هم شناخته نشود، همانند این است که چیزی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شناخت هم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معرفت، حب و دوستی است و علامت دوستیِ عارف، به عدم تأثیرپذیریِ دنیا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114</w:t>
      </w:r>
      <w:r>
        <w:rPr>
          <w:rFonts w:eastAsia="IRNazanin" w:cs="IRNazanin"/>
          <w:color w:val="111111"/>
          <w:sz w:val="28"/>
          <w:szCs w:val="28"/>
          <w:rtl w:val="true"/>
          <w:lang w:bidi="fa-IR"/>
        </w:rPr>
        <w:t>).</w:t>
      </w:r>
      <w:bookmarkStart w:id="376" w:name="pg2646_16590"/>
    </w:p>
    <w:p>
      <w:pPr>
        <w:pStyle w:val="BookText"/>
        <w:rPr/>
      </w:pPr>
      <w:bookmarkEnd w:id="3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از نظر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مجاهده و ریاضت برای هر انسانی بر اساس احوالاتش، مختلف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اصل در این است که هر انسانی بر حسب احوالات خویش، باید از چیزی که شادیِ او را فراهم می‌کند، درگذرد؛ اگر کسی به مال یا مقام یا وعظ یا عزت و یا ولایتی احساسِ شادی می‌کند، باید این امور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انسانی باید از مردم عزلت بگیرد و به نفس خود بپردازد؛ باید از دل مراقبت کند و مشغول به فکر و ذکر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انسان همیشه در معرض شهوت و وسوسه است؛ لذا انسان باید همیشه در حال مجاهده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5"/>
        <w:numPr>
          <w:ilvl w:val="4"/>
          <w:numId w:val="1"/>
        </w:numPr>
        <w:rPr/>
      </w:pPr>
      <w:bookmarkStart w:id="377" w:name="__RefHeading___Toc660447_1395250215"/>
      <w:bookmarkStart w:id="378" w:name="_Toc149"/>
      <w:bookmarkEnd w:id="377"/>
      <w:r>
        <w:rPr>
          <w:rtl w:val="true"/>
        </w:rPr>
        <w:t>د</w:t>
      </w:r>
      <w:r>
        <w:rPr>
          <w:rtl w:val="true"/>
        </w:rPr>
        <w:t xml:space="preserve">) </w:t>
      </w:r>
      <w:r>
        <w:rPr>
          <w:rtl w:val="true"/>
        </w:rPr>
        <w:t>عزلت</w:t>
      </w:r>
      <w:bookmarkEnd w:id="378"/>
    </w:p>
    <w:p>
      <w:pPr>
        <w:pStyle w:val="BookText"/>
        <w:rPr/>
      </w:pPr>
      <w:r>
        <w:rPr>
          <w:rFonts w:ascii="IRNazanin" w:hAnsi="IRNazanin" w:eastAsia="IRNazanin"/>
          <w:color w:val="111111"/>
          <w:sz w:val="28"/>
          <w:sz w:val="28"/>
          <w:szCs w:val="28"/>
          <w:rtl w:val="true"/>
          <w:lang w:bidi="fa-IR"/>
        </w:rPr>
        <w:t xml:space="preserve">از نظر غزالی، عزلت فواید و آفاتی دارد که هرکس بر اساس حالات خویش باید مسیر عزلت یا پیوند با مردم را انتخاب کند، هرچند اعتدال بهترین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برای عزلت، آدابی را ذکر می‌کند که این آداب را باید از نیت تا عمل متلبّس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عزلت‌گیرنده به عزلت خویش باید چند نیت کند؛ از جمله این‌که شرّ نفس خود را از مردمان بازدارد، از شرّ بدان سلامت طلبد و همت خویش را در عبادت خدای تعالی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شخص باید در خلوت بر علم، عمل، ذکر و فکر هم مواظبت کند تا ثمرۀ عزلت برایش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عزلت شخص باید خود را از وسوسه‌هایی که او را از ذکر دور می‌کند، اجتناب ورزد و باید در معیشت به اندکی، قناعت ورزد، در رنج‌ها صبوری بورزد و با پارسایان هم‌نشینی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5"/>
        <w:numPr>
          <w:ilvl w:val="4"/>
          <w:numId w:val="1"/>
        </w:numPr>
        <w:rPr/>
      </w:pPr>
      <w:bookmarkStart w:id="379" w:name="__RefHeading___Toc660449_1395250215"/>
      <w:bookmarkStart w:id="380" w:name="_Toc150"/>
      <w:bookmarkEnd w:id="379"/>
      <w:r>
        <w:rPr>
          <w:rtl w:val="true"/>
        </w:rPr>
        <w:t>ه</w:t>
      </w:r>
      <w:r>
        <w:rPr>
          <w:rtl w:val="true"/>
        </w:rPr>
        <w:t xml:space="preserve">) </w:t>
      </w:r>
      <w:r>
        <w:rPr>
          <w:rtl w:val="true"/>
        </w:rPr>
        <w:t>وجد و سماع</w:t>
      </w:r>
      <w:bookmarkEnd w:id="38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 و وجد از اصطلاحات صوفیانه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 آوازی است که حال شنونده را منقلب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را به حالت وجد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حالتی است که در آن انسان از اوصاف بشری فارغ می‌شود و خود را با موجود کامل متعال، یعنی با خداوند متحد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صلیبا،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با نگرشی فقهی خود، سماع را مباح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سماع در ابتدا، بهره‌ای غیر از لحن و نغمه ندارد و شخص بر اساس حالات نفسانی، آن را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مبتدی در ابتدای حالات سماع، احوالات نفس خویش را در معاملۀ با خداوند حمل کند، به گونه‌ای که گاهی حالت راحتی و گاهی حالت شدت را تجربه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که گام در حقیقت سماع می‌گذارد، باید در ابتدا از لحاظ معرفتی علم به خداوند داشته باشد، وگرنه در سماع او آفاتی پدید می‌آید که شخص را به کفر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حقیقی، شخص را به نوعی جدایی از نفس و حالات خویش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همچون مدهوشی می‌گردد که در عین شهود غوطه خورده و</w:t>
      </w:r>
      <w:bookmarkStart w:id="381" w:name="pg2646_16591"/>
    </w:p>
    <w:p>
      <w:pPr>
        <w:pStyle w:val="BookText"/>
        <w:rPr/>
      </w:pPr>
      <w:bookmarkEnd w:id="3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به گونه‌ای است که از همه فانی شده، مگر از یکی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از شهود هم فانی است، زیرا اگر شخص به شهود و نفس خود که مشاهِد است التفات کند، از مشهود غافل می‌شود؛ بنابراین شخص به تمامه، مشهود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این را مقامی از مقامات علم مکاشفه می‌داند که باید در همان مقام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کسی که دعوی حلول و اتحاد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داده، از همین روی ناشی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دربارۀ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و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داد که وجد و سماع، از مذهب شیعه نیست</w:t>
      </w:r>
      <w:r>
        <w:rPr>
          <w:rStyle w:val="FootnoteAnchor"/>
          <w:rtl w:val="true"/>
        </w:rPr>
        <w:footnoteReference w:id="68"/>
      </w:r>
      <w:r>
        <w:rPr>
          <w:rFonts w:ascii="IRNazanin" w:hAnsi="IRNazanin" w:eastAsia="IRNazanin"/>
          <w:color w:val="111111"/>
          <w:sz w:val="28"/>
          <w:sz w:val="28"/>
          <w:szCs w:val="28"/>
          <w:rtl w:val="true"/>
          <w:lang w:bidi="fa-IR"/>
        </w:rPr>
        <w:t>و از این منظر، باطل هستند</w:t>
      </w:r>
      <w:r>
        <w:rPr>
          <w:rFonts w:eastAsia="IRNazanin" w:cs="IRNazanin"/>
          <w:color w:val="111111"/>
          <w:sz w:val="28"/>
          <w:szCs w:val="28"/>
          <w:rtl w:val="true"/>
          <w:lang w:bidi="fa-IR"/>
        </w:rPr>
        <w:t>.</w:t>
      </w:r>
    </w:p>
    <w:p>
      <w:pPr>
        <w:pStyle w:val="Heading4"/>
        <w:numPr>
          <w:ilvl w:val="3"/>
          <w:numId w:val="1"/>
        </w:numPr>
        <w:rPr/>
      </w:pPr>
      <w:bookmarkStart w:id="382" w:name="__RefHeading___Toc660451_1395250215"/>
      <w:bookmarkStart w:id="383" w:name="_Toc151"/>
      <w:bookmarkEnd w:id="382"/>
      <w:r>
        <w:rPr/>
        <w:t>4</w:t>
      </w:r>
      <w:r>
        <w:rPr>
          <w:rtl w:val="true"/>
        </w:rPr>
        <w:t xml:space="preserve">. </w:t>
      </w:r>
      <w:r>
        <w:rPr>
          <w:rtl w:val="true"/>
        </w:rPr>
        <w:t>کشف</w:t>
      </w:r>
      <w:bookmarkEnd w:id="383"/>
    </w:p>
    <w:p>
      <w:pPr>
        <w:pStyle w:val="Heading5"/>
        <w:numPr>
          <w:ilvl w:val="4"/>
          <w:numId w:val="1"/>
        </w:numPr>
        <w:rPr/>
      </w:pPr>
      <w:bookmarkStart w:id="384" w:name="__RefHeading___Toc660453_1395250215"/>
      <w:bookmarkStart w:id="385" w:name="_Toc152"/>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نزد غزالی، معرفت و علم در انسان گاهی به شیوۀ معمول و از طریق استدلال و آموختن کسب می‌گردد که این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گاهی نیز این معرفت به شیوۀ معمول نیست، بلکه معرفت در دل به صورت ناگهانی به شخص القا می‌شود، به گونه‌ای که نمی‌فهمد چگونه برایش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را که در قلب یا دل القا می‌شوند و به کسب و استدلال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حصول علم در الهام، مراتب متفاوتی دارد؛ گاهی این علم به گونه‌ای حاصل می‌شود که فرد نمی‌داند چگونه و از کجا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یا در دل 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مخصوص اولیا و برگزیدگان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علم به گونه‌ای حاصل می‌شود که فرد از سبب و منبع معرفتی حصول این علم، مطلع است؛ به این صورت که فرشته و کسی که علم را در دل القا نموده است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مخصوص پیامبران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غزالی، کشف حجاب‌ها در حالات گوناگون روی می‌دهد؛ گاهی در خواب است و شخص در این حالت، به مسائل آینده علم پیدا می‌کند؛ گاهی در بیداری حجاب‌ها کنار می‌رود و علوم غریبه از پس پردۀ غیب در دل حاصل می‌شود؛ گاهی هم کشف به صورت لحظه‌ای و به لطف الهی است؛ و گاهی کشف پیوسته و دائمی است، هرچند این حالت 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کشف مختص به ارباب قلوب است؛ به تعبیری دیگر، ارباب قلوب، اسرار</w:t>
      </w:r>
      <w:bookmarkStart w:id="386" w:name="pg2646_16592"/>
    </w:p>
    <w:p>
      <w:pPr>
        <w:pStyle w:val="BookText"/>
        <w:rPr/>
      </w:pPr>
      <w:bookmarkEnd w:id="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ملکوت را کشف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آن‌جایی که همگان به مقامات کشف نمی‌رسند، غزالی به این نکته آگاهی می‌دهد که بی‌بهره ماندن افراد از این علوم، نباید موجب انکار این حقایق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کشف در نظر غزالی بر دو گونه است؛ گاهی همه می‌توانند بدان دست یابند که آن را الهام یا القا گویند، و گاهی مختص پیامبران الهی است که آن را وحی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منشائی درونی و کشفی معنوی است که صرفاً به دل شخص القا شده است؛ بنابراین الهام به شخص فاعل بستگی دارد و از خطا کاملاً مصون نیست، اما وحی کشفی خارجی و شهودی به عنایت و موهبت خداوند است که مشروط به مشاهدۀ فرشته و دریافت‌کننده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کاملاً مصون از خطاست، زیرا دریافت‌کنندگان آن در تمام مراحل دریافت و فهم، معصومند</w:t>
      </w:r>
      <w:r>
        <w:rPr>
          <w:rFonts w:eastAsia="IRNazanin" w:cs="IRNazanin"/>
          <w:color w:val="111111"/>
          <w:sz w:val="28"/>
          <w:szCs w:val="28"/>
          <w:rtl w:val="true"/>
          <w:lang w:bidi="fa-IR"/>
        </w:rPr>
        <w:t>.</w:t>
      </w:r>
    </w:p>
    <w:p>
      <w:pPr>
        <w:pStyle w:val="Heading5"/>
        <w:numPr>
          <w:ilvl w:val="4"/>
          <w:numId w:val="1"/>
        </w:numPr>
        <w:rPr/>
      </w:pPr>
      <w:bookmarkStart w:id="387" w:name="__RefHeading___Toc660455_1395250215"/>
      <w:bookmarkStart w:id="388" w:name="_Toc153"/>
      <w:bookmarkEnd w:id="387"/>
      <w:r>
        <w:rPr>
          <w:rtl w:val="true"/>
        </w:rPr>
        <w:t>الف</w:t>
      </w:r>
      <w:r>
        <w:rPr>
          <w:rtl w:val="true"/>
        </w:rPr>
        <w:t xml:space="preserve">) </w:t>
      </w:r>
      <w:r>
        <w:rPr>
          <w:rtl w:val="true"/>
        </w:rPr>
        <w:t>الهام</w:t>
      </w:r>
      <w:bookmarkEnd w:id="388"/>
    </w:p>
    <w:p>
      <w:pPr>
        <w:pStyle w:val="BookText"/>
        <w:rPr/>
      </w:pPr>
      <w:r>
        <w:rPr>
          <w:rFonts w:ascii="IRNazanin" w:hAnsi="IRNazanin" w:eastAsia="IRNazanin"/>
          <w:color w:val="111111"/>
          <w:sz w:val="28"/>
          <w:sz w:val="28"/>
          <w:szCs w:val="28"/>
          <w:rtl w:val="true"/>
          <w:lang w:bidi="fa-IR"/>
        </w:rPr>
        <w:t>از نظر غزالی، باید از طریق رفع رذایل و زدودن علقۀ دنیا، به نور معرفت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حاصل شود، خداوند متولّیِ دل بنده‌اش می‌شود و او را سرشار از نور علم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همت و اراده‌اش را جزم کند تا با طلبی حقیقی به دنبال رحمت گستردۀ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جوهرۀ نبوت انبیا و اولیا نیز در انکشاف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انکشاف امور بر دل‌هایشان حاصل شد و این کشفی حاصل از آموختن نبود؛ کشفی حاصل از ترک و بیزاری از دنیا و علاقه‌های بشری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شرط در این طریق، قطعِ علایق دنیاست؛ او باید دل و اندیشه را از دنیا برگردانَد و در کنجی به اعمال و فرایض دینی خلوت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او باید فقط ذکر حق‌تعالی بگوید؛ یعنی آن‌قدر به زبان و با حضور دل،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تا به حالتی برسد که نیازی به جنبانیدن زبان نباشد و این کلمه بر سر زبان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می‌شود که شخص به حالت اختیار و به طور مداوم، این حال را دارد و در انتظار رحمت و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تفاوت افراد در این مسیر، به تفاوت خلقت و اخلاقیات بی‌شمار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این مسیر به قدری سخت و ناهموار است که بعضی آن را بعید شمرده‌اند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با بیان شواهدی از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بیان مشاهدات، تجربیات و ادله‌ای که آن‌ها را دلیل قاطع انکار‌ناپذیر می‌نامد، مؤیداتی بر برتری علوم الهامی بر علوم تعلیمی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قاطع، تشکیل‌یافته از دو امر یقینی و محسوسند که در زندگی بشری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غزالی سعی می‌کند با احوالات رؤیا و هم‌چنین اخبار غیبی، که فرستادۀ خداوند بیان فرموده است، این مسئله را اثبات 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عجایب شگرفی است که با آن امور غیبی کشف می‌شود؛ به این دلیل که</w:t>
      </w:r>
      <w:bookmarkStart w:id="389" w:name="pg2646_16593"/>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خواب را همگان تجربه کرده و به وسیلۀ آن به اموری غیبی پی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کشف غیبی در بیداری، امری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مشترکات بسیاری دارند، و تفاوت خواب و بیداری، تنها در حواس است؛ در خواب، حواس بازمی‌ایستند و اشتغالی به محسوسات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فرستادۀ خداوند از غیب و امور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دیگری بر اثبات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استناد به اخبار، به امری تمسک جست که در دست‌رس همگان بوده و قرآن نیز مشتمل بر این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با اثبات این اخبار غیبی در حقّ نبی، می‌خواهد مطلبی را در حقّ غیر نبی نیز ثابت کند، زیرا اگر این امور برای نبی جایز باشد، برای غیرنبی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در این تعریف غزالی، شخصی است که کشف حقایق امور می‌کند و مشغول به اصلاح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کشف حقایق در وجود شخصی غیر از نبی که مشغول به اصلاح خلق نیست، محال نیست؛ بنابراین می‌توان این امور را در وجود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 بالحقائق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لایشتغل به اصلاح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نبی نیست،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90" w:name="__RefHeading___Toc660457_1395250215"/>
      <w:bookmarkStart w:id="391" w:name="_Toc154"/>
      <w:bookmarkEnd w:id="390"/>
      <w:r>
        <w:rPr>
          <w:rtl w:val="true"/>
        </w:rPr>
        <w:t>ب</w:t>
      </w:r>
      <w:r>
        <w:rPr>
          <w:rtl w:val="true"/>
        </w:rPr>
        <w:t xml:space="preserve">) </w:t>
      </w:r>
      <w:r>
        <w:rPr>
          <w:rtl w:val="true"/>
        </w:rPr>
        <w:t>وحی</w:t>
      </w:r>
      <w:bookmarkEnd w:id="391"/>
    </w:p>
    <w:p>
      <w:pPr>
        <w:pStyle w:val="BookText"/>
        <w:rPr/>
      </w:pPr>
      <w:r>
        <w:rPr>
          <w:rFonts w:ascii="IRNazanin" w:hAnsi="IRNazanin" w:eastAsia="IRNazanin"/>
          <w:color w:val="111111"/>
          <w:sz w:val="28"/>
          <w:sz w:val="28"/>
          <w:szCs w:val="28"/>
          <w:rtl w:val="true"/>
          <w:lang w:bidi="fa-IR"/>
        </w:rPr>
        <w:t>می‌توان ناب‌ترین سخن دربارۀ حقیقت نبوی را از غزالی در کتاب المنقذ من الضلال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به تفصیل از تجربیات خویش و طریق حقیقت‌یاب تصوف می‌گوید، به دلیل نیاز شدید مردم، به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بحث از عالم و آدم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انسان را در اصل فطرت خالی و ساده می‌داند که از عوالم الهی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عوالم به‌انداز‌ه‌ای کثیرند که جز خدای متعال کسی نمی‌تواند آن‌ها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بشر را به وسیلۀ ادراک از جهان مخلوقات آگاه ساخته و هر ادراکی که در او به ودیعه نهاده شده، برای این است که انسان با آن، از دنیای موجودات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این‌که داری حس لامسه، شنوایی، بینایی و چشایی شد و توانست احساس و ادراک کند، از جهان محسوسات درمی‌گذرد و امور عقلی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مرحلۀ عقل، مرحله‌ای است که چشمی دیگر از بصیرت در انسان باز می‌شود که می‌تواند با آن، غیب، امور آینده و اموری را که خرد از فهم آن باز‌می‌ماند، ادراک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غزالی، هرکسی حقیقتِ نبوت را انکار کند، از روی جهل به حقیقتِ آن و به دلیل عدم کمال و رشد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نشانه‌هایی محسوس و همگانی را ذکر می‌کند که خداوند از باب لطف و آسانی بر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حقیقت نبوت که در همگان وجود دارند، رؤیاست که بر اساس آن، انسان در خواب مسائلی را که جزو غیب هستند، به صورت صریح یا به صورت مثالی که بعداً آن را تعبیر خواهد کرد،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نبوت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عقل، مرحله‌ای از کمال و رشد آدمی است که فرای درک محسوسات را پی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می‌برد، نبوت نیز مرحله‌ای از کمال است که فرای درک معقولات، به مسائل غیب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ممکن بودن نبوت و دلیل وجود نبوت، وجود معارفی در جهان است که هرگز با عقل، قابل دست‌یابی نبوده‌اند؛ بعضی امورند که با الهام و یا توفیق خداوند، قابل درک نیستند و راهی به تجربه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غیر از مرحلۀ کمال نبوت، سایر حقایق نبوت را با ذوق و سلوک در تصوف، قابل دست‌یابی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تجربۀ خودش اشاره می‌کند که مرحله و خاصیتی از نبوت را از طریق خواب آزموده و چه بسا اگر حالت خواب وجود نداشت، باورش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آغاز این کلام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خاصیتی در وجود نبی باشد، اما نمونه برای درک آن نداشته و نتوانیم آن را بفهمیم، چگونه تصدیقش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تصدیق پس از مرحلۀ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پاسخ به این بحث، به روش تصوف می‌پردازد که با آن، گونه‌ای از ذوق حاصل از تجربه و تصدیق از راهی غیر از قیاس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ایمان به اصل نبوت را نیز محکم می‌گرداند؛ یعنی تجربه، به ایمان یقینی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تصدیق از طریق آزمون احوال، کیفیات، مشاهدات و شنیدن نیست، بلکه از طریق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از طریق تجربۀ مسائل، به دانشی دست می‌یابد که تردیدی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ایمان را از طریق چنین تجربه‌ای، یقین‌آور و ناب می‌داند، نه ایمان از طریق معجزاتی چون شق‌القمر و اژدها شدن عصا و اموری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نمونۀ بارزی هستند که پیچیدگی‌ها و حقایق، بدون تعلم و احتیاج به آموزش برایشان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درجۀ کامل از فهم و بهره‌مندی،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برای توضیح این حالت، توصیفی پیامبرانه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 در دل من القا کرد که هر که را خواهی دوست دار، عاقبت از وی مفارقت خواهد بود؛ و چنان‌که خواهی، زیست کن، در نهایت مرگ است؛ و هرچه خواهی بکن که آن را جزایی خواهد بود</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توصیفی مفهومی و محتوایی از شخصی است که این تجربه برایش اتفاق افتاده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گوناگونی و درجات وحی بسیار است که غزالی پرداختن به این بحث را لایق علم معامله نمی‌داند، بلکه از علم مکاشفه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قدسی بودن این مباحث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غزالی چنین است که علم به چیزی، متفاوت با حضور معلوم است، زیرا علم، چیزی است و 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معلوم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شناخت وحی را در گرو علوم مکاشفه‌ای می‌داند که شخص باید وجود معلومی را کشف کند و با صرف این‌که علمی همچون علم معامله به امور داشته باشد، در این مسئله روشن‌بخشی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است، سخن پیامبرانه سخنی گزافه و از روی اتفاق و هوا نیست، بلکه جز از حقیقت حق و وحی برنخاسته 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از همین روی، غزالی به بیان خواص نبوت می‌پردازد که این تمایزات در غیر پیامبر یافت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نبوت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حقایق کارهایی را که به خدا، صفات الهی، فرشتگان و سرای آخرت متعلق است، می‌داند، به گونه‌ای که غیر از او چنین علمی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یقین، تحقیق و کشف، بسیاری از معلومات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پیامبری، صفتی است که می‌تواند خارق عادت را انجام دهد؛ همان‌گونه که انسان‌های دیگر قدرت بر حرکات عادی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و مقدور، هردو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صاحب صفتی است که می‌تواند فرشتگان را مشاهده کند؛ همانند انسان بینایی که از نابینا متمایز است و دیدنی‌ها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دارای صفتی است که آنچه در غیب است، در بیداری یا خواب می‌یابد، زیرا او به لوح محفوظ، دست‌رسی دارد و غیب‌ها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کیمیای سعادت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حاصل حقیقت پیامبری را در سه ویژگی می‌داند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دیگر انسان‌ها که تنها در خواب کشف می‌کنند، پیامبر در بیداری کشف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مردم که تنها در نفسشان قدرت تصرف دارند، قدرت نفسانیِ پیامبران به گونه‌ای است که سبب اثرگذاری بر اجسام دیگر و خارج از بدن به گونۀ صلاح‌گونه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مردم که از راه تعلیم علمی را حاصل می‌کنند، پیامبر بی‌تعلم و از باطن خویش، علم حاصل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این سه خاصیت را داشته باشد، از پیامبران یا اولیای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درجات، ناشی از اختلاف شدت و ضعف این کمال است؛ از همین رو، پیامبر اسلام در کمال است، زیرا او از هر سه خاصیت، به غایت کمال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هم‌چنین ذکر می‌کند که احوالات و کمالات رسول را، کسی غیر از رسول و یا آن‌که در‌جه‌ای فوق وی است، نمی‌شناسد</w:t>
      </w:r>
      <w:r>
        <w:rPr>
          <w:rFonts w:eastAsia="IRNazanin" w:cs="IRNazanin"/>
          <w:color w:val="111111"/>
          <w:sz w:val="28"/>
          <w:szCs w:val="28"/>
          <w:rtl w:val="true"/>
          <w:lang w:bidi="fa-IR"/>
        </w:rPr>
        <w:t>.</w:t>
      </w:r>
      <w:bookmarkStart w:id="392" w:name="pg2646_16596"/>
    </w:p>
    <w:p>
      <w:pPr>
        <w:pStyle w:val="BookText"/>
        <w:rPr/>
      </w:pPr>
      <w:bookmarkEnd w:id="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این، مطلب عجیبی نیست، بلکه حالی است که توصیف‌پذیر نیست و هنگامی فهم می‌شود که شخص هم آن را چشیده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انسان‌های عادی از حالات پیامبرانه، همچون کورِ مادرزادی است که بخواهد لذت رنگ‌ها و ذوق دیدار را فهم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393" w:name="__RefHeading___Toc660459_1395250215"/>
      <w:bookmarkStart w:id="394" w:name="_Toc155"/>
      <w:bookmarkEnd w:id="393"/>
      <w:r>
        <w:rPr>
          <w:rtl w:val="true"/>
        </w:rPr>
        <w:t xml:space="preserve">ج </w:t>
      </w:r>
      <w:r>
        <w:rPr>
          <w:rtl w:val="true"/>
        </w:rPr>
        <w:t xml:space="preserve">) </w:t>
      </w:r>
      <w:r>
        <w:rPr>
          <w:rtl w:val="true"/>
        </w:rPr>
        <w:t>کشف و روئیت خداوند</w:t>
      </w:r>
      <w:bookmarkEnd w:id="394"/>
    </w:p>
    <w:p>
      <w:pPr>
        <w:pStyle w:val="BookText"/>
        <w:rPr/>
      </w:pPr>
      <w:r>
        <w:rPr>
          <w:rFonts w:ascii="IRNazanin" w:hAnsi="IRNazanin" w:eastAsia="IRNazanin"/>
          <w:color w:val="111111"/>
          <w:sz w:val="28"/>
          <w:sz w:val="28"/>
          <w:szCs w:val="28"/>
          <w:rtl w:val="true"/>
          <w:lang w:bidi="fa-IR"/>
        </w:rPr>
        <w:t xml:space="preserve">غزالی،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آثارش، به دو لحاظ کلامی و عرفانی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کلامیِ غزالی دربارۀ رؤیت عمدتاً در الاقتصاد فی الاعتقاد مطرح شده و نگرش عرفانیِ او، عمدتاً در احیاء علوم الدّین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پورجوادی،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بین خیال و رؤیت تمایز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اولیه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ادراک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رؤیت کامل نیز احتیاج به رفع موانع و حجاب‌هاست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نهاییِ حجاب‌ها با مرگ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غزالی رؤیت خداوند، حق است، به شرطی که از رؤیت، مفهوم استکمال خیال در متخیلی متصور و به زمان و مکان مخصوصی فهمیده نشود، زیرا خداوند از آن برتر است؛ بلکه مفهوم رؤیت، همانند معنای معرفت خداوند در دنیاست که به صورت معرفت حقیقی تام، در خیال، تصور، شکل و صور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آخرت نیز همانند معرفت حاصل‌شده در دنیاست، به گونه‌ای کامل‌تر که به کمال کشف و وضوح رسیده و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بین مشاهدۀ در آخرت و معلوم دنیا اختلافی نیست، مگر از جهت زیادت کشف و وضوح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غزالی در این باره که محل رؤیت به چشم است یا دل، پاسخی صریح نمی‌دهد و این پرسش را پرسشی کم‌اهمیت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قدرت ازلی خداوند، وسیع است و جایز نیست یکی از دو طرف را در حقّ او معین کنیم، اما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ظاهر روایات به نظر می‌رسد این است که رؤیت، به چشم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بی‌تا،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کلامی غزالی دربارۀ رؤیت، عمدتاً در الاقتصاد فی الاعتقاد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او در این کتاب، ردّ عقیدۀ معتزله است و به دنبال اثبات جواز رؤیت خدا در آخرت است و بدین منظور، دلیل عقلی و نقلی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غزالی این است که بین مشبهه و مجسمه که رؤیت خداوند را در جهت می‌پنداشتند و معتزله که رؤیت را به دلیل جسمانیت و در جهت بودن نفی می‌کردند،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دیدگاه غزالی در باب رؤیت چنین به نظر می‌رسد، او نتوانسته از مبانی اشعری خویش فاصله بگیرد و جواز رؤیت را نادیده بگیرد؛ از همین روی، او را باید از جمله اشعریانی دانست که قائل به امکان رؤیت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مسئله رؤیت خداوند از نظر</w:t>
      </w:r>
      <w:bookmarkStart w:id="395" w:name="pg2646_16597"/>
    </w:p>
    <w:p>
      <w:pPr>
        <w:pStyle w:val="BookText"/>
        <w:rPr/>
      </w:pPr>
      <w:bookmarkEnd w:id="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شیعه، به ادلۀ عقلی و نقلیِ مختلف جایز نیست و امکان رؤیت به لحاظ عقلی، لوازم باطل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بتوان صریح‌ترین آیه‌ای دانست که بر اساس آن، خداوند متعال امکان رؤیت خویش را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الاَبصَار وَ هُوَ یُدرِکُ الاَبصَار وَ هُوَ الَّطِیفَ الخَبِیر</w:t>
      </w:r>
      <w:r>
        <w:rPr>
          <w:rFonts w:eastAsia="IRNazanin" w:cs="IRNazanin"/>
          <w:color w:val="111111"/>
          <w:sz w:val="28"/>
          <w:szCs w:val="28"/>
          <w:rtl w:val="true"/>
          <w:lang w:bidi="fa-IR"/>
        </w:rPr>
        <w:t>».</w:t>
      </w:r>
    </w:p>
    <w:p>
      <w:pPr>
        <w:pStyle w:val="Heading3"/>
        <w:numPr>
          <w:ilvl w:val="2"/>
          <w:numId w:val="1"/>
        </w:numPr>
        <w:rPr/>
      </w:pPr>
      <w:bookmarkStart w:id="396" w:name="__RefHeading___Toc660461_1395250215"/>
      <w:bookmarkStart w:id="397" w:name="_Toc156"/>
      <w:bookmarkEnd w:id="396"/>
      <w:r>
        <w:rPr>
          <w:rtl w:val="true"/>
        </w:rPr>
        <w:t>جمع بندی</w:t>
      </w:r>
      <w:bookmarkEnd w:id="397"/>
    </w:p>
    <w:p>
      <w:pPr>
        <w:pStyle w:val="BookText"/>
        <w:rPr/>
      </w:pPr>
      <w:r>
        <w:rPr>
          <w:rFonts w:ascii="IRNazanin" w:hAnsi="IRNazanin" w:eastAsia="IRNazanin"/>
          <w:color w:val="111111"/>
          <w:sz w:val="28"/>
          <w:sz w:val="28"/>
          <w:szCs w:val="28"/>
          <w:rtl w:val="true"/>
          <w:lang w:bidi="fa-IR"/>
        </w:rPr>
        <w:t>نگرش غزالی به هستی، نگرشی کاملاً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 را پرتوی از جمال خداوند می‌داند که انسان برای کشف باید به مراتب عالیِ آن، که همان مرتبۀ ملکوت است،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معرفت می‌تواند به جایی برسد که علم و معرفت بی‌واسطه را از جانب خداوند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مرتبه، انسان در موقعیتی هم‌گون با عالم قرار می‌گیرد، به گونه‌ای که همیشه همراه با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دیگر جزئی دورافتاده و یا افکنده از عالم نیست تا نتواند عالم را بشناسد، بلکه او جزئی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درنوردیدن میان عالم محسوس و عالم معقول می‌تواند از عالم ملک به عالم ملکوت راه یابد و اسرار عالم ملکوت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هرچند میان جسم و نفس پیوندی برقرار می‌داند، به دوگانگی جسم و نفس قائل است و اصالت را به نفس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کشف و کسب تجارب دینی باید اسباب و مقدماتی را بگذراند که پس از گذراندن آن مقدمات می‌تواند حجاب میان انسان و هستی را بردارد و به مراتبی از کشف و تجارب دینی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مرتبۀ نفس قدسیِ خویش می‌تواند به کشف و تجارب دینی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حاصل از کشف، به قلب انسان القا می‌شود و با معرفت حاصل از استدلال،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گاهی الهام‌گونه است و گاهی وحی‌گونه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که از طریق الهام حاصل شود، مخصوص اولیا و ارباب قلوب است و کشفی که از طریق وحی باشد، مخصوص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دل شخص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عالی‌ترین درجات کشف است که بر اساس آن، معرفت در بیداری و بر طریق کشف معانی و از طریق فرشته بر قلب انسان القا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غزالی در سراسر احیاء بر انفکاک مباحث علوم معامله از علوم مکاشفه تأکید دارد؛ از همین رو، مباحث علوم مکاشفه را مباحثی توصیف‌ناپذیر و مختص اهل مکاشفه می‌داند؛ بر این اساس، تجربیات دینی، توصیف‌ناپذیرند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غزالی از حیرت به مدد الهی، می‌تواند الگویی عملی و مطالعاتی برای تجربۀ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غزالی در تجربیاتش در المنقذ نشان داد که چگونه تجربۀ دینی در خدمت ایمان قرار می‌گیرد</w:t>
      </w:r>
      <w:r>
        <w:rPr>
          <w:rFonts w:eastAsia="IRNazanin" w:cs="IRNazanin"/>
          <w:color w:val="111111"/>
          <w:sz w:val="28"/>
          <w:szCs w:val="28"/>
          <w:rtl w:val="true"/>
          <w:lang w:bidi="fa-IR"/>
        </w:rPr>
        <w:t>.</w:t>
      </w:r>
      <w:bookmarkStart w:id="398" w:name="pg2646_16598"/>
    </w:p>
    <w:p>
      <w:pPr>
        <w:pStyle w:val="BookText"/>
        <w:rPr/>
      </w:pPr>
      <w:bookmarkEnd w:id="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Heading3"/>
        <w:numPr>
          <w:ilvl w:val="2"/>
          <w:numId w:val="1"/>
        </w:numPr>
        <w:rPr/>
      </w:pPr>
      <w:bookmarkStart w:id="399" w:name="__RefHeading___Toc660463_1395250215"/>
      <w:bookmarkStart w:id="400" w:name="_Toc157"/>
      <w:bookmarkEnd w:id="399"/>
      <w:r>
        <w:rPr>
          <w:rtl w:val="true"/>
        </w:rPr>
        <w:t>منابع</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و معرفت نزد غزالی، تهران،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پترسون، مایکل و دیگران،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 اعتقاد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نراقی و ابراهیم سلطانی، تهران، طرح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پورجوادی، نصرالله،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رؤیت ماه در آسمان، بررسی تاریخی مسئله لقاءالله در کلام و تصوف، تهران، مرکز نشر دانشگاهی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نصرالله،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دلیل عقلی اشاعره در اثبات رؤیت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و فلسفه،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بهروز،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 دانشمندان مسلمان در تعلیم و تربیت و مبانی آن،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تهران، سازمان مطالعه و تدوین کتب علوم انسانی دانشگاه‌ها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سجادی، سیدجعفر،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معارف اسلامی،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صلیبا، جمیل،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فلسفی،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ابوحامد،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المنقذ من الضّلال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رسائل الامام الغزالی،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إحیاء علوم الدین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کیمیای سعادت،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 الاعتقاد، بیروت، مکتبۀ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 محمدتقی،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تجربه دینی و مکاشفه عرفانی، تهران، مرکز نشر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فیض‌کاشانی، ملامحسن،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المحجة البیضاء فی تهذیب الإحیاء،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کاکایی، قاسم،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 تجربه عرفانی و ملاک‌های باز‌شناسی آن از دیدگاه ابن‌عربی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معارف اسلامی،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لگنهاوزن، محمد،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روش‌شناسی علوم انسانی،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محمودبدر، عادل،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التجربۀ النورانیۀ عند الامام الغزالی، لاذقیه، دارالحوار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ملکیان، مصطفی،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راهی به رهایی، جستارهایی در باب عقلانیت و معنویت، تهران، نگاه معاصر</w:t>
      </w:r>
      <w:r>
        <w:rPr>
          <w:rFonts w:eastAsia="IRNazanin" w:cs="IRNazanin"/>
          <w:color w:val="111111"/>
          <w:sz w:val="28"/>
          <w:szCs w:val="28"/>
          <w:rtl w:val="true"/>
          <w:lang w:bidi="fa-IR"/>
        </w:rPr>
        <w:t>.</w:t>
      </w:r>
      <w:bookmarkStart w:id="401" w:name="pg2646_16599"/>
    </w:p>
    <w:p>
      <w:pPr>
        <w:pStyle w:val="BookText"/>
        <w:rPr/>
      </w:pPr>
      <w:bookmarkEnd w:id="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02" w:name="__RefHeading___Toc660465_1395250215"/>
      <w:bookmarkStart w:id="403" w:name="_Toc158"/>
      <w:bookmarkEnd w:id="402"/>
      <w:r>
        <w:rPr>
          <w:rtl w:val="true"/>
        </w:rPr>
        <w:t>چکیده عربی مقالات</w:t>
      </w:r>
      <w:bookmarkEnd w:id="403"/>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الحیاة الأولی للانسان من منظار متکلمی بغداد</w:t>
      </w:r>
    </w:p>
    <w:p>
      <w:pPr>
        <w:pStyle w:val="BookText"/>
        <w:rPr/>
      </w:pPr>
      <w:r>
        <w:rPr>
          <w:rFonts w:ascii="IRNazanin" w:hAnsi="IRNazanin" w:eastAsia="IRNazanin"/>
          <w:color w:val="111111"/>
          <w:sz w:val="28"/>
          <w:sz w:val="28"/>
          <w:szCs w:val="28"/>
          <w:rtl w:val="true"/>
          <w:lang w:bidi="fa-IR"/>
        </w:rPr>
        <w:t>امداد توران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فی الوقت الذی آمن فیه محدثو و متکلمو الکوفة و قم بالحیاة الأولی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البشر، اتخذ متکلمو بغداد ـ و منهم الشیخ المفید و السید المرتضی و الشیخ الطوسی ـ موقفاً معارضاً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المقال الحاضر أن یستعرض العوامل النظریة لعدولهم عن هذا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یمکننا الوقوف علی العوامل المذکورة من خلال تصریح أو تلویح بعض هؤلاء المتکلمین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یثبت أن اتخاذ وجهة نظر تأویلیة للروایات، و القول بعدم حجیة خبر الواحد، و کون الروح عارضة و لیست قائمة بالنفس، و بطلان الغلو، و بطلان التناسخ الذی هو لازم القول بالحیاة الأولی، و عدم تذکرنا لما جری فی الحیاة الأولی، هی من الأدلة و المبانی التی دعت البغدادیین لإنکار الحیاة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الحیاة الأولی، الذر، الأرواح، الأشباح، المدرسة البغدادیة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دلالة الإرادة و المشیئة فی ظل کلمات الإمام الرضا</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حسین علی الترکمانی</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اسماعیل الشعبانی کامران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إن أقوال و أفعال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 فی طیاتها أعمق المعارف فی عالم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الحاضر یحاول أن یدرس أحد المسائل الکلامیة الهامة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الإلهیة، علی ضوء کلمات الإمام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حیث یلحظ الانسجام الهیکلی فی الروایات الواصلة عنه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الامام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عن حدوث الارادة، و کونها من الأفعال الإلهیة مستعیناً بالمبادئ البدیهیة فی الاستدلال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اثبت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أن إرادته سبحانه و تعالی لیست عین ذاته و لیست مساویة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أثناء أبحاث معرفة الله تعرض</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لبیان أدلة رصینة تسد الطریق أمام کل مغالطة و انحراف فی المسائل الکلامیة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خلال بیانه السیرة النورانیة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سنّی طریق القرب الإلهی أمام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الروایة، صفات الله، الارادة و المشیئة الالهیة، الإمام الرضا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دراسة البیان العقلی لبرهان النظم من منظار آیة الله المطهری</w:t>
      </w:r>
    </w:p>
    <w:p>
      <w:pPr>
        <w:pStyle w:val="BookText"/>
        <w:rPr/>
      </w:pPr>
      <w:r>
        <w:rPr>
          <w:rFonts w:ascii="IRNazanin" w:hAnsi="IRNazanin" w:eastAsia="IRNazanin"/>
          <w:color w:val="111111"/>
          <w:sz w:val="28"/>
          <w:sz w:val="28"/>
          <w:szCs w:val="28"/>
          <w:rtl w:val="true"/>
          <w:lang w:bidi="fa-IR"/>
        </w:rPr>
        <w:t>قدرة اله القربانی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للشهید مطهری رأی دقیق بشأن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یؤکد علی أنه لو لوحظت العلة الفاعلیة لوحدها فلا یمکن إدراک النظم الحاکم علی العالم، و حتی العلّیة الجاریة فیه، و الاطلاع علی وجود الله؛ و ذلک أن النظم بمعناه الحقیقی ناشئ من العلة الغائیة و العلة الفاعلیة معاً، و بمجرد تحقق العلة الفاعلیة لا یتحقق النظم بشکل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مسائل هامة فی هذا المجال و یحاول تقریر المسألة بشکل مقبول، کی یمکنه طرحها بصورة برهانیة علمیة و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آیة الله الجوادی الآملی أموراً لإکمال برهان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تعرضنا فی المقال الحاضر لأبعاد نظریة الشهید المطهری فی البیان العقلائی لبرهان النظم أولاً، ثم ذکرنا نماذج من نظریات آیة الله الجوادی الآملی، و نحاول من خلال ذلک أن نجیب علی بعض الانتقادات المذکورة علی هذا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العلیة، العلة الفاعلیة، العلة الغائیة، الهدایة، النظم، الصدفة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تصنیف التعامل العقیدی للشیعة الامامیة مع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حامد المنتظری مقدم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السید آیة الله الأحمدی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معرفة و تقییم تصرفات الشیعة و تعاملهم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هام لمعرفة عقائدهم و سیرة الأئمة بشکل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الهام بحاجة للدراسة فی المجالات المختلفة؛ العقائدیة، و الثقافیة، و الاجتماعیة،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 الحاضر یدرس عقائد الشیعة و العلاقات العقائدیة للشیعة مع أئمتهم الاثنی عشر فی عصر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للتعریف بأنواع مختلفة للعلاقات العقیدیة للشیعة مع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تمت الإجابة علی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ینتفع الشیعة من المقام المعنوی الرفیع للأئمة، و هل کانت علاقتهم بالائمة متناسبة مع مقامهم الإلهی الرفیع؟ إن سعی الشیعة فی عصر الحضور للتعرف علی أئمتهم و الدفاع عن کیان الإمامة و القادة المعصومین، و التمسک بمقامهم المعنوی هی أهم محاور العلاقة فی النطاق العقیدی، و یتضح الدور التکاملی لمعرفة الشیعة بالأئمة من خلال اختلاف سلوکهم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معرفة الإمام، التمسک المعنوی، السلوک العقیدی،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المفضل بن عمر و تیار التفویض</w:t>
      </w:r>
    </w:p>
    <w:p>
      <w:pPr>
        <w:pStyle w:val="BookText"/>
        <w:rPr/>
      </w:pPr>
      <w:r>
        <w:rPr>
          <w:rFonts w:ascii="IRNazanin" w:hAnsi="IRNazanin" w:eastAsia="IRNazanin"/>
          <w:color w:val="111111"/>
          <w:sz w:val="28"/>
          <w:sz w:val="28"/>
          <w:szCs w:val="28"/>
          <w:rtl w:val="true"/>
          <w:lang w:bidi="fa-IR"/>
        </w:rPr>
        <w:t>حسن الحیدری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المفضل بن عمر من الشخصیات الشیعیة الکبیرة فی القرن الهجری الثانی، حیث رویت عنه الکثیر من الروایات فی المصادر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نسبه البعض الی التفویض، بل عدوه من مؤسسی هذا التیار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فدراسة هذه الشخصیة و صحة و سقم ما نسب الیها من التفویض یوضح لنا جانباً من تاریخ مدرسة الکوفة الکلامیة، مضافاً الی أنه یفتح لنا نافذة لمعرفة التیار المتهم بالغلو فی أجواء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تحلیل المعلومات التاریخیة الواصلة بشأن المفضل و کذلک کیفیة نشوء هذا التیار یدل علی أنه لایمکننا نسبته الی هذا التیار، أو عده من مؤسسیه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أدق فإن المعلومات المتوفرة بشأن المفضل لاتثبت أی نوع من الفکر التفویضی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المدرسة الکلامیة فی الکوفة، التیار المتهم بالغلو، المفوّضة، اصحاب الإمام الصادق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المفضل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حقّ التشریع للامام عند مفترق الطرق بین النفی و الاثبات</w:t>
      </w:r>
    </w:p>
    <w:p>
      <w:pPr>
        <w:pStyle w:val="BookText"/>
        <w:rPr/>
      </w:pPr>
      <w:r>
        <w:rPr>
          <w:rFonts w:ascii="IRNazanin" w:hAnsi="IRNazanin" w:eastAsia="IRNazanin"/>
          <w:color w:val="111111"/>
          <w:sz w:val="28"/>
          <w:sz w:val="28"/>
          <w:szCs w:val="28"/>
          <w:rtl w:val="true"/>
          <w:lang w:bidi="fa-IR"/>
        </w:rPr>
        <w:t>مرتضی علیزادة النجار</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نفی بعض علماء الإمامیة حق التشریع عن الإمام اعتماداً علی بعض الأدلة العقلیة و النقلیة، و رأی أن دور الإمام هو دور المبلّغ للشریعة، فمن الأدلة المذکورة الآیات الأولی من سورة النجم، و الآیات و الروایات الدالة علی بیان جمیع الأحکام فی کتاب الله، و الأدلة الدالة علی کمال الدین فی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الأحادیث الدالة علی إملاء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علی أمیر 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 الأحادیث الدالة علی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لایتکلمون بشیء من عند أنفسهم، وسائر الأدلة التی لا تبقی مجالاً لتشریع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المقال الحاضر یتعرض لأهم الأدلة النافیة لهذا المقام عن الإمام من منظار بعض اهل الفن، و أخیراً أثبتنا عدم تمامیتها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التشریع، حق التشریع، الأحکام،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الکشف و التجربة الدینیة من منظار الغزالی</w:t>
      </w:r>
    </w:p>
    <w:p>
      <w:pPr>
        <w:pStyle w:val="BookText"/>
        <w:rPr/>
      </w:pPr>
      <w:r>
        <w:rPr>
          <w:rFonts w:ascii="IRNazanin" w:hAnsi="IRNazanin" w:eastAsia="IRNazanin"/>
          <w:color w:val="111111"/>
          <w:sz w:val="28"/>
          <w:sz w:val="28"/>
          <w:szCs w:val="28"/>
          <w:rtl w:val="true"/>
          <w:lang w:bidi="fa-IR"/>
        </w:rPr>
        <w:t>محمد امین الخوانساری</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التجربة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جدید، إلا أن له جذوراً واسعة فی الثقافة الاسلامیة، فالأبحاث التی طرحها علماء المسلمین فی خصوص حالات الکشف؛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 و الوحی بإمکانها أن تکون أرضیة لهذا الموضوع فی الفکر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الغزالی من جملة الذین مروا بتجارب واسعة و تعرض لأبحاث واسعة فی مجال التجربة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 الحاضر یستعرض تقریراً و تحلیلاً لآراء الغزالی فی مجال التجربة الدینیة، کما یوضح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المتعلِّق،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المتعلَّق،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الانسان و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یذکر الأسباب و المقدمات التی ینبغی للانسان رعایتها لکشف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التجارب الدینیة للغزالی هی من نوع الإلهام تارة و من الوحی النبوی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تجربة رؤیة الله فی الآخرة مسألة مهمة تعرض لها الغزالی من زاویة کلامیة تارة، و من زاویة عرفانیة أخری، و قال بإمکانها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التجربة الدینیة، الکشف، الوحی، الإلهام، الرؤیة، الغزالی</w:t>
      </w:r>
      <w:r>
        <w:rPr>
          <w:rFonts w:eastAsia="IRNazanin" w:cs="IRNazanin"/>
          <w:color w:val="111111"/>
          <w:sz w:val="28"/>
          <w:szCs w:val="28"/>
          <w:rtl w:val="true"/>
          <w:lang w:bidi="fa-IR"/>
        </w:rPr>
        <w:t>.</w:t>
      </w:r>
      <w:bookmarkStart w:id="404" w:name="pg2646_16606"/>
    </w:p>
    <w:p>
      <w:pPr>
        <w:pStyle w:val="BookText"/>
        <w:rPr/>
      </w:pPr>
      <w:bookmarkEnd w:id="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5" w:name="__RefHeading___Toc660467_1395250215"/>
      <w:bookmarkStart w:id="406" w:name="_Toc159"/>
      <w:bookmarkEnd w:id="405"/>
      <w:r>
        <w:rPr>
          <w:rtl w:val="true"/>
        </w:rPr>
        <w:t>چکیده انگلیسی مقالات</w:t>
      </w:r>
      <w:bookmarkEnd w:id="406"/>
    </w:p>
    <w:p>
      <w:pPr>
        <w:pStyle w:val="BookText"/>
        <w:rPr/>
      </w:pPr>
      <w:r>
        <w:rPr>
          <w:rFonts w:eastAsia="Times New Roman" w:cs="Times New Roman" w:ascii="Times New Roman" w:hAnsi="Times New Roman"/>
          <w:color w:val="111111"/>
          <w:sz w:val="28"/>
          <w:szCs w:val="28"/>
          <w:lang w:val="en-US" w:bidi="en-US"/>
        </w:rPr>
        <w:t>p:1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Vol.2, No.6, Autumn 2014</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Lutfullah Jalali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p:2</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p:3</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The Human Previous Life from the Viewpoint</w:t>
      </w:r>
    </w:p>
    <w:p>
      <w:pPr>
        <w:pStyle w:val="BookText"/>
        <w:rPr/>
      </w:pPr>
      <w:r>
        <w:rPr>
          <w:rFonts w:eastAsia="Times New Roman" w:cs="Times New Roman" w:ascii="Times New Roman" w:hAnsi="Times New Roman"/>
          <w:color w:val="111111"/>
          <w:sz w:val="28"/>
          <w:szCs w:val="28"/>
          <w:lang w:val="en-US" w:bidi="en-US"/>
        </w:rPr>
        <w:t>of Baghdadi Theologians</w:t>
      </w:r>
    </w:p>
    <w:p>
      <w:pPr>
        <w:pStyle w:val="BookText"/>
        <w:rPr/>
      </w:pPr>
      <w:r>
        <w:rPr>
          <w:rFonts w:eastAsia="Times New Roman" w:cs="Times New Roman" w:ascii="Times New Roman" w:hAnsi="Times New Roman"/>
          <w:color w:val="111111"/>
          <w:sz w:val="28"/>
          <w:szCs w:val="28"/>
          <w:lang w:val="en-US" w:bidi="en-US"/>
        </w:rPr>
        <w:t>Emdad Toran</w:t>
      </w:r>
    </w:p>
    <w:p>
      <w:pPr>
        <w:pStyle w:val="BookText"/>
        <w:rPr/>
      </w:pPr>
      <w:r>
        <w:rPr>
          <w:rFonts w:eastAsia="Times New Roman" w:cs="Times New Roman" w:ascii="Times New Roman" w:hAnsi="Times New Roman"/>
          <w:color w:val="111111"/>
          <w:sz w:val="28"/>
          <w:szCs w:val="28"/>
          <w:lang w:val="en-US" w:bidi="en-US"/>
        </w:rPr>
        <w:t>While the Kufan and Qomi Mu¡addiths and Mu¡addith-Mutakallims accepted the idea of previous life for Ahl ul-Bayt (p.b.u.t) and all humans, the Baghdadi theologians including Sheikh Mufid, Sayyed MurtaÃa and Sheikh Ùusi, have taken a negative position in this subject. The current essay attempts to tackles the theoretical causes of this giving up. One can acquire these causes from what these theologians themselves explicitly or implicitly expressed. This essay shows that taking an allegorical interpreting approach to narrations, belief in non-authenticity of Khabare Wa¡ed (individual narration), considering human soul as accident and not being based on itself, falsification of belief extremism, falsification of reincarnation which is demanded by the belief in previous life, and non-remembering the events of the previous life are amongst the bases and reasons lead the Baghdadis to reject the previous life</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previous life, iota, spirits, phantoms, the School of Baghdad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p:4</w:t>
      </w:r>
    </w:p>
    <w:p>
      <w:pPr>
        <w:pStyle w:val="BookText"/>
        <w:rPr/>
      </w:pPr>
      <w:r>
        <w:rPr>
          <w:rFonts w:eastAsia="Times New Roman" w:cs="Times New Roman" w:ascii="Times New Roman" w:hAnsi="Times New Roman"/>
          <w:color w:val="111111"/>
          <w:sz w:val="28"/>
          <w:szCs w:val="28"/>
          <w:lang w:val="en-US" w:bidi="en-US"/>
        </w:rPr>
        <w:t>The Concept of the Divine Will and Providence</w:t>
      </w:r>
    </w:p>
    <w:p>
      <w:pPr>
        <w:pStyle w:val="BookText"/>
        <w:rPr/>
      </w:pPr>
      <w:r>
        <w:rPr>
          <w:rFonts w:eastAsia="Times New Roman" w:cs="Times New Roman" w:ascii="Times New Roman" w:hAnsi="Times New Roman"/>
          <w:color w:val="111111"/>
          <w:sz w:val="28"/>
          <w:szCs w:val="28"/>
          <w:lang w:val="en-US" w:bidi="en-US"/>
        </w:rPr>
        <w:t>in Imam ReÃa (p.b.u.h.) Speeches</w:t>
      </w:r>
    </w:p>
    <w:p>
      <w:pPr>
        <w:pStyle w:val="BookText"/>
        <w:rPr/>
      </w:pPr>
      <w:r>
        <w:rPr>
          <w:rFonts w:eastAsia="Times New Roman" w:cs="Times New Roman" w:ascii="Times New Roman" w:hAnsi="Times New Roman"/>
          <w:color w:val="111111"/>
          <w:sz w:val="28"/>
          <w:szCs w:val="28"/>
          <w:lang w:val="en-US" w:bidi="en-US"/>
        </w:rPr>
        <w:t>HusaynAli Turkamani</w:t>
      </w:r>
    </w:p>
    <w:p>
      <w:pPr>
        <w:pStyle w:val="BookText"/>
        <w:rPr/>
      </w:pPr>
      <w:r>
        <w:rPr>
          <w:rFonts w:eastAsia="Times New Roman" w:cs="Times New Roman" w:ascii="Times New Roman" w:hAnsi="Times New Roman"/>
          <w:color w:val="111111"/>
          <w:sz w:val="28"/>
          <w:szCs w:val="28"/>
          <w:lang w:val="en-US" w:bidi="en-US"/>
        </w:rPr>
        <w:t>Ismaeil Sha’bani Kamran</w:t>
      </w:r>
    </w:p>
    <w:p>
      <w:pPr>
        <w:pStyle w:val="BookText"/>
        <w:rPr/>
      </w:pPr>
      <w:r>
        <w:rPr>
          <w:rFonts w:eastAsia="Times New Roman" w:cs="Times New Roman" w:ascii="Times New Roman" w:hAnsi="Times New Roman"/>
          <w:color w:val="111111"/>
          <w:sz w:val="28"/>
          <w:szCs w:val="28"/>
          <w:lang w:val="en-US" w:bidi="en-US"/>
        </w:rPr>
        <w:t>The speech and acts of the Infallibles (p.b.u.t.) contains the deepest knowledge of the universe. The current research attempts to assess one of the important Islamic Kal³mi issues, that is, the concept of the divine will and providence in Imam Reza’s (p.b.u.h.) speeches and the structural correlation visible in the narrations narrated of him. Using the self-evident principles in rational reasoning, Imam Reza (p.b.u.h.) talked about the creation of will and considered it as God’s act. He also proved that the divine will is neither the same as His Nature nor equal to His Knowledge. In some speeches in the discussions of divinity, by offering strong arguments, he closed any way to fallacy and heresy in the Kal³mi issues of religion, and, by offering the guidance-giving life-style of Ahl ul-Bayt (p.b.u.t.), prepared the way for the servants to God’s nearness</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concept, narration, God’s attributes, the divine will and providence, Imam ReÃa (p.b.u.h.)</w:t>
      </w:r>
    </w:p>
    <w:p>
      <w:pPr>
        <w:pStyle w:val="BookText"/>
        <w:rPr/>
      </w:pPr>
      <w:r>
        <w:rPr>
          <w:rFonts w:eastAsia="Times New Roman" w:cs="Times New Roman" w:ascii="Times New Roman" w:hAnsi="Times New Roman"/>
          <w:color w:val="111111"/>
          <w:sz w:val="28"/>
          <w:szCs w:val="28"/>
          <w:lang w:val="en-US" w:bidi="en-US"/>
        </w:rPr>
        <w:t>p:5</w:t>
      </w:r>
    </w:p>
    <w:p>
      <w:pPr>
        <w:pStyle w:val="BookText"/>
        <w:rPr/>
      </w:pPr>
      <w:r>
        <w:rPr>
          <w:rFonts w:eastAsia="Times New Roman" w:cs="Times New Roman" w:ascii="Times New Roman" w:hAnsi="Times New Roman"/>
          <w:color w:val="111111"/>
          <w:sz w:val="28"/>
          <w:szCs w:val="28"/>
          <w:lang w:val="en-US" w:bidi="en-US"/>
        </w:rPr>
        <w:t>Examining the Rational Explanation of the Argument</w:t>
      </w:r>
    </w:p>
    <w:p>
      <w:pPr>
        <w:pStyle w:val="BookText"/>
        <w:rPr/>
      </w:pPr>
      <w:r>
        <w:rPr>
          <w:rFonts w:eastAsia="Times New Roman" w:cs="Times New Roman" w:ascii="Times New Roman" w:hAnsi="Times New Roman"/>
          <w:color w:val="111111"/>
          <w:sz w:val="28"/>
          <w:szCs w:val="28"/>
          <w:lang w:val="en-US" w:bidi="en-US"/>
        </w:rPr>
        <w:t>from Design in Ayatullah MuÚahhari’s View</w:t>
      </w:r>
    </w:p>
    <w:p>
      <w:pPr>
        <w:pStyle w:val="BookText"/>
        <w:rPr/>
      </w:pPr>
      <w:r>
        <w:rPr>
          <w:rFonts w:eastAsia="Times New Roman" w:cs="Times New Roman" w:ascii="Times New Roman" w:hAnsi="Times New Roman"/>
          <w:color w:val="111111"/>
          <w:sz w:val="28"/>
          <w:szCs w:val="28"/>
          <w:lang w:val="en-US" w:bidi="en-US"/>
        </w:rPr>
        <w:t>Ghudratullah Ghurbani</w:t>
      </w:r>
    </w:p>
    <w:p>
      <w:pPr>
        <w:pStyle w:val="BookText"/>
        <w:rPr/>
      </w:pPr>
      <w:r>
        <w:rPr>
          <w:rFonts w:eastAsia="Times New Roman" w:cs="Times New Roman" w:ascii="Times New Roman" w:hAnsi="Times New Roman"/>
          <w:color w:val="111111"/>
          <w:sz w:val="28"/>
          <w:szCs w:val="28"/>
          <w:lang w:val="en-US" w:bidi="en-US"/>
        </w:rPr>
        <w:t>Shahid MuÚahhari has an exact viewpoint about the “Argument from Design”. His significant emphasis is that only by seeing the agent cause one cannot result the being of God through the current design in the universe and even through the current causality in it; because design as such is resulted both from final cause and agent cause, and by merely realization of the agent cause the design could not completely fulfilled. By explaining important issues in this regard, he attempts to give an acceptable utterance of this argument so that it would be possible to talk about it as a scholarly and rational argument. Ayatullah Jawadi Amoli also has suitable points to complete the argument. In the present essay, firstly the dimensions of MuÚahhari’s point of view in rational explaining of the argument from the design is explained and, then, by offering some cases of the views of Ayatullah Jawadi, it will be attempted to answer some criticisms to this argument from this approach</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causality, agent cause, final cause, guidance, design, accident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The Typology of the Imamiyyah Shi’ites’ Belief Behaviors</w:t>
      </w:r>
    </w:p>
    <w:p>
      <w:pPr>
        <w:pStyle w:val="BookText"/>
        <w:rPr/>
      </w:pPr>
      <w:r>
        <w:rPr>
          <w:rFonts w:eastAsia="Times New Roman" w:cs="Times New Roman" w:ascii="Times New Roman" w:hAnsi="Times New Roman"/>
          <w:color w:val="111111"/>
          <w:sz w:val="28"/>
          <w:szCs w:val="28"/>
          <w:lang w:val="en-US" w:bidi="en-US"/>
        </w:rPr>
        <w:t>towards the Infallible Imams</w:t>
      </w:r>
    </w:p>
    <w:p>
      <w:pPr>
        <w:pStyle w:val="BookText"/>
        <w:rPr/>
      </w:pPr>
      <w:r>
        <w:rPr>
          <w:rFonts w:eastAsia="Times New Roman" w:cs="Times New Roman" w:ascii="Times New Roman" w:hAnsi="Times New Roman"/>
          <w:color w:val="111111"/>
          <w:sz w:val="28"/>
          <w:szCs w:val="28"/>
          <w:lang w:val="en-US" w:bidi="en-US"/>
        </w:rPr>
        <w:t>Hamed Montazerimoghaddam</w:t>
      </w:r>
    </w:p>
    <w:p>
      <w:pPr>
        <w:pStyle w:val="BookText"/>
        <w:rPr/>
      </w:pPr>
      <w:r>
        <w:rPr>
          <w:rFonts w:eastAsia="Times New Roman" w:cs="Times New Roman" w:ascii="Times New Roman" w:hAnsi="Times New Roman"/>
          <w:color w:val="111111"/>
          <w:sz w:val="28"/>
          <w:szCs w:val="28"/>
          <w:lang w:val="en-US" w:bidi="en-US"/>
        </w:rPr>
        <w:t>Sayed Ayatullah Ahmadi</w:t>
      </w:r>
    </w:p>
    <w:p>
      <w:pPr>
        <w:pStyle w:val="BookText"/>
        <w:rPr/>
      </w:pPr>
      <w:r>
        <w:rPr>
          <w:rFonts w:eastAsia="Times New Roman" w:cs="Times New Roman" w:ascii="Times New Roman" w:hAnsi="Times New Roman"/>
          <w:color w:val="111111"/>
          <w:sz w:val="28"/>
          <w:szCs w:val="28"/>
          <w:lang w:val="en-US" w:bidi="en-US"/>
        </w:rPr>
        <w:t>To know and assess the Shi’a’s behaviors and relations in interaction with Imams (p.b.u.t.) is a necessary approach to an exact knowledge of their beliefs and the Purified Imams’ (p.b.u.t.) life-style. It is necessary to examine this significant matter in various ideological, cultural and social realms. In this essay, the beliefs and belief relations of the Shi’a towards the Twelve Imams are examined. Furthermore, the different kinds of the Shi’a’s belief relations with Imams are introduced and this question is answered that the Shi’a how had benefitted the Imams’ high spiritual position, and whether the Shi’a’s relations with Imams were appropriate to their divine place. The effort of the presence era Shi’a to recognize Imams, to defend the foundation of Imamah and the infallible leaders and to grasp to the spiritual position of the Purified Imams are among the most important axes of the Shi’a relations in belief field. Despite of different behaviors of Shi’a in some cases, the course of their knowledge and behavior advancement in interaction with Imams is visible</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Imams, recognition of Imam, spiritual grasp, belief behavior, Shi’a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lang w:val="en-US" w:bidi="en-US"/>
        </w:rPr>
        <w:t>MufaÃÃal ibn ‘Umar and the TafwiÃ Circle</w:t>
      </w:r>
    </w:p>
    <w:p>
      <w:pPr>
        <w:pStyle w:val="BookText"/>
        <w:rPr/>
      </w:pPr>
      <w:r>
        <w:rPr>
          <w:rFonts w:eastAsia="Times New Roman" w:cs="Times New Roman" w:ascii="Times New Roman" w:hAnsi="Times New Roman"/>
          <w:color w:val="111111"/>
          <w:sz w:val="28"/>
          <w:szCs w:val="28"/>
          <w:lang w:val="en-US" w:bidi="en-US"/>
        </w:rPr>
        <w:t>Hasan Haydari</w:t>
      </w:r>
    </w:p>
    <w:p>
      <w:pPr>
        <w:pStyle w:val="BookText"/>
        <w:rPr/>
      </w:pPr>
      <w:r>
        <w:rPr>
          <w:rFonts w:eastAsia="Times New Roman" w:cs="Times New Roman" w:ascii="Times New Roman" w:hAnsi="Times New Roman"/>
          <w:color w:val="111111"/>
          <w:sz w:val="28"/>
          <w:szCs w:val="28"/>
          <w:lang w:val="en-US" w:bidi="en-US"/>
        </w:rPr>
        <w:t>MufaÃÃal ibn ‘Umar is one of the Great Shi’i figures in the second/eighth century which many narrations narrated by him in the Imamiyyah Hadith sources. Some has attributed him to the “MufawwiÃah” circle and even considered ham as the founder of this circle. To examine MufaÃÃal’s character and the correctness or incorrectness of the attribution of TafwiÃ to him, not only clarifies some part of the history of the Kalºmi School of Kufa, but also opens a window for us to know the extremism-accused circle in the Kufan atmosphere of the second/eighth century. The analysis of the available historical data about MufaÃÃal and as well as the history of the TafwiÃ circle formation shows that in no way one can count him as one of the founders or dependants to this circle. In a more exact word, the available information about MufaÃÃal does not prove any tafwiÃi thought by him</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Kalºmi School of Kufa, the extremism-accused circle, MufawwiÃah, the Companions of Imam al-ßadi± (p.b.u.h.), MufaÃÃal ibn ‘Umar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p:8</w:t>
      </w:r>
    </w:p>
    <w:p>
      <w:pPr>
        <w:pStyle w:val="BookText"/>
        <w:rPr/>
      </w:pPr>
      <w:r>
        <w:rPr>
          <w:rFonts w:eastAsia="Times New Roman" w:cs="Times New Roman" w:ascii="Times New Roman" w:hAnsi="Times New Roman"/>
          <w:color w:val="111111"/>
          <w:sz w:val="28"/>
          <w:szCs w:val="28"/>
          <w:lang w:val="en-US" w:bidi="en-US"/>
        </w:rPr>
        <w:t>The Imam’s Right for Legislation</w:t>
      </w:r>
    </w:p>
    <w:p>
      <w:pPr>
        <w:pStyle w:val="BookText"/>
        <w:rPr/>
      </w:pPr>
      <w:r>
        <w:rPr>
          <w:rFonts w:eastAsia="Times New Roman" w:cs="Times New Roman" w:ascii="Times New Roman" w:hAnsi="Times New Roman"/>
          <w:color w:val="111111"/>
          <w:sz w:val="28"/>
          <w:szCs w:val="28"/>
          <w:lang w:val="en-US" w:bidi="en-US"/>
        </w:rPr>
        <w:t>between Negation and affirmation</w:t>
      </w:r>
    </w:p>
    <w:p>
      <w:pPr>
        <w:pStyle w:val="BookText"/>
        <w:rPr/>
      </w:pPr>
      <w:r>
        <w:rPr>
          <w:rFonts w:eastAsia="Times New Roman" w:cs="Times New Roman" w:ascii="Times New Roman" w:hAnsi="Times New Roman"/>
          <w:color w:val="111111"/>
          <w:sz w:val="28"/>
          <w:szCs w:val="28"/>
          <w:lang w:val="en-US" w:bidi="en-US"/>
        </w:rPr>
        <w:t>Murtaza Alizadeh Najjar</w:t>
      </w:r>
    </w:p>
    <w:p>
      <w:pPr>
        <w:pStyle w:val="BookText"/>
        <w:rPr/>
      </w:pPr>
      <w:r>
        <w:rPr>
          <w:rFonts w:eastAsia="Times New Roman" w:cs="Times New Roman" w:ascii="Times New Roman" w:hAnsi="Times New Roman"/>
          <w:color w:val="111111"/>
          <w:sz w:val="28"/>
          <w:szCs w:val="28"/>
          <w:lang w:val="en-US" w:bidi="en-US"/>
        </w:rPr>
        <w:t>On the basis of some narrated and rational evidences, some Imami scholars have negated the right for legislation from the Imams (p.b.u.t) and limited their function to preach the Shariah. These evidences includes affairs like the early verses of the Surah al-Najm, the verses and narrations indicating the clarification of all commandments in the Divine Book, the demonstrations indicating the perfection of religion in the Prophet (p.b.u.h) era, narrations reveal the dictation of the commandments by the Prophet (p.b.u.h) to Imam ‘Ali (p.b.u.h), the narration from the Imams (p.b.u.t) that they do not say anything on their behalf, and other demonstrations that leave no way for the Imams (p.b.u.t) to legislate. The current writing had examined the most important arguments to negate this authority from the viewpoint of some thinker and finally proves their inefficacy</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legislation, the right for legislation, commandments,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p:9</w:t>
      </w:r>
    </w:p>
    <w:p>
      <w:pPr>
        <w:pStyle w:val="BookText"/>
        <w:rPr/>
      </w:pPr>
      <w:r>
        <w:rPr>
          <w:rFonts w:eastAsia="Times New Roman" w:cs="Times New Roman" w:ascii="Times New Roman" w:hAnsi="Times New Roman"/>
          <w:color w:val="111111"/>
          <w:sz w:val="28"/>
          <w:szCs w:val="28"/>
          <w:lang w:val="en-US" w:bidi="en-US"/>
        </w:rPr>
        <w:t>Disclosure and Religious Experience</w:t>
      </w:r>
    </w:p>
    <w:p>
      <w:pPr>
        <w:pStyle w:val="BookText"/>
        <w:rPr/>
      </w:pPr>
      <w:r>
        <w:rPr>
          <w:rFonts w:eastAsia="Times New Roman" w:cs="Times New Roman" w:ascii="Times New Roman" w:hAnsi="Times New Roman"/>
          <w:color w:val="111111"/>
          <w:sz w:val="28"/>
          <w:szCs w:val="28"/>
          <w:lang w:val="en-US" w:bidi="en-US"/>
        </w:rPr>
        <w:t>in Ghaz³li’s Point of View</w:t>
      </w:r>
    </w:p>
    <w:p>
      <w:pPr>
        <w:pStyle w:val="BookText"/>
        <w:rPr/>
      </w:pPr>
      <w:r>
        <w:rPr>
          <w:rFonts w:eastAsia="Times New Roman" w:cs="Times New Roman" w:ascii="Times New Roman" w:hAnsi="Times New Roman"/>
          <w:color w:val="111111"/>
          <w:sz w:val="28"/>
          <w:szCs w:val="28"/>
          <w:lang w:val="en-US" w:bidi="en-US"/>
        </w:rPr>
        <w:t>MuhammadAmin Khwansari</w:t>
      </w:r>
    </w:p>
    <w:p>
      <w:pPr>
        <w:pStyle w:val="BookText"/>
        <w:rPr/>
      </w:pPr>
      <w:r>
        <w:rPr>
          <w:rFonts w:eastAsia="Times New Roman" w:cs="Times New Roman" w:ascii="Times New Roman" w:hAnsi="Times New Roman"/>
          <w:color w:val="111111"/>
          <w:sz w:val="28"/>
          <w:szCs w:val="28"/>
          <w:lang w:val="en-US" w:bidi="en-US"/>
        </w:rPr>
        <w:t>Although “Religious Experience” is a new term, it possesses a vast background in Islamic culture. The Muslim thinkers’ discussions about the conditions of disclosure such as inspiration and revelation can be counted as the best foundation for this topic in Islamic thought. Ghaz³li is one of those whom have experienced experience-like events and had vast discussions in the religious experience field. There has been offered, in this essay, an explanation and analysis of Ghaz³li’s viewpoints about religious experience; the place of “humanity” as the belonging and “being” as the belonged and the “veil” between humanity and being is also clarified. As well as the means and preliminaries that one needs for the Disclosure have been explained. From the viewpoints of Ghaz³li, the religious experiences are sometimes something like inspiration and sometimes prophetic revelation. The experience of the sight of God in the afterlife is also a significant matter that Ghaz³li had explored its possibility by both kal³mi and mystical approaches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religious experience, disclosure, revelation, inspiration, the sight of God and Ghaz³li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بحثی در‌بارۀ خلقتِ نوریِ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بحثی در‌بارۀ عالم ارواح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بیابانی اسکویی،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همو، سفینه،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مکدرموت گفته است، شیخ مفید خود در جای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تعبیر شیخ صدوق را که افعال عباد، مخلوق خداوندند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خلق تکوین، رد کرده است؛ دلیل وی برای ردّ قول شیخ صدوق آن است که در لغت عرب به علم به شیئی، خلق نمی‌گویند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مکدرموت،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شیخ مفید، تا آنجا که نگارنده بررسی کرده شیخ صدوق چنین حدیثی را نقل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صدوق در باره تقدم ارواح نقل کرده به دو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آخی بین الارواح فی الاظله قبل ان یخلق الابدان بالفی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تبارک و تعالی خلق الارواح قبل الابدان بالفی 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شیخ مفید آن است که از ترکیب احادیثی که صدوق نقل کرده چنین مضمونی حاصل می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روی سخن شیخ طوسی در این‌جا، عامه و روایات عامی در‌بارۀ عالم ذر است؛ لذا با استناد به عالم رجالیِ عامی‌مذهب، به تضعیف روایت ذر می‌پردازد، در حالی که بر مبنای خودش، روایاتی که از طریق خاصه نقل نشده باشند، از اصل فاقد حجیتند و نیازی به تضعیف سندیِ آن‌ها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برنجکار در کتاب مبانی خداشناسی، مأخذ دویست روایت از روایات دالّ بر حیات پیشین را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برنجکار،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بحثی در این 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خدایاری،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دو سخن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جوهر بسیط است و نفس، جوهر و عرض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تناقضی نیست، چراکه مقصود از جوهر نبودن نفس آن است که نفس، جوهر جسمانی نیست و مقصود از جوهر بسیط، امری غیرجسمانی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اصطلاح‌شناسیِ شیخ مفید، تعریف جسم متفاوت از جوهر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 چیزی است که دارای طول، عرض و عمق است و جوهر چیزی است که اجسام از آن تشکیل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شیخ مفید، جوهر بسیط غیر از جوهر است، چراکه جوهر به رغم آن‌که قابل انقسام نیست، دارای حجم و مساحت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لکن جوهر بسیط دارای حجم و مساحت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شیخ 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التناسخ المعتزین إلی الإمامیة و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استنباط کرد که وی اصحاب تناسخ را فرقه‌ای علی‌حده، همانند معتزله، امامیه و اصحاب‌الحدیث نمی‌داند، بلکه آن را منسوب به امامیه و غیرامامیه می‌داند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خود شیخ صدوق، تناسخ را باطل و آن را مستلزم انکار بهشت و جهنم دانسته و قائلِ بدان را کافر معرفی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بوعلی سینا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علوم قرآن و حدیث دانشگاه بوعلی سینا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تعیّن در فلسفه و کلام، به معنای امری است که شیء با آن منفرد می‌گردد و از بقیه چیزها امتیاز پیدا می‌کند، به طوری که دیگر اشیا در آن هیچ‌گونه اشتراکی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جرجانی،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الإِرَادَةُ مِنَ الْمَخْلُوقِ الضَّمِیرُ وَ مَا یَبْدُو لَهُ بَعْدَ ذَلِکَ مِنَ الْفِعْلِ وَ أَمَّا مِنَ اللَّهِ عَزَّوَجَلَّ فَإِرَادَتُهُ إِحْدَاثُهُ لاغَیْرُ ذَلِکَ لأَنَّهُ لایُرَوِّی وَ لایَهُمُّ وَ لایَتَفَکَّرُ وَ هَذِهِ الصِّفَاتُ مَنْفِیَّةٌ عَنْهُ وَ هِیَ مِنْ صِفَاتِ الْخَلْقِ فَإِرَادَةُ اللَّهِ هِیَ الْفِعْلُ لاغَیْرُ ذَلِکَ یَقُولُ لَهُ کُنْ فَیَکُونُ بِلا لَفْظٍ وَ لانُطْقٍ بِلِسَانٍ وَ لاهِمَّةٍ وَ لاتَفَکُّرٍ وَ لاکَیْفَ لِذَلِکَ کَمَا أَنَّهُ بِلا کَیْف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 کُنْ فَیَکُونُ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روایت درباره ی مسئله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نگارنده جهت تلخیص، بخش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مطرح</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روایت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 إِذْ لامَعْلُوم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بود آن‌گاه که معلومی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یَزَلِ اللَّهُ عَزّوَجَلَّ رَبَّنَا وَ الْعِلْمُ ذَاتُهُ وَ لامَعْلُومَ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از ازل پروردگارِ ماست و علم، ذات او بود، درحالی که معلومی وجود نداشت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رسیده در زمینۀ صفت فعل یا ذات بودن اراده، در ادامه خواهد آمد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دیگری نیز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خداوند و اراده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صورت ضمنی به این مسئله اشاره دارد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فلسفه دانشگاه خوارزمی، تهران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مؤسسۀ آموزشی ـ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تاریخ تشیع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در مدینه، هر جمعه بر منبر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ابن‌سعد،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مغیره در کوفه، به صراحت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ابن‌ابی الحدید،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را سبّ و لعن می‌کردند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مناظرات شیعیان،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یاوری، بررسی و تحلیل مناظرات شیعیان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شیعه شناسی، گرایش کلام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رسالۀ کارشناسی ارشد خود، تعداد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حدیثی تا قرن پنجم هجری را مورد جستجو قرار داد که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وی به دست آمد که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در کتب اربعه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حیدری،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نصیریه،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مفضل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کتاب به همان صورتی است که در منابع امامیه موجود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به صورت پرسش و پاسخ میان مفضل و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 و حاوی مضامین باطنی و عقاید علویان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جداگانه ای از آن نیافتیم و تنها در ابتدای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المفضلیة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حاوی مطالبی باطنی و به صورت محاوراتی میان مفضل و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ابواب نخستین آن، به نام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الهفت و الاظلة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الهفت و الاشباح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نامیده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حسین بن حمدان جنبلائی خصیبی یا حضینی، از محدثان و راویان شیعه در عصر غیبت صغرا و مؤلف کتاب مهم و جنجالی الهدایة الکبری است که به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رجالیان و فهرست‌نویسان شیعه مانند نجاشی او را به شدت تضعیف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دربارۀ او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و برخی در صدد توجیه و تصحیح عقیدۀ خصیبی و آثار او برآمده و از او به نیکی یاد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فرقۀ نصیریه او را از بزرگان خود می‌داند، زیرا وی با محمد بن نصیر رئیس این فرقه مرتبط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اختلاف اقوال در سال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از دنیا رفت و در حلب به خاک سپرده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هیج‌یک از منابع متقدم که دربارۀ فرقه مفوضه صحبت کرده‌اند، این فرقه را به مفضل منسوب نکرده‌اند، بلکه فرقۀ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خطابیه مفضلیه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منسوب است که ظاهراً حاصل فرقه‌سازی کتب فرق و مذاهب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عقاید این فرقه،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شهرستانی،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سبحانی،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برخی کتب متأخر، فرقه مفوضه را به مفضل نسبت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مدرسی،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مقاله هر آنچه می‌توانست شاهدی بر این انتساب باشد، مورد بررسی قرار دادیم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میزای نوری به صورت کلی، روایات ذم مفضل را قابل معارضه با روایات مدح وی نمی‌داند، زیرا اولاً، این روایات فقط توسط کشی نقل شده، در حالی که روایات مدح توسط مشایخ دیگر نیز نقل شده است؛ ثانیاً، روایات ذم به نسبت روایات مدح کم هستند؛ ثالثاً، این چند روایت نیز در اثبات اندیشۀ غالیانه برای مفضل مخدوش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ایشان چند روایت برای اثبات سخن خویش ذکر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رازی در کتاب الزینة، ابوالخطاب را از بنیان‌گذاران اسماعیلیه که اعتقاد به امامت اسماعیل داشتند، معرفی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مشکور،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با توجه به قرائن،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فیه مع الخطابیة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منظور قول به امامت اسماعیل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روایات استفاده می‌شود که در زمان صادقین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غیر از برخی خواص، اصحاب دیگر دربارۀ فضایل خاص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دچار انکار یا تردید بودند؛ حتی فردی نظیر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برخی روایات استفاده می‌شود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مجالس عمومی فضایل خاص خویش را انکار می‌کردند، ولی در مجالس خاص آن فضایل را بیان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المفضل او الی الإمام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الامامین او شخصین آخرین او المفضل و ابی‌الخطاب و یمکن أن یکون المراد من المرسل معناه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مبهمة لا یحکم بها علی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معنای این روایت، احتمالات دیگری نیز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توجیه این روایت، نظریات دیگری نیز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نظریۀ مختار نگارنده آن چیزی است که در متن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روایات مدح را دارای تواتر معنوی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آیت‌الله خوئی آن‌ها را دارای تواتر اجمالی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خوئی،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نوری نیز در کتاب مستدرک، حدود سی روایت در مدح مفضل نقل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رجالیون دیگر که مفضل را قبول ندارند، معمولاً همان سخن نجاشی را نقل کرده‌اند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تاریخی نشان می‌دهد، در دهه‌های پس از وفات مفضل، غلات احادیث تفویضی را به نام او در جامعه رواج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پایان‌نامۀ خود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آرای کلامی 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روایات وی را در منابع روایی امامیه تا قرن پنجم، مورد بررسی دقیق قرار داد و این روایات عموماً شامل مضامین مقبول نزد شیعیان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حیدری،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زراره منظور از تفویض را برای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بیان می‌کند که نشان می‌دهد هنوز به جریانی شناخته‌شده تبدیل نشده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پیش از این زمان، مسئله تفویض در جایگاه اندیشه، نه در جایگاه جریان، مطرح بود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این صفتِ غالیان ـ که جریان تفویض نیز زیر‌مجموعۀ غالیان هستند ـ 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دیگر بر این مطلب این است که وقتی محمد بن اورمه قمی ـ از اصحاب امام 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ـ متهم به غلو شد، اشاعرۀ ساکن در قم تصمیم به قتل او گرفتند، ولی وقتی او را چند شب مشغول به نماز دیدند، از تصمیم خویش برگشتند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ابن‌غضائری،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گزارشی، مفضل به فضای دشمنی که بر ضدّ او در کوفه وجود داشت، اشاره می‌کند و وقتی جریان را برای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تعریف می‌کند، حضرت از آزاردهندگان وی برائت جسته و از او نیز دل‌جویی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حرّانی،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شاخص می‌توان زراره، ابوبصیر و محمد بن مسلم را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افراد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درخواست کردند تا به مفضل نامه ای بنویسد و او را از هم نشینی با آن ها برحذر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نیز طی برنامه‌ای به آن‌ها فهماند که یاران مفضل، جوانانی فعال هستند که مفضل برای پیش‌برد مأموریت خویش از جانب امام، به این افراد نیاز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مانند عامر بن جذاعه و حجر بن زائده، حتی نزد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مفضل بدگویی می کردند، و علی‌رغم منع امام به کار خویش ادامه می‌دادند؛ لذا حضرت آن ها را مورد نفرین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از سه طریق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افرادی مانند عامر بن جذاعه و حجز بن زائده، حتی با نهی امام دست از دشمنی با وی نکشیدند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نوشتار پیشرو مدیون راهنمائی‌های استاد معظم حضرت آیة الله سید علی حسینی میلانی است که برخی افادات معظم له را در متن آورده‌ام و نیز راهنمائی‌های ارزشمند استاد حجة الاسلام و المسلمین دکتر محمدتقی سبحانی که همواره سودمند بوده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سطح سه حوزه علمیه قم، مرکز تخصصی امامت، دانشجوی دکتری مذاهب کلامی دانشگاه ادیان و مذاهب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نیز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صحیح ندانسته‌اند و گفته‌اند تشریع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ادخال ما لم یعلم انه من الدین فی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آشتیانی،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درس های آیة الله سیدعلی میلانی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درس های آیة الله سیدعلی میلانی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شیعی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اطاعهم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اطاعنی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درس های آیة الله سیدعلی میلانی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علی بن سعید یا علی بن سعد مجهول است اما در این روایت، بزرگی همچون ابن ابی عمیر از عمر بن اذینه از او نقل کرده‌اند و نقل اجلاء می‌تواند جابر ضعف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این روایت، ضعیف است اما از آنجایی که برخی صاحب نظران ـ چنانکه در متن آمده ـ به آن استدلال کرده‌اند حدیث را ذکر کرده‌ایم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علامه مجلسی نیز به آن اشاره کرده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اخلاق و روان شناسی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دانشجوی دکتری دین‌پژوهی دانشگاه ادیان و مذاهب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التجربه النورانیه عند الامام الغزالی من الانا المنطقیه الی الانا المتعالیه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تجربه غزالی در المنقذ را به طور خاص در سه مرحله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ساختار تجربه غزالی در المنقذ، مضمون تجربه غزالی در المنقذ، نتائج فلسفی رویت غزالی مورد بررسی قرار داده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النور هو مفتاح أکثر المعارف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نور یقذفه اللّه تعالی فی القلب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أن طریقتهم إنما تتم بعلم و عمل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الأمر حد الاختیار إلی الاضطرار، إذ أقفل اللّه علی لسانی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انکشف لی فی أثناء هذه الخلوات أمور لا یمکن إحصاؤها و استقصاؤها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در مقدمه المحجه البیضا فی تهذیب الاحیاء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آداب سماع و 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کلی حذف میکند و بجای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آداب شیعه و اخلاق 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جایگزین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در این مقدمه اشاره به نکته دارند که سماع و وجد از مذهب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روح القدس نفث فی روعی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 من أحببت فإنّک مفارقه، و عش ما شئت فانّک میّت، و اعمل ما شئت فانّک مجزی به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ینطق عن الهوی إن هو إلا وحی یوحی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معهد القرآن و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أبحاث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لجنة التدریس فی جامعة ابو علی سینا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ماجستیر فی علوم القرآن و الحدیث جامعة ابو علی سینا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فی الفلسفة، جامعة الخوارزمی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لجنة التدریس فی مؤسسة الامام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التعلمیة ـ البحثیة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ماجستیر فی تاریخ الشیعة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ماجستیر فی معرفة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 الکلام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فی المستوی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المرکز الخاص بمؤسسة الامامة و طالب دکتوراه فی المذاهب الکلامیة فی جامعة الادیان و المذاهب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فی معهد القرآن و الحدیث و طالب دکتوراه الابحاث الدینیة، جامعة الادیان و المذاهب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169</Pages>
  <Words>52471</Words>
  <Characters>217200</Characters>
  <CharactersWithSpaces>267616</CharactersWithSpaces>
  <Paragraphs>1772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2026-08-17T12:08:23Z</dcterms:created>
  <dc:creator>ghaemiyeh.com</dc:creator>
  <dc:description/>
  <dc:language>en-US</dc:language>
  <cp:lastModifiedBy/>
  <dcterms:modified xsi:type="dcterms:W3CDTF">2026-08-17T15:38:27Z</dcterms:modified>
  <cp:revision>1</cp:revision>
  <dc:subject/>
  <dc:title>فصلنامه تحقیقات کلامی شماره 6</dc:title>
</cp:coreProperties>
</file>

<file path=docProps/custom.xml><?xml version="1.0" encoding="utf-8"?>
<Properties xmlns="http://schemas.openxmlformats.org/officeDocument/2006/custom-properties" xmlns:vt="http://schemas.openxmlformats.org/officeDocument/2006/docPropsVTypes"/>
</file>