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222_1395250215">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561224_1395250215">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561226_1395250215">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561228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61230_1395250215">
            <w:r>
              <w:rPr>
                <w:webHidden/>
                <w:rStyle w:val="IndexLink"/>
                <w:rtl w:val="true"/>
              </w:rPr>
              <w:t>ایمان موهبتی از منظر آیات و روایات</w:t>
            </w:r>
            <w:r>
              <w:rPr>
                <w:rStyle w:val="IndexLink"/>
                <w:rtl w:val="true"/>
              </w:rPr>
              <w:tab/>
            </w:r>
            <w:r>
              <w:rPr>
                <w:rStyle w:val="IndexLink"/>
              </w:rPr>
              <w:t>12</w:t>
            </w:r>
          </w:hyperlink>
        </w:p>
        <w:p>
          <w:pPr>
            <w:pStyle w:val="Contents3"/>
            <w:tabs>
              <w:tab w:val="clear" w:pos="8459"/>
              <w:tab w:val="right" w:pos="9026" w:leader="dot"/>
            </w:tabs>
            <w:rPr/>
          </w:pPr>
          <w:hyperlink w:anchor="__RefHeading___Toc561232_139525021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61234_1395250215">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561236_1395250215">
            <w:r>
              <w:rPr>
                <w:webHidden/>
                <w:rStyle w:val="IndexLink"/>
                <w:rtl w:val="true"/>
              </w:rPr>
              <w:t>واژگان کلیدی</w:t>
            </w:r>
            <w:r>
              <w:rPr>
                <w:rStyle w:val="IndexLink"/>
                <w:rtl w:val="true"/>
              </w:rPr>
              <w:tab/>
            </w:r>
            <w:r>
              <w:rPr>
                <w:rStyle w:val="IndexLink"/>
              </w:rPr>
              <w:t>12</w:t>
            </w:r>
          </w:hyperlink>
        </w:p>
        <w:p>
          <w:pPr>
            <w:pStyle w:val="Contents3"/>
            <w:tabs>
              <w:tab w:val="clear" w:pos="8459"/>
              <w:tab w:val="right" w:pos="9026" w:leader="dot"/>
            </w:tabs>
            <w:rPr/>
          </w:pPr>
          <w:hyperlink w:anchor="__RefHeading___Toc561238_1395250215">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561240_1395250215">
            <w:r>
              <w:rPr>
                <w:webHidden/>
                <w:rStyle w:val="IndexLink"/>
              </w:rPr>
              <w:t>1</w:t>
            </w:r>
            <w:r>
              <w:rPr>
                <w:rStyle w:val="IndexLink"/>
                <w:rtl w:val="true"/>
              </w:rPr>
              <w:t xml:space="preserve">. </w:t>
            </w:r>
            <w:r>
              <w:rPr>
                <w:rStyle w:val="IndexLink"/>
                <w:rtl w:val="true"/>
              </w:rPr>
              <w:t>تعریف ایمان</w:t>
            </w:r>
            <w:r>
              <w:rPr>
                <w:rStyle w:val="IndexLink"/>
                <w:rtl w:val="true"/>
              </w:rPr>
              <w:tab/>
            </w:r>
            <w:r>
              <w:rPr>
                <w:rStyle w:val="IndexLink"/>
              </w:rPr>
              <w:t>13</w:t>
            </w:r>
          </w:hyperlink>
        </w:p>
        <w:p>
          <w:pPr>
            <w:pStyle w:val="Contents4"/>
            <w:tabs>
              <w:tab w:val="clear" w:pos="8176"/>
              <w:tab w:val="right" w:pos="9026" w:leader="dot"/>
            </w:tabs>
            <w:rPr/>
          </w:pPr>
          <w:hyperlink w:anchor="__RefHeading___Toc561242_139525021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61244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ایمان موهبتی</w:t>
            </w:r>
            <w:r>
              <w:rPr>
                <w:rStyle w:val="IndexLink"/>
                <w:rtl w:val="true"/>
              </w:rPr>
              <w:tab/>
            </w:r>
            <w:r>
              <w:rPr>
                <w:rStyle w:val="IndexLink"/>
              </w:rPr>
              <w:t>14</w:t>
            </w:r>
          </w:hyperlink>
        </w:p>
        <w:p>
          <w:pPr>
            <w:pStyle w:val="Contents3"/>
            <w:tabs>
              <w:tab w:val="clear" w:pos="8459"/>
              <w:tab w:val="right" w:pos="9026" w:leader="dot"/>
            </w:tabs>
            <w:rPr/>
          </w:pPr>
          <w:hyperlink w:anchor="__RefHeading___Toc561246_1395250215">
            <w:r>
              <w:rPr>
                <w:webHidden/>
                <w:rStyle w:val="IndexLink"/>
              </w:rPr>
              <w:t>2</w:t>
            </w:r>
            <w:r>
              <w:rPr>
                <w:rStyle w:val="IndexLink"/>
                <w:rtl w:val="true"/>
              </w:rPr>
              <w:t xml:space="preserve">. </w:t>
            </w:r>
            <w:r>
              <w:rPr>
                <w:rStyle w:val="IndexLink"/>
                <w:rtl w:val="true"/>
              </w:rPr>
              <w:t>ایمان موهبتی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561248_1395250215">
            <w:r>
              <w:rPr>
                <w:webHidden/>
                <w:rStyle w:val="IndexLink"/>
              </w:rPr>
              <w:t>3</w:t>
            </w:r>
            <w:r>
              <w:rPr>
                <w:rStyle w:val="IndexLink"/>
                <w:rtl w:val="true"/>
              </w:rPr>
              <w:t xml:space="preserve">. </w:t>
            </w:r>
            <w:r>
              <w:rPr>
                <w:rStyle w:val="IndexLink"/>
                <w:rtl w:val="true"/>
              </w:rPr>
              <w:t>ایمان در روایات</w:t>
            </w:r>
            <w:r>
              <w:rPr>
                <w:rStyle w:val="IndexLink"/>
                <w:rtl w:val="true"/>
              </w:rPr>
              <w:tab/>
            </w:r>
            <w:r>
              <w:rPr>
                <w:rStyle w:val="IndexLink"/>
              </w:rPr>
              <w:t>19</w:t>
            </w:r>
          </w:hyperlink>
        </w:p>
        <w:p>
          <w:pPr>
            <w:pStyle w:val="Contents4"/>
            <w:tabs>
              <w:tab w:val="clear" w:pos="8176"/>
              <w:tab w:val="right" w:pos="9026" w:leader="dot"/>
            </w:tabs>
            <w:rPr/>
          </w:pPr>
          <w:hyperlink w:anchor="__RefHeading___Toc561250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61252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هدایتِ به ایمان</w:t>
            </w:r>
            <w:r>
              <w:rPr>
                <w:rStyle w:val="IndexLink"/>
                <w:rtl w:val="true"/>
              </w:rPr>
              <w:tab/>
            </w:r>
            <w:r>
              <w:rPr>
                <w:rStyle w:val="IndexLink"/>
              </w:rPr>
              <w:t>19</w:t>
            </w:r>
          </w:hyperlink>
        </w:p>
        <w:p>
          <w:pPr>
            <w:pStyle w:val="Contents4"/>
            <w:tabs>
              <w:tab w:val="clear" w:pos="8176"/>
              <w:tab w:val="right" w:pos="9026" w:leader="dot"/>
            </w:tabs>
            <w:rPr/>
          </w:pPr>
          <w:hyperlink w:anchor="__RefHeading___Toc561254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درخواست ایمان از خدا</w:t>
            </w:r>
            <w:r>
              <w:rPr>
                <w:rStyle w:val="IndexLink"/>
                <w:rtl w:val="true"/>
              </w:rPr>
              <w:tab/>
            </w:r>
            <w:r>
              <w:rPr>
                <w:rStyle w:val="IndexLink"/>
              </w:rPr>
              <w:t>20</w:t>
            </w:r>
          </w:hyperlink>
        </w:p>
        <w:p>
          <w:pPr>
            <w:pStyle w:val="Contents4"/>
            <w:tabs>
              <w:tab w:val="clear" w:pos="8176"/>
              <w:tab w:val="right" w:pos="9026" w:leader="dot"/>
            </w:tabs>
            <w:rPr/>
          </w:pPr>
          <w:hyperlink w:anchor="__RefHeading___Toc561256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اعطای ایمان</w:t>
            </w:r>
            <w:r>
              <w:rPr>
                <w:rStyle w:val="IndexLink"/>
                <w:rtl w:val="true"/>
              </w:rPr>
              <w:tab/>
            </w:r>
            <w:r>
              <w:rPr>
                <w:rStyle w:val="IndexLink"/>
              </w:rPr>
              <w:t>21</w:t>
            </w:r>
          </w:hyperlink>
        </w:p>
        <w:p>
          <w:pPr>
            <w:pStyle w:val="Contents4"/>
            <w:tabs>
              <w:tab w:val="clear" w:pos="8176"/>
              <w:tab w:val="right" w:pos="9026" w:leader="dot"/>
            </w:tabs>
            <w:rPr/>
          </w:pPr>
          <w:hyperlink w:anchor="__RefHeading___Toc561258_1395250215">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توفیق ایمان</w:t>
            </w:r>
            <w:r>
              <w:rPr>
                <w:rStyle w:val="IndexLink"/>
                <w:rtl w:val="true"/>
              </w:rPr>
              <w:tab/>
            </w:r>
            <w:r>
              <w:rPr>
                <w:rStyle w:val="IndexLink"/>
              </w:rPr>
              <w:t>21</w:t>
            </w:r>
          </w:hyperlink>
        </w:p>
        <w:p>
          <w:pPr>
            <w:pStyle w:val="Contents4"/>
            <w:tabs>
              <w:tab w:val="clear" w:pos="8176"/>
              <w:tab w:val="right" w:pos="9026" w:leader="dot"/>
            </w:tabs>
            <w:rPr/>
          </w:pPr>
          <w:hyperlink w:anchor="__RefHeading___Toc561260_1395250215">
            <w:r>
              <w:rPr>
                <w:webHidden/>
                <w:rStyle w:val="IndexLink"/>
              </w:rPr>
              <w:t>5</w:t>
            </w:r>
            <w:r>
              <w:rPr>
                <w:rStyle w:val="IndexLink"/>
                <w:rtl w:val="true"/>
              </w:rPr>
              <w:t>ـ</w:t>
            </w:r>
            <w:r>
              <w:rPr>
                <w:rStyle w:val="IndexLink"/>
              </w:rPr>
              <w:t>3</w:t>
            </w:r>
            <w:r>
              <w:rPr>
                <w:rStyle w:val="IndexLink"/>
                <w:rtl w:val="true"/>
              </w:rPr>
              <w:t xml:space="preserve">. </w:t>
            </w:r>
            <w:r>
              <w:rPr>
                <w:rStyle w:val="IndexLink"/>
                <w:rtl w:val="true"/>
              </w:rPr>
              <w:t xml:space="preserve">قرارِ </w:t>
            </w:r>
            <w:r>
              <w:rPr>
                <w:rStyle w:val="IndexLink"/>
                <w:rtl w:val="true"/>
              </w:rPr>
              <w:t>(</w:t>
            </w:r>
            <w:r>
              <w:rPr>
                <w:rStyle w:val="IndexLink"/>
                <w:rtl w:val="true"/>
              </w:rPr>
              <w:t>سکینه</w:t>
            </w:r>
            <w:r>
              <w:rPr>
                <w:rStyle w:val="IndexLink"/>
                <w:rtl w:val="true"/>
              </w:rPr>
              <w:t xml:space="preserve">) </w:t>
            </w:r>
            <w:r>
              <w:rPr>
                <w:rStyle w:val="IndexLink"/>
                <w:rtl w:val="true"/>
              </w:rPr>
              <w:t>ایمان</w:t>
            </w:r>
            <w:r>
              <w:rPr>
                <w:rStyle w:val="IndexLink"/>
                <w:rtl w:val="true"/>
              </w:rPr>
              <w:tab/>
            </w:r>
            <w:r>
              <w:rPr>
                <w:rStyle w:val="IndexLink"/>
              </w:rPr>
              <w:t>22</w:t>
            </w:r>
          </w:hyperlink>
        </w:p>
        <w:p>
          <w:pPr>
            <w:pStyle w:val="Contents4"/>
            <w:tabs>
              <w:tab w:val="clear" w:pos="8176"/>
              <w:tab w:val="right" w:pos="9026" w:leader="dot"/>
            </w:tabs>
            <w:rPr/>
          </w:pPr>
          <w:hyperlink w:anchor="__RefHeading___Toc561262_1395250215">
            <w:r>
              <w:rPr>
                <w:webHidden/>
                <w:rStyle w:val="IndexLink"/>
              </w:rPr>
              <w:t>6</w:t>
            </w:r>
            <w:r>
              <w:rPr>
                <w:rStyle w:val="IndexLink"/>
                <w:rtl w:val="true"/>
              </w:rPr>
              <w:t>ـ</w:t>
            </w:r>
            <w:r>
              <w:rPr>
                <w:rStyle w:val="IndexLink"/>
              </w:rPr>
              <w:t>3</w:t>
            </w:r>
            <w:r>
              <w:rPr>
                <w:rStyle w:val="IndexLink"/>
                <w:rtl w:val="true"/>
              </w:rPr>
              <w:t xml:space="preserve">. </w:t>
            </w:r>
            <w:r>
              <w:rPr>
                <w:rStyle w:val="IndexLink"/>
                <w:rtl w:val="true"/>
              </w:rPr>
              <w:t>نور ایمان</w:t>
            </w:r>
            <w:r>
              <w:rPr>
                <w:rStyle w:val="IndexLink"/>
                <w:rtl w:val="true"/>
              </w:rPr>
              <w:tab/>
            </w:r>
            <w:r>
              <w:rPr>
                <w:rStyle w:val="IndexLink"/>
              </w:rPr>
              <w:t>23</w:t>
            </w:r>
          </w:hyperlink>
        </w:p>
        <w:p>
          <w:pPr>
            <w:pStyle w:val="Contents4"/>
            <w:tabs>
              <w:tab w:val="clear" w:pos="8176"/>
              <w:tab w:val="right" w:pos="9026" w:leader="dot"/>
            </w:tabs>
            <w:rPr/>
          </w:pPr>
          <w:hyperlink w:anchor="__RefHeading___Toc561264_1395250215">
            <w:r>
              <w:rPr>
                <w:webHidden/>
                <w:rStyle w:val="IndexLink"/>
              </w:rPr>
              <w:t>7</w:t>
            </w:r>
            <w:r>
              <w:rPr>
                <w:rStyle w:val="IndexLink"/>
                <w:rtl w:val="true"/>
              </w:rPr>
              <w:t>ـ</w:t>
            </w:r>
            <w:r>
              <w:rPr>
                <w:rStyle w:val="IndexLink"/>
              </w:rPr>
              <w:t>3</w:t>
            </w:r>
            <w:r>
              <w:rPr>
                <w:rStyle w:val="IndexLink"/>
                <w:rtl w:val="true"/>
              </w:rPr>
              <w:t xml:space="preserve">. </w:t>
            </w:r>
            <w:r>
              <w:rPr>
                <w:rStyle w:val="IndexLink"/>
                <w:rtl w:val="true"/>
              </w:rPr>
              <w:t>روح ایمان</w:t>
            </w:r>
            <w:r>
              <w:rPr>
                <w:rStyle w:val="IndexLink"/>
                <w:rtl w:val="true"/>
              </w:rPr>
              <w:tab/>
            </w:r>
            <w:r>
              <w:rPr>
                <w:rStyle w:val="IndexLink"/>
              </w:rPr>
              <w:t>24</w:t>
            </w:r>
          </w:hyperlink>
        </w:p>
        <w:p>
          <w:pPr>
            <w:pStyle w:val="Contents3"/>
            <w:tabs>
              <w:tab w:val="clear" w:pos="8459"/>
              <w:tab w:val="right" w:pos="9026" w:leader="dot"/>
            </w:tabs>
            <w:rPr/>
          </w:pPr>
          <w:hyperlink w:anchor="__RefHeading___Toc561266_1395250215">
            <w:r>
              <w:rPr>
                <w:webHidden/>
                <w:rStyle w:val="IndexLink"/>
                <w:rtl w:val="true"/>
              </w:rPr>
              <w:t>برآیند</w:t>
            </w:r>
            <w:r>
              <w:rPr>
                <w:rStyle w:val="IndexLink"/>
                <w:rtl w:val="true"/>
              </w:rPr>
              <w:tab/>
            </w:r>
            <w:r>
              <w:rPr>
                <w:rStyle w:val="IndexLink"/>
              </w:rPr>
              <w:t>25</w:t>
            </w:r>
          </w:hyperlink>
        </w:p>
        <w:p>
          <w:pPr>
            <w:pStyle w:val="Contents3"/>
            <w:tabs>
              <w:tab w:val="clear" w:pos="8459"/>
              <w:tab w:val="right" w:pos="9026" w:leader="dot"/>
            </w:tabs>
            <w:rPr/>
          </w:pPr>
          <w:hyperlink w:anchor="__RefHeading___Toc561268_1395250215">
            <w:r>
              <w:rPr>
                <w:webHidden/>
                <w:rStyle w:val="IndexLink"/>
                <w:rtl w:val="true"/>
              </w:rPr>
              <w:t>منابع</w:t>
            </w:r>
            <w:r>
              <w:rPr>
                <w:rStyle w:val="IndexLink"/>
                <w:rtl w:val="true"/>
              </w:rPr>
              <w:tab/>
            </w:r>
            <w:r>
              <w:rPr>
                <w:rStyle w:val="IndexLink"/>
              </w:rPr>
              <w:t>27</w:t>
            </w:r>
          </w:hyperlink>
        </w:p>
        <w:p>
          <w:pPr>
            <w:pStyle w:val="Contents2"/>
            <w:tabs>
              <w:tab w:val="clear" w:pos="8743"/>
              <w:tab w:val="right" w:pos="9026" w:leader="dot"/>
            </w:tabs>
            <w:rPr/>
          </w:pPr>
          <w:hyperlink w:anchor="__RefHeading___Toc561270_1395250215">
            <w:r>
              <w:rPr>
                <w:webHidden/>
                <w:rStyle w:val="IndexLink"/>
                <w:rtl w:val="true"/>
              </w:rPr>
              <w:t>اثبات و تحلیل شان وساطت فیض امامان علیهم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61272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61274_1395250215">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561276_1395250215">
            <w:r>
              <w:rPr>
                <w:webHidden/>
                <w:rStyle w:val="IndexLink"/>
                <w:rtl w:val="true"/>
              </w:rPr>
              <w:t>واژگان کلیدی</w:t>
            </w:r>
            <w:r>
              <w:rPr>
                <w:rStyle w:val="IndexLink"/>
                <w:rtl w:val="true"/>
              </w:rPr>
              <w:tab/>
            </w:r>
            <w:r>
              <w:rPr>
                <w:rStyle w:val="IndexLink"/>
              </w:rPr>
              <w:t>29</w:t>
            </w:r>
          </w:hyperlink>
        </w:p>
        <w:p>
          <w:pPr>
            <w:pStyle w:val="Contents3"/>
            <w:tabs>
              <w:tab w:val="clear" w:pos="8459"/>
              <w:tab w:val="right" w:pos="9026" w:leader="dot"/>
            </w:tabs>
            <w:rPr/>
          </w:pPr>
          <w:hyperlink w:anchor="__RefHeading___Toc561278_1395250215">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561280_1395250215">
            <w:r>
              <w:rPr>
                <w:webHidden/>
                <w:rStyle w:val="IndexLink"/>
              </w:rPr>
              <w:t>1</w:t>
            </w:r>
            <w:r>
              <w:rPr>
                <w:rStyle w:val="IndexLink"/>
                <w:rtl w:val="true"/>
              </w:rPr>
              <w:t>.</w:t>
            </w:r>
            <w:r>
              <w:rPr>
                <w:rStyle w:val="IndexLink"/>
                <w:rtl w:val="true"/>
              </w:rPr>
              <w:t>معناشناسیِ وساطت فیض</w:t>
            </w:r>
            <w:r>
              <w:rPr>
                <w:rStyle w:val="IndexLink"/>
                <w:rtl w:val="true"/>
              </w:rPr>
              <w:tab/>
            </w:r>
            <w:r>
              <w:rPr>
                <w:rStyle w:val="IndexLink"/>
              </w:rPr>
              <w:t>30</w:t>
            </w:r>
          </w:hyperlink>
        </w:p>
        <w:p>
          <w:pPr>
            <w:pStyle w:val="Contents4"/>
            <w:tabs>
              <w:tab w:val="clear" w:pos="8176"/>
              <w:tab w:val="right" w:pos="9026" w:leader="dot"/>
            </w:tabs>
            <w:rPr/>
          </w:pPr>
          <w:hyperlink w:anchor="__RefHeading___Toc561282_139525021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61284_1395250215">
            <w:r>
              <w:rPr>
                <w:webHidden/>
                <w:rStyle w:val="IndexLink"/>
                <w:rtl w:val="true"/>
              </w:rPr>
              <w:t>یکم</w:t>
            </w:r>
            <w:r>
              <w:rPr>
                <w:rStyle w:val="IndexLink"/>
                <w:rtl w:val="true"/>
              </w:rPr>
              <w:tab/>
            </w:r>
            <w:r>
              <w:rPr>
                <w:rStyle w:val="IndexLink"/>
              </w:rPr>
              <w:t>31</w:t>
            </w:r>
          </w:hyperlink>
        </w:p>
        <w:p>
          <w:pPr>
            <w:pStyle w:val="Contents4"/>
            <w:tabs>
              <w:tab w:val="clear" w:pos="8176"/>
              <w:tab w:val="right" w:pos="9026" w:leader="dot"/>
            </w:tabs>
            <w:rPr/>
          </w:pPr>
          <w:hyperlink w:anchor="__RefHeading___Toc561286_1395250215">
            <w:r>
              <w:rPr>
                <w:webHidden/>
                <w:rStyle w:val="IndexLink"/>
                <w:rtl w:val="true"/>
              </w:rPr>
              <w:t>دوم</w:t>
            </w:r>
            <w:r>
              <w:rPr>
                <w:rStyle w:val="IndexLink"/>
                <w:rtl w:val="true"/>
              </w:rPr>
              <w:tab/>
            </w:r>
            <w:r>
              <w:rPr>
                <w:rStyle w:val="IndexLink"/>
              </w:rPr>
              <w:t>31</w:t>
            </w:r>
          </w:hyperlink>
        </w:p>
        <w:p>
          <w:pPr>
            <w:pStyle w:val="Contents3"/>
            <w:tabs>
              <w:tab w:val="clear" w:pos="8459"/>
              <w:tab w:val="right" w:pos="9026" w:leader="dot"/>
            </w:tabs>
            <w:rPr/>
          </w:pPr>
          <w:hyperlink w:anchor="__RefHeading___Toc561288_1395250215">
            <w:r>
              <w:rPr>
                <w:webHidden/>
                <w:rStyle w:val="IndexLink"/>
              </w:rPr>
              <w:t>2</w:t>
            </w:r>
            <w:r>
              <w:rPr>
                <w:rStyle w:val="IndexLink"/>
                <w:rtl w:val="true"/>
              </w:rPr>
              <w:t xml:space="preserve">. </w:t>
            </w:r>
            <w:r>
              <w:rPr>
                <w:rStyle w:val="IndexLink"/>
                <w:rtl w:val="true"/>
              </w:rPr>
              <w:t>اثبات وساطت فیض جزئی</w:t>
            </w:r>
            <w:r>
              <w:rPr>
                <w:rStyle w:val="IndexLink"/>
                <w:rtl w:val="true"/>
              </w:rPr>
              <w:tab/>
            </w:r>
            <w:r>
              <w:rPr>
                <w:rStyle w:val="IndexLink"/>
              </w:rPr>
              <w:t>32</w:t>
            </w:r>
          </w:hyperlink>
        </w:p>
        <w:p>
          <w:pPr>
            <w:pStyle w:val="Contents3"/>
            <w:tabs>
              <w:tab w:val="clear" w:pos="8459"/>
              <w:tab w:val="right" w:pos="9026" w:leader="dot"/>
            </w:tabs>
            <w:rPr/>
          </w:pPr>
          <w:hyperlink w:anchor="__RefHeading___Toc561290_1395250215">
            <w:r>
              <w:rPr>
                <w:webHidden/>
                <w:rStyle w:val="IndexLink"/>
              </w:rPr>
              <w:t>3</w:t>
            </w:r>
            <w:r>
              <w:rPr>
                <w:rStyle w:val="IndexLink"/>
                <w:rtl w:val="true"/>
              </w:rPr>
              <w:t xml:space="preserve">. </w:t>
            </w:r>
            <w:r>
              <w:rPr>
                <w:rStyle w:val="IndexLink"/>
                <w:rtl w:val="true"/>
              </w:rPr>
              <w:t>اثبات وساطت فیض کلی</w:t>
            </w:r>
            <w:r>
              <w:rPr>
                <w:rStyle w:val="IndexLink"/>
                <w:rtl w:val="true"/>
              </w:rPr>
              <w:tab/>
            </w:r>
            <w:r>
              <w:rPr>
                <w:rStyle w:val="IndexLink"/>
              </w:rPr>
              <w:t>32</w:t>
            </w:r>
          </w:hyperlink>
        </w:p>
        <w:p>
          <w:pPr>
            <w:pStyle w:val="Contents4"/>
            <w:tabs>
              <w:tab w:val="clear" w:pos="8176"/>
              <w:tab w:val="right" w:pos="9026" w:leader="dot"/>
            </w:tabs>
            <w:rPr/>
          </w:pPr>
          <w:hyperlink w:anchor="__RefHeading___Toc561292_139525021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61294_1395250215">
            <w:r>
              <w:rPr>
                <w:webHidden/>
                <w:rStyle w:val="IndexLink"/>
                <w:rtl w:val="true"/>
              </w:rPr>
              <w:t>دستة اول</w:t>
            </w:r>
            <w:r>
              <w:rPr>
                <w:rStyle w:val="IndexLink"/>
                <w:rtl w:val="true"/>
              </w:rPr>
              <w:tab/>
            </w:r>
            <w:r>
              <w:rPr>
                <w:rStyle w:val="IndexLink"/>
              </w:rPr>
              <w:t>33</w:t>
            </w:r>
          </w:hyperlink>
        </w:p>
        <w:p>
          <w:pPr>
            <w:pStyle w:val="Contents4"/>
            <w:tabs>
              <w:tab w:val="clear" w:pos="8176"/>
              <w:tab w:val="right" w:pos="9026" w:leader="dot"/>
            </w:tabs>
            <w:rPr/>
          </w:pPr>
          <w:hyperlink w:anchor="__RefHeading___Toc561296_1395250215">
            <w:r>
              <w:rPr>
                <w:webHidden/>
                <w:rStyle w:val="IndexLink"/>
                <w:rtl w:val="true"/>
              </w:rPr>
              <w:t>دستة دوم</w:t>
            </w:r>
            <w:r>
              <w:rPr>
                <w:rStyle w:val="IndexLink"/>
                <w:rtl w:val="true"/>
              </w:rPr>
              <w:tab/>
            </w:r>
            <w:r>
              <w:rPr>
                <w:rStyle w:val="IndexLink"/>
              </w:rPr>
              <w:t>34</w:t>
            </w:r>
          </w:hyperlink>
        </w:p>
        <w:p>
          <w:pPr>
            <w:pStyle w:val="Contents3"/>
            <w:tabs>
              <w:tab w:val="clear" w:pos="8459"/>
              <w:tab w:val="right" w:pos="9026" w:leader="dot"/>
            </w:tabs>
            <w:rPr/>
          </w:pPr>
          <w:hyperlink w:anchor="__RefHeading___Toc561298_1395250215">
            <w:r>
              <w:rPr>
                <w:webHidden/>
                <w:rStyle w:val="IndexLink"/>
              </w:rPr>
              <w:t>4</w:t>
            </w:r>
            <w:r>
              <w:rPr>
                <w:rStyle w:val="IndexLink"/>
                <w:rtl w:val="true"/>
              </w:rPr>
              <w:t xml:space="preserve">. </w:t>
            </w:r>
            <w:r>
              <w:rPr>
                <w:rStyle w:val="IndexLink"/>
                <w:rtl w:val="true"/>
              </w:rPr>
              <w:t>تحلیل نقش امام در وساطت فیض</w:t>
            </w:r>
            <w:r>
              <w:rPr>
                <w:rStyle w:val="IndexLink"/>
                <w:rtl w:val="true"/>
              </w:rPr>
              <w:tab/>
            </w:r>
            <w:r>
              <w:rPr>
                <w:rStyle w:val="IndexLink"/>
              </w:rPr>
              <w:t>36</w:t>
            </w:r>
          </w:hyperlink>
        </w:p>
        <w:p>
          <w:pPr>
            <w:pStyle w:val="Contents4"/>
            <w:tabs>
              <w:tab w:val="clear" w:pos="8176"/>
              <w:tab w:val="right" w:pos="9026" w:leader="dot"/>
            </w:tabs>
            <w:rPr/>
          </w:pPr>
          <w:hyperlink w:anchor="__RefHeading___Toc561300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61302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وساطت فیض جزئی</w:t>
            </w:r>
            <w:r>
              <w:rPr>
                <w:rStyle w:val="IndexLink"/>
                <w:rtl w:val="true"/>
              </w:rPr>
              <w:tab/>
            </w:r>
            <w:r>
              <w:rPr>
                <w:rStyle w:val="IndexLink"/>
              </w:rPr>
              <w:t>36</w:t>
            </w:r>
          </w:hyperlink>
        </w:p>
        <w:p>
          <w:pPr>
            <w:pStyle w:val="Contents4"/>
            <w:tabs>
              <w:tab w:val="clear" w:pos="8176"/>
              <w:tab w:val="right" w:pos="9026" w:leader="dot"/>
            </w:tabs>
            <w:rPr/>
          </w:pPr>
          <w:hyperlink w:anchor="__RefHeading___Toc561304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وساطت فیض کلی</w:t>
            </w:r>
            <w:r>
              <w:rPr>
                <w:rStyle w:val="IndexLink"/>
                <w:rtl w:val="true"/>
              </w:rPr>
              <w:tab/>
            </w:r>
            <w:r>
              <w:rPr>
                <w:rStyle w:val="IndexLink"/>
              </w:rPr>
              <w:t>39</w:t>
            </w:r>
          </w:hyperlink>
        </w:p>
        <w:p>
          <w:pPr>
            <w:pStyle w:val="Contents5"/>
            <w:tabs>
              <w:tab w:val="clear" w:pos="7892"/>
              <w:tab w:val="right" w:pos="9026" w:leader="dot"/>
            </w:tabs>
            <w:rPr/>
          </w:pPr>
          <w:hyperlink w:anchor="__RefHeading___Toc561306_139525021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561308_1395250215">
            <w:r>
              <w:rPr>
                <w:webHidden/>
                <w:rStyle w:val="IndexLink"/>
                <w:rtl w:val="true"/>
              </w:rPr>
              <w:t>یکم</w:t>
            </w:r>
            <w:r>
              <w:rPr>
                <w:rStyle w:val="IndexLink"/>
                <w:rtl w:val="true"/>
              </w:rPr>
              <w:tab/>
            </w:r>
            <w:r>
              <w:rPr>
                <w:rStyle w:val="IndexLink"/>
              </w:rPr>
              <w:t>39</w:t>
            </w:r>
          </w:hyperlink>
        </w:p>
        <w:p>
          <w:pPr>
            <w:pStyle w:val="Contents5"/>
            <w:tabs>
              <w:tab w:val="clear" w:pos="7892"/>
              <w:tab w:val="right" w:pos="9026" w:leader="dot"/>
            </w:tabs>
            <w:rPr/>
          </w:pPr>
          <w:hyperlink w:anchor="__RefHeading___Toc561310_1395250215">
            <w:r>
              <w:rPr>
                <w:webHidden/>
                <w:rStyle w:val="IndexLink"/>
                <w:rtl w:val="true"/>
              </w:rPr>
              <w:t>دوم</w:t>
            </w:r>
            <w:r>
              <w:rPr>
                <w:rStyle w:val="IndexLink"/>
                <w:rtl w:val="true"/>
              </w:rPr>
              <w:tab/>
            </w:r>
            <w:r>
              <w:rPr>
                <w:rStyle w:val="IndexLink"/>
              </w:rPr>
              <w:t>39</w:t>
            </w:r>
          </w:hyperlink>
        </w:p>
        <w:p>
          <w:pPr>
            <w:pStyle w:val="Contents5"/>
            <w:tabs>
              <w:tab w:val="clear" w:pos="7892"/>
              <w:tab w:val="right" w:pos="9026" w:leader="dot"/>
            </w:tabs>
            <w:rPr/>
          </w:pPr>
          <w:hyperlink w:anchor="__RefHeading___Toc561312_1395250215">
            <w:r>
              <w:rPr>
                <w:webHidden/>
                <w:rStyle w:val="IndexLink"/>
                <w:rtl w:val="true"/>
              </w:rPr>
              <w:t>سوم</w:t>
            </w:r>
            <w:r>
              <w:rPr>
                <w:rStyle w:val="IndexLink"/>
                <w:rtl w:val="true"/>
              </w:rPr>
              <w:tab/>
            </w:r>
            <w:r>
              <w:rPr>
                <w:rStyle w:val="IndexLink"/>
              </w:rPr>
              <w:t>40</w:t>
            </w:r>
          </w:hyperlink>
        </w:p>
        <w:p>
          <w:pPr>
            <w:pStyle w:val="Contents5"/>
            <w:tabs>
              <w:tab w:val="clear" w:pos="7892"/>
              <w:tab w:val="right" w:pos="9026" w:leader="dot"/>
            </w:tabs>
            <w:rPr/>
          </w:pPr>
          <w:hyperlink w:anchor="__RefHeading___Toc561314_1395250215">
            <w:r>
              <w:rPr>
                <w:webHidden/>
                <w:rStyle w:val="IndexLink"/>
                <w:rtl w:val="true"/>
              </w:rPr>
              <w:t>چهارم</w:t>
            </w:r>
            <w:r>
              <w:rPr>
                <w:rStyle w:val="IndexLink"/>
                <w:rtl w:val="true"/>
              </w:rPr>
              <w:tab/>
            </w:r>
            <w:r>
              <w:rPr>
                <w:rStyle w:val="IndexLink"/>
              </w:rPr>
              <w:t>41</w:t>
            </w:r>
          </w:hyperlink>
        </w:p>
        <w:p>
          <w:pPr>
            <w:pStyle w:val="Contents3"/>
            <w:tabs>
              <w:tab w:val="clear" w:pos="8459"/>
              <w:tab w:val="right" w:pos="9026" w:leader="dot"/>
            </w:tabs>
            <w:rPr/>
          </w:pPr>
          <w:hyperlink w:anchor="__RefHeading___Toc561316_1395250215">
            <w:r>
              <w:rPr>
                <w:webHidden/>
                <w:rStyle w:val="IndexLink"/>
              </w:rPr>
              <w:t>5</w:t>
            </w:r>
            <w:r>
              <w:rPr>
                <w:rStyle w:val="IndexLink"/>
                <w:rtl w:val="true"/>
              </w:rPr>
              <w:t xml:space="preserve">. </w:t>
            </w:r>
            <w:r>
              <w:rPr>
                <w:rStyle w:val="IndexLink"/>
                <w:rtl w:val="true"/>
              </w:rPr>
              <w:t>واسطه های دیگر فیض کلی</w:t>
            </w:r>
            <w:r>
              <w:rPr>
                <w:rStyle w:val="IndexLink"/>
                <w:rtl w:val="true"/>
              </w:rPr>
              <w:tab/>
            </w:r>
            <w:r>
              <w:rPr>
                <w:rStyle w:val="IndexLink"/>
              </w:rPr>
              <w:t>42</w:t>
            </w:r>
          </w:hyperlink>
        </w:p>
        <w:p>
          <w:pPr>
            <w:pStyle w:val="Contents3"/>
            <w:tabs>
              <w:tab w:val="clear" w:pos="8459"/>
              <w:tab w:val="right" w:pos="9026" w:leader="dot"/>
            </w:tabs>
            <w:rPr/>
          </w:pPr>
          <w:hyperlink w:anchor="__RefHeading___Toc561318_1395250215">
            <w:r>
              <w:rPr>
                <w:webHidden/>
                <w:rStyle w:val="IndexLink"/>
                <w:rtl w:val="true"/>
              </w:rPr>
              <w:t>نتیجه گیری</w:t>
            </w:r>
            <w:r>
              <w:rPr>
                <w:rStyle w:val="IndexLink"/>
                <w:rtl w:val="true"/>
              </w:rPr>
              <w:tab/>
            </w:r>
            <w:r>
              <w:rPr>
                <w:rStyle w:val="IndexLink"/>
              </w:rPr>
              <w:t>42</w:t>
            </w:r>
          </w:hyperlink>
        </w:p>
        <w:p>
          <w:pPr>
            <w:pStyle w:val="Contents3"/>
            <w:tabs>
              <w:tab w:val="clear" w:pos="8459"/>
              <w:tab w:val="right" w:pos="9026" w:leader="dot"/>
            </w:tabs>
            <w:rPr/>
          </w:pPr>
          <w:hyperlink w:anchor="__RefHeading___Toc561320_1395250215">
            <w:r>
              <w:rPr>
                <w:webHidden/>
                <w:rStyle w:val="IndexLink"/>
                <w:rtl w:val="true"/>
              </w:rPr>
              <w:t>توضیحات</w:t>
            </w:r>
            <w:r>
              <w:rPr>
                <w:rStyle w:val="IndexLink"/>
                <w:rtl w:val="true"/>
              </w:rPr>
              <w:tab/>
            </w:r>
            <w:r>
              <w:rPr>
                <w:rStyle w:val="IndexLink"/>
              </w:rPr>
              <w:t>43</w:t>
            </w:r>
          </w:hyperlink>
        </w:p>
        <w:p>
          <w:pPr>
            <w:pStyle w:val="Contents3"/>
            <w:tabs>
              <w:tab w:val="clear" w:pos="8459"/>
              <w:tab w:val="right" w:pos="9026" w:leader="dot"/>
            </w:tabs>
            <w:rPr/>
          </w:pPr>
          <w:hyperlink w:anchor="__RefHeading___Toc561322_1395250215">
            <w:r>
              <w:rPr>
                <w:webHidden/>
                <w:rStyle w:val="IndexLink"/>
                <w:rtl w:val="true"/>
              </w:rPr>
              <w:t>منابع</w:t>
            </w:r>
            <w:r>
              <w:rPr>
                <w:rStyle w:val="IndexLink"/>
                <w:rtl w:val="true"/>
              </w:rPr>
              <w:tab/>
            </w:r>
            <w:r>
              <w:rPr>
                <w:rStyle w:val="IndexLink"/>
              </w:rPr>
              <w:t>43</w:t>
            </w:r>
          </w:hyperlink>
        </w:p>
        <w:p>
          <w:pPr>
            <w:pStyle w:val="Contents2"/>
            <w:tabs>
              <w:tab w:val="clear" w:pos="8743"/>
              <w:tab w:val="right" w:pos="9026" w:leader="dot"/>
            </w:tabs>
            <w:rPr/>
          </w:pPr>
          <w:hyperlink w:anchor="__RefHeading___Toc561324_1395250215">
            <w:r>
              <w:rPr>
                <w:webHidden/>
                <w:rStyle w:val="IndexLink"/>
                <w:rtl w:val="true"/>
              </w:rPr>
              <w:t>گستره علم امام در اندیشه علمای شیعه</w:t>
            </w:r>
            <w:r>
              <w:rPr>
                <w:rStyle w:val="IndexLink"/>
                <w:rtl w:val="true"/>
              </w:rPr>
              <w:tab/>
            </w:r>
            <w:r>
              <w:rPr>
                <w:rStyle w:val="IndexLink"/>
              </w:rPr>
              <w:t>45</w:t>
            </w:r>
          </w:hyperlink>
        </w:p>
        <w:p>
          <w:pPr>
            <w:pStyle w:val="Contents3"/>
            <w:tabs>
              <w:tab w:val="clear" w:pos="8459"/>
              <w:tab w:val="right" w:pos="9026" w:leader="dot"/>
            </w:tabs>
            <w:rPr/>
          </w:pPr>
          <w:hyperlink w:anchor="__RefHeading___Toc561326_1395250215">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61328_1395250215">
            <w:r>
              <w:rPr>
                <w:webHidden/>
                <w:rStyle w:val="IndexLink"/>
                <w:rtl w:val="true"/>
              </w:rPr>
              <w:t>چکیده</w:t>
            </w:r>
            <w:r>
              <w:rPr>
                <w:rStyle w:val="IndexLink"/>
                <w:rtl w:val="true"/>
              </w:rPr>
              <w:tab/>
            </w:r>
            <w:r>
              <w:rPr>
                <w:rStyle w:val="IndexLink"/>
              </w:rPr>
              <w:t>45</w:t>
            </w:r>
          </w:hyperlink>
        </w:p>
        <w:p>
          <w:pPr>
            <w:pStyle w:val="Contents3"/>
            <w:tabs>
              <w:tab w:val="clear" w:pos="8459"/>
              <w:tab w:val="right" w:pos="9026" w:leader="dot"/>
            </w:tabs>
            <w:rPr/>
          </w:pPr>
          <w:hyperlink w:anchor="__RefHeading___Toc561330_1395250215">
            <w:r>
              <w:rPr>
                <w:webHidden/>
                <w:rStyle w:val="IndexLink"/>
                <w:rtl w:val="true"/>
              </w:rPr>
              <w:t>واژگان کلیدی</w:t>
            </w:r>
            <w:r>
              <w:rPr>
                <w:rStyle w:val="IndexLink"/>
                <w:rtl w:val="true"/>
              </w:rPr>
              <w:tab/>
            </w:r>
            <w:r>
              <w:rPr>
                <w:rStyle w:val="IndexLink"/>
              </w:rPr>
              <w:t>45</w:t>
            </w:r>
          </w:hyperlink>
        </w:p>
        <w:p>
          <w:pPr>
            <w:pStyle w:val="Contents3"/>
            <w:tabs>
              <w:tab w:val="clear" w:pos="8459"/>
              <w:tab w:val="right" w:pos="9026" w:leader="dot"/>
            </w:tabs>
            <w:rPr/>
          </w:pPr>
          <w:hyperlink w:anchor="__RefHeading___Toc561332_1395250215">
            <w:r>
              <w:rPr>
                <w:webHidden/>
                <w:rStyle w:val="IndexLink"/>
                <w:rtl w:val="true"/>
              </w:rPr>
              <w:t>تبیین مسئله</w:t>
            </w:r>
            <w:r>
              <w:rPr>
                <w:rStyle w:val="IndexLink"/>
                <w:rtl w:val="true"/>
              </w:rPr>
              <w:tab/>
            </w:r>
            <w:r>
              <w:rPr>
                <w:rStyle w:val="IndexLink"/>
              </w:rPr>
              <w:t>46</w:t>
            </w:r>
          </w:hyperlink>
        </w:p>
        <w:p>
          <w:pPr>
            <w:pStyle w:val="Contents3"/>
            <w:tabs>
              <w:tab w:val="clear" w:pos="8459"/>
              <w:tab w:val="right" w:pos="9026" w:leader="dot"/>
            </w:tabs>
            <w:rPr/>
          </w:pPr>
          <w:hyperlink w:anchor="__RefHeading___Toc561334_1395250215">
            <w:r>
              <w:rPr>
                <w:webHidden/>
                <w:rStyle w:val="IndexLink"/>
                <w:rtl w:val="true"/>
              </w:rPr>
              <w:t>مشرب های گوناگون علما دربارۀ قلمرو علم امام</w:t>
            </w:r>
            <w:r>
              <w:rPr>
                <w:rStyle w:val="IndexLink"/>
                <w:rtl w:val="true"/>
              </w:rPr>
              <w:tab/>
            </w:r>
            <w:r>
              <w:rPr>
                <w:rStyle w:val="IndexLink"/>
              </w:rPr>
              <w:t>47</w:t>
            </w:r>
          </w:hyperlink>
        </w:p>
        <w:p>
          <w:pPr>
            <w:pStyle w:val="Contents4"/>
            <w:tabs>
              <w:tab w:val="clear" w:pos="8176"/>
              <w:tab w:val="right" w:pos="9026" w:leader="dot"/>
            </w:tabs>
            <w:rPr/>
          </w:pPr>
          <w:hyperlink w:anchor="__RefHeading___Toc561336_139525021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61338_1395250215">
            <w:r>
              <w:rPr>
                <w:webHidden/>
                <w:rStyle w:val="IndexLink"/>
                <w:rtl w:val="true"/>
              </w:rPr>
              <w:t>الف</w:t>
            </w:r>
            <w:r>
              <w:rPr>
                <w:rStyle w:val="IndexLink"/>
                <w:rtl w:val="true"/>
              </w:rPr>
              <w:t xml:space="preserve">) </w:t>
            </w:r>
            <w:r>
              <w:rPr>
                <w:rStyle w:val="IndexLink"/>
                <w:rtl w:val="true"/>
              </w:rPr>
              <w:t>تردید و سکوت در حدود علم امام</w:t>
            </w:r>
            <w:r>
              <w:rPr>
                <w:rStyle w:val="IndexLink"/>
                <w:rtl w:val="true"/>
              </w:rPr>
              <w:tab/>
            </w:r>
            <w:r>
              <w:rPr>
                <w:rStyle w:val="IndexLink"/>
              </w:rPr>
              <w:t>47</w:t>
            </w:r>
          </w:hyperlink>
        </w:p>
        <w:p>
          <w:pPr>
            <w:pStyle w:val="Contents5"/>
            <w:tabs>
              <w:tab w:val="clear" w:pos="7892"/>
              <w:tab w:val="right" w:pos="9026" w:leader="dot"/>
            </w:tabs>
            <w:rPr/>
          </w:pPr>
          <w:hyperlink w:anchor="__RefHeading___Toc561340_139525021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61342_1395250215">
            <w:r>
              <w:rPr>
                <w:webHidden/>
                <w:rStyle w:val="IndexLink"/>
                <w:rtl w:val="true"/>
              </w:rPr>
              <w:t>تحلیل و بررسی این رویکرد</w:t>
            </w:r>
            <w:r>
              <w:rPr>
                <w:rStyle w:val="IndexLink"/>
                <w:rtl w:val="true"/>
              </w:rPr>
              <w:tab/>
            </w:r>
            <w:r>
              <w:rPr>
                <w:rStyle w:val="IndexLink"/>
              </w:rPr>
              <w:t>48</w:t>
            </w:r>
          </w:hyperlink>
        </w:p>
        <w:p>
          <w:pPr>
            <w:pStyle w:val="Contents4"/>
            <w:tabs>
              <w:tab w:val="clear" w:pos="8176"/>
              <w:tab w:val="right" w:pos="9026" w:leader="dot"/>
            </w:tabs>
            <w:rPr/>
          </w:pPr>
          <w:hyperlink w:anchor="__RefHeading___Toc561344_1395250215">
            <w:r>
              <w:rPr>
                <w:webHidden/>
                <w:rStyle w:val="IndexLink"/>
                <w:rtl w:val="true"/>
              </w:rPr>
              <w:t>ب</w:t>
            </w:r>
            <w:r>
              <w:rPr>
                <w:rStyle w:val="IndexLink"/>
                <w:rtl w:val="true"/>
              </w:rPr>
              <w:t xml:space="preserve">) </w:t>
            </w:r>
            <w:r>
              <w:rPr>
                <w:rStyle w:val="IndexLink"/>
                <w:rtl w:val="true"/>
              </w:rPr>
              <w:t>محدود بودن قلمرو علم امام</w:t>
            </w:r>
            <w:r>
              <w:rPr>
                <w:rStyle w:val="IndexLink"/>
                <w:rtl w:val="true"/>
              </w:rPr>
              <w:tab/>
            </w:r>
            <w:r>
              <w:rPr>
                <w:rStyle w:val="IndexLink"/>
              </w:rPr>
              <w:t>48</w:t>
            </w:r>
          </w:hyperlink>
        </w:p>
        <w:p>
          <w:pPr>
            <w:pStyle w:val="Contents5"/>
            <w:tabs>
              <w:tab w:val="clear" w:pos="7892"/>
              <w:tab w:val="right" w:pos="9026" w:leader="dot"/>
            </w:tabs>
            <w:rPr/>
          </w:pPr>
          <w:hyperlink w:anchor="__RefHeading___Toc561346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61348_1395250215">
            <w:r>
              <w:rPr>
                <w:webHidden/>
                <w:rStyle w:val="IndexLink"/>
                <w:rtl w:val="true"/>
              </w:rPr>
              <w:t>شیخ مفید</w:t>
            </w:r>
            <w:r>
              <w:rPr>
                <w:rStyle w:val="IndexLink"/>
                <w:rtl w:val="true"/>
              </w:rPr>
              <w:tab/>
            </w:r>
            <w:r>
              <w:rPr>
                <w:rStyle w:val="IndexLink"/>
              </w:rPr>
              <w:t>48</w:t>
            </w:r>
          </w:hyperlink>
        </w:p>
        <w:p>
          <w:pPr>
            <w:pStyle w:val="Contents5"/>
            <w:tabs>
              <w:tab w:val="clear" w:pos="7892"/>
              <w:tab w:val="right" w:pos="9026" w:leader="dot"/>
            </w:tabs>
            <w:rPr/>
          </w:pPr>
          <w:hyperlink w:anchor="__RefHeading___Toc561350_1395250215">
            <w:r>
              <w:rPr>
                <w:webHidden/>
                <w:rStyle w:val="IndexLink"/>
                <w:rtl w:val="true"/>
              </w:rPr>
              <w:t>سید مرتضی</w:t>
            </w:r>
            <w:r>
              <w:rPr>
                <w:rStyle w:val="IndexLink"/>
                <w:rtl w:val="true"/>
              </w:rPr>
              <w:tab/>
            </w:r>
            <w:r>
              <w:rPr>
                <w:rStyle w:val="IndexLink"/>
              </w:rPr>
              <w:t>49</w:t>
            </w:r>
          </w:hyperlink>
        </w:p>
        <w:p>
          <w:pPr>
            <w:pStyle w:val="Contents5"/>
            <w:tabs>
              <w:tab w:val="clear" w:pos="7892"/>
              <w:tab w:val="right" w:pos="9026" w:leader="dot"/>
            </w:tabs>
            <w:rPr/>
          </w:pPr>
          <w:hyperlink w:anchor="__RefHeading___Toc561352_1395250215">
            <w:r>
              <w:rPr>
                <w:webHidden/>
                <w:rStyle w:val="IndexLink"/>
                <w:rtl w:val="true"/>
              </w:rPr>
              <w:t>محمد شهر آشوب مازندرانی</w:t>
            </w:r>
            <w:r>
              <w:rPr>
                <w:rStyle w:val="IndexLink"/>
                <w:rtl w:val="true"/>
              </w:rPr>
              <w:tab/>
            </w:r>
            <w:r>
              <w:rPr>
                <w:rStyle w:val="IndexLink"/>
              </w:rPr>
              <w:t>50</w:t>
            </w:r>
          </w:hyperlink>
        </w:p>
        <w:p>
          <w:pPr>
            <w:pStyle w:val="Contents5"/>
            <w:tabs>
              <w:tab w:val="clear" w:pos="7892"/>
              <w:tab w:val="right" w:pos="9026" w:leader="dot"/>
            </w:tabs>
            <w:rPr/>
          </w:pPr>
          <w:hyperlink w:anchor="__RefHeading___Toc561354_1395250215">
            <w:r>
              <w:rPr>
                <w:webHidden/>
                <w:rStyle w:val="IndexLink"/>
                <w:rtl w:val="true"/>
              </w:rPr>
              <w:t>امین الاسلام طبرسی</w:t>
            </w:r>
            <w:r>
              <w:rPr>
                <w:rStyle w:val="IndexLink"/>
                <w:rtl w:val="true"/>
              </w:rPr>
              <w:tab/>
            </w:r>
            <w:r>
              <w:rPr>
                <w:rStyle w:val="IndexLink"/>
              </w:rPr>
              <w:t>50</w:t>
            </w:r>
          </w:hyperlink>
        </w:p>
        <w:p>
          <w:pPr>
            <w:pStyle w:val="Contents5"/>
            <w:tabs>
              <w:tab w:val="clear" w:pos="7892"/>
              <w:tab w:val="right" w:pos="9026" w:leader="dot"/>
            </w:tabs>
            <w:rPr/>
          </w:pPr>
          <w:hyperlink w:anchor="__RefHeading___Toc561356_1395250215">
            <w:r>
              <w:rPr>
                <w:webHidden/>
                <w:rStyle w:val="IndexLink"/>
                <w:rtl w:val="true"/>
              </w:rPr>
              <w:t>سید علی قزوینی</w:t>
            </w:r>
            <w:r>
              <w:rPr>
                <w:rStyle w:val="IndexLink"/>
                <w:rtl w:val="true"/>
              </w:rPr>
              <w:tab/>
            </w:r>
            <w:r>
              <w:rPr>
                <w:rStyle w:val="IndexLink"/>
              </w:rPr>
              <w:t>51</w:t>
            </w:r>
          </w:hyperlink>
        </w:p>
        <w:p>
          <w:pPr>
            <w:pStyle w:val="Contents5"/>
            <w:tabs>
              <w:tab w:val="clear" w:pos="7892"/>
              <w:tab w:val="right" w:pos="9026" w:leader="dot"/>
            </w:tabs>
            <w:rPr/>
          </w:pPr>
          <w:hyperlink w:anchor="__RefHeading___Toc561358_1395250215">
            <w:r>
              <w:rPr>
                <w:webHidden/>
                <w:rStyle w:val="IndexLink"/>
                <w:rtl w:val="true"/>
              </w:rPr>
              <w:t>تحلیل و بررسی این رویکرد</w:t>
            </w:r>
            <w:r>
              <w:rPr>
                <w:rStyle w:val="IndexLink"/>
                <w:rtl w:val="true"/>
              </w:rPr>
              <w:tab/>
            </w:r>
            <w:r>
              <w:rPr>
                <w:rStyle w:val="IndexLink"/>
              </w:rPr>
              <w:t>51</w:t>
            </w:r>
          </w:hyperlink>
        </w:p>
        <w:p>
          <w:pPr>
            <w:pStyle w:val="Contents4"/>
            <w:tabs>
              <w:tab w:val="clear" w:pos="8176"/>
              <w:tab w:val="right" w:pos="9026" w:leader="dot"/>
            </w:tabs>
            <w:rPr/>
          </w:pPr>
          <w:hyperlink w:anchor="__RefHeading___Toc561360_1395250215">
            <w:r>
              <w:rPr>
                <w:webHidden/>
                <w:rStyle w:val="IndexLink"/>
                <w:rtl w:val="true"/>
              </w:rPr>
              <w:t>ج</w:t>
            </w:r>
            <w:r>
              <w:rPr>
                <w:rStyle w:val="IndexLink"/>
                <w:rtl w:val="true"/>
              </w:rPr>
              <w:t xml:space="preserve">) </w:t>
            </w:r>
            <w:r>
              <w:rPr>
                <w:rStyle w:val="IndexLink"/>
                <w:rtl w:val="true"/>
              </w:rPr>
              <w:t>تعمیم در قلمرو علم امام</w:t>
            </w:r>
            <w:r>
              <w:rPr>
                <w:rStyle w:val="IndexLink"/>
                <w:rtl w:val="true"/>
              </w:rPr>
              <w:tab/>
            </w:r>
            <w:r>
              <w:rPr>
                <w:rStyle w:val="IndexLink"/>
              </w:rPr>
              <w:t>54</w:t>
            </w:r>
          </w:hyperlink>
        </w:p>
        <w:p>
          <w:pPr>
            <w:pStyle w:val="Contents5"/>
            <w:tabs>
              <w:tab w:val="clear" w:pos="7892"/>
              <w:tab w:val="right" w:pos="9026" w:leader="dot"/>
            </w:tabs>
            <w:rPr/>
          </w:pPr>
          <w:hyperlink w:anchor="__RefHeading___Toc561362_139525021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61364_1395250215">
            <w:r>
              <w:rPr>
                <w:webHidden/>
                <w:rStyle w:val="IndexLink"/>
                <w:rtl w:val="true"/>
              </w:rPr>
              <w:t>آخوند خراسانی</w:t>
            </w:r>
            <w:r>
              <w:rPr>
                <w:rStyle w:val="IndexLink"/>
                <w:rtl w:val="true"/>
              </w:rPr>
              <w:tab/>
            </w:r>
            <w:r>
              <w:rPr>
                <w:rStyle w:val="IndexLink"/>
              </w:rPr>
              <w:t>55</w:t>
            </w:r>
          </w:hyperlink>
        </w:p>
        <w:p>
          <w:pPr>
            <w:pStyle w:val="Contents5"/>
            <w:tabs>
              <w:tab w:val="clear" w:pos="7892"/>
              <w:tab w:val="right" w:pos="9026" w:leader="dot"/>
            </w:tabs>
            <w:rPr/>
          </w:pPr>
          <w:hyperlink w:anchor="__RefHeading___Toc561366_1395250215">
            <w:r>
              <w:rPr>
                <w:webHidden/>
                <w:rStyle w:val="IndexLink"/>
                <w:rtl w:val="true"/>
              </w:rPr>
              <w:t>شیخ محمد حسین اصفهانی</w:t>
            </w:r>
            <w:r>
              <w:rPr>
                <w:rStyle w:val="IndexLink"/>
                <w:rtl w:val="true"/>
              </w:rPr>
              <w:tab/>
            </w:r>
            <w:r>
              <w:rPr>
                <w:rStyle w:val="IndexLink"/>
              </w:rPr>
              <w:t>55</w:t>
            </w:r>
          </w:hyperlink>
        </w:p>
        <w:p>
          <w:pPr>
            <w:pStyle w:val="Contents5"/>
            <w:tabs>
              <w:tab w:val="clear" w:pos="7892"/>
              <w:tab w:val="right" w:pos="9026" w:leader="dot"/>
            </w:tabs>
            <w:rPr/>
          </w:pPr>
          <w:hyperlink w:anchor="__RefHeading___Toc561368_1395250215">
            <w:r>
              <w:rPr>
                <w:webHidden/>
                <w:rStyle w:val="IndexLink"/>
                <w:rtl w:val="true"/>
              </w:rPr>
              <w:t>شیخ محمد حسین مظفر</w:t>
            </w:r>
            <w:r>
              <w:rPr>
                <w:rStyle w:val="IndexLink"/>
                <w:rtl w:val="true"/>
              </w:rPr>
              <w:tab/>
            </w:r>
            <w:r>
              <w:rPr>
                <w:rStyle w:val="IndexLink"/>
              </w:rPr>
              <w:t>55</w:t>
            </w:r>
          </w:hyperlink>
        </w:p>
        <w:p>
          <w:pPr>
            <w:pStyle w:val="Contents5"/>
            <w:tabs>
              <w:tab w:val="clear" w:pos="7892"/>
              <w:tab w:val="right" w:pos="9026" w:leader="dot"/>
            </w:tabs>
            <w:rPr/>
          </w:pPr>
          <w:hyperlink w:anchor="__RefHeading___Toc561370_1395250215">
            <w:r>
              <w:rPr>
                <w:webHidden/>
                <w:rStyle w:val="IndexLink"/>
                <w:rtl w:val="true"/>
              </w:rPr>
              <w:t>امام خمینی رحمه الله علیه</w:t>
            </w:r>
            <w:r>
              <w:rPr>
                <w:rStyle w:val="IndexLink"/>
                <w:rtl w:val="true"/>
              </w:rPr>
              <w:tab/>
            </w:r>
            <w:r>
              <w:rPr>
                <w:rStyle w:val="IndexLink"/>
              </w:rPr>
              <w:t>56</w:t>
            </w:r>
          </w:hyperlink>
        </w:p>
        <w:p>
          <w:pPr>
            <w:pStyle w:val="Contents5"/>
            <w:tabs>
              <w:tab w:val="clear" w:pos="7892"/>
              <w:tab w:val="right" w:pos="9026" w:leader="dot"/>
            </w:tabs>
            <w:rPr/>
          </w:pPr>
          <w:hyperlink w:anchor="__RefHeading___Toc561372_1395250215">
            <w:r>
              <w:rPr>
                <w:webHidden/>
                <w:rStyle w:val="IndexLink"/>
                <w:rtl w:val="true"/>
              </w:rPr>
              <w:t>علامه طباطبایی رحمه الله علیه</w:t>
            </w:r>
            <w:r>
              <w:rPr>
                <w:rStyle w:val="IndexLink"/>
                <w:rtl w:val="true"/>
              </w:rPr>
              <w:tab/>
            </w:r>
            <w:r>
              <w:rPr>
                <w:rStyle w:val="IndexLink"/>
              </w:rPr>
              <w:t>56</w:t>
            </w:r>
          </w:hyperlink>
        </w:p>
        <w:p>
          <w:pPr>
            <w:pStyle w:val="Contents5"/>
            <w:tabs>
              <w:tab w:val="clear" w:pos="7892"/>
              <w:tab w:val="right" w:pos="9026" w:leader="dot"/>
            </w:tabs>
            <w:rPr/>
          </w:pPr>
          <w:hyperlink w:anchor="__RefHeading___Toc561374_1395250215">
            <w:r>
              <w:rPr>
                <w:webHidden/>
                <w:rStyle w:val="IndexLink"/>
                <w:rtl w:val="true"/>
              </w:rPr>
              <w:t>آیت الله جوادی آملی</w:t>
            </w:r>
            <w:r>
              <w:rPr>
                <w:rStyle w:val="IndexLink"/>
                <w:rtl w:val="true"/>
              </w:rPr>
              <w:tab/>
            </w:r>
            <w:r>
              <w:rPr>
                <w:rStyle w:val="IndexLink"/>
              </w:rPr>
              <w:t>57</w:t>
            </w:r>
          </w:hyperlink>
        </w:p>
        <w:p>
          <w:pPr>
            <w:pStyle w:val="Contents5"/>
            <w:tabs>
              <w:tab w:val="clear" w:pos="7892"/>
              <w:tab w:val="right" w:pos="9026" w:leader="dot"/>
            </w:tabs>
            <w:rPr/>
          </w:pPr>
          <w:hyperlink w:anchor="__RefHeading___Toc561376_1395250215">
            <w:r>
              <w:rPr>
                <w:webHidden/>
                <w:rStyle w:val="IndexLink"/>
                <w:rtl w:val="true"/>
              </w:rPr>
              <w:t>تحلیل و برسی رویکرد سوم</w:t>
            </w:r>
            <w:r>
              <w:rPr>
                <w:rStyle w:val="IndexLink"/>
                <w:rtl w:val="true"/>
              </w:rPr>
              <w:tab/>
            </w:r>
            <w:r>
              <w:rPr>
                <w:rStyle w:val="IndexLink"/>
              </w:rPr>
              <w:t>58</w:t>
            </w:r>
          </w:hyperlink>
        </w:p>
        <w:p>
          <w:pPr>
            <w:pStyle w:val="Contents5"/>
            <w:tabs>
              <w:tab w:val="clear" w:pos="7892"/>
              <w:tab w:val="right" w:pos="9026" w:leader="dot"/>
            </w:tabs>
            <w:rPr/>
          </w:pPr>
          <w:hyperlink w:anchor="__RefHeading___Toc561378_1395250215">
            <w:r>
              <w:rPr>
                <w:webHidden/>
                <w:rStyle w:val="IndexLink"/>
                <w:rtl w:val="true"/>
              </w:rPr>
              <w:t>دلایل موافقانتعمیم علم امام</w:t>
            </w:r>
            <w:r>
              <w:rPr>
                <w:rStyle w:val="IndexLink"/>
                <w:rtl w:val="true"/>
              </w:rPr>
              <w:tab/>
            </w:r>
            <w:r>
              <w:rPr>
                <w:rStyle w:val="IndexLink"/>
              </w:rPr>
              <w:t>60</w:t>
            </w:r>
          </w:hyperlink>
        </w:p>
        <w:p>
          <w:pPr>
            <w:pStyle w:val="Contents6"/>
            <w:tabs>
              <w:tab w:val="clear" w:pos="7609"/>
              <w:tab w:val="right" w:pos="9026" w:leader="dot"/>
            </w:tabs>
            <w:rPr/>
          </w:pPr>
          <w:hyperlink w:anchor="__RefHeading___Toc561380_139525021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561382_1395250215">
            <w:r>
              <w:rPr>
                <w:webHidden/>
                <w:rStyle w:val="IndexLink"/>
                <w:rtl w:val="true"/>
              </w:rPr>
              <w:t>ادله عقلی</w:t>
            </w:r>
            <w:r>
              <w:rPr>
                <w:rStyle w:val="IndexLink"/>
                <w:rtl w:val="true"/>
              </w:rPr>
              <w:tab/>
            </w:r>
            <w:r>
              <w:rPr>
                <w:rStyle w:val="IndexLink"/>
              </w:rPr>
              <w:t>60</w:t>
            </w:r>
          </w:hyperlink>
        </w:p>
        <w:p>
          <w:pPr>
            <w:pStyle w:val="Contents6"/>
            <w:tabs>
              <w:tab w:val="clear" w:pos="7609"/>
              <w:tab w:val="right" w:pos="9026" w:leader="dot"/>
            </w:tabs>
            <w:rPr/>
          </w:pPr>
          <w:hyperlink w:anchor="__RefHeading___Toc561384_1395250215">
            <w:r>
              <w:rPr>
                <w:webHidden/>
                <w:rStyle w:val="IndexLink"/>
                <w:rtl w:val="true"/>
              </w:rPr>
              <w:t>ادله نقلی و روایات</w:t>
            </w:r>
            <w:r>
              <w:rPr>
                <w:rStyle w:val="IndexLink"/>
                <w:rtl w:val="true"/>
              </w:rPr>
              <w:tab/>
            </w:r>
            <w:r>
              <w:rPr>
                <w:rStyle w:val="IndexLink"/>
              </w:rPr>
              <w:t>60</w:t>
            </w:r>
          </w:hyperlink>
        </w:p>
        <w:p>
          <w:pPr>
            <w:pStyle w:val="Contents3"/>
            <w:tabs>
              <w:tab w:val="clear" w:pos="8459"/>
              <w:tab w:val="right" w:pos="9026" w:leader="dot"/>
            </w:tabs>
            <w:rPr/>
          </w:pPr>
          <w:hyperlink w:anchor="__RefHeading___Toc561386_1395250215">
            <w:r>
              <w:rPr>
                <w:webHidden/>
                <w:rStyle w:val="IndexLink"/>
                <w:rtl w:val="true"/>
              </w:rPr>
              <w:t>نتیجه</w:t>
            </w:r>
            <w:r>
              <w:rPr>
                <w:rStyle w:val="IndexLink"/>
                <w:rtl w:val="true"/>
              </w:rPr>
              <w:tab/>
            </w:r>
            <w:r>
              <w:rPr>
                <w:rStyle w:val="IndexLink"/>
              </w:rPr>
              <w:t>61</w:t>
            </w:r>
          </w:hyperlink>
        </w:p>
        <w:p>
          <w:pPr>
            <w:pStyle w:val="Contents3"/>
            <w:tabs>
              <w:tab w:val="clear" w:pos="8459"/>
              <w:tab w:val="right" w:pos="9026" w:leader="dot"/>
            </w:tabs>
            <w:rPr/>
          </w:pPr>
          <w:hyperlink w:anchor="__RefHeading___Toc561388_1395250215">
            <w:r>
              <w:rPr>
                <w:webHidden/>
                <w:rStyle w:val="IndexLink"/>
                <w:rtl w:val="true"/>
              </w:rPr>
              <w:t>منابع</w:t>
            </w:r>
            <w:r>
              <w:rPr>
                <w:rStyle w:val="IndexLink"/>
                <w:rtl w:val="true"/>
              </w:rPr>
              <w:tab/>
            </w:r>
            <w:r>
              <w:rPr>
                <w:rStyle w:val="IndexLink"/>
              </w:rPr>
              <w:t>62</w:t>
            </w:r>
          </w:hyperlink>
        </w:p>
        <w:p>
          <w:pPr>
            <w:pStyle w:val="Contents2"/>
            <w:tabs>
              <w:tab w:val="clear" w:pos="8743"/>
              <w:tab w:val="right" w:pos="9026" w:leader="dot"/>
            </w:tabs>
            <w:rPr/>
          </w:pPr>
          <w:hyperlink w:anchor="__RefHeading___Toc561390_1395250215">
            <w:r>
              <w:rPr>
                <w:webHidden/>
                <w:rStyle w:val="IndexLink"/>
                <w:rtl w:val="true"/>
              </w:rPr>
              <w:t>برسی تاثیر شیعیان کوفه از فرهنگ رای و قیلس در نیمه اول سده دوم</w:t>
            </w:r>
            <w:r>
              <w:rPr>
                <w:rStyle w:val="IndexLink"/>
                <w:rtl w:val="true"/>
              </w:rPr>
              <w:tab/>
            </w:r>
            <w:r>
              <w:rPr>
                <w:rStyle w:val="IndexLink"/>
              </w:rPr>
              <w:t>66</w:t>
            </w:r>
          </w:hyperlink>
        </w:p>
        <w:p>
          <w:pPr>
            <w:pStyle w:val="Contents3"/>
            <w:tabs>
              <w:tab w:val="clear" w:pos="8459"/>
              <w:tab w:val="right" w:pos="9026" w:leader="dot"/>
            </w:tabs>
            <w:rPr/>
          </w:pPr>
          <w:hyperlink w:anchor="__RefHeading___Toc561392_139525021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61394_1395250215">
            <w:r>
              <w:rPr>
                <w:webHidden/>
                <w:rStyle w:val="IndexLink"/>
                <w:rtl w:val="true"/>
              </w:rPr>
              <w:t>چکیده</w:t>
            </w:r>
            <w:r>
              <w:rPr>
                <w:rStyle w:val="IndexLink"/>
                <w:rtl w:val="true"/>
              </w:rPr>
              <w:tab/>
            </w:r>
            <w:r>
              <w:rPr>
                <w:rStyle w:val="IndexLink"/>
              </w:rPr>
              <w:t>66</w:t>
            </w:r>
          </w:hyperlink>
        </w:p>
        <w:p>
          <w:pPr>
            <w:pStyle w:val="Contents3"/>
            <w:tabs>
              <w:tab w:val="clear" w:pos="8459"/>
              <w:tab w:val="right" w:pos="9026" w:leader="dot"/>
            </w:tabs>
            <w:rPr/>
          </w:pPr>
          <w:hyperlink w:anchor="__RefHeading___Toc561396_1395250215">
            <w:r>
              <w:rPr>
                <w:webHidden/>
                <w:rStyle w:val="IndexLink"/>
                <w:rtl w:val="true"/>
              </w:rPr>
              <w:t>واژگان کلیدی</w:t>
            </w:r>
            <w:r>
              <w:rPr>
                <w:rStyle w:val="IndexLink"/>
                <w:rtl w:val="true"/>
              </w:rPr>
              <w:tab/>
            </w:r>
            <w:r>
              <w:rPr>
                <w:rStyle w:val="IndexLink"/>
              </w:rPr>
              <w:t>66</w:t>
            </w:r>
          </w:hyperlink>
        </w:p>
        <w:p>
          <w:pPr>
            <w:pStyle w:val="Contents3"/>
            <w:tabs>
              <w:tab w:val="clear" w:pos="8459"/>
              <w:tab w:val="right" w:pos="9026" w:leader="dot"/>
            </w:tabs>
            <w:rPr/>
          </w:pPr>
          <w:hyperlink w:anchor="__RefHeading___Toc561398_1395250215">
            <w:r>
              <w:rPr>
                <w:webHidden/>
                <w:rStyle w:val="IndexLink"/>
              </w:rPr>
              <w:t>1</w:t>
            </w:r>
            <w:r>
              <w:rPr>
                <w:rStyle w:val="IndexLink"/>
                <w:rtl w:val="true"/>
              </w:rPr>
              <w:t xml:space="preserve">. </w:t>
            </w:r>
            <w:r>
              <w:rPr>
                <w:rStyle w:val="IndexLink"/>
                <w:rtl w:val="true"/>
              </w:rPr>
              <w:t>رواج رأی گرایی در پایان قرن اول و ابتدای قرن دوم</w:t>
            </w:r>
            <w:r>
              <w:rPr>
                <w:rStyle w:val="IndexLink"/>
                <w:rtl w:val="true"/>
              </w:rPr>
              <w:tab/>
            </w:r>
            <w:r>
              <w:rPr>
                <w:rStyle w:val="IndexLink"/>
              </w:rPr>
              <w:t>67</w:t>
            </w:r>
          </w:hyperlink>
        </w:p>
        <w:p>
          <w:pPr>
            <w:pStyle w:val="Contents3"/>
            <w:tabs>
              <w:tab w:val="clear" w:pos="8459"/>
              <w:tab w:val="right" w:pos="9026" w:leader="dot"/>
            </w:tabs>
            <w:rPr/>
          </w:pPr>
          <w:hyperlink w:anchor="__RefHeading___Toc561400_1395250215">
            <w:r>
              <w:rPr>
                <w:webHidden/>
                <w:rStyle w:val="IndexLink"/>
              </w:rPr>
              <w:t>2</w:t>
            </w:r>
            <w:r>
              <w:rPr>
                <w:rStyle w:val="IndexLink"/>
                <w:rtl w:val="true"/>
              </w:rPr>
              <w:t xml:space="preserve">. </w:t>
            </w:r>
            <w:r>
              <w:rPr>
                <w:rStyle w:val="IndexLink"/>
                <w:rtl w:val="true"/>
              </w:rPr>
              <w:t>تمایل برخی شیعیان به الگوی اصلاح شدۀ قیاس</w:t>
            </w:r>
            <w:r>
              <w:rPr>
                <w:rStyle w:val="IndexLink"/>
                <w:rtl w:val="true"/>
              </w:rPr>
              <w:tab/>
            </w:r>
            <w:r>
              <w:rPr>
                <w:rStyle w:val="IndexLink"/>
              </w:rPr>
              <w:t>69</w:t>
            </w:r>
          </w:hyperlink>
        </w:p>
        <w:p>
          <w:pPr>
            <w:pStyle w:val="Contents4"/>
            <w:tabs>
              <w:tab w:val="clear" w:pos="8176"/>
              <w:tab w:val="right" w:pos="9026" w:leader="dot"/>
            </w:tabs>
            <w:rPr/>
          </w:pPr>
          <w:hyperlink w:anchor="__RefHeading___Toc561402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61404_1395250215">
            <w:r>
              <w:rPr>
                <w:webHidden/>
                <w:rStyle w:val="IndexLink"/>
                <w:rtl w:val="true"/>
              </w:rPr>
              <w:t>استفاده از قیاس به عنوان روش دست یابی به نتیجه و اثبات حق</w:t>
            </w:r>
            <w:r>
              <w:rPr>
                <w:rStyle w:val="IndexLink"/>
                <w:rtl w:val="true"/>
              </w:rPr>
              <w:tab/>
            </w:r>
            <w:r>
              <w:rPr>
                <w:rStyle w:val="IndexLink"/>
              </w:rPr>
              <w:t>70</w:t>
            </w:r>
          </w:hyperlink>
        </w:p>
        <w:p>
          <w:pPr>
            <w:pStyle w:val="Contents5"/>
            <w:tabs>
              <w:tab w:val="clear" w:pos="7892"/>
              <w:tab w:val="right" w:pos="9026" w:leader="dot"/>
            </w:tabs>
            <w:rPr/>
          </w:pPr>
          <w:hyperlink w:anchor="__RefHeading___Toc561406_139525021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61408_1395250215">
            <w:r>
              <w:rPr>
                <w:webHidden/>
                <w:rStyle w:val="IndexLink"/>
                <w:rtl w:val="true"/>
              </w:rPr>
              <w:t>ابان بن تغلب</w:t>
            </w:r>
            <w:r>
              <w:rPr>
                <w:rStyle w:val="IndexLink"/>
                <w:rtl w:val="true"/>
              </w:rPr>
              <w:tab/>
            </w:r>
            <w:r>
              <w:rPr>
                <w:rStyle w:val="IndexLink"/>
              </w:rPr>
              <w:t>70</w:t>
            </w:r>
          </w:hyperlink>
        </w:p>
        <w:p>
          <w:pPr>
            <w:pStyle w:val="Contents5"/>
            <w:tabs>
              <w:tab w:val="clear" w:pos="7892"/>
              <w:tab w:val="right" w:pos="9026" w:leader="dot"/>
            </w:tabs>
            <w:rPr/>
          </w:pPr>
          <w:hyperlink w:anchor="__RefHeading___Toc561410_1395250215">
            <w:r>
              <w:rPr>
                <w:webHidden/>
                <w:rStyle w:val="IndexLink"/>
                <w:rtl w:val="true"/>
              </w:rPr>
              <w:t>مومن طاق</w:t>
            </w:r>
            <w:r>
              <w:rPr>
                <w:rStyle w:val="IndexLink"/>
                <w:rtl w:val="true"/>
              </w:rPr>
              <w:tab/>
            </w:r>
            <w:r>
              <w:rPr>
                <w:rStyle w:val="IndexLink"/>
              </w:rPr>
              <w:t>70</w:t>
            </w:r>
          </w:hyperlink>
        </w:p>
        <w:p>
          <w:pPr>
            <w:pStyle w:val="Contents5"/>
            <w:tabs>
              <w:tab w:val="clear" w:pos="7892"/>
              <w:tab w:val="right" w:pos="9026" w:leader="dot"/>
            </w:tabs>
            <w:rPr/>
          </w:pPr>
          <w:hyperlink w:anchor="__RefHeading___Toc561412_1395250215">
            <w:r>
              <w:rPr>
                <w:webHidden/>
                <w:rStyle w:val="IndexLink"/>
                <w:rtl w:val="true"/>
              </w:rPr>
              <w:t>ابو بصیر</w:t>
            </w:r>
            <w:r>
              <w:rPr>
                <w:rStyle w:val="IndexLink"/>
                <w:rtl w:val="true"/>
              </w:rPr>
              <w:tab/>
            </w:r>
            <w:r>
              <w:rPr>
                <w:rStyle w:val="IndexLink"/>
              </w:rPr>
              <w:t>71</w:t>
            </w:r>
          </w:hyperlink>
        </w:p>
        <w:p>
          <w:pPr>
            <w:pStyle w:val="Contents5"/>
            <w:tabs>
              <w:tab w:val="clear" w:pos="7892"/>
              <w:tab w:val="right" w:pos="9026" w:leader="dot"/>
            </w:tabs>
            <w:rPr/>
          </w:pPr>
          <w:hyperlink w:anchor="__RefHeading___Toc561414_1395250215">
            <w:r>
              <w:rPr>
                <w:webHidden/>
                <w:rStyle w:val="IndexLink"/>
                <w:rtl w:val="true"/>
              </w:rPr>
              <w:t>محمد بن حکیم</w:t>
            </w:r>
            <w:r>
              <w:rPr>
                <w:rStyle w:val="IndexLink"/>
                <w:rtl w:val="true"/>
              </w:rPr>
              <w:tab/>
            </w:r>
            <w:r>
              <w:rPr>
                <w:rStyle w:val="IndexLink"/>
              </w:rPr>
              <w:t>71</w:t>
            </w:r>
          </w:hyperlink>
        </w:p>
        <w:p>
          <w:pPr>
            <w:pStyle w:val="Contents5"/>
            <w:tabs>
              <w:tab w:val="clear" w:pos="7892"/>
              <w:tab w:val="right" w:pos="9026" w:leader="dot"/>
            </w:tabs>
            <w:rPr/>
          </w:pPr>
          <w:hyperlink w:anchor="__RefHeading___Toc561416_1395250215">
            <w:r>
              <w:rPr>
                <w:webHidden/>
                <w:rStyle w:val="IndexLink"/>
                <w:rtl w:val="true"/>
              </w:rPr>
              <w:t>سماعه بن مهران</w:t>
            </w:r>
            <w:r>
              <w:rPr>
                <w:rStyle w:val="IndexLink"/>
                <w:rtl w:val="true"/>
              </w:rPr>
              <w:tab/>
            </w:r>
            <w:r>
              <w:rPr>
                <w:rStyle w:val="IndexLink"/>
              </w:rPr>
              <w:t>72</w:t>
            </w:r>
          </w:hyperlink>
        </w:p>
        <w:p>
          <w:pPr>
            <w:pStyle w:val="Contents4"/>
            <w:tabs>
              <w:tab w:val="clear" w:pos="8176"/>
              <w:tab w:val="right" w:pos="9026" w:leader="dot"/>
            </w:tabs>
            <w:rPr/>
          </w:pPr>
          <w:hyperlink w:anchor="__RefHeading___Toc561418_1395250215">
            <w:r>
              <w:rPr>
                <w:webHidden/>
                <w:rStyle w:val="IndexLink"/>
                <w:rtl w:val="true"/>
              </w:rPr>
              <w:t>سایر موارد</w:t>
            </w:r>
            <w:r>
              <w:rPr>
                <w:rStyle w:val="IndexLink"/>
                <w:rtl w:val="true"/>
              </w:rPr>
              <w:tab/>
            </w:r>
            <w:r>
              <w:rPr>
                <w:rStyle w:val="IndexLink"/>
              </w:rPr>
              <w:t>73</w:t>
            </w:r>
          </w:hyperlink>
        </w:p>
        <w:p>
          <w:pPr>
            <w:pStyle w:val="Contents4"/>
            <w:tabs>
              <w:tab w:val="clear" w:pos="8176"/>
              <w:tab w:val="right" w:pos="9026" w:leader="dot"/>
            </w:tabs>
            <w:rPr/>
          </w:pPr>
          <w:hyperlink w:anchor="__RefHeading___Toc561420_1395250215">
            <w:r>
              <w:rPr>
                <w:webHidden/>
                <w:rStyle w:val="IndexLink"/>
                <w:rtl w:val="true"/>
              </w:rPr>
              <w:t>تربیت شیعیان در مسیر پرهیز از قیاس</w:t>
            </w:r>
            <w:r>
              <w:rPr>
                <w:rStyle w:val="IndexLink"/>
                <w:rtl w:val="true"/>
              </w:rPr>
              <w:tab/>
            </w:r>
            <w:r>
              <w:rPr>
                <w:rStyle w:val="IndexLink"/>
              </w:rPr>
              <w:t>74</w:t>
            </w:r>
          </w:hyperlink>
        </w:p>
        <w:p>
          <w:pPr>
            <w:pStyle w:val="Contents3"/>
            <w:tabs>
              <w:tab w:val="clear" w:pos="8459"/>
              <w:tab w:val="right" w:pos="9026" w:leader="dot"/>
            </w:tabs>
            <w:rPr/>
          </w:pPr>
          <w:hyperlink w:anchor="__RefHeading___Toc561422_1395250215">
            <w:r>
              <w:rPr>
                <w:webHidden/>
                <w:rStyle w:val="IndexLink"/>
              </w:rPr>
              <w:t>3</w:t>
            </w:r>
            <w:r>
              <w:rPr>
                <w:rStyle w:val="IndexLink"/>
                <w:rtl w:val="true"/>
              </w:rPr>
              <w:t xml:space="preserve">. </w:t>
            </w:r>
            <w:r>
              <w:rPr>
                <w:rStyle w:val="IndexLink"/>
                <w:rtl w:val="true"/>
              </w:rPr>
              <w:t>انتظار جواز رأی و قیاس برای خود امامان علیهم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561424_139525021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61426_1395250215">
            <w:r>
              <w:rPr>
                <w:webHidden/>
                <w:rStyle w:val="IndexLink"/>
                <w:rtl w:val="true"/>
              </w:rPr>
              <w:t>پرسشهای شیعیان درباره منابع علم امام</w:t>
            </w:r>
            <w:r>
              <w:rPr>
                <w:rStyle w:val="IndexLink"/>
                <w:rtl w:val="true"/>
              </w:rPr>
              <w:tab/>
            </w:r>
            <w:r>
              <w:rPr>
                <w:rStyle w:val="IndexLink"/>
              </w:rPr>
              <w:t>75</w:t>
            </w:r>
          </w:hyperlink>
        </w:p>
        <w:p>
          <w:pPr>
            <w:pStyle w:val="Contents4"/>
            <w:tabs>
              <w:tab w:val="clear" w:pos="8176"/>
              <w:tab w:val="right" w:pos="9026" w:leader="dot"/>
            </w:tabs>
            <w:rPr/>
          </w:pPr>
          <w:hyperlink w:anchor="__RefHeading___Toc561428_1395250215">
            <w:r>
              <w:rPr>
                <w:webHidden/>
                <w:rStyle w:val="IndexLink"/>
                <w:rtl w:val="true"/>
              </w:rPr>
              <w:t>مقوله معضلات یا موضوعاتی که در کتاب و سنتا نبوده</w:t>
            </w:r>
            <w:r>
              <w:rPr>
                <w:rStyle w:val="IndexLink"/>
                <w:rtl w:val="true"/>
              </w:rPr>
              <w:tab/>
            </w:r>
            <w:r>
              <w:rPr>
                <w:rStyle w:val="IndexLink"/>
              </w:rPr>
              <w:t>76</w:t>
            </w:r>
          </w:hyperlink>
        </w:p>
        <w:p>
          <w:pPr>
            <w:pStyle w:val="Contents3"/>
            <w:tabs>
              <w:tab w:val="clear" w:pos="8459"/>
              <w:tab w:val="right" w:pos="9026" w:leader="dot"/>
            </w:tabs>
            <w:rPr/>
          </w:pPr>
          <w:hyperlink w:anchor="__RefHeading___Toc561430_1395250215">
            <w:r>
              <w:rPr>
                <w:webHidden/>
                <w:rStyle w:val="IndexLink"/>
                <w:rtl w:val="true"/>
              </w:rPr>
              <w:t>جمع بندی</w:t>
            </w:r>
            <w:r>
              <w:rPr>
                <w:rStyle w:val="IndexLink"/>
                <w:rtl w:val="true"/>
              </w:rPr>
              <w:tab/>
            </w:r>
            <w:r>
              <w:rPr>
                <w:rStyle w:val="IndexLink"/>
              </w:rPr>
              <w:t>78</w:t>
            </w:r>
          </w:hyperlink>
        </w:p>
        <w:p>
          <w:pPr>
            <w:pStyle w:val="Contents3"/>
            <w:tabs>
              <w:tab w:val="clear" w:pos="8459"/>
              <w:tab w:val="right" w:pos="9026" w:leader="dot"/>
            </w:tabs>
            <w:rPr/>
          </w:pPr>
          <w:hyperlink w:anchor="__RefHeading___Toc561432_1395250215">
            <w:r>
              <w:rPr>
                <w:webHidden/>
                <w:rStyle w:val="IndexLink"/>
                <w:rtl w:val="true"/>
              </w:rPr>
              <w:t>منابع</w:t>
            </w:r>
            <w:r>
              <w:rPr>
                <w:rStyle w:val="IndexLink"/>
                <w:rtl w:val="true"/>
              </w:rPr>
              <w:tab/>
            </w:r>
            <w:r>
              <w:rPr>
                <w:rStyle w:val="IndexLink"/>
              </w:rPr>
              <w:t>79</w:t>
            </w:r>
          </w:hyperlink>
        </w:p>
        <w:p>
          <w:pPr>
            <w:pStyle w:val="Contents2"/>
            <w:tabs>
              <w:tab w:val="clear" w:pos="8743"/>
              <w:tab w:val="right" w:pos="9026" w:leader="dot"/>
            </w:tabs>
            <w:rPr/>
          </w:pPr>
          <w:hyperlink w:anchor="__RefHeading___Toc561434_1395250215">
            <w:r>
              <w:rPr>
                <w:webHidden/>
                <w:rStyle w:val="IndexLink"/>
                <w:rtl w:val="true"/>
              </w:rPr>
              <w:t>مقصود اصلی در اعتقادات</w:t>
            </w:r>
            <w:r>
              <w:rPr>
                <w:rStyle w:val="IndexLink"/>
                <w:rtl w:val="true"/>
              </w:rPr>
              <w:tab/>
            </w:r>
            <w:r>
              <w:rPr>
                <w:rStyle w:val="IndexLink"/>
              </w:rPr>
              <w:t>82</w:t>
            </w:r>
          </w:hyperlink>
        </w:p>
        <w:p>
          <w:pPr>
            <w:pStyle w:val="Contents3"/>
            <w:tabs>
              <w:tab w:val="clear" w:pos="8459"/>
              <w:tab w:val="right" w:pos="9026" w:leader="dot"/>
            </w:tabs>
            <w:rPr/>
          </w:pPr>
          <w:hyperlink w:anchor="__RefHeading___Toc561436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61438_1395250215">
            <w:r>
              <w:rPr>
                <w:webHidden/>
                <w:rStyle w:val="IndexLink"/>
                <w:rtl w:val="true"/>
              </w:rPr>
              <w:t>چکیده</w:t>
            </w:r>
            <w:r>
              <w:rPr>
                <w:rStyle w:val="IndexLink"/>
                <w:rtl w:val="true"/>
              </w:rPr>
              <w:tab/>
            </w:r>
            <w:r>
              <w:rPr>
                <w:rStyle w:val="IndexLink"/>
              </w:rPr>
              <w:t>82</w:t>
            </w:r>
          </w:hyperlink>
        </w:p>
        <w:p>
          <w:pPr>
            <w:pStyle w:val="Contents3"/>
            <w:tabs>
              <w:tab w:val="clear" w:pos="8459"/>
              <w:tab w:val="right" w:pos="9026" w:leader="dot"/>
            </w:tabs>
            <w:rPr/>
          </w:pPr>
          <w:hyperlink w:anchor="__RefHeading___Toc561440_1395250215">
            <w:r>
              <w:rPr>
                <w:webHidden/>
                <w:rStyle w:val="IndexLink"/>
                <w:rtl w:val="true"/>
              </w:rPr>
              <w:t>واژگان کلیدی</w:t>
            </w:r>
            <w:r>
              <w:rPr>
                <w:rStyle w:val="IndexLink"/>
                <w:rtl w:val="true"/>
              </w:rPr>
              <w:tab/>
            </w:r>
            <w:r>
              <w:rPr>
                <w:rStyle w:val="IndexLink"/>
              </w:rPr>
              <w:t>82</w:t>
            </w:r>
          </w:hyperlink>
        </w:p>
        <w:p>
          <w:pPr>
            <w:pStyle w:val="Contents3"/>
            <w:tabs>
              <w:tab w:val="clear" w:pos="8459"/>
              <w:tab w:val="right" w:pos="9026" w:leader="dot"/>
            </w:tabs>
            <w:rPr/>
          </w:pPr>
          <w:hyperlink w:anchor="__RefHeading___Toc561442_1395250215">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561444_1395250215">
            <w:r>
              <w:rPr>
                <w:webHidden/>
                <w:rStyle w:val="IndexLink"/>
                <w:rtl w:val="true"/>
              </w:rPr>
              <w:t>دیدگاه اول</w:t>
            </w:r>
            <w:r>
              <w:rPr>
                <w:rStyle w:val="IndexLink"/>
                <w:rtl w:val="true"/>
              </w:rPr>
              <w:t xml:space="preserve">: </w:t>
            </w:r>
            <w:r>
              <w:rPr>
                <w:rStyle w:val="IndexLink"/>
                <w:rtl w:val="true"/>
              </w:rPr>
              <w:t>شناخت و معرفت عقلی</w:t>
            </w:r>
            <w:r>
              <w:rPr>
                <w:rStyle w:val="IndexLink"/>
                <w:rtl w:val="true"/>
              </w:rPr>
              <w:tab/>
            </w:r>
            <w:r>
              <w:rPr>
                <w:rStyle w:val="IndexLink"/>
              </w:rPr>
              <w:t>84</w:t>
            </w:r>
          </w:hyperlink>
        </w:p>
        <w:p>
          <w:pPr>
            <w:pStyle w:val="Contents4"/>
            <w:tabs>
              <w:tab w:val="clear" w:pos="8176"/>
              <w:tab w:val="right" w:pos="9026" w:leader="dot"/>
            </w:tabs>
            <w:rPr/>
          </w:pPr>
          <w:hyperlink w:anchor="__RefHeading___Toc561446_139525021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61448_1395250215">
            <w:r>
              <w:rPr>
                <w:webHidden/>
                <w:rStyle w:val="IndexLink"/>
                <w:rtl w:val="true"/>
              </w:rPr>
              <w:t>ادله وجوب معرفت الله</w:t>
            </w:r>
            <w:r>
              <w:rPr>
                <w:rStyle w:val="IndexLink"/>
                <w:rtl w:val="true"/>
              </w:rPr>
              <w:tab/>
            </w:r>
            <w:r>
              <w:rPr>
                <w:rStyle w:val="IndexLink"/>
              </w:rPr>
              <w:t>85</w:t>
            </w:r>
          </w:hyperlink>
        </w:p>
        <w:p>
          <w:pPr>
            <w:pStyle w:val="Contents5"/>
            <w:tabs>
              <w:tab w:val="clear" w:pos="7892"/>
              <w:tab w:val="right" w:pos="9026" w:leader="dot"/>
            </w:tabs>
            <w:rPr/>
          </w:pPr>
          <w:hyperlink w:anchor="__RefHeading___Toc561450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61452_1395250215">
            <w:r>
              <w:rPr>
                <w:webHidden/>
                <w:rStyle w:val="IndexLink"/>
                <w:rtl w:val="true"/>
              </w:rPr>
              <w:t>وجوب شکر منعم</w:t>
            </w:r>
            <w:r>
              <w:rPr>
                <w:rStyle w:val="IndexLink"/>
                <w:rtl w:val="true"/>
              </w:rPr>
              <w:tab/>
            </w:r>
            <w:r>
              <w:rPr>
                <w:rStyle w:val="IndexLink"/>
              </w:rPr>
              <w:t>85</w:t>
            </w:r>
          </w:hyperlink>
        </w:p>
        <w:p>
          <w:pPr>
            <w:pStyle w:val="Contents5"/>
            <w:tabs>
              <w:tab w:val="clear" w:pos="7892"/>
              <w:tab w:val="right" w:pos="9026" w:leader="dot"/>
            </w:tabs>
            <w:rPr/>
          </w:pPr>
          <w:hyperlink w:anchor="__RefHeading___Toc561454_1395250215">
            <w:r>
              <w:rPr>
                <w:webHidden/>
                <w:rStyle w:val="IndexLink"/>
                <w:rtl w:val="true"/>
              </w:rPr>
              <w:t>دفع ضرر محتمل</w:t>
            </w:r>
            <w:r>
              <w:rPr>
                <w:rStyle w:val="IndexLink"/>
                <w:rtl w:val="true"/>
              </w:rPr>
              <w:tab/>
            </w:r>
            <w:r>
              <w:rPr>
                <w:rStyle w:val="IndexLink"/>
              </w:rPr>
              <w:t>85</w:t>
            </w:r>
          </w:hyperlink>
        </w:p>
        <w:p>
          <w:pPr>
            <w:pStyle w:val="Contents5"/>
            <w:tabs>
              <w:tab w:val="clear" w:pos="7892"/>
              <w:tab w:val="right" w:pos="9026" w:leader="dot"/>
            </w:tabs>
            <w:rPr/>
          </w:pPr>
          <w:hyperlink w:anchor="__RefHeading___Toc561456_1395250215">
            <w:r>
              <w:rPr>
                <w:webHidden/>
                <w:rStyle w:val="IndexLink"/>
                <w:rtl w:val="true"/>
              </w:rPr>
              <w:t>نصوص</w:t>
            </w:r>
            <w:r>
              <w:rPr>
                <w:rStyle w:val="IndexLink"/>
                <w:rtl w:val="true"/>
              </w:rPr>
              <w:tab/>
            </w:r>
            <w:r>
              <w:rPr>
                <w:rStyle w:val="IndexLink"/>
              </w:rPr>
              <w:t>85</w:t>
            </w:r>
          </w:hyperlink>
        </w:p>
        <w:p>
          <w:pPr>
            <w:pStyle w:val="Contents5"/>
            <w:tabs>
              <w:tab w:val="clear" w:pos="7892"/>
              <w:tab w:val="right" w:pos="9026" w:leader="dot"/>
            </w:tabs>
            <w:rPr/>
          </w:pPr>
          <w:hyperlink w:anchor="__RefHeading___Toc561458_1395250215">
            <w:r>
              <w:rPr>
                <w:webHidden/>
                <w:rStyle w:val="IndexLink"/>
                <w:rtl w:val="true"/>
              </w:rPr>
              <w:t>اجماع</w:t>
            </w:r>
            <w:r>
              <w:rPr>
                <w:rStyle w:val="IndexLink"/>
                <w:rtl w:val="true"/>
              </w:rPr>
              <w:tab/>
            </w:r>
            <w:r>
              <w:rPr>
                <w:rStyle w:val="IndexLink"/>
              </w:rPr>
              <w:t>85</w:t>
            </w:r>
          </w:hyperlink>
        </w:p>
        <w:p>
          <w:pPr>
            <w:pStyle w:val="Contents4"/>
            <w:tabs>
              <w:tab w:val="clear" w:pos="8176"/>
              <w:tab w:val="right" w:pos="9026" w:leader="dot"/>
            </w:tabs>
            <w:rPr/>
          </w:pPr>
          <w:hyperlink w:anchor="__RefHeading___Toc561460_1395250215">
            <w:r>
              <w:rPr>
                <w:webHidden/>
                <w:rStyle w:val="IndexLink"/>
                <w:rtl w:val="true"/>
              </w:rPr>
              <w:t>ادله وجوب نفسی شناخت و معرفت عقلی</w:t>
            </w:r>
            <w:r>
              <w:rPr>
                <w:rStyle w:val="IndexLink"/>
                <w:rtl w:val="true"/>
              </w:rPr>
              <w:tab/>
            </w:r>
            <w:r>
              <w:rPr>
                <w:rStyle w:val="IndexLink"/>
              </w:rPr>
              <w:t>86</w:t>
            </w:r>
          </w:hyperlink>
        </w:p>
        <w:p>
          <w:pPr>
            <w:pStyle w:val="Contents4"/>
            <w:tabs>
              <w:tab w:val="clear" w:pos="8176"/>
              <w:tab w:val="right" w:pos="9026" w:leader="dot"/>
            </w:tabs>
            <w:rPr/>
          </w:pPr>
          <w:hyperlink w:anchor="__RefHeading___Toc561462_1395250215">
            <w:r>
              <w:rPr>
                <w:webHidden/>
                <w:rStyle w:val="IndexLink"/>
                <w:rtl w:val="true"/>
              </w:rPr>
              <w:t>نقد و برسی</w:t>
            </w:r>
            <w:r>
              <w:rPr>
                <w:rStyle w:val="IndexLink"/>
                <w:rtl w:val="true"/>
              </w:rPr>
              <w:tab/>
            </w:r>
            <w:r>
              <w:rPr>
                <w:rStyle w:val="IndexLink"/>
              </w:rPr>
              <w:t>87</w:t>
            </w:r>
          </w:hyperlink>
        </w:p>
        <w:p>
          <w:pPr>
            <w:pStyle w:val="Contents3"/>
            <w:tabs>
              <w:tab w:val="clear" w:pos="8459"/>
              <w:tab w:val="right" w:pos="9026" w:leader="dot"/>
            </w:tabs>
            <w:rPr/>
          </w:pPr>
          <w:hyperlink w:anchor="__RefHeading___Toc561464_1395250215">
            <w:r>
              <w:rPr>
                <w:webHidden/>
                <w:rStyle w:val="IndexLink"/>
                <w:rtl w:val="true"/>
              </w:rPr>
              <w:t xml:space="preserve">دیدگاه دوم </w:t>
            </w:r>
            <w:r>
              <w:rPr>
                <w:rStyle w:val="IndexLink"/>
                <w:rtl w:val="true"/>
              </w:rPr>
              <w:t xml:space="preserve">: </w:t>
            </w:r>
            <w:r>
              <w:rPr>
                <w:rStyle w:val="IndexLink"/>
                <w:rtl w:val="true"/>
              </w:rPr>
              <w:t>وجوب تدین</w:t>
            </w:r>
            <w:r>
              <w:rPr>
                <w:rStyle w:val="IndexLink"/>
                <w:rtl w:val="true"/>
              </w:rPr>
              <w:tab/>
            </w:r>
            <w:r>
              <w:rPr>
                <w:rStyle w:val="IndexLink"/>
              </w:rPr>
              <w:t>89</w:t>
            </w:r>
          </w:hyperlink>
        </w:p>
        <w:p>
          <w:pPr>
            <w:pStyle w:val="Contents4"/>
            <w:tabs>
              <w:tab w:val="clear" w:pos="8176"/>
              <w:tab w:val="right" w:pos="9026" w:leader="dot"/>
            </w:tabs>
            <w:rPr/>
          </w:pPr>
          <w:hyperlink w:anchor="__RefHeading___Toc561466_139525021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61468_1395250215">
            <w:r>
              <w:rPr>
                <w:webHidden/>
                <w:rStyle w:val="IndexLink"/>
                <w:rtl w:val="true"/>
              </w:rPr>
              <w:t>ادله وجوب تدین</w:t>
            </w:r>
            <w:r>
              <w:rPr>
                <w:rStyle w:val="IndexLink"/>
                <w:rtl w:val="true"/>
              </w:rPr>
              <w:tab/>
            </w:r>
            <w:r>
              <w:rPr>
                <w:rStyle w:val="IndexLink"/>
              </w:rPr>
              <w:t>89</w:t>
            </w:r>
          </w:hyperlink>
        </w:p>
        <w:p>
          <w:pPr>
            <w:pStyle w:val="Contents3"/>
            <w:tabs>
              <w:tab w:val="clear" w:pos="8459"/>
              <w:tab w:val="right" w:pos="9026" w:leader="dot"/>
            </w:tabs>
            <w:rPr/>
          </w:pPr>
          <w:hyperlink w:anchor="__RefHeading___Toc561470_1395250215">
            <w:r>
              <w:rPr>
                <w:webHidden/>
                <w:rStyle w:val="IndexLink"/>
                <w:rtl w:val="true"/>
              </w:rPr>
              <w:t>نتیجه نهایی</w:t>
            </w:r>
            <w:r>
              <w:rPr>
                <w:rStyle w:val="IndexLink"/>
                <w:rtl w:val="true"/>
              </w:rPr>
              <w:tab/>
            </w:r>
            <w:r>
              <w:rPr>
                <w:rStyle w:val="IndexLink"/>
              </w:rPr>
              <w:t>93</w:t>
            </w:r>
          </w:hyperlink>
        </w:p>
        <w:p>
          <w:pPr>
            <w:pStyle w:val="Contents3"/>
            <w:tabs>
              <w:tab w:val="clear" w:pos="8459"/>
              <w:tab w:val="right" w:pos="9026" w:leader="dot"/>
            </w:tabs>
            <w:rPr/>
          </w:pPr>
          <w:hyperlink w:anchor="__RefHeading___Toc561472_1395250215">
            <w:r>
              <w:rPr>
                <w:webHidden/>
                <w:rStyle w:val="IndexLink"/>
                <w:rtl w:val="true"/>
              </w:rPr>
              <w:t>منابع</w:t>
            </w:r>
            <w:r>
              <w:rPr>
                <w:rStyle w:val="IndexLink"/>
                <w:rtl w:val="true"/>
              </w:rPr>
              <w:tab/>
            </w:r>
            <w:r>
              <w:rPr>
                <w:rStyle w:val="IndexLink"/>
              </w:rPr>
              <w:t>93</w:t>
            </w:r>
          </w:hyperlink>
        </w:p>
        <w:p>
          <w:pPr>
            <w:pStyle w:val="Contents2"/>
            <w:tabs>
              <w:tab w:val="clear" w:pos="8743"/>
              <w:tab w:val="right" w:pos="9026" w:leader="dot"/>
            </w:tabs>
            <w:rPr/>
          </w:pPr>
          <w:hyperlink w:anchor="__RefHeading___Toc561474_1395250215">
            <w:r>
              <w:rPr>
                <w:webHidden/>
                <w:rStyle w:val="IndexLink"/>
                <w:rtl w:val="true"/>
              </w:rPr>
              <w:t>مناسبات امامیه و زیدیه</w:t>
            </w:r>
            <w:r>
              <w:rPr>
                <w:rStyle w:val="IndexLink"/>
                <w:rtl w:val="true"/>
              </w:rPr>
              <w:tab/>
            </w:r>
            <w:r>
              <w:rPr>
                <w:rStyle w:val="IndexLink"/>
              </w:rPr>
              <w:t>97</w:t>
            </w:r>
          </w:hyperlink>
        </w:p>
        <w:p>
          <w:pPr>
            <w:pStyle w:val="Contents3"/>
            <w:tabs>
              <w:tab w:val="clear" w:pos="8459"/>
              <w:tab w:val="right" w:pos="9026" w:leader="dot"/>
            </w:tabs>
            <w:rPr/>
          </w:pPr>
          <w:hyperlink w:anchor="__RefHeading___Toc561476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561478_1395250215">
            <w:r>
              <w:rPr>
                <w:webHidden/>
                <w:rStyle w:val="IndexLink"/>
                <w:rtl w:val="true"/>
              </w:rPr>
              <w:t>چکیده</w:t>
            </w:r>
            <w:r>
              <w:rPr>
                <w:rStyle w:val="IndexLink"/>
                <w:rtl w:val="true"/>
              </w:rPr>
              <w:tab/>
            </w:r>
            <w:r>
              <w:rPr>
                <w:rStyle w:val="IndexLink"/>
              </w:rPr>
              <w:t>97</w:t>
            </w:r>
          </w:hyperlink>
        </w:p>
        <w:p>
          <w:pPr>
            <w:pStyle w:val="Contents3"/>
            <w:tabs>
              <w:tab w:val="clear" w:pos="8459"/>
              <w:tab w:val="right" w:pos="9026" w:leader="dot"/>
            </w:tabs>
            <w:rPr/>
          </w:pPr>
          <w:hyperlink w:anchor="__RefHeading___Toc561480_1395250215">
            <w:r>
              <w:rPr>
                <w:webHidden/>
                <w:rStyle w:val="IndexLink"/>
                <w:rtl w:val="true"/>
              </w:rPr>
              <w:t>واژگان کلیدی</w:t>
            </w:r>
            <w:r>
              <w:rPr>
                <w:rStyle w:val="IndexLink"/>
                <w:rtl w:val="true"/>
              </w:rPr>
              <w:tab/>
            </w:r>
            <w:r>
              <w:rPr>
                <w:rStyle w:val="IndexLink"/>
              </w:rPr>
              <w:t>97</w:t>
            </w:r>
          </w:hyperlink>
        </w:p>
        <w:p>
          <w:pPr>
            <w:pStyle w:val="Contents3"/>
            <w:tabs>
              <w:tab w:val="clear" w:pos="8459"/>
              <w:tab w:val="right" w:pos="9026" w:leader="dot"/>
            </w:tabs>
            <w:rPr/>
          </w:pPr>
          <w:hyperlink w:anchor="__RefHeading___Toc561482_1395250215">
            <w:r>
              <w:rPr>
                <w:webHidden/>
                <w:rStyle w:val="IndexLink"/>
                <w:rtl w:val="true"/>
              </w:rPr>
              <w:t>درامد</w:t>
            </w:r>
            <w:r>
              <w:rPr>
                <w:rStyle w:val="IndexLink"/>
                <w:rtl w:val="true"/>
              </w:rPr>
              <w:tab/>
            </w:r>
            <w:r>
              <w:rPr>
                <w:rStyle w:val="IndexLink"/>
              </w:rPr>
              <w:t>98</w:t>
            </w:r>
          </w:hyperlink>
        </w:p>
        <w:p>
          <w:pPr>
            <w:pStyle w:val="Contents3"/>
            <w:tabs>
              <w:tab w:val="clear" w:pos="8459"/>
              <w:tab w:val="right" w:pos="9026" w:leader="dot"/>
            </w:tabs>
            <w:rPr/>
          </w:pPr>
          <w:hyperlink w:anchor="__RefHeading___Toc561484_1395250215">
            <w:r>
              <w:rPr>
                <w:webHidden/>
                <w:rStyle w:val="IndexLink"/>
              </w:rPr>
              <w:t>1</w:t>
            </w:r>
            <w:r>
              <w:rPr>
                <w:rStyle w:val="IndexLink"/>
                <w:rtl w:val="true"/>
              </w:rPr>
              <w:t xml:space="preserve">. </w:t>
            </w:r>
            <w:r>
              <w:rPr>
                <w:rStyle w:val="IndexLink"/>
                <w:rtl w:val="true"/>
              </w:rPr>
              <w:t>تعامل اجتماعی و سیاسی</w:t>
            </w:r>
            <w:r>
              <w:rPr>
                <w:rStyle w:val="IndexLink"/>
                <w:rtl w:val="true"/>
              </w:rPr>
              <w:tab/>
            </w:r>
            <w:r>
              <w:rPr>
                <w:rStyle w:val="IndexLink"/>
              </w:rPr>
              <w:t>98</w:t>
            </w:r>
          </w:hyperlink>
        </w:p>
        <w:p>
          <w:pPr>
            <w:pStyle w:val="Contents4"/>
            <w:tabs>
              <w:tab w:val="clear" w:pos="8176"/>
              <w:tab w:val="right" w:pos="9026" w:leader="dot"/>
            </w:tabs>
            <w:rPr/>
          </w:pPr>
          <w:hyperlink w:anchor="__RefHeading___Toc561486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پیوندهای خانوادگی</w:t>
            </w:r>
            <w:r>
              <w:rPr>
                <w:rStyle w:val="IndexLink"/>
                <w:rtl w:val="true"/>
              </w:rPr>
              <w:tab/>
            </w:r>
            <w:r>
              <w:rPr>
                <w:rStyle w:val="IndexLink"/>
              </w:rPr>
              <w:t>98</w:t>
            </w:r>
          </w:hyperlink>
        </w:p>
        <w:p>
          <w:pPr>
            <w:pStyle w:val="Contents4"/>
            <w:tabs>
              <w:tab w:val="clear" w:pos="8176"/>
              <w:tab w:val="right" w:pos="9026" w:leader="dot"/>
            </w:tabs>
            <w:rPr/>
          </w:pPr>
          <w:hyperlink w:anchor="__RefHeading___Toc561488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همکاری در عرصۀ سیاسی</w:t>
            </w:r>
            <w:r>
              <w:rPr>
                <w:rStyle w:val="IndexLink"/>
                <w:rtl w:val="true"/>
              </w:rPr>
              <w:tab/>
            </w:r>
            <w:r>
              <w:rPr>
                <w:rStyle w:val="IndexLink"/>
              </w:rPr>
              <w:t>100</w:t>
            </w:r>
          </w:hyperlink>
        </w:p>
        <w:p>
          <w:pPr>
            <w:pStyle w:val="Contents4"/>
            <w:tabs>
              <w:tab w:val="clear" w:pos="8176"/>
              <w:tab w:val="right" w:pos="9026" w:leader="dot"/>
            </w:tabs>
            <w:rPr/>
          </w:pPr>
          <w:hyperlink w:anchor="__RefHeading___Toc561490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همکاری در عرصه‌های اجتماعی</w:t>
            </w:r>
            <w:r>
              <w:rPr>
                <w:rStyle w:val="IndexLink"/>
                <w:rtl w:val="true"/>
              </w:rPr>
              <w:tab/>
            </w:r>
            <w:r>
              <w:rPr>
                <w:rStyle w:val="IndexLink"/>
              </w:rPr>
              <w:t>101</w:t>
            </w:r>
          </w:hyperlink>
        </w:p>
        <w:p>
          <w:pPr>
            <w:pStyle w:val="Contents4"/>
            <w:tabs>
              <w:tab w:val="clear" w:pos="8176"/>
              <w:tab w:val="right" w:pos="9026" w:leader="dot"/>
            </w:tabs>
            <w:rPr/>
          </w:pPr>
          <w:hyperlink w:anchor="__RefHeading___Toc561492_1395250215">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همکاری در برابر مخالفان تشیع</w:t>
            </w:r>
            <w:r>
              <w:rPr>
                <w:rStyle w:val="IndexLink"/>
                <w:rtl w:val="true"/>
              </w:rPr>
              <w:tab/>
            </w:r>
            <w:r>
              <w:rPr>
                <w:rStyle w:val="IndexLink"/>
              </w:rPr>
              <w:t>102</w:t>
            </w:r>
          </w:hyperlink>
        </w:p>
        <w:p>
          <w:pPr>
            <w:pStyle w:val="Contents3"/>
            <w:tabs>
              <w:tab w:val="clear" w:pos="8459"/>
              <w:tab w:val="right" w:pos="9026" w:leader="dot"/>
            </w:tabs>
            <w:rPr/>
          </w:pPr>
          <w:hyperlink w:anchor="__RefHeading___Toc561494_1395250215">
            <w:r>
              <w:rPr>
                <w:webHidden/>
                <w:rStyle w:val="IndexLink"/>
              </w:rPr>
              <w:t>2</w:t>
            </w:r>
            <w:r>
              <w:rPr>
                <w:rStyle w:val="IndexLink"/>
                <w:rtl w:val="true"/>
              </w:rPr>
              <w:t xml:space="preserve">. </w:t>
            </w:r>
            <w:r>
              <w:rPr>
                <w:rStyle w:val="IndexLink"/>
                <w:rtl w:val="true"/>
              </w:rPr>
              <w:t>تعامل علمی و فرهنگی</w:t>
            </w:r>
            <w:r>
              <w:rPr>
                <w:rStyle w:val="IndexLink"/>
                <w:rtl w:val="true"/>
              </w:rPr>
              <w:tab/>
            </w:r>
            <w:r>
              <w:rPr>
                <w:rStyle w:val="IndexLink"/>
              </w:rPr>
              <w:t>103</w:t>
            </w:r>
          </w:hyperlink>
        </w:p>
        <w:p>
          <w:pPr>
            <w:pStyle w:val="Contents4"/>
            <w:tabs>
              <w:tab w:val="clear" w:pos="8176"/>
              <w:tab w:val="right" w:pos="9026" w:leader="dot"/>
            </w:tabs>
            <w:rPr/>
          </w:pPr>
          <w:hyperlink w:anchor="__RefHeading___Toc561496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داد و ستد میراث حدیثی</w:t>
            </w:r>
            <w:r>
              <w:rPr>
                <w:rStyle w:val="IndexLink"/>
                <w:rtl w:val="true"/>
              </w:rPr>
              <w:tab/>
            </w:r>
            <w:r>
              <w:rPr>
                <w:rStyle w:val="IndexLink"/>
              </w:rPr>
              <w:t>103</w:t>
            </w:r>
          </w:hyperlink>
        </w:p>
        <w:p>
          <w:pPr>
            <w:pStyle w:val="Contents4"/>
            <w:tabs>
              <w:tab w:val="clear" w:pos="8176"/>
              <w:tab w:val="right" w:pos="9026" w:leader="dot"/>
            </w:tabs>
            <w:rPr/>
          </w:pPr>
          <w:hyperlink w:anchor="__RefHeading___Toc561498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توجه به دست آوردهای علمی ِ یکدیگر</w:t>
            </w:r>
            <w:r>
              <w:rPr>
                <w:rStyle w:val="IndexLink"/>
                <w:rtl w:val="true"/>
              </w:rPr>
              <w:tab/>
            </w:r>
            <w:r>
              <w:rPr>
                <w:rStyle w:val="IndexLink"/>
              </w:rPr>
              <w:t>105</w:t>
            </w:r>
          </w:hyperlink>
        </w:p>
        <w:p>
          <w:pPr>
            <w:pStyle w:val="Contents3"/>
            <w:tabs>
              <w:tab w:val="clear" w:pos="8459"/>
              <w:tab w:val="right" w:pos="9026" w:leader="dot"/>
            </w:tabs>
            <w:rPr/>
          </w:pPr>
          <w:hyperlink w:anchor="__RefHeading___Toc561500_1395250215">
            <w:r>
              <w:rPr>
                <w:webHidden/>
                <w:rStyle w:val="IndexLink"/>
              </w:rPr>
              <w:t>3</w:t>
            </w:r>
            <w:r>
              <w:rPr>
                <w:rStyle w:val="IndexLink"/>
                <w:rtl w:val="true"/>
              </w:rPr>
              <w:t xml:space="preserve">. </w:t>
            </w:r>
            <w:r>
              <w:rPr>
                <w:rStyle w:val="IndexLink"/>
                <w:rtl w:val="true"/>
              </w:rPr>
              <w:t>تقابل علمی</w:t>
            </w:r>
            <w:r>
              <w:rPr>
                <w:rStyle w:val="IndexLink"/>
                <w:rtl w:val="true"/>
              </w:rPr>
              <w:tab/>
            </w:r>
            <w:r>
              <w:rPr>
                <w:rStyle w:val="IndexLink"/>
              </w:rPr>
              <w:t>106</w:t>
            </w:r>
          </w:hyperlink>
        </w:p>
        <w:p>
          <w:pPr>
            <w:pStyle w:val="Contents4"/>
            <w:tabs>
              <w:tab w:val="clear" w:pos="8176"/>
              <w:tab w:val="right" w:pos="9026" w:leader="dot"/>
            </w:tabs>
            <w:rPr/>
          </w:pPr>
          <w:hyperlink w:anchor="__RefHeading___Toc561502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61504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ردّیه نگاری زیدیان علیه امامیه</w:t>
            </w:r>
            <w:r>
              <w:rPr>
                <w:rStyle w:val="IndexLink"/>
                <w:rtl w:val="true"/>
              </w:rPr>
              <w:tab/>
            </w:r>
            <w:r>
              <w:rPr>
                <w:rStyle w:val="IndexLink"/>
              </w:rPr>
              <w:t>108</w:t>
            </w:r>
          </w:hyperlink>
        </w:p>
        <w:p>
          <w:pPr>
            <w:pStyle w:val="Contents4"/>
            <w:tabs>
              <w:tab w:val="clear" w:pos="8176"/>
              <w:tab w:val="right" w:pos="9026" w:leader="dot"/>
            </w:tabs>
            <w:rPr/>
          </w:pPr>
          <w:hyperlink w:anchor="__RefHeading___Toc561506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ردّیه نگاری امامیان علیه زیدیه</w:t>
            </w:r>
            <w:r>
              <w:rPr>
                <w:rStyle w:val="IndexLink"/>
                <w:rtl w:val="true"/>
              </w:rPr>
              <w:tab/>
            </w:r>
            <w:r>
              <w:rPr>
                <w:rStyle w:val="IndexLink"/>
              </w:rPr>
              <w:t>110</w:t>
            </w:r>
          </w:hyperlink>
        </w:p>
        <w:p>
          <w:pPr>
            <w:pStyle w:val="Contents3"/>
            <w:tabs>
              <w:tab w:val="clear" w:pos="8459"/>
              <w:tab w:val="right" w:pos="9026" w:leader="dot"/>
            </w:tabs>
            <w:rPr/>
          </w:pPr>
          <w:hyperlink w:anchor="__RefHeading___Toc561508_1395250215">
            <w:r>
              <w:rPr>
                <w:webHidden/>
                <w:rStyle w:val="IndexLink"/>
              </w:rPr>
              <w:t>4</w:t>
            </w:r>
            <w:r>
              <w:rPr>
                <w:rStyle w:val="IndexLink"/>
                <w:rtl w:val="true"/>
              </w:rPr>
              <w:t xml:space="preserve">. </w:t>
            </w:r>
            <w:r>
              <w:rPr>
                <w:rStyle w:val="IndexLink"/>
                <w:rtl w:val="true"/>
              </w:rPr>
              <w:t>روی گردانی زیدیان و امامیان به مذهب یکدیگر</w:t>
            </w:r>
            <w:r>
              <w:rPr>
                <w:rStyle w:val="IndexLink"/>
                <w:rtl w:val="true"/>
              </w:rPr>
              <w:tab/>
            </w:r>
            <w:r>
              <w:rPr>
                <w:rStyle w:val="IndexLink"/>
              </w:rPr>
              <w:t>111</w:t>
            </w:r>
          </w:hyperlink>
        </w:p>
        <w:p>
          <w:pPr>
            <w:pStyle w:val="Contents4"/>
            <w:tabs>
              <w:tab w:val="clear" w:pos="8176"/>
              <w:tab w:val="right" w:pos="9026" w:leader="dot"/>
            </w:tabs>
            <w:rPr/>
          </w:pPr>
          <w:hyperlink w:anchor="__RefHeading___Toc561510_139525021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61512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روی‌گردانی زیدیان به امامیه</w:t>
            </w:r>
            <w:r>
              <w:rPr>
                <w:rStyle w:val="IndexLink"/>
                <w:rtl w:val="true"/>
              </w:rPr>
              <w:tab/>
            </w:r>
            <w:r>
              <w:rPr>
                <w:rStyle w:val="IndexLink"/>
              </w:rPr>
              <w:t>111</w:t>
            </w:r>
          </w:hyperlink>
        </w:p>
        <w:p>
          <w:pPr>
            <w:pStyle w:val="Contents4"/>
            <w:tabs>
              <w:tab w:val="clear" w:pos="8176"/>
              <w:tab w:val="right" w:pos="9026" w:leader="dot"/>
            </w:tabs>
            <w:rPr/>
          </w:pPr>
          <w:hyperlink w:anchor="__RefHeading___Toc561514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روی گردانی امامیان به زیدیه</w:t>
            </w:r>
            <w:r>
              <w:rPr>
                <w:rStyle w:val="IndexLink"/>
                <w:rtl w:val="true"/>
              </w:rPr>
              <w:tab/>
            </w:r>
            <w:r>
              <w:rPr>
                <w:rStyle w:val="IndexLink"/>
              </w:rPr>
              <w:t>112</w:t>
            </w:r>
          </w:hyperlink>
        </w:p>
        <w:p>
          <w:pPr>
            <w:pStyle w:val="Contents3"/>
            <w:tabs>
              <w:tab w:val="clear" w:pos="8459"/>
              <w:tab w:val="right" w:pos="9026" w:leader="dot"/>
            </w:tabs>
            <w:rPr/>
          </w:pPr>
          <w:hyperlink w:anchor="__RefHeading___Toc561516_1395250215">
            <w:r>
              <w:rPr>
                <w:webHidden/>
                <w:rStyle w:val="IndexLink"/>
                <w:rtl w:val="true"/>
              </w:rPr>
              <w:t>جمع بندی</w:t>
            </w:r>
            <w:r>
              <w:rPr>
                <w:rStyle w:val="IndexLink"/>
                <w:rtl w:val="true"/>
              </w:rPr>
              <w:tab/>
            </w:r>
            <w:r>
              <w:rPr>
                <w:rStyle w:val="IndexLink"/>
              </w:rPr>
              <w:t>114</w:t>
            </w:r>
          </w:hyperlink>
        </w:p>
        <w:p>
          <w:pPr>
            <w:pStyle w:val="Contents3"/>
            <w:tabs>
              <w:tab w:val="clear" w:pos="8459"/>
              <w:tab w:val="right" w:pos="9026" w:leader="dot"/>
            </w:tabs>
            <w:rPr/>
          </w:pPr>
          <w:hyperlink w:anchor="__RefHeading___Toc561518_1395250215">
            <w:r>
              <w:rPr>
                <w:webHidden/>
                <w:rStyle w:val="IndexLink"/>
                <w:rtl w:val="true"/>
              </w:rPr>
              <w:t>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561520_1395250215">
            <w:r>
              <w:rPr>
                <w:webHidden/>
                <w:rStyle w:val="IndexLink"/>
                <w:rtl w:val="true"/>
              </w:rPr>
              <w:t>طینت و عدل الهی</w:t>
            </w:r>
            <w:r>
              <w:rPr>
                <w:rStyle w:val="IndexLink"/>
                <w:rtl w:val="true"/>
              </w:rPr>
              <w:tab/>
            </w:r>
            <w:r>
              <w:rPr>
                <w:rStyle w:val="IndexLink"/>
              </w:rPr>
              <w:t>121</w:t>
            </w:r>
          </w:hyperlink>
        </w:p>
        <w:p>
          <w:pPr>
            <w:pStyle w:val="Contents3"/>
            <w:tabs>
              <w:tab w:val="clear" w:pos="8459"/>
              <w:tab w:val="right" w:pos="9026" w:leader="dot"/>
            </w:tabs>
            <w:rPr/>
          </w:pPr>
          <w:hyperlink w:anchor="__RefHeading___Toc561522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61524_1395250215">
            <w:r>
              <w:rPr>
                <w:webHidden/>
                <w:rStyle w:val="IndexLink"/>
                <w:rtl w:val="true"/>
              </w:rPr>
              <w:t>چکیده</w:t>
            </w:r>
            <w:r>
              <w:rPr>
                <w:rStyle w:val="IndexLink"/>
                <w:rtl w:val="true"/>
              </w:rPr>
              <w:tab/>
            </w:r>
            <w:r>
              <w:rPr>
                <w:rStyle w:val="IndexLink"/>
              </w:rPr>
              <w:t>121</w:t>
            </w:r>
          </w:hyperlink>
        </w:p>
        <w:p>
          <w:pPr>
            <w:pStyle w:val="Contents3"/>
            <w:tabs>
              <w:tab w:val="clear" w:pos="8459"/>
              <w:tab w:val="right" w:pos="9026" w:leader="dot"/>
            </w:tabs>
            <w:rPr/>
          </w:pPr>
          <w:hyperlink w:anchor="__RefHeading___Toc561526_1395250215">
            <w:r>
              <w:rPr>
                <w:webHidden/>
                <w:rStyle w:val="IndexLink"/>
                <w:rtl w:val="true"/>
              </w:rPr>
              <w:t>واژگان کلیدی</w:t>
            </w:r>
            <w:r>
              <w:rPr>
                <w:rStyle w:val="IndexLink"/>
                <w:rtl w:val="true"/>
              </w:rPr>
              <w:tab/>
            </w:r>
            <w:r>
              <w:rPr>
                <w:rStyle w:val="IndexLink"/>
              </w:rPr>
              <w:t>121</w:t>
            </w:r>
          </w:hyperlink>
        </w:p>
        <w:p>
          <w:pPr>
            <w:pStyle w:val="Contents3"/>
            <w:tabs>
              <w:tab w:val="clear" w:pos="8459"/>
              <w:tab w:val="right" w:pos="9026" w:leader="dot"/>
            </w:tabs>
            <w:rPr/>
          </w:pPr>
          <w:hyperlink w:anchor="__RefHeading___Toc561528_1395250215">
            <w:r>
              <w:rPr>
                <w:webHidden/>
                <w:rStyle w:val="IndexLink"/>
                <w:rtl w:val="true"/>
              </w:rPr>
              <w:t>درآمد</w:t>
            </w:r>
            <w:r>
              <w:rPr>
                <w:rStyle w:val="IndexLink"/>
                <w:rtl w:val="true"/>
              </w:rPr>
              <w:tab/>
            </w:r>
            <w:r>
              <w:rPr>
                <w:rStyle w:val="IndexLink"/>
              </w:rPr>
              <w:t>122</w:t>
            </w:r>
          </w:hyperlink>
        </w:p>
        <w:p>
          <w:pPr>
            <w:pStyle w:val="Contents3"/>
            <w:tabs>
              <w:tab w:val="clear" w:pos="8459"/>
              <w:tab w:val="right" w:pos="9026" w:leader="dot"/>
            </w:tabs>
            <w:rPr/>
          </w:pPr>
          <w:hyperlink w:anchor="__RefHeading___Toc561530_1395250215">
            <w:r>
              <w:rPr>
                <w:webHidden/>
                <w:rStyle w:val="IndexLink"/>
              </w:rPr>
              <w:t>1</w:t>
            </w:r>
            <w:r>
              <w:rPr>
                <w:rStyle w:val="IndexLink"/>
                <w:rtl w:val="true"/>
              </w:rPr>
              <w:t>.</w:t>
            </w:r>
            <w:r>
              <w:rPr>
                <w:rStyle w:val="IndexLink"/>
                <w:rtl w:val="true"/>
              </w:rPr>
              <w:t>مضمون روایت طینت</w:t>
            </w:r>
            <w:r>
              <w:rPr>
                <w:rStyle w:val="IndexLink"/>
                <w:rtl w:val="true"/>
              </w:rPr>
              <w:tab/>
            </w:r>
            <w:r>
              <w:rPr>
                <w:rStyle w:val="IndexLink"/>
              </w:rPr>
              <w:t>122</w:t>
            </w:r>
          </w:hyperlink>
        </w:p>
        <w:p>
          <w:pPr>
            <w:pStyle w:val="Contents3"/>
            <w:tabs>
              <w:tab w:val="clear" w:pos="8459"/>
              <w:tab w:val="right" w:pos="9026" w:leader="dot"/>
            </w:tabs>
            <w:rPr/>
          </w:pPr>
          <w:hyperlink w:anchor="__RefHeading___Toc561532_1395250215">
            <w:r>
              <w:rPr>
                <w:webHidden/>
                <w:rStyle w:val="IndexLink"/>
              </w:rPr>
              <w:t>2</w:t>
            </w:r>
            <w:r>
              <w:rPr>
                <w:rStyle w:val="IndexLink"/>
                <w:rtl w:val="true"/>
              </w:rPr>
              <w:t>.</w:t>
            </w:r>
            <w:r>
              <w:rPr>
                <w:rStyle w:val="IndexLink"/>
                <w:rtl w:val="true"/>
              </w:rPr>
              <w:t>مسئله عدل الهی</w:t>
            </w:r>
            <w:r>
              <w:rPr>
                <w:rStyle w:val="IndexLink"/>
                <w:rtl w:val="true"/>
              </w:rPr>
              <w:tab/>
            </w:r>
            <w:r>
              <w:rPr>
                <w:rStyle w:val="IndexLink"/>
              </w:rPr>
              <w:t>124</w:t>
            </w:r>
          </w:hyperlink>
        </w:p>
        <w:p>
          <w:pPr>
            <w:pStyle w:val="Contents4"/>
            <w:tabs>
              <w:tab w:val="clear" w:pos="8176"/>
              <w:tab w:val="right" w:pos="9026" w:leader="dot"/>
            </w:tabs>
            <w:rPr/>
          </w:pPr>
          <w:hyperlink w:anchor="__RefHeading___Toc561534_139525021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61536_1395250215">
            <w:r>
              <w:rPr>
                <w:webHidden/>
                <w:rStyle w:val="IndexLink"/>
              </w:rPr>
              <w:t>1</w:t>
            </w:r>
            <w:r>
              <w:rPr>
                <w:rStyle w:val="IndexLink"/>
                <w:rtl w:val="true"/>
              </w:rPr>
              <w:t xml:space="preserve">. </w:t>
            </w:r>
            <w:r>
              <w:rPr>
                <w:rStyle w:val="IndexLink"/>
                <w:rtl w:val="true"/>
              </w:rPr>
              <w:t>تأثیر تام</w:t>
            </w:r>
            <w:r>
              <w:rPr>
                <w:rStyle w:val="IndexLink"/>
                <w:rtl w:val="true"/>
              </w:rPr>
              <w:tab/>
            </w:r>
            <w:r>
              <w:rPr>
                <w:rStyle w:val="IndexLink"/>
              </w:rPr>
              <w:t>125</w:t>
            </w:r>
          </w:hyperlink>
        </w:p>
        <w:p>
          <w:pPr>
            <w:pStyle w:val="Contents4"/>
            <w:tabs>
              <w:tab w:val="clear" w:pos="8176"/>
              <w:tab w:val="right" w:pos="9026" w:leader="dot"/>
            </w:tabs>
            <w:rPr/>
          </w:pPr>
          <w:hyperlink w:anchor="__RefHeading___Toc561538_1395250215">
            <w:r>
              <w:rPr>
                <w:webHidden/>
                <w:rStyle w:val="IndexLink"/>
              </w:rPr>
              <w:t>2</w:t>
            </w:r>
            <w:r>
              <w:rPr>
                <w:rStyle w:val="IndexLink"/>
                <w:rtl w:val="true"/>
              </w:rPr>
              <w:t xml:space="preserve">. </w:t>
            </w:r>
            <w:r>
              <w:rPr>
                <w:rStyle w:val="IndexLink"/>
                <w:rtl w:val="true"/>
              </w:rPr>
              <w:t>تأثیر فی‌الجمله</w:t>
            </w:r>
            <w:r>
              <w:rPr>
                <w:rStyle w:val="IndexLink"/>
                <w:rtl w:val="true"/>
              </w:rPr>
              <w:tab/>
            </w:r>
            <w:r>
              <w:rPr>
                <w:rStyle w:val="IndexLink"/>
              </w:rPr>
              <w:t>126</w:t>
            </w:r>
          </w:hyperlink>
        </w:p>
        <w:p>
          <w:pPr>
            <w:pStyle w:val="Contents3"/>
            <w:tabs>
              <w:tab w:val="clear" w:pos="8459"/>
              <w:tab w:val="right" w:pos="9026" w:leader="dot"/>
            </w:tabs>
            <w:rPr/>
          </w:pPr>
          <w:hyperlink w:anchor="__RefHeading___Toc561540_1395250215">
            <w:r>
              <w:rPr>
                <w:webHidden/>
                <w:rStyle w:val="IndexLink"/>
              </w:rPr>
              <w:t>3</w:t>
            </w:r>
            <w:r>
              <w:rPr>
                <w:rStyle w:val="IndexLink"/>
                <w:rtl w:val="true"/>
              </w:rPr>
              <w:t>.</w:t>
            </w:r>
            <w:r>
              <w:rPr>
                <w:rStyle w:val="IndexLink"/>
                <w:rtl w:val="true"/>
              </w:rPr>
              <w:t>دیدگاه‌ها</w:t>
            </w:r>
            <w:r>
              <w:rPr>
                <w:rStyle w:val="IndexLink"/>
                <w:rtl w:val="true"/>
              </w:rPr>
              <w:tab/>
            </w:r>
            <w:r>
              <w:rPr>
                <w:rStyle w:val="IndexLink"/>
              </w:rPr>
              <w:t>126</w:t>
            </w:r>
          </w:hyperlink>
        </w:p>
        <w:p>
          <w:pPr>
            <w:pStyle w:val="Contents4"/>
            <w:tabs>
              <w:tab w:val="clear" w:pos="8176"/>
              <w:tab w:val="right" w:pos="9026" w:leader="dot"/>
            </w:tabs>
            <w:rPr/>
          </w:pPr>
          <w:hyperlink w:anchor="__RefHeading___Toc561542_139525021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61544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دیدگاه‌های حذفی</w:t>
            </w:r>
            <w:r>
              <w:rPr>
                <w:rStyle w:val="IndexLink"/>
                <w:rtl w:val="true"/>
              </w:rPr>
              <w:tab/>
            </w:r>
            <w:r>
              <w:rPr>
                <w:rStyle w:val="IndexLink"/>
              </w:rPr>
              <w:t>127</w:t>
            </w:r>
          </w:hyperlink>
        </w:p>
        <w:p>
          <w:pPr>
            <w:pStyle w:val="Contents4"/>
            <w:tabs>
              <w:tab w:val="clear" w:pos="8176"/>
              <w:tab w:val="right" w:pos="9026" w:leader="dot"/>
            </w:tabs>
            <w:rPr/>
          </w:pPr>
          <w:hyperlink w:anchor="__RefHeading___Toc561546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دیدگاه سکوت دربارۀ معنا</w:t>
            </w:r>
            <w:r>
              <w:rPr>
                <w:rStyle w:val="IndexLink"/>
                <w:rtl w:val="true"/>
              </w:rPr>
              <w:tab/>
            </w:r>
            <w:r>
              <w:rPr>
                <w:rStyle w:val="IndexLink"/>
              </w:rPr>
              <w:t>127</w:t>
            </w:r>
          </w:hyperlink>
        </w:p>
        <w:p>
          <w:pPr>
            <w:pStyle w:val="Contents4"/>
            <w:tabs>
              <w:tab w:val="clear" w:pos="8176"/>
              <w:tab w:val="right" w:pos="9026" w:leader="dot"/>
            </w:tabs>
            <w:rPr/>
          </w:pPr>
          <w:hyperlink w:anchor="__RefHeading___Toc561548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دیدگاه‌های تأویلی</w:t>
            </w:r>
            <w:r>
              <w:rPr>
                <w:rStyle w:val="IndexLink"/>
                <w:rtl w:val="true"/>
              </w:rPr>
              <w:tab/>
            </w:r>
            <w:r>
              <w:rPr>
                <w:rStyle w:val="IndexLink"/>
              </w:rPr>
              <w:t>127</w:t>
            </w:r>
          </w:hyperlink>
        </w:p>
        <w:p>
          <w:pPr>
            <w:pStyle w:val="Contents5"/>
            <w:tabs>
              <w:tab w:val="clear" w:pos="7892"/>
              <w:tab w:val="right" w:pos="9026" w:leader="dot"/>
            </w:tabs>
            <w:rPr/>
          </w:pPr>
          <w:hyperlink w:anchor="__RefHeading___Toc561550_139525021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61552_1395250215">
            <w:r>
              <w:rPr>
                <w:webHidden/>
                <w:rStyle w:val="IndexLink"/>
                <w:rtl w:val="true"/>
              </w:rPr>
              <w:t>الف</w:t>
            </w:r>
            <w:r>
              <w:rPr>
                <w:rStyle w:val="IndexLink"/>
                <w:rtl w:val="true"/>
              </w:rPr>
              <w:t xml:space="preserve">) </w:t>
            </w:r>
            <w:r>
              <w:rPr>
                <w:rStyle w:val="IndexLink"/>
                <w:rtl w:val="true"/>
              </w:rPr>
              <w:t>استناد به علم پیشین الهی</w:t>
            </w:r>
            <w:r>
              <w:rPr>
                <w:rStyle w:val="IndexLink"/>
                <w:rtl w:val="true"/>
              </w:rPr>
              <w:tab/>
            </w:r>
            <w:r>
              <w:rPr>
                <w:rStyle w:val="IndexLink"/>
              </w:rPr>
              <w:t>128</w:t>
            </w:r>
          </w:hyperlink>
        </w:p>
        <w:p>
          <w:pPr>
            <w:pStyle w:val="Contents6"/>
            <w:tabs>
              <w:tab w:val="clear" w:pos="7609"/>
              <w:tab w:val="right" w:pos="9026" w:leader="dot"/>
            </w:tabs>
            <w:rPr/>
          </w:pPr>
          <w:hyperlink w:anchor="__RefHeading___Toc561554_1395250215">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561556_1395250215">
            <w:r>
              <w:rPr>
                <w:webHidden/>
                <w:rStyle w:val="IndexLink"/>
                <w:rtl w:val="true"/>
              </w:rPr>
              <w:t>نقد و برسی</w:t>
            </w:r>
            <w:r>
              <w:rPr>
                <w:rStyle w:val="IndexLink"/>
                <w:rtl w:val="true"/>
              </w:rPr>
              <w:tab/>
            </w:r>
            <w:r>
              <w:rPr>
                <w:rStyle w:val="IndexLink"/>
              </w:rPr>
              <w:t>128</w:t>
            </w:r>
          </w:hyperlink>
        </w:p>
        <w:p>
          <w:pPr>
            <w:pStyle w:val="Contents5"/>
            <w:tabs>
              <w:tab w:val="clear" w:pos="7892"/>
              <w:tab w:val="right" w:pos="9026" w:leader="dot"/>
            </w:tabs>
            <w:rPr/>
          </w:pPr>
          <w:hyperlink w:anchor="__RefHeading___Toc561558_1395250215">
            <w:r>
              <w:rPr>
                <w:webHidden/>
                <w:rStyle w:val="IndexLink"/>
                <w:rtl w:val="true"/>
              </w:rPr>
              <w:t>ب</w:t>
            </w:r>
            <w:r>
              <w:rPr>
                <w:rStyle w:val="IndexLink"/>
                <w:rtl w:val="true"/>
              </w:rPr>
              <w:t xml:space="preserve">) </w:t>
            </w:r>
            <w:r>
              <w:rPr>
                <w:rStyle w:val="IndexLink"/>
                <w:rtl w:val="true"/>
              </w:rPr>
              <w:t>تأویل طینت‌های مختلف به عوالم سه‌گانۀ جبروت، ملکوت و ملک</w:t>
            </w:r>
            <w:r>
              <w:rPr>
                <w:rStyle w:val="IndexLink"/>
                <w:rtl w:val="true"/>
              </w:rPr>
              <w:tab/>
            </w:r>
            <w:r>
              <w:rPr>
                <w:rStyle w:val="IndexLink"/>
              </w:rPr>
              <w:t>129</w:t>
            </w:r>
          </w:hyperlink>
        </w:p>
        <w:p>
          <w:pPr>
            <w:pStyle w:val="Contents6"/>
            <w:tabs>
              <w:tab w:val="clear" w:pos="7609"/>
              <w:tab w:val="right" w:pos="9026" w:leader="dot"/>
            </w:tabs>
            <w:rPr/>
          </w:pPr>
          <w:hyperlink w:anchor="__RefHeading___Toc561560_139525021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561562_1395250215">
            <w:r>
              <w:rPr>
                <w:webHidden/>
                <w:rStyle w:val="IndexLink"/>
                <w:rtl w:val="true"/>
              </w:rPr>
              <w:t>نقد و برسی</w:t>
            </w:r>
            <w:r>
              <w:rPr>
                <w:rStyle w:val="IndexLink"/>
                <w:rtl w:val="true"/>
              </w:rPr>
              <w:tab/>
            </w:r>
            <w:r>
              <w:rPr>
                <w:rStyle w:val="IndexLink"/>
              </w:rPr>
              <w:t>129</w:t>
            </w:r>
          </w:hyperlink>
        </w:p>
        <w:p>
          <w:pPr>
            <w:pStyle w:val="Contents5"/>
            <w:tabs>
              <w:tab w:val="clear" w:pos="7892"/>
              <w:tab w:val="right" w:pos="9026" w:leader="dot"/>
            </w:tabs>
            <w:rPr/>
          </w:pPr>
          <w:hyperlink w:anchor="__RefHeading___Toc561564_1395250215">
            <w:r>
              <w:rPr>
                <w:webHidden/>
                <w:rStyle w:val="IndexLink"/>
                <w:rtl w:val="true"/>
              </w:rPr>
              <w:t>ج</w:t>
            </w:r>
            <w:r>
              <w:rPr>
                <w:rStyle w:val="IndexLink"/>
                <w:rtl w:val="true"/>
              </w:rPr>
              <w:t xml:space="preserve">) </w:t>
            </w:r>
            <w:r>
              <w:rPr>
                <w:rStyle w:val="IndexLink"/>
                <w:rtl w:val="true"/>
              </w:rPr>
              <w:t>اخبار طینت، کنایه از علم الهی به آیندۀ انسان‌ها</w:t>
            </w:r>
            <w:r>
              <w:rPr>
                <w:rStyle w:val="IndexLink"/>
                <w:rtl w:val="true"/>
              </w:rPr>
              <w:tab/>
            </w:r>
            <w:r>
              <w:rPr>
                <w:rStyle w:val="IndexLink"/>
              </w:rPr>
              <w:t>129</w:t>
            </w:r>
          </w:hyperlink>
        </w:p>
        <w:p>
          <w:pPr>
            <w:pStyle w:val="Contents6"/>
            <w:tabs>
              <w:tab w:val="clear" w:pos="7609"/>
              <w:tab w:val="right" w:pos="9026" w:leader="dot"/>
            </w:tabs>
            <w:rPr/>
          </w:pPr>
          <w:hyperlink w:anchor="__RefHeading___Toc561566_139525021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561568_1395250215">
            <w:r>
              <w:rPr>
                <w:webHidden/>
                <w:rStyle w:val="IndexLink"/>
                <w:rtl w:val="true"/>
              </w:rPr>
              <w:t>نقد و برسی</w:t>
            </w:r>
            <w:r>
              <w:rPr>
                <w:rStyle w:val="IndexLink"/>
                <w:rtl w:val="true"/>
              </w:rPr>
              <w:tab/>
            </w:r>
            <w:r>
              <w:rPr>
                <w:rStyle w:val="IndexLink"/>
              </w:rPr>
              <w:t>130</w:t>
            </w:r>
          </w:hyperlink>
        </w:p>
        <w:p>
          <w:pPr>
            <w:pStyle w:val="Contents5"/>
            <w:tabs>
              <w:tab w:val="clear" w:pos="7892"/>
              <w:tab w:val="right" w:pos="9026" w:leader="dot"/>
            </w:tabs>
            <w:rPr/>
          </w:pPr>
          <w:hyperlink w:anchor="__RefHeading___Toc561570_1395250215">
            <w:r>
              <w:rPr>
                <w:webHidden/>
                <w:rStyle w:val="IndexLink"/>
                <w:rtl w:val="true"/>
              </w:rPr>
              <w:t>د</w:t>
            </w:r>
            <w:r>
              <w:rPr>
                <w:rStyle w:val="IndexLink"/>
                <w:rtl w:val="true"/>
              </w:rPr>
              <w:t xml:space="preserve">) </w:t>
            </w:r>
            <w:r>
              <w:rPr>
                <w:rStyle w:val="IndexLink"/>
                <w:rtl w:val="true"/>
              </w:rPr>
              <w:t>اختلاف طینت ها، کنایه از اختلاف استعدادها و قابلیت ها</w:t>
            </w:r>
            <w:r>
              <w:rPr>
                <w:rStyle w:val="IndexLink"/>
                <w:rtl w:val="true"/>
              </w:rPr>
              <w:tab/>
            </w:r>
            <w:r>
              <w:rPr>
                <w:rStyle w:val="IndexLink"/>
              </w:rPr>
              <w:t>130</w:t>
            </w:r>
          </w:hyperlink>
        </w:p>
        <w:p>
          <w:pPr>
            <w:pStyle w:val="Contents6"/>
            <w:tabs>
              <w:tab w:val="clear" w:pos="7609"/>
              <w:tab w:val="right" w:pos="9026" w:leader="dot"/>
            </w:tabs>
            <w:rPr/>
          </w:pPr>
          <w:hyperlink w:anchor="__RefHeading___Toc561572_139525021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61574_1395250215">
            <w:r>
              <w:rPr>
                <w:webHidden/>
                <w:rStyle w:val="IndexLink"/>
                <w:rtl w:val="true"/>
              </w:rPr>
              <w:t>نقد و برسی</w:t>
            </w:r>
            <w:r>
              <w:rPr>
                <w:rStyle w:val="IndexLink"/>
                <w:rtl w:val="true"/>
              </w:rPr>
              <w:tab/>
            </w:r>
            <w:r>
              <w:rPr>
                <w:rStyle w:val="IndexLink"/>
              </w:rPr>
              <w:t>130</w:t>
            </w:r>
          </w:hyperlink>
        </w:p>
        <w:p>
          <w:pPr>
            <w:pStyle w:val="Contents5"/>
            <w:tabs>
              <w:tab w:val="clear" w:pos="7892"/>
              <w:tab w:val="right" w:pos="9026" w:leader="dot"/>
            </w:tabs>
            <w:rPr/>
          </w:pPr>
          <w:hyperlink w:anchor="__RefHeading___Toc561576_1395250215">
            <w:r>
              <w:rPr>
                <w:webHidden/>
                <w:rStyle w:val="IndexLink"/>
                <w:rtl w:val="true"/>
              </w:rPr>
              <w:t>هـ</w:t>
            </w:r>
            <w:r>
              <w:rPr>
                <w:rStyle w:val="IndexLink"/>
                <w:rtl w:val="true"/>
              </w:rPr>
              <w:t xml:space="preserve">) </w:t>
            </w:r>
            <w:r>
              <w:rPr>
                <w:rStyle w:val="IndexLink"/>
                <w:rtl w:val="true"/>
              </w:rPr>
              <w:t>اختلاف طینت ها تابع اطاعت و عصیان در تکلیف مراحل پیشین</w:t>
            </w:r>
            <w:r>
              <w:rPr>
                <w:rStyle w:val="IndexLink"/>
                <w:rtl w:val="true"/>
              </w:rPr>
              <w:tab/>
            </w:r>
            <w:r>
              <w:rPr>
                <w:rStyle w:val="IndexLink"/>
              </w:rPr>
              <w:t>131</w:t>
            </w:r>
          </w:hyperlink>
        </w:p>
        <w:p>
          <w:pPr>
            <w:pStyle w:val="Contents6"/>
            <w:tabs>
              <w:tab w:val="clear" w:pos="7609"/>
              <w:tab w:val="right" w:pos="9026" w:leader="dot"/>
            </w:tabs>
            <w:rPr/>
          </w:pPr>
          <w:hyperlink w:anchor="__RefHeading___Toc561578_1395250215">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561580_1395250215">
            <w:r>
              <w:rPr>
                <w:webHidden/>
                <w:rStyle w:val="IndexLink"/>
                <w:rtl w:val="true"/>
              </w:rPr>
              <w:t>نقد و برسی</w:t>
            </w:r>
            <w:r>
              <w:rPr>
                <w:rStyle w:val="IndexLink"/>
                <w:rtl w:val="true"/>
              </w:rPr>
              <w:tab/>
            </w:r>
            <w:r>
              <w:rPr>
                <w:rStyle w:val="IndexLink"/>
              </w:rPr>
              <w:t>131</w:t>
            </w:r>
          </w:hyperlink>
        </w:p>
        <w:p>
          <w:pPr>
            <w:pStyle w:val="Contents5"/>
            <w:tabs>
              <w:tab w:val="clear" w:pos="7892"/>
              <w:tab w:val="right" w:pos="9026" w:leader="dot"/>
            </w:tabs>
            <w:rPr/>
          </w:pPr>
          <w:hyperlink w:anchor="__RefHeading___Toc561582_1395250215">
            <w:r>
              <w:rPr>
                <w:webHidden/>
                <w:rStyle w:val="IndexLink"/>
                <w:rtl w:val="true"/>
              </w:rPr>
              <w:t>و</w:t>
            </w:r>
            <w:r>
              <w:rPr>
                <w:rStyle w:val="IndexLink"/>
                <w:rtl w:val="true"/>
              </w:rPr>
              <w:t xml:space="preserve">) </w:t>
            </w:r>
            <w:r>
              <w:rPr>
                <w:rStyle w:val="IndexLink"/>
                <w:rtl w:val="true"/>
              </w:rPr>
              <w:t>تأویل طینت‌ها به صورت‌های نفسانی</w:t>
            </w:r>
            <w:r>
              <w:rPr>
                <w:rStyle w:val="IndexLink"/>
                <w:rtl w:val="true"/>
              </w:rPr>
              <w:tab/>
            </w:r>
            <w:r>
              <w:rPr>
                <w:rStyle w:val="IndexLink"/>
              </w:rPr>
              <w:t>132</w:t>
            </w:r>
          </w:hyperlink>
        </w:p>
        <w:p>
          <w:pPr>
            <w:pStyle w:val="Contents6"/>
            <w:tabs>
              <w:tab w:val="clear" w:pos="7609"/>
              <w:tab w:val="right" w:pos="9026" w:leader="dot"/>
            </w:tabs>
            <w:rPr/>
          </w:pPr>
          <w:hyperlink w:anchor="__RefHeading___Toc561584_1395250215">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561586_1395250215">
            <w:r>
              <w:rPr>
                <w:webHidden/>
                <w:rStyle w:val="IndexLink"/>
                <w:rtl w:val="true"/>
              </w:rPr>
              <w:t>نقد و برسی</w:t>
            </w:r>
            <w:r>
              <w:rPr>
                <w:rStyle w:val="IndexLink"/>
                <w:rtl w:val="true"/>
              </w:rPr>
              <w:tab/>
            </w:r>
            <w:r>
              <w:rPr>
                <w:rStyle w:val="IndexLink"/>
              </w:rPr>
              <w:t>133</w:t>
            </w:r>
          </w:hyperlink>
        </w:p>
        <w:p>
          <w:pPr>
            <w:pStyle w:val="Contents3"/>
            <w:tabs>
              <w:tab w:val="clear" w:pos="8459"/>
              <w:tab w:val="right" w:pos="9026" w:leader="dot"/>
            </w:tabs>
            <w:rPr/>
          </w:pPr>
          <w:hyperlink w:anchor="__RefHeading___Toc561588_1395250215">
            <w:r>
              <w:rPr>
                <w:webHidden/>
                <w:rStyle w:val="IndexLink"/>
              </w:rPr>
              <w:t>4</w:t>
            </w:r>
            <w:r>
              <w:rPr>
                <w:rStyle w:val="IndexLink"/>
                <w:rtl w:val="true"/>
              </w:rPr>
              <w:t xml:space="preserve">. </w:t>
            </w:r>
            <w:r>
              <w:rPr>
                <w:rStyle w:val="IndexLink"/>
                <w:rtl w:val="true"/>
              </w:rPr>
              <w:t>دیدگاه برگزیده</w:t>
            </w:r>
            <w:r>
              <w:rPr>
                <w:rStyle w:val="IndexLink"/>
                <w:rtl w:val="true"/>
              </w:rPr>
              <w:tab/>
            </w:r>
            <w:r>
              <w:rPr>
                <w:rStyle w:val="IndexLink"/>
              </w:rPr>
              <w:t>134</w:t>
            </w:r>
          </w:hyperlink>
        </w:p>
        <w:p>
          <w:pPr>
            <w:pStyle w:val="Contents3"/>
            <w:tabs>
              <w:tab w:val="clear" w:pos="8459"/>
              <w:tab w:val="right" w:pos="9026" w:leader="dot"/>
            </w:tabs>
            <w:rPr/>
          </w:pPr>
          <w:hyperlink w:anchor="__RefHeading___Toc561590_1395250215">
            <w:r>
              <w:rPr>
                <w:webHidden/>
                <w:rStyle w:val="IndexLink"/>
                <w:rtl w:val="true"/>
              </w:rPr>
              <w:t>نتیجه</w:t>
            </w:r>
            <w:r>
              <w:rPr>
                <w:rStyle w:val="IndexLink"/>
                <w:rtl w:val="true"/>
              </w:rPr>
              <w:tab/>
            </w:r>
            <w:r>
              <w:rPr>
                <w:rStyle w:val="IndexLink"/>
              </w:rPr>
              <w:t>137</w:t>
            </w:r>
          </w:hyperlink>
        </w:p>
        <w:p>
          <w:pPr>
            <w:pStyle w:val="Contents3"/>
            <w:tabs>
              <w:tab w:val="clear" w:pos="8459"/>
              <w:tab w:val="right" w:pos="9026" w:leader="dot"/>
            </w:tabs>
            <w:rPr/>
          </w:pPr>
          <w:hyperlink w:anchor="__RefHeading___Toc561592_1395250215">
            <w:r>
              <w:rPr>
                <w:webHidden/>
                <w:rStyle w:val="IndexLink"/>
                <w:rtl w:val="true"/>
              </w:rPr>
              <w:t>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561594_1395250215">
            <w:r>
              <w:rPr>
                <w:webHidden/>
                <w:rStyle w:val="IndexLink"/>
                <w:rtl w:val="true"/>
              </w:rPr>
              <w:t>چکیده عربی مقالات</w:t>
            </w:r>
            <w:r>
              <w:rPr>
                <w:rStyle w:val="IndexLink"/>
                <w:rtl w:val="true"/>
              </w:rPr>
              <w:tab/>
            </w:r>
            <w:r>
              <w:rPr>
                <w:rStyle w:val="IndexLink"/>
              </w:rPr>
              <w:t>140</w:t>
            </w:r>
          </w:hyperlink>
        </w:p>
        <w:p>
          <w:pPr>
            <w:pStyle w:val="Contents2"/>
            <w:tabs>
              <w:tab w:val="clear" w:pos="8743"/>
              <w:tab w:val="right" w:pos="9026" w:leader="dot"/>
            </w:tabs>
            <w:rPr/>
          </w:pPr>
          <w:hyperlink w:anchor="__RefHeading___Toc561596_1395250215">
            <w:r>
              <w:rPr>
                <w:webHidden/>
                <w:rStyle w:val="IndexLink"/>
                <w:rtl w:val="true"/>
              </w:rPr>
              <w:t>چکیده انگلیسی مقالات</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1_17605"/>
      <w:bookmarkStart w:id="1" w:name="pg2631_17605"/>
      <w:bookmarkEnd w:id="1"/>
    </w:p>
    <w:p>
      <w:pPr>
        <w:pStyle w:val="Heading2"/>
        <w:numPr>
          <w:ilvl w:val="1"/>
          <w:numId w:val="1"/>
        </w:numPr>
        <w:rPr/>
      </w:pPr>
      <w:bookmarkStart w:id="2" w:name="pg2631_17605"/>
      <w:bookmarkStart w:id="3" w:name="__RefHeading___Toc561222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اول، شماره سوم،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رضوی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224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r>
        <w:rPr>
          <w:rFonts w:eastAsia="IRNazanin" w:cs="IRNazanin"/>
          <w:color w:val="111111"/>
          <w:sz w:val="28"/>
          <w:szCs w:val="28"/>
          <w:rtl w:val="true"/>
          <w:lang w:bidi="fa-IR"/>
        </w:rPr>
        <w:t>.</w:t>
      </w:r>
      <w:bookmarkStart w:id="7" w:name="pg2631_17607"/>
    </w:p>
    <w:p>
      <w:pPr>
        <w:pStyle w:val="Heading2"/>
        <w:numPr>
          <w:ilvl w:val="1"/>
          <w:numId w:val="1"/>
        </w:numPr>
        <w:rPr/>
      </w:pPr>
      <w:bookmarkStart w:id="8" w:name="__RefHeading___Toc561226_1395250215"/>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31_17608"/>
    </w:p>
    <w:p>
      <w:pPr>
        <w:pStyle w:val="Heading2"/>
        <w:numPr>
          <w:ilvl w:val="1"/>
          <w:numId w:val="1"/>
        </w:numPr>
        <w:rPr/>
      </w:pPr>
      <w:bookmarkStart w:id="11" w:name="__RefHeading___Toc561228_1395250215"/>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ایمان موهبتی از منظر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موسوی، رسول احمدی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اثبات و تحلیل شأن وساطت فیضِ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فاریاب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گستره علم امام در اندیشه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بهدار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بررسی تأثیر شیعیان کوفه از فرهنگ رأی و قیاس در نیمه اول سده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حسن طارمی راد، محمدصادق واحدی فرد، سوسن فخرایی، سیدعبدالحمید ابطحی</w:t>
      </w:r>
    </w:p>
    <w:p>
      <w:pPr>
        <w:pStyle w:val="BookText"/>
        <w:rPr/>
      </w:pPr>
      <w:r>
        <w:rPr>
          <w:rFonts w:ascii="IRNazanin" w:hAnsi="IRNazanin" w:eastAsia="IRNazanin"/>
          <w:color w:val="111111"/>
          <w:sz w:val="28"/>
          <w:sz w:val="28"/>
          <w:szCs w:val="28"/>
          <w:rtl w:val="true"/>
          <w:lang w:bidi="fa-IR"/>
        </w:rPr>
        <w:t xml:space="preserve">مقصود اصلی در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مهدی نصرتیان اهور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مناسبات امامیه و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غیبت صغری تا افول آل 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اکبر موسوی تنیانی </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طینت و عـدل الهـی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ذاکری، اصغر غلامی </w:t>
      </w:r>
      <w:r>
        <w:rPr>
          <w:rFonts w:eastAsia="IRNazanin" w:cs="IRNazanin"/>
          <w:color w:val="111111"/>
          <w:sz w:val="28"/>
          <w:szCs w:val="28"/>
          <w:lang w:bidi="fa-IR"/>
        </w:rPr>
        <w:t>111</w:t>
      </w:r>
      <w:bookmarkStart w:id="13" w:name="pg2631_17610"/>
    </w:p>
    <w:p>
      <w:pPr>
        <w:pStyle w:val="Heading2"/>
        <w:numPr>
          <w:ilvl w:val="1"/>
          <w:numId w:val="1"/>
        </w:numPr>
        <w:rPr/>
      </w:pPr>
      <w:bookmarkStart w:id="14" w:name="__RefHeading___Toc561230_1395250215"/>
      <w:bookmarkStart w:id="15" w:name="_Toc5"/>
      <w:bookmarkEnd w:id="13"/>
      <w:bookmarkEnd w:id="14"/>
      <w:r>
        <w:rPr>
          <w:rtl w:val="true"/>
        </w:rPr>
        <w:t>ایمان موهبتی از منظر آیات و روایات</w:t>
      </w:r>
      <w:bookmarkEnd w:id="15"/>
    </w:p>
    <w:p>
      <w:pPr>
        <w:pStyle w:val="Heading3"/>
        <w:numPr>
          <w:ilvl w:val="2"/>
          <w:numId w:val="1"/>
        </w:numPr>
        <w:rPr/>
      </w:pPr>
      <w:bookmarkStart w:id="16" w:name="__RefHeading___Toc561232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سیدمحمود موسوی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احمدی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1392/04/06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1392/09/15</w:t>
      </w:r>
    </w:p>
    <w:p>
      <w:pPr>
        <w:pStyle w:val="Heading3"/>
        <w:numPr>
          <w:ilvl w:val="2"/>
          <w:numId w:val="1"/>
        </w:numPr>
        <w:rPr/>
      </w:pPr>
      <w:bookmarkStart w:id="18" w:name="__RefHeading___Toc561234_1395250215"/>
      <w:bookmarkStart w:id="19" w:name="_Toc7"/>
      <w:bookmarkEnd w:id="18"/>
      <w:r>
        <w:rPr>
          <w:rtl w:val="true"/>
        </w:rPr>
        <w:t>چکیده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 ترین مفاهیم اعتقادیِ اسلام است، که آن را به اعتقاد قلبیِ همراه با اقرار زبانی و عمل جوارحی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روایات، ایمان آن گاه محقق می شود که مسبوق به معرفتی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هم می تواند اکتسابی باشد و هم فیض و عنایت الهی آن را برای انسان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صورت، تصدیق آن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یا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اختیار انسان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از این فرآیند حاصل می شود اکتسابی است و زیربنای ایمانی قرار می گیرد که بر اساس تعابیر روایات،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موهبتی، ایمانی است که در ورای ایمان مصطلح قرار داشته و بنا بر آیات و روایات، عطیه و نوری است که بر قلب مؤمن تابانده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 آن است که به مستندات روایی و قرآنیِ این نوع از ایمان بپردازد</w:t>
      </w:r>
      <w:r>
        <w:rPr>
          <w:rFonts w:eastAsia="IRNazanin" w:cs="IRNazanin"/>
          <w:color w:val="111111"/>
          <w:sz w:val="28"/>
          <w:szCs w:val="28"/>
          <w:rtl w:val="true"/>
          <w:lang w:bidi="fa-IR"/>
        </w:rPr>
        <w:t>.</w:t>
      </w:r>
    </w:p>
    <w:p>
      <w:pPr>
        <w:pStyle w:val="Heading3"/>
        <w:numPr>
          <w:ilvl w:val="2"/>
          <w:numId w:val="1"/>
        </w:numPr>
        <w:rPr/>
      </w:pPr>
      <w:bookmarkStart w:id="20" w:name="__RefHeading___Toc561236_1395250215"/>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اختیار، هدایت، اعطا، سکینه، نور ایمان، روح ایمان</w:t>
      </w:r>
      <w:r>
        <w:rPr>
          <w:rFonts w:eastAsia="IRNazanin" w:cs="IRNazanin"/>
          <w:color w:val="111111"/>
          <w:sz w:val="28"/>
          <w:szCs w:val="28"/>
          <w:rtl w:val="true"/>
          <w:lang w:bidi="fa-IR"/>
        </w:rPr>
        <w:t>.</w:t>
      </w:r>
      <w:bookmarkStart w:id="22" w:name="pg2631_17611"/>
    </w:p>
    <w:p>
      <w:pPr>
        <w:pStyle w:val="Heading3"/>
        <w:numPr>
          <w:ilvl w:val="2"/>
          <w:numId w:val="1"/>
        </w:numPr>
        <w:rPr/>
      </w:pPr>
      <w:bookmarkStart w:id="23" w:name="__RefHeading___Toc561238_1395250215"/>
      <w:bookmarkStart w:id="24" w:name="_Toc9"/>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 xml:space="preserve">موضوع ایمان، گسترۀ وسیعی از روایات اسلامی را در بر می گیرد، به گونه ای که ریزموضوع های منشعب از ایمان، هرکدام شواهد روایی فراوانی دارند، اما روایات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جمع آوری و تبیین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نگارنده با مرور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کافی و هم چنین جلد هشتم دانشنامۀ میزان الحکمه که به روایات ایمان و دسته بندی احادیث آن پرداخته، آیات و روایاتی را که به نقش خداوند در ایمان ِعبد نظر دارند،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حجم روایات و نیز محدودیت در تعداد صفحاتِ نوشتار حاضر، تنها به ذکر آیات و روایات شاخص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تفسیر و تبیین این آیات و روایات، آن هم با شیوۀ معناشناسی، کمک شایانی به تنقیح بحث می کند که البته خود، فرصت و مجال دیگری می طلبد؛ با این همه، عناوینی که در ادامه می آید، می تواند برای کسانی که خواهان پژوهش در این حوزه اند، کدهای مفیدی باشد</w:t>
      </w:r>
      <w:r>
        <w:rPr>
          <w:rFonts w:eastAsia="IRNazanin" w:cs="IRNazanin"/>
          <w:color w:val="111111"/>
          <w:sz w:val="28"/>
          <w:szCs w:val="28"/>
          <w:rtl w:val="true"/>
          <w:lang w:bidi="fa-IR"/>
        </w:rPr>
        <w:t>.</w:t>
      </w:r>
    </w:p>
    <w:p>
      <w:pPr>
        <w:pStyle w:val="Heading3"/>
        <w:numPr>
          <w:ilvl w:val="2"/>
          <w:numId w:val="1"/>
        </w:numPr>
        <w:rPr/>
      </w:pPr>
      <w:bookmarkStart w:id="25" w:name="__RefHeading___Toc561240_1395250215"/>
      <w:bookmarkStart w:id="26" w:name="_Toc10"/>
      <w:bookmarkEnd w:id="25"/>
      <w:r>
        <w:rPr/>
        <w:t>1</w:t>
      </w:r>
      <w:r>
        <w:rPr>
          <w:rtl w:val="true"/>
        </w:rPr>
        <w:t xml:space="preserve">. </w:t>
      </w:r>
      <w:r>
        <w:rPr>
          <w:rtl w:val="true"/>
        </w:rPr>
        <w:t>تعریف ایمان</w:t>
      </w:r>
      <w:bookmarkEnd w:id="26"/>
    </w:p>
    <w:p>
      <w:pPr>
        <w:pStyle w:val="Heading4"/>
        <w:numPr>
          <w:ilvl w:val="3"/>
          <w:numId w:val="1"/>
        </w:numPr>
        <w:rPr/>
      </w:pPr>
      <w:bookmarkStart w:id="27" w:name="__RefHeading___Toc561242_1395250215"/>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ضد کفر و مصدر باب افعال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تصدیق کردن، اذعان کردن، گرویدن، ایمن گردانیدن، امان دادن و اقرار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پژوهان چهار کاربرد گوناگون برای سه واژه از یک ریشه،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ضد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دوم به معنای تصدیق، در مقابل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به نظر می رسد که گوهر معناییِ تمامی این کاربردها،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در اکثر کاربردهای این واژه گونه ای از امنیت و آرامش و زدودن ترس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که ایمان را نوعی تصدیق گرفته اند، ایجاد اطمینان و آرامش درونی به واسطۀ تصدیقِ کسی یا چیزی را از لوازم آن برشمرده اند و یا این که مؤمن موضوعات اعتقادی خود را از شک و تردید که آفت اعتقاد است، امنیت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29" w:name="pg2631_17612"/>
    </w:p>
    <w:p>
      <w:pPr>
        <w:pStyle w:val="BookText"/>
        <w:rPr/>
      </w:pPr>
      <w:bookmarkEnd w:id="29"/>
      <w:r>
        <w:rPr>
          <w:rFonts w:ascii="IRNazanin" w:hAnsi="IRNazanin" w:eastAsia="IRNazanin"/>
          <w:color w:val="111111"/>
          <w:sz w:val="28"/>
          <w:sz w:val="28"/>
          <w:szCs w:val="28"/>
          <w:rtl w:val="true"/>
          <w:lang w:bidi="fa-IR"/>
        </w:rPr>
        <w:t xml:space="preserve">در زمینۀ 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بین اندیشمندان سایر فرقه ها و مذاهب اسلامی اختلاف نظر مشاهده می شود، در میان متکلمان و اندیشمندان شیعۀ اثنا عشری نیز اندیشه ها و دیدگاه‌های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بیشتر متکلمان و فیلسوفان شیعی از ایمان، یک سانیِ آن با تصدیق</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برخی یک سانیِ آن با معرفت را نیز مطرح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علمای شیعی همچون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دیدگاه اخیر را دربارۀ ایمان برگزیده اند</w:t>
      </w:r>
      <w:r>
        <w:rPr>
          <w:rFonts w:eastAsia="IRNazanin" w:cs="IRNazanin"/>
          <w:color w:val="111111"/>
          <w:sz w:val="28"/>
          <w:szCs w:val="28"/>
          <w:rtl w:val="true"/>
          <w:lang w:bidi="fa-IR"/>
        </w:rPr>
        <w:t>.</w:t>
      </w:r>
    </w:p>
    <w:p>
      <w:pPr>
        <w:pStyle w:val="Heading4"/>
        <w:numPr>
          <w:ilvl w:val="3"/>
          <w:numId w:val="1"/>
        </w:numPr>
        <w:rPr/>
      </w:pPr>
      <w:bookmarkStart w:id="30" w:name="__RefHeading___Toc561244_1395250215"/>
      <w:bookmarkStart w:id="31" w:name="_Toc12"/>
      <w:bookmarkEnd w:id="30"/>
      <w:r>
        <w:rPr/>
        <w:t>1</w:t>
      </w:r>
      <w:r>
        <w:rPr>
          <w:rtl w:val="true"/>
        </w:rPr>
        <w:t>ـ</w:t>
      </w:r>
      <w:r>
        <w:rPr/>
        <w:t>1</w:t>
      </w:r>
      <w:r>
        <w:rPr>
          <w:rtl w:val="true"/>
        </w:rPr>
        <w:t xml:space="preserve">. </w:t>
      </w:r>
      <w:r>
        <w:rPr>
          <w:rtl w:val="true"/>
        </w:rPr>
        <w:t>ایمان موهبتی</w:t>
      </w:r>
      <w:bookmarkEnd w:id="31"/>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است که به واسطۀ فیض و عنایت خداوند به انسان ارزانی می شود؛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و اختیار انسان نیز در مبادی عمل ایمانی وی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موهبتی هم ردیف توفیق و فیض شمرده شده و دارای نظامی متفاوت از ایمان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اکتسابی آن گاه تحقق پیدا می کند که آدمی به خداوند معرفت پیدا کرده و قلباً خدا را تصدیق کند، چراکه لازمۀ تصدیق خداوند معرفت به او و اقرار و عمل است، و این همه در حوزۀ اختیار انسانی تعریف می شود؛ هرچند معرفتی که مقدمۀ تصدیق قرار گرفته، می تواند در برخی موارد به عنایت و فیض الهی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ایمان، حقیقت دیگری نیز وجود دارد که در آیات و روایات از آن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خداوند بر اساس میزان تسلیم و ایمان ابتدایی اشخاص به آنان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و دعاهای بسیاری که در ادامه خواهد آمد، انسان مؤمن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این نوع ایمان را به وی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٢١٥</w:t>
      </w:r>
      <w:r>
        <w:rPr>
          <w:rFonts w:eastAsia="IRNazanin" w:cs="IRNazanin"/>
          <w:color w:val="111111"/>
          <w:sz w:val="28"/>
          <w:szCs w:val="28"/>
          <w:rtl w:val="true"/>
          <w:lang w:bidi="fa-IR"/>
        </w:rPr>
        <w:t>).</w:t>
      </w:r>
    </w:p>
    <w:p>
      <w:pPr>
        <w:pStyle w:val="Heading3"/>
        <w:numPr>
          <w:ilvl w:val="2"/>
          <w:numId w:val="1"/>
        </w:numPr>
        <w:rPr/>
      </w:pPr>
      <w:bookmarkStart w:id="32" w:name="__RefHeading___Toc561246_1395250215"/>
      <w:bookmarkStart w:id="33" w:name="_Toc13"/>
      <w:bookmarkEnd w:id="32"/>
      <w:r>
        <w:rPr/>
        <w:t>2</w:t>
      </w:r>
      <w:r>
        <w:rPr>
          <w:rtl w:val="true"/>
        </w:rPr>
        <w:t xml:space="preserve">. </w:t>
      </w:r>
      <w:r>
        <w:rPr>
          <w:rtl w:val="true"/>
        </w:rPr>
        <w:t>ایمان موهبتی در قرآن</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بیش از هشتصد مرتبه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برخی به شکل مصدری و برخی هم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موارد هم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نحوۀ اِخبار قرآن از ایمان و هم چنین معناشناسی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این بخش به دو دسته از آیات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دسته ای از آیات که دربر دارندۀ</w:t>
      </w:r>
    </w:p>
    <w:p>
      <w:pPr>
        <w:pStyle w:val="BookText"/>
        <w:rPr/>
      </w:pPr>
      <w:r>
        <w:rPr>
          <w:rFonts w:ascii="IRNazanin" w:hAnsi="IRNazanin" w:eastAsia="IRNazanin"/>
          <w:color w:val="111111"/>
          <w:sz w:val="28"/>
          <w:sz w:val="28"/>
          <w:szCs w:val="28"/>
          <w:rtl w:val="true"/>
          <w:lang w:bidi="fa-IR"/>
        </w:rPr>
        <w:t>تصریحات قرآنی بر افاضه ای و موهبتی بودنِ ایمانند، و دسته ای که صراحت پیشین را دارا نبوده، بلکه از طریق هم نشین ها و حوزه های معناییِ متناظر با ایمان،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سکینه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موهبت و اعطا را با واسطه افاده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حوزۀ معنایی ایمان با حوزه هایی همچون هدایت، کفر، عمل صالح و یا صراط مستقیم، پیوند و ارتباط بیشتری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همچون شرح، نور، نصر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حوزۀ معنایی ایمان اثرگذاری خاص خود را دارند، اما با توجه به موضوع مقاله و محدودیت در آن، و هم چنین گستردگی معنای هدایت، تنها به حوزۀ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اند که بر افاضۀ ایمان از سوی خداوند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کسانی که علم و ایمان داده شدند،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در کتابش خبر داده بود، طول مدت بین دنیا و آخرت را خوابیده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مذکور به صراحت سخن از ایتاء ایمان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معنای ایمان در آیه، به موهبتی بودن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 و ایمان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و التزام به مقتضای یقین است؛ و اصولاً، علم در زبان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خدا و آیات او، و ایمان ـ به معنای التزام به آنچه یقین اقتضای آن را دارد ـ موهبتی الهی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آیات این بخش، آیۀ مبارکۀ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أُولئِکَ کَتَبَ فی قُلُوبِهِم الْإیمانَ وَ أَیَّدَهُمْ بِرُوحٍ مِنْهُ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آنان کسانی اند که خداوند ایمان را در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نگاشت و ایشان را به واسطۀ روحی از جانب خویش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کتابت ایمان در قلب به معنای اثبات غیر قابل زوال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حدیثی وارد شده که فضیل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که خدا ایمان را در دل هایشان رقم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خود آن ها به آنچه خدا در دل هایشان رقم زده دستی دارند؟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بخش بعدی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در راستای مدعا بهره برد، چه این که در روایات بسیاری، امام مقصود از روحِ مذکور در آیه را ایمان بیان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کانَ لِنَفْسٍ أَنْ تُؤْمِنَ إِلاَّ بِإِذْنِ اللَّهِ وَ یَجْعَلُ الرِّجْسَ عَلَی الَّذینَ لایَعْقِلُونَ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هیچ شخصی جز به اذن خدا ایمان نمی آورد، و خداوند بر کسانی که تعقل نمی کنند پلیدی را بر آن ها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این که مقصود از اذن خداوند چه باشد، آیه به صراحت، ایمان آوردن نفس را به اذن الهی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آیۀ مذکور به وجوهی همچون علم الهی، فرمان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و 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 و منح الالطاف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که با توجه به دو معنای اخیر، آیه می تواند شاهد مدعای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بعدی، آیۀ چهارم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او کسی است که سکینه را در قلب های مؤمنان نازل کرد تا ایمانی بر ایمانشان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برخی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ادامۀ مقاله به آن ها اشاره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ایمان گرفته اند که در این صورت با توجه به این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این آیه می تواند شاهد ما در بحث از موهبتی بودن ایمان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اند که با توجه به دیگر حوزه های معنایی متناظر با ایمان، مورد استناد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حوزه ها تنها به بیان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 چه آن که در قرآن شاهد هم پوشانی وسیعی میان حوزۀ ایمان و هدایت نسبت به دیگر مفاهیم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ای هستند که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آیات قرآن، با حوزۀ معنایی ایمان ارتباط مستقیم برقرار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هدایت شدن به راه راست یا رشد پذیرفتن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مجید، همواره در تقابل و تضاد با واژۀ کانونی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راهه رفتن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ربَکَ هُو أعلَمُ مَن یضِلّ عَن سَبیلِهِ وَ هُو أعلَمُ بِالمُهتَدین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بینیِ قرآنی، دو واژۀ کلیدی و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هدایت و ضلالت در تقابل و تضاد شدید با یکدیگر قرار گرفته اند؛ و این امر در سراسر قرآن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عناصر بنیادینی است که در حوزۀ معنایی ایمان قرار می گیرد؛ و در برخی آیات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مشخصات و ویژگی های ممیزۀ آن، به لحاظ معنایی با حالت آن کسانی که مهتدی و راه یافته اند، برابر و معادل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ایزوتسو،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پی می آیند، این مدعا را تأیید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فَإِنْ آمَنُوا بِمِثْلِ ما آمَنْتُمْ بِهِ فَقَدِ اهْتَدَوْا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إِنَما یَعمُر مَساجِدَ الله 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أولئکَ أَن یَکونوا مِنَ المهتَدین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ویژگی های این دسته از آیات ، آن است که ایمان را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یا در چارچوب مفهوم هدایت الهی تصویر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از موارد دیگری هم به عنوان موجبات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یافتگی نام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تأکید ما در این آیات بر موضوع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اول، خداوند عین ایمان مسلمانان را مفاد هدایت یافتگی می شمارد، هم چنان که در آیۀ دوم ایمانی را که بدون ظلم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در هر سه آیه،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پوشانی حوزۀ ایمان و حوزۀ هدایت در این سه آیه به روشنی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قرینۀ دیگر بر این که ایمان از سنخ هدایت است، آیۀ مبارکه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فِتیَهُ ءاَمنوا بِرَبِهم وَ زِدنهُم 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درستی که آنان جوانانی بودند که به پروردگارشان ایمان آوردند و ما بر هدایتشان افزودیم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جای این که بگوید بر ایمانشان افزودیم،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می گوید، اصحاب کهف جوانانی بودند که به پروردگارشان ایمان آوردند و در انتهای آیه در پاسخ به این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که ما هم بر هدایت ایشان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قرآن از ایمانِ به پروردگار و ایمانِ عاری از ظلم و انحراف، به هدایت و اهتدا نام می برد و آن را مصداق کامل ایمان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آیاتی که گذشت، هم نشینی ایمان با هدایت کاملاً مشهود بوده، به گونه ای که مؤمن عبارت است از شخص هدایت یافته، و شخص ِمهتدی نیز هدایت یافته به نور ایمان قلمداد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لکِنْ جَعَلْناهُ نُوراً نَهْدی بِهِ مَنْ نَشاءُ مِنْ عِبادِنا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دسته از آیات را در کنار آیاتی قرار دهیم که فاعل این نوع هدایت را خداوند می دانند، به این نتیجه رهنمون خواهیم شد که ایمان، فیض و عنایت خداوند به انسان است که</w:t>
      </w:r>
    </w:p>
    <w:p>
      <w:pPr>
        <w:pStyle w:val="BookText"/>
        <w:rPr/>
      </w:pPr>
      <w:r>
        <w:rPr>
          <w:rFonts w:ascii="IRNazanin" w:hAnsi="IRNazanin" w:eastAsia="IRNazanin"/>
          <w:color w:val="111111"/>
          <w:sz w:val="28"/>
          <w:sz w:val="28"/>
          <w:szCs w:val="28"/>
          <w:rtl w:val="true"/>
          <w:lang w:bidi="fa-IR"/>
        </w:rPr>
        <w:t xml:space="preserve">از طریق هدایت به وی ارزانی داشته شده و نتیجۀ آن بر اساس آیات، قرار گرفتن در صراط مستقیم است؛ برای مثال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لاتَمُنُّوا عَلَیَّ إِسْلامَکُمْ بَلِ اللَّهُ یَمُنُّ عَلَیْکُمْ أَنْ هَداکُمْ لِلْإیمانِ إِنْ کُنْتُمْ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 بر من منت نگذارید از این که اسلام آوردید، بلکه این خداست که با هدایت کردن شما به ایمان، بر شما منت می گذارد، اگر راست گو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صریح ترین آیات در موضوع مورد بحث است که در آن خداوند خود را فاعل هدایت معرفی کرده و متعلق این هدایت را نیز ایمان،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علاوه بر اِسناد هدایت به خداوند، هم نشینیِ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ایمان نیز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توجه به طولانی شدن مقاله، بحث از حوزۀ صراط مستقیم را به فرصتی دیگر موکول می کنیم، اما به اجمال باید بیان داشت که قرآن در بسیاری از آیات، خداوند را هادیِ به صراط مستقیم معرفی می کند و از سوی دیگر، برخی روایات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ایمان قرار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لِتَکُونَ آیَةً لِلْمُؤْمِنینَ وَ یَهْدِیَکُمْ صِراطاً مُسْتَقیماً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اللَّهَ لَهادِ الَّذینَ آمَنُوا إِلی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بررسی اجمالی آیات مذکور، به این نکته رهنمون می شویم که قرآن کریم، به تعریف صریح مفهوم ایمان نپرداخته است، و اساساً روش کتاب‌های آسمانی این نیست که مفهومی را به صورت لفظی تعریف کنند، بلکه در عمل و با بیان ویژگی‌ها و آثار این حقیقت، در مواضع و حالات گوناگون، مخاطب را به فهمی متکامل از ایمان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مفهوم ایمان نیز از امور عینیِ مادی نیست که بتوان مصداقی از آن را پیش چشم مخاطب آورد، بلکه از مفاهیم انتزاعی و معنوی است که تعریف مصداقی آن 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تعریف این نوع مفاهیم، انگاره‌سازی آن ها در شبکه ای از مفاهیم و معانی مرتبط است؛ بدین صورت که با بررسی استعمالات و جای گیری های گوناگون آن مفهوم با دیگر مفاهیم، ویژگی‌های اساسی آن را استخراج کنیم، میان آن ها پیوند ایجاد نماییم و سپس به فهمی نسبتاً جامع از آن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مواضع گوناگون، علاوه بر این که ایمان آوری اشخاص را منّت و موهبتی از ناحیۀ خداوند می داند، آن را مصداق هدایت الهی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به این هدایت، به</w:t>
      </w:r>
      <w:bookmarkStart w:id="34" w:name="pg2631_17617"/>
    </w:p>
    <w:p>
      <w:pPr>
        <w:pStyle w:val="BookText"/>
        <w:rPr/>
      </w:pPr>
      <w:bookmarkEnd w:id="34"/>
      <w:r>
        <w:rPr>
          <w:rFonts w:ascii="Amiri" w:hAnsi="Amiri" w:eastAsia="Amiri" w:cs="Amiri"/>
          <w:color w:val="111111"/>
          <w:sz w:val="28"/>
          <w:sz w:val="28"/>
          <w:szCs w:val="28"/>
          <w:rtl w:val="true"/>
          <w:lang w:bidi="ar-SA"/>
        </w:rPr>
        <w:t>سرمنزل صراط مستقیم رهنمون خواهد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61248_1395250215"/>
      <w:bookmarkStart w:id="36" w:name="_Toc14"/>
      <w:bookmarkEnd w:id="35"/>
      <w:r>
        <w:rPr/>
        <w:t>3</w:t>
      </w:r>
      <w:r>
        <w:rPr>
          <w:rtl w:val="true"/>
        </w:rPr>
        <w:t xml:space="preserve">. </w:t>
      </w:r>
      <w:r>
        <w:rPr>
          <w:rtl w:val="true"/>
        </w:rPr>
        <w:t>ایمان در روایات</w:t>
      </w:r>
      <w:bookmarkEnd w:id="36"/>
    </w:p>
    <w:p>
      <w:pPr>
        <w:pStyle w:val="Heading4"/>
        <w:numPr>
          <w:ilvl w:val="3"/>
          <w:numId w:val="1"/>
        </w:numPr>
        <w:rPr/>
      </w:pPr>
      <w:bookmarkStart w:id="37" w:name="__RefHeading___Toc561250_1395250215"/>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ایمان در روایات اسلامی، در گستره ای وسیع تر از آنچه در قرآن شاهد بودیم، مطرح شده است،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این مفهوم ارتباط بیشتری با دیگر مفاهیم بنیادین اعتقادی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مقام اهمیت دارد، روایاتی است که مضمون موهبتی بودن ایمان از آنان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تعداد این روایات در مقایسه با دیگر حوزه ها، از فراوانی نسبی برخوردار نیست، می توان نمایه هایی از نقش موهبت در ایمان را از آن ها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بندی ذیل، به برخی از این نمایه ها اشاره می شود</w:t>
      </w:r>
      <w:r>
        <w:rPr>
          <w:rFonts w:eastAsia="IRNazanin" w:cs="IRNazanin"/>
          <w:color w:val="111111"/>
          <w:sz w:val="28"/>
          <w:szCs w:val="28"/>
          <w:rtl w:val="true"/>
          <w:lang w:bidi="fa-IR"/>
        </w:rPr>
        <w:t>:</w:t>
      </w:r>
    </w:p>
    <w:p>
      <w:pPr>
        <w:pStyle w:val="Heading4"/>
        <w:numPr>
          <w:ilvl w:val="3"/>
          <w:numId w:val="1"/>
        </w:numPr>
        <w:rPr/>
      </w:pPr>
      <w:bookmarkStart w:id="39" w:name="__RefHeading___Toc561252_1395250215"/>
      <w:bookmarkStart w:id="40" w:name="_Toc16"/>
      <w:bookmarkEnd w:id="39"/>
      <w:r>
        <w:rPr/>
        <w:t>1</w:t>
      </w:r>
      <w:r>
        <w:rPr>
          <w:rtl w:val="true"/>
        </w:rPr>
        <w:t>ـ</w:t>
      </w:r>
      <w:r>
        <w:rPr/>
        <w:t>3</w:t>
      </w:r>
      <w:r>
        <w:rPr>
          <w:rtl w:val="true"/>
        </w:rPr>
        <w:t xml:space="preserve">. </w:t>
      </w:r>
      <w:r>
        <w:rPr>
          <w:rtl w:val="true"/>
        </w:rPr>
        <w:t>هدایتِ به ایمان</w:t>
      </w:r>
      <w:bookmarkEnd w:id="40"/>
    </w:p>
    <w:p>
      <w:pPr>
        <w:pStyle w:val="BookText"/>
        <w:rPr/>
      </w:pPr>
      <w:r>
        <w:rPr>
          <w:rFonts w:ascii="IRNazanin" w:hAnsi="IRNazanin" w:eastAsia="IRNazanin"/>
          <w:color w:val="111111"/>
          <w:sz w:val="28"/>
          <w:sz w:val="28"/>
          <w:szCs w:val="28"/>
          <w:rtl w:val="true"/>
          <w:lang w:bidi="fa-IR"/>
        </w:rPr>
        <w:t>همان گونه که پیش تر گذشت، حوزۀ معنایی هدایت با حوزۀ معنایی ایمان، پیوندی بنیادین دارد، تا آن جا که قرآن از هدایت در برخی آیات، در جایگاه جانشین ایمان و در آیات بسیاری در جایگاه هم نشین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آیاتی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لاتَمُنُّوا عَلَیَّ إِسْلامَکُمْ بَلِ اللَّهُ یَمُنُّ عَلَیْکُمْ أَنْ هَداکُمْ لِلْإیمانِ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روایاتی مشاهده می شود که مؤید این مضمون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نمونه هایی از هم نشینی حوزۀ هدایت با ایمان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زَکَرِیا بْنِ إِبْرَاهِیمَ قَالَ کُنْتُ نَصْرَانِیاً فَأَسْلَمْتُ وَ حَجَجْتُ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إِنِّی کُنْتُ عَلَی النَّصْرَانِیةِ وَ إِنِّی أَسْلَمْتُ فَقَالَ وَ أَی شَی‌ءٍ رَأَیتَ فِی الْإِسْلَامِ قُلْتُ قَوْلَ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فَقَالَ لَقَدْ هَدَاکَ الله؛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و مسلمان شدم و حج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کتاب و ایمان نمی دانستی چیست، ولی ما آن را نوری قرار دادیم که هر که را خواهیم بدان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خدا تو را هدایت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احتجاج شخص نصرانی به آیۀ</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لکن جعلناه نوراً</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نیز پاسخ حضرت مبنی بر این که خداوند تو را هدایت فرمود، شاهد مدعا قرار می گیرد، چه این که شخص نصرانی در استدلالش به آیۀ ایمان تمسک جسته و حضرت با توجه به آیه و هدایت مطرح در آن، تعبیر</w:t>
      </w:r>
      <w:bookmarkStart w:id="41" w:name="pg2631_17618"/>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نپندار که خود به مقام تسلیم و ایمان رسیده ای، بلکه این خداوند بود که تو را به نور ایمان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من هدانی للإیمان من قبل أن أعرف شکر الامتنان؛ ای کسی که مرا به سوی ایمان هدایت فرمودی، پیش از آن که سپاس منت های تو را به جای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42" w:name="__RefHeading___Toc561254_1395250215"/>
      <w:bookmarkStart w:id="43" w:name="_Toc17"/>
      <w:bookmarkEnd w:id="42"/>
      <w:r>
        <w:rPr/>
        <w:t>2</w:t>
      </w:r>
      <w:r>
        <w:rPr>
          <w:rtl w:val="true"/>
        </w:rPr>
        <w:t>ـ</w:t>
      </w:r>
      <w:r>
        <w:rPr/>
        <w:t>3</w:t>
      </w:r>
      <w:r>
        <w:rPr>
          <w:rtl w:val="true"/>
        </w:rPr>
        <w:t xml:space="preserve">. </w:t>
      </w:r>
      <w:r>
        <w:rPr>
          <w:rtl w:val="true"/>
        </w:rPr>
        <w:t>درخواست ایمان از خدا</w:t>
      </w:r>
      <w:bookmarkEnd w:id="43"/>
    </w:p>
    <w:p>
      <w:pPr>
        <w:pStyle w:val="BookText"/>
        <w:rPr/>
      </w:pPr>
      <w:r>
        <w:rPr>
          <w:rFonts w:ascii="IRNazanin" w:hAnsi="IRNazanin" w:eastAsia="IRNazanin"/>
          <w:color w:val="111111"/>
          <w:sz w:val="28"/>
          <w:sz w:val="28"/>
          <w:szCs w:val="28"/>
          <w:rtl w:val="true"/>
          <w:lang w:bidi="fa-IR"/>
        </w:rPr>
        <w:t xml:space="preserve">روایات بسیاری، به ویژه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شوند که در آن ها فرد، ایمان را از خداوند درخواست می کند، گو این که بخشندۀ ایمان تنها اوست و این بندگانند که باید از او مسئلت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إیماناً لا أجَلَ لَهُ دونَ لِقائِکَ تَوَلَّنی ما أبقَیتَنی عَلَیهِ و تُحیینی ما أحییتَنی عَلَیهِ تَوَفَّنی إذا تَوَفَّیتَنی عَلَیهِ و تَبعَثُنی إذا بَعَثتَنی عَلَیهِ و تُبرِئُ بِهِ صَدری مِنَ الشَّکِّ وَ الرَّیبِ فی دینی؛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را از تو درخواست می کنم که انتهایی جز دیدار تو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پایدار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ایمانی که تا وقتی مرا باقی می داری، بر آن پایدار بداری و تا وقتی زنده ام می داری ، بر آن زنده ام بداری و هر گاه مرا میراندی، بر آن بمیرانی و هر گاه مرا بر انگیختی، بر آن برانگیزانی و به واسطۀ آن، سینه ام را از شک و دودلی در دینم، پاک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أیوب بن یقطین أو غیره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اللَّیلَةِ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لَیالِی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تَهَبَ لی یقینا تُباشِرُ بِهِ قَلبی و إیمانا یذهَبُ بِالشَّکِّ عَنّی و تُرضِینی بِما قَسَمتَ لی؛ به نقل از ایوب بن یقطین یا شخصی دیگر،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دهۀ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یقینی ببخشی که آن را در دلم بیامیزی و ایمانی که شک را از من ببَرد و مرا به آنچه قسمتم کرده ای، خرسند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r>
        <w:rPr>
          <w:rFonts w:eastAsia="IRNazanin" w:cs="IRNazanin"/>
          <w:color w:val="111111"/>
          <w:sz w:val="28"/>
          <w:szCs w:val="28"/>
          <w:rtl w:val="true"/>
          <w:lang w:bidi="fa-IR"/>
        </w:rPr>
        <w:t>).</w:t>
      </w:r>
      <w:bookmarkStart w:id="44" w:name="pg2631_17619"/>
    </w:p>
    <w:p>
      <w:pPr>
        <w:pStyle w:val="Heading4"/>
        <w:numPr>
          <w:ilvl w:val="3"/>
          <w:numId w:val="1"/>
        </w:numPr>
        <w:rPr/>
      </w:pPr>
      <w:bookmarkStart w:id="45" w:name="__RefHeading___Toc561256_1395250215"/>
      <w:bookmarkStart w:id="46" w:name="_Toc18"/>
      <w:bookmarkEnd w:id="44"/>
      <w:bookmarkEnd w:id="45"/>
      <w:r>
        <w:rPr/>
        <w:t>3</w:t>
      </w:r>
      <w:r>
        <w:rPr>
          <w:rtl w:val="true"/>
        </w:rPr>
        <w:t>ـ</w:t>
      </w:r>
      <w:r>
        <w:rPr/>
        <w:t>3</w:t>
      </w:r>
      <w:r>
        <w:rPr>
          <w:rtl w:val="true"/>
        </w:rPr>
        <w:t xml:space="preserve">. </w:t>
      </w:r>
      <w:r>
        <w:rPr>
          <w:rtl w:val="true"/>
        </w:rPr>
        <w:t>اعطای ایمان</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دادن و ارزانی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صراحت از اعطای ایمان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در مقام برشمردن شرایط و ویژگی ِکسانی اند که می توانند مخاطب این اعطا قرار گیرند، اما به صورت ضمنی، ادعای ما در این مقاله را ـ که ایمان، موهبتی الهی است ـ اثبات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َیعطِی المالَ مَن یحِبُّ و مَن لایحِبُّ و لایعطِی الإِیمانَ إلّا مَن یحِبُّ و إذا أحَبَّ اللّهُ عَبداً أعطاهُ الإِیمانَ؛ خداوند مال و ثروت را هم به کسی می دهد که دوست دارد و هم به کسی که دوست ندارد، اما ایمان را جز به کسی که دوست دارد،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بنده ای را دوست بدارد، به او ایمان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الدُّنیا یعطیهَا اللّهُ البَرَّ وَ الفاجِرَ و لایعطِی الإِیمانَ إلّا صَفوَتَهُ مِن خَلقِهِ؛ این دنیا را خداوند به نیک و بد می دهد، اما ایمان را جز به برگزیدگان از خلقش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خَلقا لِلإِیمانِ لا زَوالَ لَهُ و خَلَقَ خَلقاً لِلکُفرِ لا زَوالَ لَهُ و خَلَقَ خَلقاً بَینَ ذلِکَ وَ استَودَعَ بَعضَهُمُ الإِیمانَ، فإِن یشأ أن یتِمَّهُ لَهُم أتَمَّهُ و إن یشَأ أن یسلُبَهُم إیاهُ سَلَبَهُم؛ خداوند، آفریدگانی را برای ایمان ، به گونه ای آفریده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رفتنی نیست و برای کفر نیز آفریدگانی را چنان پدید آورده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زوال پذیر نیست و در این میان، آفریدگانی را پدید آورده و در برخی از آن ها، ایمان را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برایشان کامل کند، کامل می کند و اگر بخواهد از آن ها سلب کند، سلب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Heading4"/>
        <w:numPr>
          <w:ilvl w:val="3"/>
          <w:numId w:val="1"/>
        </w:numPr>
        <w:rPr/>
      </w:pPr>
      <w:bookmarkStart w:id="47" w:name="__RefHeading___Toc561258_1395250215"/>
      <w:bookmarkStart w:id="48" w:name="_Toc19"/>
      <w:bookmarkEnd w:id="47"/>
      <w:r>
        <w:rPr/>
        <w:t>4</w:t>
      </w:r>
      <w:r>
        <w:rPr>
          <w:rtl w:val="true"/>
        </w:rPr>
        <w:t>ـ</w:t>
      </w:r>
      <w:r>
        <w:rPr/>
        <w:t>3</w:t>
      </w:r>
      <w:r>
        <w:rPr>
          <w:rtl w:val="true"/>
        </w:rPr>
        <w:t xml:space="preserve">. </w:t>
      </w:r>
      <w:r>
        <w:rPr>
          <w:rtl w:val="true"/>
        </w:rPr>
        <w:t>توفیق ایمان</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در ادبیات متون دینی، با مفهوم اعطای ایمان از جانب خداوند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روایات ِتوفیق با توجه به متعلَّق توفیق، فراوانیِ خوبی در متون</w:t>
      </w:r>
      <w:bookmarkStart w:id="49" w:name="pg2631_17620"/>
    </w:p>
    <w:p>
      <w:pPr>
        <w:pStyle w:val="BookText"/>
        <w:rPr/>
      </w:pPr>
      <w:bookmarkEnd w:id="49"/>
      <w:r>
        <w:rPr>
          <w:rFonts w:ascii="IRNazanin" w:hAnsi="IRNazanin" w:eastAsia="IRNazanin"/>
          <w:color w:val="111111"/>
          <w:sz w:val="28"/>
          <w:sz w:val="28"/>
          <w:szCs w:val="28"/>
          <w:rtl w:val="true"/>
          <w:lang w:bidi="fa-IR"/>
        </w:rPr>
        <w:t>روایی دارد، اما روایات اندکی دربارۀ توفیق به ایمان موجود است؛ برای مثال، علامه مجلسی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 اَصحابِنا فی زیارَةِ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لِلْإِیمَانِ بِکَ وَ التَّصْدِیقِ بِنُبُوَّتِکَ وَ مَنَّ عَلَی بِطَاعَتِکَ وَ اتِّبَاعِ مِلَّتِکَ وَ جَعَلَنِی مِنْ أُمَّتِکَ الْمُجِیبِینَ لِدَعْوَتِکِ وَ هَدَانِی لِمَعْرِفَتِک؛ حمد خدای را که توفیق داد مرا به ایمان به تو و تصدیق به پیامبری ات و منت گذارد بر من به واسطۀ اطاعت از تو و تبعیت از آیین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50" w:name="__RefHeading___Toc561260_1395250215"/>
      <w:bookmarkStart w:id="51" w:name="_Toc20"/>
      <w:bookmarkEnd w:id="50"/>
      <w:r>
        <w:rPr/>
        <w:t>5</w:t>
      </w:r>
      <w:r>
        <w:rPr>
          <w:rtl w:val="true"/>
        </w:rPr>
        <w:t>ـ</w:t>
      </w:r>
      <w:r>
        <w:rPr/>
        <w:t>3</w:t>
      </w:r>
      <w:r>
        <w:rPr>
          <w:rtl w:val="true"/>
        </w:rPr>
        <w:t xml:space="preserve">. </w:t>
      </w:r>
      <w:r>
        <w:rPr>
          <w:rtl w:val="true"/>
        </w:rPr>
        <w:t xml:space="preserve">قرارِ </w:t>
      </w:r>
      <w:r>
        <w:rPr>
          <w:rtl w:val="true"/>
        </w:rPr>
        <w:t>(</w:t>
      </w:r>
      <w:r>
        <w:rPr>
          <w:rtl w:val="true"/>
        </w:rPr>
        <w:t>سکینه</w:t>
      </w:r>
      <w:r>
        <w:rPr>
          <w:rtl w:val="true"/>
        </w:rPr>
        <w:t xml:space="preserve">) </w:t>
      </w:r>
      <w:r>
        <w:rPr>
          <w:rtl w:val="true"/>
        </w:rPr>
        <w:t>ایمان</w:t>
      </w:r>
      <w:bookmarkEnd w:id="51"/>
    </w:p>
    <w:p>
      <w:pPr>
        <w:pStyle w:val="BookText"/>
        <w:rPr/>
      </w:pPr>
      <w:r>
        <w:rPr>
          <w:rFonts w:ascii="IRNazanin" w:hAnsi="IRNazanin" w:eastAsia="IRNazanin"/>
          <w:color w:val="111111"/>
          <w:sz w:val="28"/>
          <w:sz w:val="28"/>
          <w:szCs w:val="28"/>
          <w:rtl w:val="true"/>
          <w:lang w:bidi="fa-IR"/>
        </w:rPr>
        <w:t>دستۀ دیگری از روایات که شاهد روشنی بر مدعای ماست، روایات مربوط به انزالِ سکینه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پیشین ـ آن جا که به بررسی آیات ایمان پرداختیم ـ اشاره ای نیز به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استفادۀ قرآن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ای بر نقش خداوند در ایمان مؤمنان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روایات ِذیل این آیه می رسیم، این سخن بیش از پیش آشکارتر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ذیل، در این دسته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عَزَّ وَ جَلَّ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أَنْزَلَ السَّکِینَةَ فِی قُلُوبِ الْمُؤْمِنِینَ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قَالَ هُوَ الْإِیمَانُ قَالَ وَ سَأَلْتُهُ عَنْ قَوْلِ اللَّهِ عَزَّ وَ جَلَّ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أَیدَهُمْ بِرُوحٍ مِنْهُ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هُوَ الْإِیمَانُ؛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قول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را در دل مؤمنان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دربارۀ قول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روحی از جانب خود ایشان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أَبَان عَنْ فُضَیل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أُولئِکَ کَتَبَ فِی قُلُوبِهِمُ الْإِیمانَ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هَلْ لَهُمْ فِیمَا کَتَبَ فِی قُلُوبِهِمْ صُنْعٌ قَالَ لَا؛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که خدا ایمان را در دل هایشان رقم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خودشان به آنچه خدا در دل هایشان رقم زده، دستی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جَمِیلٍ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الَّذِی أَنْزَلَ السَّکِینَةَ فِی قُلُوبِ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هُوَ الْإِیمَانُ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أَیدَهُمْ بِرُوحٍ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هُوَ الْإِیمَانُ وَ عَنْ</w:t>
      </w:r>
      <w:bookmarkStart w:id="52" w:name="pg2631_17621"/>
    </w:p>
    <w:p>
      <w:pPr>
        <w:pStyle w:val="BookText"/>
        <w:rPr/>
      </w:pPr>
      <w:bookmarkEnd w:id="5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أَلْزَمَهُمْ کَلِمَةَ التَّقْوی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هُوَ الْإِیمَانُ؛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قول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سکینه را در دل های مؤمنان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روحی از خود تأییدشان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ایمان است و دربارۀ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تقوا را گردن‌گیرشان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3" w:name="__RefHeading___Toc561262_1395250215"/>
      <w:bookmarkStart w:id="54" w:name="_Toc21"/>
      <w:bookmarkEnd w:id="53"/>
      <w:r>
        <w:rPr/>
        <w:t>6</w:t>
      </w:r>
      <w:r>
        <w:rPr>
          <w:rtl w:val="true"/>
        </w:rPr>
        <w:t>ـ</w:t>
      </w:r>
      <w:r>
        <w:rPr/>
        <w:t>3</w:t>
      </w:r>
      <w:r>
        <w:rPr>
          <w:rtl w:val="true"/>
        </w:rPr>
        <w:t xml:space="preserve">. </w:t>
      </w:r>
      <w:r>
        <w:rPr>
          <w:rtl w:val="true"/>
        </w:rPr>
        <w:t>نور ایمان</w:t>
      </w:r>
      <w:bookmarkEnd w:id="54"/>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لَم یَجعل الله له نوراً فَمَا لَهُ مِن نُور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 را که خدا برایش نوری قرار نداده، هیچ نوری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گوناگونی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تعاریف فقط بر نور حسی دلالت دارد؛ مانند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پرتوهایی است که پراکنده می‌شود و به دیدن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چیزی است که اشیا را آشکار کرده و حقیقت اشیا را به چشم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تعاریف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چیزی است که به ذات خود ظاهر باشد و غیر را هم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تعریف نور حسی را شامل می‌شود، ولی به آن محدود نمی گردد و هرچه ظاهر بالذات و مُظهِر غیر باشد،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تمام مصادیق نور را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به معنای روشنایی که زایل کنندۀ تاریکی است، بر موجودات گوناگونی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معنای آن نور حسی است که از مراتب عالم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والاترِ نور، نورِ علم، ایمان، هدایت، امام، پیامبر، عقل، ذات خداوندی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مصداق ها، رفع سرگردانی و ظلمت و ایجاد روشنی و وضوح و تعیین راه و هدف، لازمۀ اخصِ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آدمیان که در این دنیا گرفتار انواع تاریکی‌ها هستند، باید به انواع روشنایی و نور تمسک کنند تا به مراتب بالاتری از کمال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 ایمان، اطلاقِ 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ماهیت نور که اعطایی و ماورایی بودن در آن اِشراب شده، از اعطا و سلب این نور نیز سخن به میان آمده است؛ برای نمونه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خَرَج نُور الإیمَان مِن جوفه؛ هرکه شراب نوشد، نور ایمان از ضمیرش برود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جوانشیر،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bookmarkStart w:id="55" w:name="pg2631_17622"/>
    </w:p>
    <w:p>
      <w:pPr>
        <w:pStyle w:val="BookText"/>
        <w:rPr/>
      </w:pPr>
      <w:bookmarkEnd w:id="55"/>
      <w:r>
        <w:rPr>
          <w:rFonts w:ascii="IRNazanin" w:hAnsi="IRNazanin" w:eastAsia="IRNazanin"/>
          <w:color w:val="111111"/>
          <w:sz w:val="28"/>
          <w:sz w:val="28"/>
          <w:szCs w:val="28"/>
          <w:rtl w:val="true"/>
          <w:lang w:bidi="fa-IR"/>
        </w:rPr>
        <w:t>ـ یونُسَ بْنِ عَبْدِالرَّحْمَنِ فِی حَدِیثٍ قَالَ رُوِّینَا عَنِ الصَّادِقِینَ أَنَّهُمْ قَالُوا إِذَا ظَهَرَتِ الْبِدَعُ فَعَلَی الْعَالِمِ أَنْ یظْهِرَ عِلْمَهُ فَإِنْ لَمْ یفْعَلْ سُلِبَ نُورَ الْإِیمَانِ منه؛ آن گاه که بدعت ها آشکار گردید، بر دانایان است که علم خویش را اظهار کنند، که اگر نکنند، نور ایمان از ایشان سلب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النَّاحِیةِ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تُصَلِّی عَلَی مُحَمَّدٍ نَبِی رَحْمَتِکَ وَ کَلِمَةِ نُورِکَ وَ وَالِدِ هُدَاةِ رَحْمَتِکَ وَ امْلَأْ قَلْبِی نُورَ الْیقِینِ وَ صَدْرِی نُورَ الْإِیمَانِ وَ فِکْرِی نُورَ الثَّبَاتِ وَ عَزْمِی نُورَ التَّوْفِیق؛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 از نور یقین پر کن، سینه ام را از نور ایمان، فکرم را از نور استواری و عزمم را از نور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56" w:name="__RefHeading___Toc561264_1395250215"/>
      <w:bookmarkStart w:id="57" w:name="_Toc22"/>
      <w:bookmarkEnd w:id="56"/>
      <w:r>
        <w:rPr/>
        <w:t>7</w:t>
      </w:r>
      <w:r>
        <w:rPr>
          <w:rtl w:val="true"/>
        </w:rPr>
        <w:t>ـ</w:t>
      </w:r>
      <w:r>
        <w:rPr/>
        <w:t>3</w:t>
      </w:r>
      <w:r>
        <w:rPr>
          <w:rtl w:val="true"/>
        </w:rPr>
        <w:t xml:space="preserve">. </w:t>
      </w:r>
      <w:r>
        <w:rPr>
          <w:rtl w:val="true"/>
        </w:rPr>
        <w:t>روح ایمان</w:t>
      </w:r>
      <w:bookmarkEnd w:id="57"/>
    </w:p>
    <w:p>
      <w:pPr>
        <w:pStyle w:val="BookText"/>
        <w:rPr/>
      </w:pPr>
      <w:r>
        <w:rPr>
          <w:rFonts w:ascii="IRNazanin" w:hAnsi="IRNazanin" w:eastAsia="IRNazanin"/>
          <w:color w:val="111111"/>
          <w:sz w:val="28"/>
          <w:sz w:val="28"/>
          <w:szCs w:val="28"/>
          <w:rtl w:val="true"/>
          <w:lang w:bidi="fa-IR"/>
        </w:rPr>
        <w:t>روح ِایمان، صنع خداست و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أَیدَهُمْ بِرُوحٍ مِنْهُ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هُوَ الْإِیمَانُ وَ عَنْ قَوْلِهِ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أَلْزَمَهُمْ کَلِمَةَ التَّقْوی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هُوَ الْإِیمَانُ؛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قول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روحی از خود تأییدشان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قول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تقوا را گردن‌گیرشان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مرحله از طریق هدایت، تسلیم در برابر خداوند رحمان است و انسان با برداشتن این گام،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یابی به هدایت عامۀ الهی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این مرحله، دریافت روح ایمان از ناحیۀ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نیز همانند معرفت فطری، هدیه و عطیه‌ای است از جانب خداوند رحیم؛ با این تفاوت که اصل معرفت فطری عمومی است، اما روح ایمان به تسلیم شدگان و ایمان آورندگان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تأیید و حمایت خداوند از بندۀ مؤمن خویش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کَتَبَ فی قُلُوبِهِمُ الْإیمانَ وَ أَیَّدَهُمْ بِرُوحٍ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آنان ایمان در قلب هایشان نوشته شد و خداوند به واسطۀ روحی از جانب خویش ایشان را تأیید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58" w:name="pg2631_17623"/>
    </w:p>
    <w:p>
      <w:pPr>
        <w:pStyle w:val="BookText"/>
        <w:rPr/>
      </w:pPr>
      <w:bookmarkEnd w:id="58"/>
      <w:r>
        <w:rPr>
          <w:rFonts w:ascii="Amiri" w:hAnsi="Amiri" w:eastAsia="Amiri" w:cs="Amiri"/>
          <w:color w:val="111111"/>
          <w:sz w:val="28"/>
          <w:sz w:val="28"/>
          <w:szCs w:val="28"/>
          <w:rtl w:val="true"/>
          <w:lang w:bidi="ar-SA"/>
        </w:rPr>
        <w:t>روح ایمان، همان تقوای الهی است که با مؤمن ملازم و همراه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فَأَنْزَلَ اللَّهُ سَکینَتَهُ عَلی رَسُولِهِ وَ عَلَی الْمُؤْمِنینَ وَ أَلْزَمَهُمْ کَلِمَةَ التَّقْوی</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مواقعی که مؤمن از پایه و اساس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بازگشته و تمرد کند، روح ایمان از او سلب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زنی الرَّجل اَخرَجَ الله مِنهُ روح الایمَان؛ زمانی که شخصی زنا کند، خداوند روح ایمان را از او خارج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اَفطَر یوماً مِن شَهرِ رَمضان خَرَجَ روح الاِیمَان مِنه؛ هر کس یک روز ماه رمضان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بخورد، روح ایمان از او جدا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این بخش لازم است اشاره شود که موهبت و اعطای ایمانی که در روایات پیشین بدان تصریح شد، نافیِ اختیار و ارادۀ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ایجاب می کند که نور ایمان یا روح ایمان به هر شخصی اعطا نشود، بلکه به اشخاصی تعلق گیرد که قلب خویش را برای دریافت آن مهیا کرده باشند؛ به عبارت دیگر، مقدمات این موهبت به اختیار انسان است، چه این که خداوند، حکیم است و برخلاف حکمت خویش عمل نمی کند؛ بنابراین، شبهۀ جبری بودن این نوع ایمان نیز مطرح نخواهد شد</w:t>
      </w:r>
      <w:r>
        <w:rPr>
          <w:rFonts w:eastAsia="IRNazanin" w:cs="IRNazanin"/>
          <w:color w:val="111111"/>
          <w:sz w:val="28"/>
          <w:szCs w:val="28"/>
          <w:rtl w:val="true"/>
          <w:lang w:bidi="fa-IR"/>
        </w:rPr>
        <w:t>.</w:t>
      </w:r>
    </w:p>
    <w:p>
      <w:pPr>
        <w:pStyle w:val="Heading3"/>
        <w:numPr>
          <w:ilvl w:val="2"/>
          <w:numId w:val="1"/>
        </w:numPr>
        <w:rPr/>
      </w:pPr>
      <w:bookmarkStart w:id="59" w:name="__RefHeading___Toc561266_1395250215"/>
      <w:bookmarkStart w:id="60" w:name="_Toc23"/>
      <w:bookmarkEnd w:id="59"/>
      <w:r>
        <w:rPr>
          <w:rtl w:val="true"/>
        </w:rPr>
        <w:t>برآیند</w:t>
      </w:r>
      <w:bookmarkEnd w:id="60"/>
    </w:p>
    <w:p>
      <w:pPr>
        <w:pStyle w:val="BookText"/>
        <w:rPr/>
      </w:pPr>
      <w:r>
        <w:rPr>
          <w:rFonts w:ascii="IRNazanin" w:hAnsi="IRNazanin" w:eastAsia="IRNazanin"/>
          <w:color w:val="111111"/>
          <w:sz w:val="28"/>
          <w:sz w:val="28"/>
          <w:szCs w:val="28"/>
          <w:rtl w:val="true"/>
          <w:lang w:bidi="fa-IR"/>
        </w:rPr>
        <w:t>نوشتار حاضر ابتدا به تعریف ایمان در بیان اهل لغت، متکلمان و قرآن پرداخت و سپس وارد حوزۀ آیات و روایات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دیدن آیات و روایاتی که بر موهبتی بودن ایمان تصریح دارند، به تناقضی ظاهری در این مسئله خواهد رسید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وجود حضور ِارادۀ انسان در اکتساب ایمان، روایات بر اعطایی و موهبتی بودن آن دلالت دارند؟ و این که نقش هر یک از اختیار و ارادۀ الهی در مسئلۀ ایمان تا چه اندازه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بررسی ِتفصیلی این موضوع، نوشتاری دیگر را می طلبید، اما به اختصار بیان شد که آدمی به واسطۀ معرفتی که به متعلقات ِایمان پیدا می کند، وارد حوزۀ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کاملاً به اختیار انسان است که البته لازمۀ آن می تواند اقرار و عمل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تصدیق، یعنی معرفت، ممکن است بدون اختیار انسان روی دهد، همان گونه که ممکن است در اثر فعالیت های علمی پدید آید؛ اما به هر حال تصدیق قلبیِ خدا، پیامبران،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بوده و در حوزۀ ارادۀ انسان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است که روایات پرده از حقیقت دیگری برمی دارند؛ کسانی که به خدا و دینش ایمان آوردند، از عطیه و فضل الهی بهره مند خواهند شد و این سنتِ خداوند است که به میزان تصدیق و تسلیم مؤمن، قلب او را مورد عنایت خود قرار داده و نورانیت، سکینه، یقین و آرامش را بر آن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بخششِ این حقیقتِ نورانی در حوزۀ اراده و مشیت خداوند تعریف شده و به خواست و ارادۀ او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پیش تر نیز اشاره شد، ارادۀ انسان تنها در مبادی و مقدمات ایجادی آن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نورِ ایمان و دیگر تعابیرِ این باب، جملگی از فضل و عنایت الهی پرده بر می دارند، اما زمینه های این اعطا و یا سلب آن، در دست انسان و به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مسئلۀ هدایت نیز این بحث مطرح است؛ آن جا که هدایت را به سه قسم تکوینی، تشریعی و پاداشی تقسیم می کنند، و هدایت تکوینی را سرشتی می دانند که خدا در نهاد هر موجودی قرار داده و سیر و حرکت آن را تا رسیدن به هدف و مقصد تضمین می کند؛ همان گونه که هدایت تشریعی، یعنی هدایت با ارائۀ قانون و دعوت به شریعت که خداوند به وسیلۀ انبیا، پیشوایان، کتاب‌ها و شرایع آسمانی در اختیار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سوم، مخصوص مؤمنان است؛ یعنی کسانی که با اختیار خویش در برابر هدایت رسولان الهی و نورافشانی های عقل و فطرت، تسلیم گشتند و به همین دلیل، خداوند، باب هدایت دیگری، برتر از هدایت‌های پیشین بر ایشان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اساسی این هدایت با مراتب پیشین، آن است که وجه غالب آن ها جنبۀ راهنمایی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این مرتبه، افزون بر آن، خاصیت راهبردی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از هدایت است که مصداق هبه و بخشش الهی قرار گرفته و فیض خاص الهی 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مبتنی بر عمل اختیاریِ پیشین انسان بوده، با اختیار انسان تعارضی نخواهد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متون کلامی و مناقشات اعتقادی ، حوزۀ ایمان موهبتی با این که پشتوانۀ روایی و قرآنی خوبی دارد، کمتر مورد توجه قرار گرفته، هرچند برخی اندیشمندان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برنجکار،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مستقر و مستودع، محال دانستن کفر مؤمن و بحث از ازدیاد ایمان</w:t>
      </w:r>
      <w:r>
        <w:rPr>
          <w:rStyle w:val="FootnoteAnchor"/>
          <w:rtl w:val="true"/>
        </w:rPr>
        <w:footnoteReference w:id="6"/>
      </w:r>
      <w:r>
        <w:rPr>
          <w:rFonts w:ascii="IRNazanin" w:hAnsi="IRNazanin" w:eastAsia="IRNazanin"/>
          <w:color w:val="111111"/>
          <w:sz w:val="28"/>
          <w:sz w:val="28"/>
          <w:szCs w:val="28"/>
          <w:rtl w:val="true"/>
          <w:lang w:bidi="fa-IR"/>
        </w:rPr>
        <w:t>اشاراتی به آن داشته اند، اما به صورت مستقل و مستوفی از آن بحثی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مختصر، راهنمایی برای تحقیق هرچه بیشتر در بحث از ماهیت ایمان در آیات و روایات باشد</w:t>
      </w:r>
      <w:r>
        <w:rPr>
          <w:rFonts w:eastAsia="IRNazanin" w:cs="IRNazanin"/>
          <w:color w:val="111111"/>
          <w:sz w:val="28"/>
          <w:szCs w:val="28"/>
          <w:rtl w:val="true"/>
          <w:lang w:bidi="fa-IR"/>
        </w:rPr>
        <w:t>.</w:t>
      </w:r>
      <w:bookmarkStart w:id="61" w:name="pg2631_17625"/>
    </w:p>
    <w:p>
      <w:pPr>
        <w:pStyle w:val="Heading3"/>
        <w:numPr>
          <w:ilvl w:val="2"/>
          <w:numId w:val="1"/>
        </w:numPr>
        <w:rPr/>
      </w:pPr>
      <w:bookmarkStart w:id="62" w:name="__RefHeading___Toc561268_1395250215"/>
      <w:bookmarkStart w:id="63" w:name="_Toc24"/>
      <w:bookmarkEnd w:id="61"/>
      <w:bookmarkEnd w:id="62"/>
      <w:r>
        <w:rPr>
          <w:rtl w:val="true"/>
        </w:rPr>
        <w:t>منابع</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قم، مکتبةالاعلام الإسلامی،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لسان‌العرب،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علایلی، شیخ عبداللّه، بیروت، دارالجبل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مهدی، قم، نشر 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ایزوتسو، توشی‌هیکو،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اخلاقی ـ دینی در قرآن مجید، نشر فرزان روز،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 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نظریۀ محال بودن کفر مؤمن، مجلۀ پژوهش های فلسفی و کلامی، سال هفتم،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جمال‌الدین حسن‌بن یوسف،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اصول‌الدین، تحقیق جعفری، یعقوب، تهران،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جوانشیر، کریم،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موضوعی نهج الفصاحه، ویرایش دادفکن، یعقوب، نشر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ولدبیگی، جهانگیر، نشر آراس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دارالکتاب العربی،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شیخ جعفر،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الایمان و الکفر فی الکتاب و السنه،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ابوالقاسم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قم، انتشارات جامعه مدرسین،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الحر العاملی،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الی تحصیل مسائل الشریعه،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مصنفات 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قم، مؤسسة البعثة،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کتاب العین،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بکائی، محمدحسن، قم،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بخشایشی، عبدالرحیم، قم، نشر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البلدالأمین،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زنجانی، احمد، مشهد، بنیاد پژوهشی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الاقوال و الافعال، ضبطه بکری حیانی، بیروت، دار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به رهایی، جستارهایی در باب عقلانیت و معنویت، تهران، نگاه معاصر</w:t>
      </w:r>
      <w:r>
        <w:rPr>
          <w:rFonts w:eastAsia="IRNazanin" w:cs="IRNazanin"/>
          <w:color w:val="111111"/>
          <w:sz w:val="28"/>
          <w:szCs w:val="28"/>
          <w:rtl w:val="true"/>
          <w:lang w:bidi="fa-IR"/>
        </w:rPr>
        <w:t>.</w:t>
      </w:r>
      <w:bookmarkStart w:id="64" w:name="pg2631_17626"/>
    </w:p>
    <w:p>
      <w:pPr>
        <w:pStyle w:val="Heading2"/>
        <w:numPr>
          <w:ilvl w:val="1"/>
          <w:numId w:val="1"/>
        </w:numPr>
        <w:rPr/>
      </w:pPr>
      <w:bookmarkStart w:id="65" w:name="__RefHeading___Toc561270_1395250215"/>
      <w:bookmarkStart w:id="66" w:name="_Toc25"/>
      <w:bookmarkEnd w:id="64"/>
      <w:bookmarkEnd w:id="65"/>
      <w:r>
        <w:rPr>
          <w:rtl w:val="true"/>
        </w:rPr>
        <w:t>اثبات و تحلیل شان وساطت فیض امامان علیهم السلام</w:t>
      </w:r>
      <w:bookmarkEnd w:id="66"/>
    </w:p>
    <w:p>
      <w:pPr>
        <w:pStyle w:val="Heading3"/>
        <w:numPr>
          <w:ilvl w:val="2"/>
          <w:numId w:val="1"/>
        </w:numPr>
        <w:rPr/>
      </w:pPr>
      <w:bookmarkStart w:id="67" w:name="__RefHeading___Toc561272_1395250215"/>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محمدحسین فاریاب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1392/06/09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1392/07/22</w:t>
      </w:r>
    </w:p>
    <w:p>
      <w:pPr>
        <w:pStyle w:val="Heading3"/>
        <w:numPr>
          <w:ilvl w:val="2"/>
          <w:numId w:val="1"/>
        </w:numPr>
        <w:rPr/>
      </w:pPr>
      <w:bookmarkStart w:id="69" w:name="__RefHeading___Toc561274_1395250215"/>
      <w:bookmarkStart w:id="70" w:name="_Toc27"/>
      <w:bookmarkEnd w:id="69"/>
      <w:r>
        <w:rPr>
          <w:rtl w:val="true"/>
        </w:rPr>
        <w:t>چکیده</w:t>
      </w:r>
      <w:bookmarkEnd w:id="70"/>
    </w:p>
    <w:p>
      <w:pPr>
        <w:pStyle w:val="BookText"/>
        <w:rPr/>
      </w:pPr>
      <w:r>
        <w:rPr>
          <w:rFonts w:ascii="IRNazanin" w:hAnsi="IRNazanin" w:eastAsia="IRNazanin"/>
          <w:color w:val="111111"/>
          <w:sz w:val="28"/>
          <w:sz w:val="28"/>
          <w:szCs w:val="28"/>
          <w:rtl w:val="true"/>
          <w:lang w:bidi="fa-IR"/>
        </w:rPr>
        <w:t xml:space="preserve">بر اساس روایات پرشمار،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تکوینیِ امامان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وساطت فیض، آن است که خداوند به واسطة ایشان نعمت‌های خاص و عام خود را بر بندگانش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معنایی بالاتر، این عالم و پایداریِ آن چیزی جز فیض خداوند نیست که خداوند چنین فیضی را به واسطة وجود امامان علیهم‌السلام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پژوهش، با رویکردی نقلی به اثبات این شأن و تحلیل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نگاه نخست، شأن وساطت فیض غالیانه می‌نُماید و ممکن است مورد انکار برخی قرار گیرد، در روایات معتبر و متعددی این شأن برای امامان علیهم السلام ثابت شده است</w:t>
      </w:r>
      <w:r>
        <w:rPr>
          <w:rFonts w:eastAsia="IRNazanin" w:cs="IRNazanin"/>
          <w:color w:val="111111"/>
          <w:sz w:val="28"/>
          <w:szCs w:val="28"/>
          <w:rtl w:val="true"/>
          <w:lang w:bidi="fa-IR"/>
        </w:rPr>
        <w:t>.</w:t>
      </w:r>
    </w:p>
    <w:p>
      <w:pPr>
        <w:pStyle w:val="Heading3"/>
        <w:numPr>
          <w:ilvl w:val="2"/>
          <w:numId w:val="1"/>
        </w:numPr>
        <w:rPr/>
      </w:pPr>
      <w:bookmarkStart w:id="71" w:name="__RefHeading___Toc561276_1395250215"/>
      <w:bookmarkStart w:id="72" w:name="_Toc28"/>
      <w:bookmarkEnd w:id="71"/>
      <w:r>
        <w:rPr>
          <w:rtl w:val="true"/>
        </w:rPr>
        <w:t>واژگان کلیدی</w:t>
      </w:r>
      <w:bookmarkEnd w:id="7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وساطت فیض جزئی، وساطت فیض کلی، غلو، توحید</w:t>
      </w:r>
      <w:r>
        <w:rPr>
          <w:rFonts w:eastAsia="IRNazanin" w:cs="IRNazanin"/>
          <w:color w:val="111111"/>
          <w:sz w:val="28"/>
          <w:szCs w:val="28"/>
          <w:rtl w:val="true"/>
          <w:lang w:bidi="fa-IR"/>
        </w:rPr>
        <w:t>.</w:t>
      </w:r>
      <w:bookmarkStart w:id="73" w:name="pg2631_17627"/>
    </w:p>
    <w:p>
      <w:pPr>
        <w:pStyle w:val="Heading3"/>
        <w:numPr>
          <w:ilvl w:val="2"/>
          <w:numId w:val="1"/>
        </w:numPr>
        <w:rPr/>
      </w:pPr>
      <w:bookmarkStart w:id="74" w:name="__RefHeading___Toc561278_1395250215"/>
      <w:bookmarkStart w:id="75" w:name="_Toc29"/>
      <w:bookmarkEnd w:id="73"/>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امامان علیهم‌السلام، برترینِ موجودات بوده و جایگاه رفیعی در نظام هستی دارند؛ به بیان دیگر، ایشان افزون بر آن که شئونی تشریعی دارند، در نظام تکوین نیز دارای مقام والایی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اثبات و انکار این شئون مورد بحث و بررسی متفکران شیعه بوده است، تا آن جا که اگر شیعه ای به برخی شئون تکوینی برای امامان علیهم‌السلام باورمند بود، متهم به غلو می شد و او نیز شخص مقابل را به تقصیر و کوتاهی در شناخت امامان علیهم‌السلام متهم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شناخت شئون تکوینی امامان علیهم‌السلام همواره مورد بررسی عارفان و فیلسوفان نیز قرار داشته که ایشان با رویکردی عرفانی و فلسفی به این مسئله توجه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شئونی که اثبات یا انکار آن، می‌تواند شناختی متفاوت از امامان علیهم‌السلام پیش روی ما قرار دهد،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شناخت شئون و مقامات والای امامان علیهم‌السلام در بالاترین سطح آن، جز از سوی خود ایشان ممکن نیست؛ از این رو، در این نوشتار، بدون آن که ذهنیتی از رویکردهای عرفانی و فلسفی داشته باشیم، با نگاهی به روایات به بررسی شأن وساطت فیض امامان علیهم‌السلام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این مسئله گاه مورد توجه برخی شارحان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شیعی دیگر همچون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حلی در کتاب تفضیل الائمه نیز قرار گرفته است که به دلیل رعایت اختصار، از نقل دیدگاه های ایشان خودداری کرده و تنها به تحلیل آیات و روایت پرداخته ایم</w:t>
      </w:r>
      <w:r>
        <w:rPr>
          <w:rFonts w:eastAsia="IRNazanin" w:cs="IRNazanin"/>
          <w:color w:val="111111"/>
          <w:sz w:val="28"/>
          <w:szCs w:val="28"/>
          <w:rtl w:val="true"/>
          <w:lang w:bidi="fa-IR"/>
        </w:rPr>
        <w:t>.</w:t>
      </w:r>
    </w:p>
    <w:p>
      <w:pPr>
        <w:pStyle w:val="Heading3"/>
        <w:numPr>
          <w:ilvl w:val="2"/>
          <w:numId w:val="1"/>
        </w:numPr>
        <w:rPr/>
      </w:pPr>
      <w:bookmarkStart w:id="76" w:name="__RefHeading___Toc561280_1395250215"/>
      <w:bookmarkStart w:id="77" w:name="_Toc30"/>
      <w:bookmarkEnd w:id="76"/>
      <w:r>
        <w:rPr/>
        <w:t>1</w:t>
      </w:r>
      <w:r>
        <w:rPr>
          <w:rtl w:val="true"/>
        </w:rPr>
        <w:t>.</w:t>
      </w:r>
      <w:r>
        <w:rPr>
          <w:rtl w:val="true"/>
        </w:rPr>
        <w:t>معناشناسیِ وساطت فیض</w:t>
      </w:r>
      <w:bookmarkEnd w:id="77"/>
    </w:p>
    <w:p>
      <w:pPr>
        <w:pStyle w:val="Heading4"/>
        <w:numPr>
          <w:ilvl w:val="3"/>
          <w:numId w:val="1"/>
        </w:numPr>
        <w:rPr/>
      </w:pPr>
      <w:bookmarkStart w:id="78" w:name="__RefHeading___Toc561282_1395250215"/>
      <w:bookmarkStart w:id="79" w:name="_Toc31"/>
      <w:bookmarkEnd w:id="78"/>
      <w:r>
        <w:rPr>
          <w:rtl w:val="true"/>
        </w:rPr>
        <w:t>اشاره</w:t>
      </w:r>
      <w:bookmarkEnd w:id="7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تتبع نگارنده،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آثار متکلمان به چشم می‌آید و نخستین بار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بحرانی در قرن هفتم هجری آن را برای فرشتگان و عقول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اصطلاح وساطت فیض فی‌نفسه معنایی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خیر و برکتی است که از جانب کسی به دیگری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میان دهندة نعمت و گیرندة آن، واسطه‌ای وجود دارد که می توان او را واسطة فیض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واسطة انتقال نعمت میان دهنده و گیرندة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bookmarkStart w:id="80" w:name="pg2631_17628"/>
    </w:p>
    <w:p>
      <w:pPr>
        <w:pStyle w:val="BookText"/>
        <w:rPr/>
      </w:pPr>
      <w:bookmarkEnd w:id="80"/>
      <w:r>
        <w:rPr>
          <w:rFonts w:ascii="IRNazanin" w:hAnsi="IRNazanin" w:eastAsia="IRNazanin"/>
          <w:color w:val="111111"/>
          <w:sz w:val="28"/>
          <w:sz w:val="28"/>
          <w:szCs w:val="28"/>
          <w:rtl w:val="true"/>
          <w:lang w:bidi="fa-IR"/>
        </w:rPr>
        <w:t>کلامی ـ به‌ویژه در خصوص مسئلة امامت ـ مقصود از فیض، آن نعمت و خیر و برکتی است که خداوند متعال به واسطة برخی بندگان شایسته برای آفریده‌هایش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خداوند متعال عادتاً امور و افعال خود را بر اساس نظام اسباب و مسبّبات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الاشیاء الا بالاسباب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این باره روایاتی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رویه، می‌توان چنین مثال زد که وقتی خداوند متعال اراده کند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وجود بر تن کرده و پا به عرصة هستی نهد، چنین امری آن گاه محقق خواهد شد که پدر وی یعنی حسین با همسرش ازدواج کرده، آن گاه با حفظ دیگر شرایط و اسباب، جعفر بن حسین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مستند به خداوند، چنین فرایندی جاری است؛ از این رو، اغلب فیوضات الهی با واسطه‌هایی به آفریده‌ها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شأن وساطت فیض به لحاظ مفهومی، آن گاه که در حقّ امامان علیهم السلام به کار می رود، بدین معناست که امامان علیهم السلام واسطۀ فیض خداوند برای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روشن و با توجه به روایات، تطبیق این اصطلاح بر مسئلة امامت، در دو شکل تصویر می‌شود</w:t>
      </w:r>
      <w:r>
        <w:rPr>
          <w:rFonts w:eastAsia="IRNazanin" w:cs="IRNazanin"/>
          <w:color w:val="111111"/>
          <w:sz w:val="28"/>
          <w:szCs w:val="28"/>
          <w:rtl w:val="true"/>
          <w:lang w:bidi="fa-IR"/>
        </w:rPr>
        <w:t>:</w:t>
      </w:r>
    </w:p>
    <w:p>
      <w:pPr>
        <w:pStyle w:val="Heading4"/>
        <w:numPr>
          <w:ilvl w:val="3"/>
          <w:numId w:val="1"/>
        </w:numPr>
        <w:rPr/>
      </w:pPr>
      <w:bookmarkStart w:id="81" w:name="__RefHeading___Toc561284_1395250215"/>
      <w:bookmarkStart w:id="82" w:name="_Toc32"/>
      <w:bookmarkEnd w:id="81"/>
      <w:r>
        <w:rPr>
          <w:rtl w:val="true"/>
        </w:rPr>
        <w:t>یکم</w:t>
      </w:r>
      <w:bookmarkEnd w:id="82"/>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گاه نعمت خاصی را به نیازمندی عطا می‌کند، اما چنین فرایندی بر اثر خواست و دعای بنده‌ای از بندگان شایستة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تفضّلی، بندة شایسته اراده کرده، از خداوند تقاضا می‌کند و خداوند متعال به واسطة دعای او، لطف خود را بر آن بندة نیازمند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بندۀ شایسته واسطة فیض است</w:t>
      </w:r>
      <w:r>
        <w:rPr>
          <w:rFonts w:eastAsia="IRNazanin" w:cs="IRNazanin"/>
          <w:color w:val="111111"/>
          <w:sz w:val="28"/>
          <w:szCs w:val="28"/>
          <w:rtl w:val="true"/>
          <w:lang w:bidi="fa-IR"/>
        </w:rPr>
        <w:t>.</w:t>
      </w:r>
    </w:p>
    <w:p>
      <w:pPr>
        <w:pStyle w:val="Heading4"/>
        <w:numPr>
          <w:ilvl w:val="3"/>
          <w:numId w:val="1"/>
        </w:numPr>
        <w:rPr/>
      </w:pPr>
      <w:bookmarkStart w:id="83" w:name="__RefHeading___Toc561286_1395250215"/>
      <w:bookmarkStart w:id="84" w:name="_Toc33"/>
      <w:bookmarkEnd w:id="83"/>
      <w:r>
        <w:rPr>
          <w:rtl w:val="true"/>
        </w:rPr>
        <w:t>دوم</w:t>
      </w:r>
      <w:bookmarkEnd w:id="8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رحمت‌ها و فیوضات بی‌کران خود را به طور کلی و مطلق از مجرای وسایطی به بندگان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اصل پایداری و بقای نظام هستی که خود فیضی از فیوضات خداوند است، از طریق واسطه یا واسطه هایی انجام می‌شود؛ به دیگر سخن، اصل رسیدن رحمت‌ها و نعمت‌های الهی، افزون بر داشتن شرایط طبیعی مربوط به خود، نیازمند واسطه‌ای دیگر است؛ از این رو، اگر باران می‌بارد، اگر زمین برکات خود را خارج می‌کند، اگر آسمان بر زمین سقوط نمی‌کند، اگر خورشید نورافشانی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واسطة وجود وسایطی است که او را واسطة فیض می‌نامیم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اول از وساطت فیض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فیض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فیض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بر این باوریم که امامان علیهم‌السلام هر دو شأن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لازم است، این شأن ها را جداگانه بررسی کنیم</w:t>
      </w:r>
      <w:r>
        <w:rPr>
          <w:rFonts w:eastAsia="IRNazanin" w:cs="IRNazanin"/>
          <w:color w:val="111111"/>
          <w:sz w:val="28"/>
          <w:szCs w:val="28"/>
          <w:rtl w:val="true"/>
          <w:lang w:bidi="fa-IR"/>
        </w:rPr>
        <w:t>.</w:t>
      </w:r>
      <w:bookmarkStart w:id="85" w:name="pg2631_17629"/>
    </w:p>
    <w:p>
      <w:pPr>
        <w:pStyle w:val="Heading3"/>
        <w:numPr>
          <w:ilvl w:val="2"/>
          <w:numId w:val="1"/>
        </w:numPr>
        <w:rPr/>
      </w:pPr>
      <w:bookmarkStart w:id="86" w:name="__RefHeading___Toc561288_1395250215"/>
      <w:bookmarkStart w:id="87" w:name="_Toc34"/>
      <w:bookmarkEnd w:id="85"/>
      <w:bookmarkEnd w:id="86"/>
      <w:r>
        <w:rPr/>
        <w:t>2</w:t>
      </w:r>
      <w:r>
        <w:rPr>
          <w:rtl w:val="true"/>
        </w:rPr>
        <w:t xml:space="preserve">. </w:t>
      </w:r>
      <w:r>
        <w:rPr>
          <w:rtl w:val="true"/>
        </w:rPr>
        <w:t>اثبات وساطت فیض جزئی</w:t>
      </w:r>
      <w:bookmarkEnd w:id="87"/>
    </w:p>
    <w:p>
      <w:pPr>
        <w:pStyle w:val="BookText"/>
        <w:rPr/>
      </w:pPr>
      <w:r>
        <w:rPr>
          <w:rFonts w:ascii="IRNazanin" w:hAnsi="IRNazanin" w:eastAsia="IRNazanin"/>
          <w:color w:val="111111"/>
          <w:sz w:val="28"/>
          <w:sz w:val="28"/>
          <w:szCs w:val="28"/>
          <w:rtl w:val="true"/>
          <w:lang w:bidi="fa-IR"/>
        </w:rPr>
        <w:t>مقصود از وساطت فیض جزئی آن است که گاه در زمان حیات یا ممات امام، کسانی به طور خاص به آن ها یا مزارشان مراجعه کرده و درخواست‌هایی مادی یا معنوی در زمینه‌های گوناگون از آن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در صورت وجود مصلحت، این خواسته ها را به اذن خداوند به اجابت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امر برای پیامبران نیز رخ داده است؛ برای نمونه، قرآن کریم خبر می‌دهد که حضرت موسی علیه‌السلام مرده‌ای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علیه‌السلام به اذن خداوند بیماران را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عملیِ امامان علیهم‌السلام آکنده از ابراز و اثبات این شأن است؛ به گونه‌ای که انکار آن ها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محمد بن حسن شمّون نامه‌ای به امام حسن عسکری علیه‌السلام نوشت و ضمن شکایت از درد چشم خود، ابراز کرد که بینایی یک چشمش رفته و چشم دیگرش نیز در آستانة نابینایی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عسکری علیه‌السلام خواست تا دعا فرموده که سلامتی به چشم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الله علیک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چشمی که در آستانة نابینایی بود،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اعتقاد عمومی شیعیان نیز بر داشتن این شأن برای امامان علیهم‌السلام استوار بوده و هست؛ از این روست که آن ها در حال حیات و ممات امامان علیهم‌السلام به ایشان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متکلمان امامیه نیز شأن وساطت فیض را پذیرفته اند، چراکه ایشان هیچ گاه منکر صحت توسل به امامان علیهم السلام نبوده؛ ضمن آن که آن ها کرامت را حتی برای صالحان نیز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88" w:name="__RefHeading___Toc561290_1395250215"/>
      <w:bookmarkStart w:id="89" w:name="_Toc35"/>
      <w:bookmarkEnd w:id="88"/>
      <w:r>
        <w:rPr/>
        <w:t>3</w:t>
      </w:r>
      <w:r>
        <w:rPr>
          <w:rtl w:val="true"/>
        </w:rPr>
        <w:t xml:space="preserve">. </w:t>
      </w:r>
      <w:r>
        <w:rPr>
          <w:rtl w:val="true"/>
        </w:rPr>
        <w:t>اثبات وساطت فیض کلی</w:t>
      </w:r>
      <w:bookmarkEnd w:id="89"/>
    </w:p>
    <w:p>
      <w:pPr>
        <w:pStyle w:val="Heading4"/>
        <w:numPr>
          <w:ilvl w:val="3"/>
          <w:numId w:val="1"/>
        </w:numPr>
        <w:rPr/>
      </w:pPr>
      <w:bookmarkStart w:id="90" w:name="__RefHeading___Toc561292_1395250215"/>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با نگاهی کلان به مجموعة نظام هستی می‌توان گفت، این مجموعه که در حقیقت چیزی جز فیض خداوند نیست، قوام و دوام خود را نیز از راه وجود وسایطی به دست می‌آورد که در لسان روایات بر وجود امامان علیهم‌السلام تطبیق شده است؛ بدین معنا که خداوند متعال با وجود امامان علیهم السلام این عالم را قوام و دوام می بخشد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در این بحث آن است که قلمرو حجت بودن حجت بر انسان ها خلاصه نمی شود بلکه بر اساس روایات، حجت کسی است که بر تمام آفریدگان ـ اعم از انسان و غیر انسان ـ حجیت دارد، چنانکه پیامبر خدا خود در روایتی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بَرِیَّتِه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bookmarkStart w:id="92" w:name="pg2631_17630"/>
    </w:p>
    <w:p>
      <w:pPr>
        <w:pStyle w:val="BookText"/>
        <w:rPr/>
      </w:pPr>
      <w:bookmarkEnd w:id="92"/>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امام 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روایت دیگری آنگاه که در مقام بیان نام امامان پس از خود بودند، از حضرت مهدی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 علی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خزاز قمی،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سوی امامان پس از ایشان نیز تأکید شده است، چنانکه امام صادق علیه السلام در روایتی با همین تعبیر از امامان شیعی 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نیز به هنگام زیارت قبر پدر بزرگوارش 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بر هر کسی که بر بالای زمین ها و زیر خاک است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زیارت جامعه کبیره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حججاً علی بریته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گسترده بودن حجیت امامان علیهم السلام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روایات مربوط به شأن وساطت فیض، ذکر این نکته لازم است که اغلب متکلمان شیعی به بررسی این شأن برای امامان علیهم السلام نپرداخته اند، در حالی که این شأن از روایات به خوبی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موجود در این باره را می‌توان در دو دستة کلی ارائه کرد</w:t>
      </w:r>
      <w:r>
        <w:rPr>
          <w:rFonts w:eastAsia="IRNazanin" w:cs="IRNazanin"/>
          <w:color w:val="111111"/>
          <w:sz w:val="28"/>
          <w:szCs w:val="28"/>
          <w:rtl w:val="true"/>
          <w:lang w:bidi="fa-IR"/>
        </w:rPr>
        <w:t>:</w:t>
      </w:r>
    </w:p>
    <w:p>
      <w:pPr>
        <w:pStyle w:val="Heading4"/>
        <w:numPr>
          <w:ilvl w:val="3"/>
          <w:numId w:val="1"/>
        </w:numPr>
        <w:rPr/>
      </w:pPr>
      <w:bookmarkStart w:id="93" w:name="__RefHeading___Toc561294_1395250215"/>
      <w:bookmarkStart w:id="94" w:name="_Toc37"/>
      <w:bookmarkEnd w:id="93"/>
      <w:r>
        <w:rPr>
          <w:rtl w:val="true"/>
        </w:rPr>
        <w:t>دستة اول</w:t>
      </w:r>
      <w:bookmarkEnd w:id="94"/>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طور کلی و مبهم بر این مسئله تأکید شده است که نبود امام در عالم، فروپاشی نظام هستی را در پی خواهد داشت؛ چنان که ابوحمزه ثمالی در روایتی صحیحه ـ که در بسیاری از متون حدیثی نقل شده است ـ وقتی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زمین بدون امام باقی بماند، فرو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ابن‌بابویه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نعمانی،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دیگری نیز تصریح کردند که اگر لحظه‌ای امام روی زمین نباشد، زمین آنچه در خود دارد را به بیرون ریخته و آنچه روی خود دارد را در خود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به دست می‌آید که اصحاب ائمه علیهم‌السلام روایت پیشین را می شناختند؛ چنان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فضیل در روایتی صحیحه، سخن امام صادق علیه‌السلام را برای امام رضا علیه‌السلام نقل کرده، ایشان نیز سخن یادشده را تأیید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امامان با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تأکید می‌کردند؛ چنان که مفضل بن عمر در روایتی صحیحه از امام صادق علیه‌السلام چنین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أَرْکَانَ الْأَرْضِ أَنْ تَمِیدَ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امامان علیهم‌السلام را ارکان زمین قرار داد تا زمین اهلش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95" w:name="pg2631_17631"/>
    </w:p>
    <w:p>
      <w:pPr>
        <w:pStyle w:val="BookText"/>
        <w:rPr/>
      </w:pPr>
      <w:bookmarkEnd w:id="95"/>
      <w:r>
        <w:rPr>
          <w:rFonts w:ascii="IRNazanin" w:hAnsi="IRNazanin" w:eastAsia="IRNazanin"/>
          <w:color w:val="111111"/>
          <w:sz w:val="28"/>
          <w:sz w:val="28"/>
          <w:szCs w:val="28"/>
          <w:rtl w:val="true"/>
          <w:lang w:bidi="fa-IR"/>
        </w:rPr>
        <w:t>گفتنی است، نلرزانیدن اهل زمین، کنایه از دگرگونیِ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پاشیده شدن نظام هستی، یادآور فرا رسیدن روز قیامت و آغاز ورود به مرحلة دیگری از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در این روایات، تنها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نمی توان امام را واسطۀ فیض تمام هستی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چنانکه پیشتر اشاره شد، بر اساس روایات، امام حجت بر تمام کائنات است، 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روایات، کنایه از نظام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روایات پیش گفته، می توان نتیجه گرفت که اگر قوام و پایداری این دنیا به اذن خداوند متعال، وابسته به وجود امام در دنیاست، پس آخرین کسی که از این دنیا می رود، امام است؛ به عبارت دیگر، پس از آن که امام از دنیا رفته و دیگر امامی در دنیا نباشد، قیامت برپا خواهد شد؛ از این روست که در روایات متعددی تأکید می شود که اگر دو نفر در دنیا باشند، یکی از آن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فِی الدُّنْیَا إِلَّا اثْنَانِ لَکَانَ الْإِمَامُ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دنیا جز دو نفر نباشد، یکی از آن دو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96" w:name="__RefHeading___Toc561296_1395250215"/>
      <w:bookmarkStart w:id="97" w:name="_Toc38"/>
      <w:bookmarkEnd w:id="96"/>
      <w:r>
        <w:rPr>
          <w:rtl w:val="true"/>
        </w:rPr>
        <w:t>دستة دوم</w:t>
      </w:r>
      <w:bookmarkEnd w:id="97"/>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مسئلة واسطة فیض بودن امامان علیهم‌السلام از حالت اجمال خارج شده، جزئیات این مسئله نیز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پرشمار بوده و به لحاظ سیر تاریخی، نخستین بار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کتاب تفسیر فرات کوفی ـ که از قدیمی‌ترین منابع تفسیریِ شیعه به شمار می‌آید ـ ابوذر غفاری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ماست که دعا مستجاب، بلا دفع و باران از آسمان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به امام علی علیه‌السلام همین مطلب را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باقرعلیه‌السلام سخنی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افزون بر موارد یادشده، امامان را واسطة در رزق و نیز آبادانی شهرها و نیز کسانی دانستند که خداوند به واسطة آن ها به گنه کاران مهلت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آموزه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حرانی،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تکرار شده که البته گاه همراه با جزئیات بیشتری نیز بوده است؛ برای نمونه، امام سجاد علیه‌السلام در بیانی جامع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أَمَانُ أَهْلِ الْأَرْضِ کَمَا أَنَّ النُّجُومَ أَمَانٌ لِأَهْلِ السَّمَاءِ وَ نَحْنُ الَّذِینَ بِنَا یُمْسِکُ اللَّهُ السَّماءَ أَنْ تَقَعَ عَلَی الْأَرْضِ إِلَّا بِإِذْنِهِ وَ بِنَا یُمْسِکُ الْأَرْضَ أَنْ تَمِیدَ بِأَهْلِهَا وَ بِنَا یُنَزِّلُ الْغَیْثَ وَ بِنَا یَنْشُرُ الرَّحْمَةَ وَ یُخْرِجُ بَرَکَاتِ الْأَرْضِ وَ لَوْ لَا مَا فِی الْأَرْضِ مِنَّا لَسَاخَتْ بِأَهْلِهَا؛ ما موجب امانِ اهل زمینیم، چنان که ستارگان موجب امانِ اهل آسمانند و ما کسانی هستیم که خداوند به واسطة ما نمی‌گذارد که آسمان بر زمین واقع شود، مگر به اذن خودش؛ به واسطة ماست که زمین از لرزانیدن اهلش خودداری می‌کند؛ به سبب ماست که ابرها باریده و رحمت نشر داده شده و برکات زمین خارج می‌شود و اگر ما روی زمین نبودیم، زمین اهل خود را در خود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زیارات معتبر شیعه است، چنین مضامینی به چشم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می‌توان بدین نتیجه رسید که امام واسطة فیض خداوند است؛ بدین معنا که اولاً، خداوند از مجرای وجود اوست که نعمت‌ها و رحمت‌های خود را بر بندگان نازل می‌کند؛ ثانیاً، قوام و دوام این عالم به وجود امام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یکی از ضرورت‌های وجود امام در دنیا آن است که نبود ایشان، موجب فروپاشی نظام آفرینش خواهد شد؛ از این رو، امام اگرچه غایب از دیدگان باشد، وجودش ضروریست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پاسخ گوی برخی از شبهاتی است که از دیرباز از جانب برخی اهل سنت، مبنی بر بی‌فایده بودن وجود امام غایب علیه السلام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حکیم ملاصدرا گفته، آموزة یادشده را می‌توان بر اساس علت غایی چنین تبیین کرد که خداوند متعال، موجودات را بر اساس شرافت و خسّت آفرید؛ بدین بیان که زمین را برای نبات، نبات را برای حیوان و حیوان را برای انسان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درجة انسانیت نیز آن جاست که به مقام امامت رسیده و انسان کامل، یعنی سلطان عالمِ زمینی و جانشین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 آنچه در این دنیاست به جهت انسان کامل آفریده شده؛ در این صورت، اگر آنچه عالم برای او آفریده شده، وجود نداشته باشد، عالم نیز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bookmarkStart w:id="98" w:name="pg2631_17633"/>
    </w:p>
    <w:p>
      <w:pPr>
        <w:pStyle w:val="BookText"/>
        <w:rPr/>
      </w:pPr>
      <w:bookmarkEnd w:id="98"/>
      <w:r>
        <w:rPr>
          <w:rFonts w:ascii="IRNazanin" w:hAnsi="IRNazanin" w:eastAsia="IRNazanin"/>
          <w:color w:val="111111"/>
          <w:sz w:val="28"/>
          <w:sz w:val="28"/>
          <w:szCs w:val="28"/>
          <w:rtl w:val="true"/>
          <w:lang w:bidi="fa-IR"/>
        </w:rPr>
        <w:t>با نگاهی به آیات می‌توان مؤیدهایی برای تبیین یادشده نیز به دست آورد، زیرا بر اساس ظاهر آیات قرآن کریم همه چیز برای انسان آفریده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همان کسی است که آنچه در زمین است 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هدف از آفرینش انسان نیز چیزی جز عبادت به منظور رسیدن به کمال نیست؛ بنابراین، کامل‌ترین انسان در هر دوره که افضل و برترینِ انسان‌هاست، هدف نهاییِ غایت است و اگر سایر موجودات آفریده شده‌اند، به خاطر او و برای او آفریده شده و در خدمت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 یافت از همین نکته است که می‌توان رام شدن حیوانات و خضوع جنّ و فرشتگان برای پیامبران و امامان را نیز به راحتی پذیرفته و قابل تبیین دانست؛ چنان که دربارة حضرت سلیمان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الشَّیاطینِ مَنْ یَغُوصُونَ لَهُ وَ یَعْمَلُونَ عَمَلاً دُونَ ذلِکَ وَ کُنَّا لَهُمْ 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مسخّر او قرار دادیم، که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غوّاصی می‌کردند و کارهایی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انجام می‌دادند و ما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اصل وجود انسان‌ها، حیوانات و موجودات دیگر و نیز رسیدن نعمت به آن ها را از وجود امام دانست، و با نبودن امام، اصل آن موجودات و رسیدن نعمت‌ها به آن ها نیز منتفی خواهد شد</w:t>
      </w:r>
      <w:r>
        <w:rPr>
          <w:rFonts w:eastAsia="IRNazanin" w:cs="IRNazanin"/>
          <w:color w:val="111111"/>
          <w:sz w:val="28"/>
          <w:szCs w:val="28"/>
          <w:rtl w:val="true"/>
          <w:lang w:bidi="fa-IR"/>
        </w:rPr>
        <w:t>.</w:t>
      </w:r>
    </w:p>
    <w:p>
      <w:pPr>
        <w:pStyle w:val="Heading3"/>
        <w:numPr>
          <w:ilvl w:val="2"/>
          <w:numId w:val="1"/>
        </w:numPr>
        <w:rPr/>
      </w:pPr>
      <w:bookmarkStart w:id="99" w:name="__RefHeading___Toc561298_1395250215"/>
      <w:bookmarkStart w:id="100" w:name="_Toc39"/>
      <w:bookmarkEnd w:id="99"/>
      <w:r>
        <w:rPr/>
        <w:t>4</w:t>
      </w:r>
      <w:r>
        <w:rPr>
          <w:rtl w:val="true"/>
        </w:rPr>
        <w:t xml:space="preserve">. </w:t>
      </w:r>
      <w:r>
        <w:rPr>
          <w:rtl w:val="true"/>
        </w:rPr>
        <w:t>تحلیل نقش امام در وساطت فیض</w:t>
      </w:r>
      <w:bookmarkEnd w:id="100"/>
    </w:p>
    <w:p>
      <w:pPr>
        <w:pStyle w:val="Heading4"/>
        <w:numPr>
          <w:ilvl w:val="3"/>
          <w:numId w:val="1"/>
        </w:numPr>
        <w:rPr/>
      </w:pPr>
      <w:bookmarkStart w:id="101" w:name="__RefHeading___Toc561300_1395250215"/>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تا کنون ثابت کردیم که امام واسطة فیض است، اما به نظر می‌رسد هنوز پرسشی جدّی در باب وساطت فیض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رسیدن فیض به بندگان چه نقشی دارد؟ از آن جا که دو نوع واسطه گری برای امام تصویر و ثابت کردیم، لازم است به طور جداگانه به تحلیل نقش امام در این دو فرایند بپردازیم</w:t>
      </w:r>
      <w:r>
        <w:rPr>
          <w:rFonts w:eastAsia="IRNazanin" w:cs="IRNazanin"/>
          <w:color w:val="111111"/>
          <w:sz w:val="28"/>
          <w:szCs w:val="28"/>
          <w:rtl w:val="true"/>
          <w:lang w:bidi="fa-IR"/>
        </w:rPr>
        <w:t>.</w:t>
      </w:r>
    </w:p>
    <w:p>
      <w:pPr>
        <w:pStyle w:val="Heading4"/>
        <w:numPr>
          <w:ilvl w:val="3"/>
          <w:numId w:val="1"/>
        </w:numPr>
        <w:rPr/>
      </w:pPr>
      <w:bookmarkStart w:id="103" w:name="__RefHeading___Toc561302_1395250215"/>
      <w:bookmarkStart w:id="104" w:name="_Toc41"/>
      <w:bookmarkEnd w:id="103"/>
      <w:r>
        <w:rPr/>
        <w:t>1</w:t>
      </w:r>
      <w:r>
        <w:rPr>
          <w:rtl w:val="true"/>
        </w:rPr>
        <w:t>ـ</w:t>
      </w:r>
      <w:r>
        <w:rPr/>
        <w:t>4</w:t>
      </w:r>
      <w:r>
        <w:rPr>
          <w:rtl w:val="true"/>
        </w:rPr>
        <w:t xml:space="preserve">. </w:t>
      </w:r>
      <w:r>
        <w:rPr>
          <w:rtl w:val="true"/>
        </w:rPr>
        <w:t>وساطت فیض جزئی</w:t>
      </w:r>
      <w:bookmarkEnd w:id="104"/>
    </w:p>
    <w:p>
      <w:pPr>
        <w:pStyle w:val="BookText"/>
        <w:rPr/>
      </w:pPr>
      <w:r>
        <w:rPr>
          <w:rFonts w:ascii="IRNazanin" w:hAnsi="IRNazanin" w:eastAsia="IRNazanin"/>
          <w:color w:val="111111"/>
          <w:sz w:val="28"/>
          <w:sz w:val="28"/>
          <w:szCs w:val="28"/>
          <w:rtl w:val="true"/>
          <w:lang w:bidi="fa-IR"/>
        </w:rPr>
        <w:t>امام در رسیدن فیوضات جزئی به بندگان تأثیر دارد، اما به طور روشن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در این مقام، در نقش درخواست کننده برای رسیدن فیض ظاهر می شود یا آن که خود دهندۀ فیض است؟ به بیان دیگر، وقتی نزد امام می رویم تا حاجت خود را بیان کنیم، می توانیم حاجت خود را دو گونه مطرح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امام بخواهیم تا از خدا بخواهد حاجت ما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امام بخواهیم تا حاجت ما را برآورده کند؛</w:t>
      </w:r>
    </w:p>
    <w:p>
      <w:pPr>
        <w:pStyle w:val="BookText"/>
        <w:rPr/>
      </w:pPr>
      <w:r>
        <w:rPr>
          <w:rFonts w:ascii="IRNazanin" w:hAnsi="IRNazanin" w:eastAsia="IRNazanin"/>
          <w:color w:val="111111"/>
          <w:sz w:val="28"/>
          <w:sz w:val="28"/>
          <w:szCs w:val="28"/>
          <w:rtl w:val="true"/>
          <w:lang w:bidi="fa-IR"/>
        </w:rPr>
        <w:t>حال، کدام یک از این دو شیوه با آنچه از وساطت فیض جزئی بیان کردیم، صحیح است؟ و آیا شیوۀ دوم با توحید ناسازگار است؟</w:t>
      </w:r>
    </w:p>
    <w:p>
      <w:pPr>
        <w:pStyle w:val="BookText"/>
        <w:rPr/>
      </w:pPr>
      <w:r>
        <w:rPr>
          <w:rFonts w:ascii="IRNazanin" w:hAnsi="IRNazanin" w:eastAsia="IRNazanin"/>
          <w:color w:val="111111"/>
          <w:sz w:val="28"/>
          <w:sz w:val="28"/>
          <w:szCs w:val="28"/>
          <w:rtl w:val="true"/>
          <w:lang w:bidi="fa-IR"/>
        </w:rPr>
        <w:t>قرآن کریم، آن گاه که از گفت وگوهای میان پیامبران و قوم ایشان، سخن به میان می آورد، از هر دو شیوه استفاده می کند؛ برای نمونه، وقتی که قوم موسی به عذاب طوفان گرفتار شدند، این گونه با پیامبرشان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ادْعُ لَنا رَبَّکَ بِما عَهِدَ عِنْدَکَ لَئِنْ کَشَفْتَ عَنَّا الرِّجْزَ لَنُؤْمِنَنَّ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برای ما بخواه به عهدی که با تو کرده،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بلا را از ما مرتفع سازی، قطعاً به تو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حواریون حضرت عیسی علیه السلام نزول مائدۀ آسمانی را درخواست کردند، به آن حضرت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 أَنْ یُنَزِّلَ عَلَیْنا مائِدَةً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خدایت می تواند برای ما سفره ای از آسمان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نیز آن گاه که از نیت پاک آن ها آگاه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أَنْزِلْ عَلَیْنا مائِدَةً مِنَ السَّماءِ تَکُونُ لَنا عیداً لِأَوَّلِنا وَ آخِرِنا وَ آیَةً مِنْکَ وَ ارْزُقْنا وَ أَنْتَ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ادبیات قرآنی، موسی و عیسی علیهماالسلام از خداوند می خواهند و خداوند، برآورده کنندۀ مستقیم حاجت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آیاتی از قرآن کریم نیز از شیوۀ دوم سخن به میان آمده؛ برای نمونه، حضرت سلیمان علیه السلام آن گاه که خواست تاج و تخت بلقیس را نزد خود حاضر ببیند، به اطرافیان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الْمَلَؤُا أَیُّکُمْ یَأْتِینِی بِعَرْشِها قَبْلَ أَنْ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برای من می‌آورد، پیش از آن که به حال تسلیم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روشن است، سلیمان علیه السلام مستقیماً از اطرافیانش خواست که برایش چنین کار اعجاب انگیزی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دو نفر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ندا لبیک گفتند؛ یعنی ایشان نیز کار را به خودشان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چشم بر هم زنی،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بر اساس آموزۀ توحید افعالی، تمام کارهای آدمی به نحو طولی با اراده و اذن خداوند انجام شده و منشأ تمام حرکات و سکنات انسان،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حضرت عیسی علیه السلام نیز وقتی به بیان معجزات خود می پردازد،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 أُبْرِئُ الْأَکْمَهَ وَ الْأَبْرَصَ وَ 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گِل، چیزی به شکل پرنده می‌سازم، سپس در آن می‌دمم و به فرمان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مردگان را به اذن خدا زنده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حضرت عیسی علیه السلام هرچند از صیغۀ متکلم وحده استفاده می کند، اما قدرت تأثیر فعل خود را نیز منوط به اذن و ارادۀ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متعال قدرتی را به شایستگان ارزانی فرموده و ایشان نیز آن را در موارد مناسب، به کار می برند، هرچند شرط تأثیر آن، اذن پروردگار به گونۀ طولی است؛ چنان که شرط تأثیر هر فعلی از افعال انسان، اذن و ارادۀ خداوند به گونۀ طولی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شیوۀ مزبور، برای طرح حاجت نزد امامان علیهم السلام متناسب با رویکرد قرآنی است؛ لذا در وساطت فیض جزئی، گاه خداوند به طور مستقیم فیض دهنده است و امام جز درخواست حاجت دیگران نقشی ندارد و گاهی نیز امام به اذن خداوند، فیض دهندۀ به نیازمندان به نحو طولی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هر دو گونه نقش برای امامان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وقتی کسی از امام عسکری علیه السلام خواست دعا کند تا چشمانش شفا یابند، امام علیه السلام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روایات نقل شده که خداوند متعال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دارد؛ آصف بن برخیا اگر توانست تخت بلقیس را در کمتر از چشم به هم زدنی حاضر کند، به دلیل آن بود که یک اسم اعظم خدا را در اختیار داشت، در حالی که امامان علیهم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قمی،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نیز از جمله شایستگانی اند که خداوند متعال قدرت تصرف در امور کائنات را به ایشان داده است؛ از این رو، می توان به شیوۀ دوم نیز از ایشان طلب حاجت کرد</w:t>
      </w:r>
      <w:r>
        <w:rPr>
          <w:rFonts w:eastAsia="IRNazanin" w:cs="IRNazanin"/>
          <w:color w:val="111111"/>
          <w:sz w:val="28"/>
          <w:szCs w:val="28"/>
          <w:rtl w:val="true"/>
          <w:lang w:bidi="fa-IR"/>
        </w:rPr>
        <w:t>.</w:t>
      </w:r>
      <w:bookmarkStart w:id="105" w:name="pg2631_17636"/>
    </w:p>
    <w:p>
      <w:pPr>
        <w:pStyle w:val="Heading4"/>
        <w:numPr>
          <w:ilvl w:val="3"/>
          <w:numId w:val="1"/>
        </w:numPr>
        <w:rPr/>
      </w:pPr>
      <w:bookmarkStart w:id="106" w:name="__RefHeading___Toc561304_1395250215"/>
      <w:bookmarkStart w:id="107" w:name="_Toc42"/>
      <w:bookmarkEnd w:id="105"/>
      <w:bookmarkEnd w:id="106"/>
      <w:r>
        <w:rPr/>
        <w:t>2</w:t>
      </w:r>
      <w:r>
        <w:rPr>
          <w:rtl w:val="true"/>
        </w:rPr>
        <w:t>ـ</w:t>
      </w:r>
      <w:r>
        <w:rPr/>
        <w:t>4</w:t>
      </w:r>
      <w:r>
        <w:rPr>
          <w:rtl w:val="true"/>
        </w:rPr>
        <w:t xml:space="preserve">. </w:t>
      </w:r>
      <w:r>
        <w:rPr>
          <w:rtl w:val="true"/>
        </w:rPr>
        <w:t>وساطت فیض کلی</w:t>
      </w:r>
      <w:bookmarkEnd w:id="107"/>
    </w:p>
    <w:p>
      <w:pPr>
        <w:pStyle w:val="Heading5"/>
        <w:numPr>
          <w:ilvl w:val="4"/>
          <w:numId w:val="1"/>
        </w:numPr>
        <w:rPr/>
      </w:pPr>
      <w:bookmarkStart w:id="108" w:name="__RefHeading___Toc561306_1395250215"/>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تحلیل نقش امام در فرایند وساطت فیض کلی، نیازمند دقت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بحث را با این سؤال ها آغاز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عنصریِ امام، واسطة فیض است یا وجود نوریِ او؟ آیا اراده و خواست امام در این جا در رسیدن فیض به عالم هستی تأثیر دارد یا خیر؟ به نظر می رسد، دست‌کم چهار تصویر از نقش امام در آموزة وساطت فیض کلی قابل ارائه است</w:t>
      </w:r>
      <w:r>
        <w:rPr>
          <w:rFonts w:eastAsia="IRNazanin" w:cs="IRNazanin"/>
          <w:color w:val="111111"/>
          <w:sz w:val="28"/>
          <w:szCs w:val="28"/>
          <w:rtl w:val="true"/>
          <w:lang w:bidi="fa-IR"/>
        </w:rPr>
        <w:t>:</w:t>
      </w:r>
    </w:p>
    <w:p>
      <w:pPr>
        <w:pStyle w:val="Heading5"/>
        <w:numPr>
          <w:ilvl w:val="4"/>
          <w:numId w:val="1"/>
        </w:numPr>
        <w:rPr/>
      </w:pPr>
      <w:bookmarkStart w:id="110" w:name="__RefHeading___Toc561308_1395250215"/>
      <w:bookmarkStart w:id="111" w:name="_Toc44"/>
      <w:bookmarkEnd w:id="110"/>
      <w:r>
        <w:rPr>
          <w:rtl w:val="true"/>
        </w:rPr>
        <w:t>یکم</w:t>
      </w:r>
      <w:bookmarkEnd w:id="111"/>
    </w:p>
    <w:p>
      <w:pPr>
        <w:pStyle w:val="BookText"/>
        <w:rPr/>
      </w:pPr>
      <w:r>
        <w:rPr>
          <w:rFonts w:ascii="IRNazanin" w:hAnsi="IRNazanin" w:eastAsia="IRNazanin"/>
          <w:color w:val="111111"/>
          <w:sz w:val="28"/>
          <w:sz w:val="28"/>
          <w:szCs w:val="28"/>
          <w:rtl w:val="true"/>
          <w:lang w:bidi="fa-IR"/>
        </w:rPr>
        <w:t>بر اساس روایاتی پرشمار،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علیهم‌السلام نخستین موجودات عالم هستی اند و آفرینش آن ها در آن عرصه به صورت نور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وجود نوریِ امام به گونه‌ای است که پایداری عالم و نزول فیض به عالم، به وجود آن ها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این فرضیه می توان گفت، به نظر می‌رسد این فرض از محل بحث خارج بوده و نمی‌تواند معنایی صحیح از وساطت فیض باشد، زیرا در روایاتی که بیان گر شأن وساطت فیض بودند،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ینزل الغیث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این معنا ناسازگار است، چراکه تعبیر یادشده خطاب به مردم بیان شده است، و به لحاظ عرفی مقصود از آن را نمی توان وجود نوریِ امامان علیهم‌السلام دانست</w:t>
      </w:r>
      <w:r>
        <w:rPr>
          <w:rFonts w:eastAsia="IRNazanin" w:cs="IRNazanin"/>
          <w:color w:val="111111"/>
          <w:sz w:val="28"/>
          <w:szCs w:val="28"/>
          <w:rtl w:val="true"/>
          <w:lang w:bidi="fa-IR"/>
        </w:rPr>
        <w:t>.</w:t>
      </w:r>
    </w:p>
    <w:p>
      <w:pPr>
        <w:pStyle w:val="Heading5"/>
        <w:numPr>
          <w:ilvl w:val="4"/>
          <w:numId w:val="1"/>
        </w:numPr>
        <w:rPr/>
      </w:pPr>
      <w:bookmarkStart w:id="112" w:name="__RefHeading___Toc561310_1395250215"/>
      <w:bookmarkStart w:id="113" w:name="_Toc45"/>
      <w:bookmarkEnd w:id="112"/>
      <w:r>
        <w:rPr>
          <w:rtl w:val="true"/>
        </w:rPr>
        <w:t>دوم</w:t>
      </w:r>
      <w:bookmarkEnd w:id="113"/>
    </w:p>
    <w:p>
      <w:pPr>
        <w:pStyle w:val="BookText"/>
        <w:rPr/>
      </w:pPr>
      <w:r>
        <w:rPr>
          <w:rFonts w:ascii="IRNazanin" w:hAnsi="IRNazanin" w:eastAsia="IRNazanin"/>
          <w:color w:val="111111"/>
          <w:sz w:val="28"/>
          <w:sz w:val="28"/>
          <w:szCs w:val="28"/>
          <w:rtl w:val="true"/>
          <w:lang w:bidi="fa-IR"/>
        </w:rPr>
        <w:t>وجود دنیوی امام ـ که از روح و بدن تشکیل شده ـ واسطة فیض است؛ بدین معنا که خود امام به اذن خداوند و به گونة طولی در حال رتق و فتق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یرزق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حفظ ربوبیت و رازقیت بالاصالة خداوند، مقصود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 بإذن الله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فرض نیز درست نیست؛ البته باید توجه داشت تعبیر و یا حتی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نفسه مشکلی ندارد و اسنادهایی از این دست با ادبیات قرآنی و روایی مخالف نیست، چراکه خداوند متعال کارهای خود را از طریق وسایط انجام می‌دهد؛ برای نمونه، خداوند در برخی آیات تصریح می‌کند که خود از بندگانش جان‌ها را می‌ستاند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جان‌ها را به هنگام مرگشان،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آیات دیگر از نقش عزرائیل در ستاندن جان‌ها سخن گفته و این کار را به او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سوی پروردگارتان بازمی‌گردانند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bookmarkStart w:id="114" w:name="pg2631_17637"/>
    </w:p>
    <w:p>
      <w:pPr>
        <w:pStyle w:val="BookText"/>
        <w:rPr/>
      </w:pPr>
      <w:bookmarkEnd w:id="114"/>
      <w:r>
        <w:rPr>
          <w:rFonts w:ascii="IRNazanin" w:hAnsi="IRNazanin" w:eastAsia="IRNazanin"/>
          <w:color w:val="111111"/>
          <w:sz w:val="28"/>
          <w:sz w:val="28"/>
          <w:szCs w:val="28"/>
          <w:rtl w:val="true"/>
          <w:lang w:bidi="fa-IR"/>
        </w:rPr>
        <w:t>معنای این دو آیه آن است که ملک الموت در طول و ارادة الهی جان‌ها را از بندگان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 مشرکانه است و نه مخالف با ادبیات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آموزه، یعنی همان تفویض امر رزق به امامان علیهم‌السلام به نحو اطلاق، به طور کلی مورد انکار عالمان بنامِ شیعه قرار گرفته است؛ برای مثال،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مفوضه را در شمار کافران قرار داده، آن ها را از یهود، نصارا، مجوس و به طور کلی، از تمام بدعت‌گزاران و فرقه‌های گمراه بدتر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نشانة مفوضه و غلات را نیز این می‌داند که مشایخ و علمای قم را به تقصیر متهم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توضیح مقصود خود از تفویض، روایتی را بیان می‌کند که امام رضا علیه‌السلام مفوضه را شدیداً نکوهش کرده و آن ها را باورمند به این دانسته که خداوند امر خلق و رزق را به امامان علیهم السلام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مفوضه را گروهی از غالیان می‌داند که از جمله عقاید ایشان آن بود که خداوند، امر خلق و رزق را به امامان علیهم السلام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معاصر نیز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با عالمان پیشین، بر دیدگاه تفویض امر خلق، رزق و تدبیر عالم به امامان علیهم السلام خط بطلان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مسئلة تفویض امر رزق به امامان علیهم‌السلام مورد انکار ایشان قرار گرفته است؛ برای نمونه، در روایتی صحیحه آمده که امام رضا علیه‌السلام واگذاری امر دین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اما با آموزة تفویض امر خلق و رزق به ایشان مخالفت کردند و در ادامه، بر توحید خدا در امر خلق و رزق تأکید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ظاهر روایاتی که با عباراتی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الارض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ینزل الغیث بنا یرزق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از پذیرش این معنا که خداوند متعال کار عالم را به ایشان واگذار کرده تا آن ها به نحو طولی به ادارة عالم بپردازند، به دور است</w:t>
      </w:r>
      <w:r>
        <w:rPr>
          <w:rFonts w:eastAsia="IRNazanin" w:cs="IRNazanin"/>
          <w:color w:val="111111"/>
          <w:sz w:val="28"/>
          <w:szCs w:val="28"/>
          <w:rtl w:val="true"/>
          <w:lang w:bidi="fa-IR"/>
        </w:rPr>
        <w:t>.</w:t>
      </w:r>
    </w:p>
    <w:p>
      <w:pPr>
        <w:pStyle w:val="Heading5"/>
        <w:numPr>
          <w:ilvl w:val="4"/>
          <w:numId w:val="1"/>
        </w:numPr>
        <w:rPr/>
      </w:pPr>
      <w:bookmarkStart w:id="115" w:name="__RefHeading___Toc561312_1395250215"/>
      <w:bookmarkStart w:id="116" w:name="_Toc46"/>
      <w:bookmarkEnd w:id="115"/>
      <w:r>
        <w:rPr>
          <w:rtl w:val="true"/>
        </w:rPr>
        <w:t>سوم</w:t>
      </w:r>
      <w:bookmarkEnd w:id="11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خداوند متعال درخواست کرده و مطابق با آن درخواست، نزول فیض الهی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تصویر، اراده و درخواست امام نیز برای رسیدن فیض به بندگان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تصویر نیز خود می‌تواند به دو صورت ترسیم شود؛ یکی آن که این درخواست به طور جزئی باشد و امام در موارد محدود و برای افراد محدودی چنین درخواستی کند؛ دوم آن که امام به طور کلی و برای تمام بندگان چنین درخواست‌هایی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را باید وساطت فیض جزئی دانست که پیش تر از آن سخن به میان آمد و فرض دوم را وساطت فیض کلی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فرض اول، مختص به امام نیست، و روایات پرشماری که از</w:t>
      </w:r>
      <w:bookmarkStart w:id="117" w:name="pg2631_17638"/>
    </w:p>
    <w:p>
      <w:pPr>
        <w:pStyle w:val="BookText"/>
        <w:rPr/>
      </w:pPr>
      <w:bookmarkEnd w:id="117"/>
      <w:r>
        <w:rPr>
          <w:rFonts w:ascii="IRNazanin" w:hAnsi="IRNazanin" w:eastAsia="IRNazanin"/>
          <w:color w:val="111111"/>
          <w:sz w:val="28"/>
          <w:sz w:val="28"/>
          <w:szCs w:val="28"/>
          <w:rtl w:val="true"/>
          <w:lang w:bidi="fa-IR"/>
        </w:rPr>
        <w:t>آن سخن به میان آمد، شأنی بیش از آن را برای امام ثابت می‌کنند که همان وساطت فیض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روایتی که نگارنده برای تأیید این فرضیه یافته، توقیعی است که از امام عصر علیه‌السلام دربارة مسئلة تفویض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یسألون اللّه تعالی فیخلق و یسألونه فیرزق، إیجابا لمسألتهم و إعظاما لحقّهم؛ اما امامان علیهم‌السلام؛ پس آن ها از خداوند درخواست کرده، پس خداوند می‌آفریند و روزی می‌دهد؛ برای پاسخ به درخواست آن ها و بزرگ داشت حقّ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دلّال قمی این روایت را نقل کرده و برای نخستین بار در کتاب الغیبۀ شیخ 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یادشده به لحاظ رجالی مهمل است؛ افزون بر آن، به لحاظ دلالی نیز می‌توان گفت، ممکن است معنای روایت ناظر به وساطت فیض به گونة جزئی باشد؛ بدین بیان که ایشان در موارد جزئی برای افرادی خاص نیز دعا کنند و خداوند به برکت دعای ایشان، به کسی روزیِ ویژه‌ای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یادشده بر وساطت فیض مطلق دلالتی ندارد و نمی‌تواند فرضیۀ یادشده را ثابت کند؛ ضمن آن که مشکلی که در این میان وجود دارد آن است که بر اساس فرض سوم، باید امام را همواره در حال درخواست برای نزول رزق،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امری بعید است</w:t>
      </w:r>
      <w:r>
        <w:rPr>
          <w:rFonts w:eastAsia="IRNazanin" w:cs="IRNazanin"/>
          <w:color w:val="111111"/>
          <w:sz w:val="28"/>
          <w:szCs w:val="28"/>
          <w:rtl w:val="true"/>
          <w:lang w:bidi="fa-IR"/>
        </w:rPr>
        <w:t>.</w:t>
      </w:r>
    </w:p>
    <w:p>
      <w:pPr>
        <w:pStyle w:val="Heading5"/>
        <w:numPr>
          <w:ilvl w:val="4"/>
          <w:numId w:val="1"/>
        </w:numPr>
        <w:rPr/>
      </w:pPr>
      <w:bookmarkStart w:id="118" w:name="__RefHeading___Toc561314_1395250215"/>
      <w:bookmarkStart w:id="119" w:name="_Toc47"/>
      <w:bookmarkEnd w:id="118"/>
      <w:r>
        <w:rPr>
          <w:rtl w:val="true"/>
        </w:rPr>
        <w:t>چهارم</w:t>
      </w:r>
      <w:bookmarkEnd w:id="119"/>
    </w:p>
    <w:p>
      <w:pPr>
        <w:pStyle w:val="BookText"/>
        <w:rPr/>
      </w:pPr>
      <w:r>
        <w:rPr>
          <w:rFonts w:ascii="IRNazanin" w:hAnsi="IRNazanin" w:eastAsia="IRNazanin"/>
          <w:color w:val="111111"/>
          <w:sz w:val="28"/>
          <w:sz w:val="28"/>
          <w:szCs w:val="28"/>
          <w:rtl w:val="true"/>
          <w:lang w:bidi="fa-IR"/>
        </w:rPr>
        <w:t>وجود دنیویِ امام ـ که از روح و بدن تشکیل شده ـ موجب نزول برکات و به طور کلی، قوام آسمان‌ها و زمین است؛ البته چنین نیست که پایداری و قوام عالم بر دعا کردن او متوقف باشد، بلکه صرف وجود او در عالم، موجب نزول برکات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موضوع می توان به مثال های ذیل توجه داد؛ لوله‌های آب فقط نقش وساطت برای رسیدن آب به مقصد را دارند، و کسی باید شیر آب را باز کند تا آب به دستش برسد؛ به بیان دیگر، لوله‌ها آب‌دهنده نیستند، بلکه تنها مجرایند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خانه ای، ده نفر حضور دارند که یکی از آن ها بسیار بزرگ و محترم است و به خاطر او به دیگران نیز اطعام شود، بدون آن که خود او چیزی از ما خواسته باشد یا تأثیری خاص در این روند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نگارنده، فروض سه‌گانة پیش‌گفته هرکدام محذوراتی را با خود به همراه داشت، اما این فرض بدون محذور است و ظهور روایات نیز مؤید همین فرض است؛ بدین معنا که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یرزق الرزق، بنا ینزل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مقصود وساطت فیض کلی است؛ ثانیاً، وجود دنیوی ایشان که حجت خدا روی زمینند ـ بدون آن که دعا کرده یا تقاضایی کنند ـ</w:t>
      </w:r>
      <w:bookmarkStart w:id="120" w:name="pg2631_17639"/>
    </w:p>
    <w:p>
      <w:pPr>
        <w:pStyle w:val="BookText"/>
        <w:rPr/>
      </w:pPr>
      <w:bookmarkEnd w:id="120"/>
      <w:r>
        <w:rPr>
          <w:rFonts w:ascii="IRNazanin" w:hAnsi="IRNazanin" w:eastAsia="IRNazanin"/>
          <w:color w:val="111111"/>
          <w:sz w:val="28"/>
          <w:sz w:val="28"/>
          <w:szCs w:val="28"/>
          <w:rtl w:val="true"/>
          <w:lang w:bidi="fa-IR"/>
        </w:rPr>
        <w:t>موجب و واسطة فیض برای موجودات عالم است؛ یعنی همین وجود عنصریِ امام بدون آن که مشروط به صدور تقاضایی از او باشد، موجب پایداری عالم شده، و خداوند به موجب آن، به بندگان روزی داده، فیض خود را به آن ها ارزانی می‌دارد</w:t>
      </w:r>
      <w:r>
        <w:rPr>
          <w:rFonts w:eastAsia="IRNazanin" w:cs="IRNazanin"/>
          <w:color w:val="111111"/>
          <w:sz w:val="28"/>
          <w:szCs w:val="28"/>
          <w:rtl w:val="true"/>
          <w:lang w:bidi="fa-IR"/>
        </w:rPr>
        <w:t>.</w:t>
      </w:r>
    </w:p>
    <w:p>
      <w:pPr>
        <w:pStyle w:val="Heading3"/>
        <w:numPr>
          <w:ilvl w:val="2"/>
          <w:numId w:val="1"/>
        </w:numPr>
        <w:rPr/>
      </w:pPr>
      <w:bookmarkStart w:id="121" w:name="__RefHeading___Toc561316_1395250215"/>
      <w:bookmarkStart w:id="122" w:name="_Toc48"/>
      <w:bookmarkEnd w:id="121"/>
      <w:r>
        <w:rPr/>
        <w:t>5</w:t>
      </w:r>
      <w:r>
        <w:rPr>
          <w:rtl w:val="true"/>
        </w:rPr>
        <w:t xml:space="preserve">. </w:t>
      </w:r>
      <w:r>
        <w:rPr>
          <w:rtl w:val="true"/>
        </w:rPr>
        <w:t>واسطه های دیگر فیض کلی</w:t>
      </w:r>
      <w:bookmarkEnd w:id="122"/>
    </w:p>
    <w:p>
      <w:pPr>
        <w:pStyle w:val="BookText"/>
        <w:rPr/>
      </w:pPr>
      <w:r>
        <w:rPr>
          <w:rFonts w:ascii="IRNazanin" w:hAnsi="IRNazanin" w:eastAsia="IRNazanin"/>
          <w:color w:val="111111"/>
          <w:sz w:val="28"/>
          <w:sz w:val="28"/>
          <w:szCs w:val="28"/>
          <w:rtl w:val="true"/>
          <w:lang w:bidi="fa-IR"/>
        </w:rPr>
        <w:t xml:space="preserve">چنان که گذشت، امام واسطۀ فیض کلی است، اما آیا شأن وساطت فیض در انحصار امامان شیعه است؟ اگر چنین است، پیش از ایشان این عالم از مجرای چه کسانی حفظ شده و باقی مانده است؟ به بیان دیگر، امامان شیعه در دورۀ زمانی خاصی در این دنیا حضور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دنیا و نظام هستی پیش از آن ها نیز وجود داشته است؛ بنابراین، چگونه می توان پذیرفت وجود امامان علیهم السلام موجب حفظ و پایداری عالم است؟</w:t>
      </w:r>
    </w:p>
    <w:p>
      <w:pPr>
        <w:pStyle w:val="BookText"/>
        <w:rPr/>
      </w:pPr>
      <w:r>
        <w:rPr>
          <w:rFonts w:ascii="IRNazanin" w:hAnsi="IRNazanin" w:eastAsia="IRNazanin"/>
          <w:color w:val="111111"/>
          <w:sz w:val="28"/>
          <w:sz w:val="28"/>
          <w:szCs w:val="28"/>
          <w:rtl w:val="true"/>
          <w:lang w:bidi="fa-IR"/>
        </w:rPr>
        <w:t>با مراجعه به روایات، این پرسش نیز چنین پاسخ داده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هر دوران، امام و حجتی روی زمین وجود دارد و زمین هیچ گاه خالی از امام و حجت نیست؛ ثانیاً، در هر دوره، آن امام و حجت واسطۀ فیض خداوند برای حفظ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ابوحمزه در روایتی صحیحه،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 ماند؟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زمین هیچ گاه خالی از امام نیست و اگر لحظه ای بدون امام باشد، دنیا در هم فرو می ریزد؛ چنان که امام باقر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الْإِمَامَ رُفِعَ مِنَ الْأَرْضِ سَاعَةً لَمَاجَتْ بِأَهْلِهَا کَمَا یَمُوجُ الْبَحْرُ بِأَهْلِهِ؛ اگر لحظه ای از زمین برداشته شود، زمین اهل خود را فرو خواهد برد، همان گونه که دریا اهل خود را فرو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همواره روی زمین امامانی وجود دارند که واسطۀ فیض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شأن در هر دوره در اختیار امامی بوده است</w:t>
      </w:r>
      <w:r>
        <w:rPr>
          <w:rFonts w:eastAsia="IRNazanin" w:cs="IRNazanin"/>
          <w:color w:val="111111"/>
          <w:sz w:val="28"/>
          <w:szCs w:val="28"/>
          <w:rtl w:val="true"/>
          <w:lang w:bidi="fa-IR"/>
        </w:rPr>
        <w:t>.</w:t>
      </w:r>
    </w:p>
    <w:p>
      <w:pPr>
        <w:pStyle w:val="Heading3"/>
        <w:numPr>
          <w:ilvl w:val="2"/>
          <w:numId w:val="1"/>
        </w:numPr>
        <w:rPr/>
      </w:pPr>
      <w:bookmarkStart w:id="123" w:name="__RefHeading___Toc561318_1395250215"/>
      <w:bookmarkStart w:id="124" w:name="_Toc49"/>
      <w:bookmarkEnd w:id="123"/>
      <w:r>
        <w:rPr>
          <w:rtl w:val="true"/>
        </w:rPr>
        <w:t>نتیجه گیری</w:t>
      </w:r>
      <w:bookmarkEnd w:id="124"/>
    </w:p>
    <w:p>
      <w:pPr>
        <w:pStyle w:val="BookText"/>
        <w:rPr/>
      </w:pPr>
      <w:r>
        <w:rPr>
          <w:rFonts w:ascii="IRNazanin" w:hAnsi="IRNazanin" w:eastAsia="IRNazanin"/>
          <w:color w:val="111111"/>
          <w:sz w:val="28"/>
          <w:sz w:val="28"/>
          <w:szCs w:val="28"/>
          <w:rtl w:val="true"/>
          <w:lang w:bidi="fa-IR"/>
        </w:rPr>
        <w:t>از آنچه گذشت نکات ذیل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علیهم‌السلام واسطة فیض خداوندند؛ بدین معنا که خداوند، فیض خود را از طریق امام به دیگران اعطا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فیض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تصویر است و امامان علیهم‌السلام به هر دو صورت واسطة فیضند</w:t>
      </w:r>
      <w:r>
        <w:rPr>
          <w:rFonts w:eastAsia="IRNazanin" w:cs="IRNazanin"/>
          <w:color w:val="111111"/>
          <w:sz w:val="28"/>
          <w:szCs w:val="28"/>
          <w:rtl w:val="true"/>
          <w:lang w:bidi="fa-IR"/>
        </w:rPr>
        <w:t>.</w:t>
      </w:r>
      <w:bookmarkStart w:id="125" w:name="pg2631_17640"/>
    </w:p>
    <w:p>
      <w:pPr>
        <w:pStyle w:val="BookText"/>
        <w:rPr/>
      </w:pPr>
      <w:bookmarkEnd w:id="12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فیض کلی بدین معناست که خداوند به واسطة ایشان، این عالم را پایداری می‌بخشد، به موجودات آن روزی می‌دهد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امامان علیهم السلام در فرایند وساطت فیض جزئی، گاه چنین است که ایشان درخواست نیازمندان را به خدا منتقل می کنند و خداوند آن درخواست را برآورده می کند، و گاهی نیز درخواست کننده خواستۀ خود را از امام خواسته و امام نیز به گونۀ طولی و به اذن خداوند آن حاجت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نقش امام در وساطت فیض کلی آن است که وجود عنصریِ ایشان ـ بدون آن که دست به دعا برده یا تقاضایی از خداوند کنند ـ موجب قوام و پایداریِ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دوران، امامی روی زمین وجود دارد که همو واسطۀ فیض کلی خداوند برای آفریدگان است</w:t>
      </w:r>
      <w:r>
        <w:rPr>
          <w:rFonts w:eastAsia="IRNazanin" w:cs="IRNazanin"/>
          <w:color w:val="111111"/>
          <w:sz w:val="28"/>
          <w:szCs w:val="28"/>
          <w:rtl w:val="true"/>
          <w:lang w:bidi="fa-IR"/>
        </w:rPr>
        <w:t>.</w:t>
      </w:r>
    </w:p>
    <w:p>
      <w:pPr>
        <w:pStyle w:val="Heading3"/>
        <w:numPr>
          <w:ilvl w:val="2"/>
          <w:numId w:val="1"/>
        </w:numPr>
        <w:rPr/>
      </w:pPr>
      <w:bookmarkStart w:id="126" w:name="__RefHeading___Toc561320_1395250215"/>
      <w:bookmarkStart w:id="127" w:name="_Toc50"/>
      <w:bookmarkEnd w:id="126"/>
      <w:r>
        <w:rPr>
          <w:rtl w:val="true"/>
        </w:rPr>
        <w:t>توضیحات</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امامان علیهم‌السلام، به‌ویژه در دوران امامین صادقین علیهما السلام، اصول و آثاری روایی تدوین شد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دربارة زمان دقیق تدوین اصول اربعمائة، نظریات گوناگونی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غروی نائینی،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معارف،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اصول، دربردارندة مجموعه‌ای از روایات است که شاگردان امامان علیهم‌السلام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همة آن اصول در دست نیست، مجموعة روایات آن، در مجامع حدیثیِ شیعه در قرون سوم تا پنجم همراه با فصل‌بندی‌ای ویژه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جمشیدی،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128" w:name="__RefHeading___Toc561322_1395250215"/>
      <w:bookmarkStart w:id="129" w:name="_Toc51"/>
      <w:bookmarkEnd w:id="128"/>
      <w:r>
        <w:rPr>
          <w:rtl w:val="true"/>
        </w:rPr>
        <w:t>منابع</w:t>
      </w:r>
      <w:bookmarkEnd w:id="129"/>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 التبصرة من الحیرة،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میثم‌بن‌علی‌بن‌میثم،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دارالثقلین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اسدالله،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حدیث،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قمی، علی بن محمد</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کفایۀ الاثر فی النص علی ائمۀ الاثنی عشر علیهم السلام، نشر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حسین‌بن‌عبدالله،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کافی، مؤسسۀ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 فی دین الامامیة،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انتشارات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کتابخانۀ آیۀالله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غالیان،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سیدکاظم،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مسندنویسی در تاریخ حدیث،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الغیبۀ، مؤسسه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نهله،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حدیث شیعه تا قرن پنجم هجری، انتشارات شیعه‌شناسی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انتشارات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کوفی، مؤسسة الطبع و النشر فی وزارة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لطیفی، رحیم،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فلسفة خلقت،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حدیث، انتشارات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مجید،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تاریخ حدیث شیعه، موسسه فرهنگی و هنری ضریح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الفقاهه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مدرسة الامام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حدیث، مرکز جهانی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الغیبۀ، نشر صدوق</w:t>
      </w:r>
      <w:r>
        <w:rPr>
          <w:rFonts w:eastAsia="IRNazanin" w:cs="IRNazanin"/>
          <w:color w:val="111111"/>
          <w:sz w:val="28"/>
          <w:szCs w:val="28"/>
          <w:rtl w:val="true"/>
          <w:lang w:bidi="fa-IR"/>
        </w:rPr>
        <w:t>.</w:t>
      </w:r>
      <w:bookmarkStart w:id="130" w:name="pg2631_17642"/>
    </w:p>
    <w:p>
      <w:pPr>
        <w:pStyle w:val="Heading2"/>
        <w:numPr>
          <w:ilvl w:val="1"/>
          <w:numId w:val="1"/>
        </w:numPr>
        <w:rPr/>
      </w:pPr>
      <w:bookmarkStart w:id="131" w:name="__RefHeading___Toc561324_1395250215"/>
      <w:bookmarkStart w:id="132" w:name="_Toc52"/>
      <w:bookmarkEnd w:id="130"/>
      <w:bookmarkEnd w:id="131"/>
      <w:r>
        <w:rPr>
          <w:rtl w:val="true"/>
        </w:rPr>
        <w:t>گستره علم امام در اندیشه علمای شیعه</w:t>
      </w:r>
      <w:bookmarkEnd w:id="132"/>
    </w:p>
    <w:p>
      <w:pPr>
        <w:pStyle w:val="Heading3"/>
        <w:numPr>
          <w:ilvl w:val="2"/>
          <w:numId w:val="1"/>
        </w:numPr>
        <w:rPr/>
      </w:pPr>
      <w:bookmarkStart w:id="133" w:name="__RefHeading___Toc561326_1395250215"/>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محمدرضا بهدار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1392/06/02</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1392/11/30</w:t>
      </w:r>
    </w:p>
    <w:p>
      <w:pPr>
        <w:pStyle w:val="Heading3"/>
        <w:numPr>
          <w:ilvl w:val="2"/>
          <w:numId w:val="1"/>
        </w:numPr>
        <w:rPr/>
      </w:pPr>
      <w:bookmarkStart w:id="135" w:name="__RefHeading___Toc561328_1395250215"/>
      <w:bookmarkStart w:id="136" w:name="_Toc54"/>
      <w:bookmarkEnd w:id="135"/>
      <w:r>
        <w:rPr>
          <w:rtl w:val="true"/>
        </w:rPr>
        <w:t>چکیده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همواره اذهان علما و متفکران شیعی و حتی بسیاری از پیروان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سبب ایجاد پرسش هایی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متعددی که در این زمینه مطرح است، این نوشتار تنها از یک منظر به این مسئله می پردازد که آن، علم امام از منظر علمای شیعه است؛ به این که شعاع این علم چه مقدار است و تا کجا امتداد و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وحدت نظر اندیشمندان شیعی در برخی حوزه های بحث علم امام، در بعضی موارد از جمله پرسش مزبور، پاسخ های واحدی دریافت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همۀ نظریه ها را می توان در سه دیدگاه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تردید و سکوت؛ رویکرد محدودیت علم امام؛ رویکرد احاطۀ علمیِ کامل امام به همه چیز</w:t>
      </w:r>
      <w:r>
        <w:rPr>
          <w:rFonts w:eastAsia="IRNazanin" w:cs="IRNazanin"/>
          <w:color w:val="111111"/>
          <w:sz w:val="28"/>
          <w:szCs w:val="28"/>
          <w:rtl w:val="true"/>
          <w:lang w:bidi="fa-IR"/>
        </w:rPr>
        <w:t>.</w:t>
      </w:r>
    </w:p>
    <w:p>
      <w:pPr>
        <w:pStyle w:val="Heading3"/>
        <w:numPr>
          <w:ilvl w:val="2"/>
          <w:numId w:val="1"/>
        </w:numPr>
        <w:rPr/>
      </w:pPr>
      <w:bookmarkStart w:id="137" w:name="__RefHeading___Toc561330_1395250215"/>
      <w:bookmarkStart w:id="138" w:name="_Toc55"/>
      <w:bookmarkEnd w:id="137"/>
      <w:r>
        <w:rPr>
          <w:rtl w:val="true"/>
        </w:rPr>
        <w:t>واژگان کلیدی</w:t>
      </w:r>
      <w:bookmarkEnd w:id="1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علم، علم غیب، علمای شیعه</w:t>
      </w:r>
      <w:r>
        <w:rPr>
          <w:rFonts w:eastAsia="IRNazanin" w:cs="IRNazanin"/>
          <w:color w:val="111111"/>
          <w:sz w:val="28"/>
          <w:szCs w:val="28"/>
          <w:rtl w:val="true"/>
          <w:lang w:bidi="fa-IR"/>
        </w:rPr>
        <w:t>.</w:t>
      </w:r>
      <w:bookmarkStart w:id="139" w:name="pg2631_17643"/>
    </w:p>
    <w:p>
      <w:pPr>
        <w:pStyle w:val="Heading3"/>
        <w:numPr>
          <w:ilvl w:val="2"/>
          <w:numId w:val="1"/>
        </w:numPr>
        <w:rPr/>
      </w:pPr>
      <w:bookmarkStart w:id="140" w:name="__RefHeading___Toc561332_1395250215"/>
      <w:bookmarkStart w:id="141" w:name="_Toc56"/>
      <w:bookmarkEnd w:id="139"/>
      <w:bookmarkEnd w:id="140"/>
      <w:r>
        <w:rPr>
          <w:rtl w:val="true"/>
        </w:rPr>
        <w:t>تبیین مسئله</w:t>
      </w:r>
      <w:bookmarkEnd w:id="141"/>
    </w:p>
    <w:p>
      <w:pPr>
        <w:pStyle w:val="BookText"/>
        <w:rPr/>
      </w:pPr>
      <w:r>
        <w:rPr>
          <w:rFonts w:ascii="IRNazanin" w:hAnsi="IRNazanin" w:eastAsia="IRNazanin"/>
          <w:color w:val="111111"/>
          <w:sz w:val="28"/>
          <w:sz w:val="28"/>
          <w:szCs w:val="28"/>
          <w:rtl w:val="true"/>
          <w:lang w:bidi="fa-IR"/>
        </w:rPr>
        <w:t>در باب این که علما و متفکران شیعی، اعم از محدثان، مفسران، فقها، متکلمان و فلاسفه همگی بر این نظر متفقند که از شرایط لزوم امامت، اعلم بودن امام در احکام شرع و مسائل دینی است،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برخی از اندیشوران اهل سنت نیز آن را 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که محدوده و گسترة این علم امام تا کجاست و چگونه است؟ و آیا بیش از علمِ به احکام، مسائل و معارف دینی، نیز از شرایط لزوم منصب امامت است؟ آیا امام به تمام امور مربوط به انسان و جهان، عالم است؟ اصلاً آیا آن ها علم غیب دارند و از گذشته، حال و آیندۀ همۀ انسان ها و حوادث جهان و امور غیبی مطلعند؟ آیا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 اسرار انسان ها باخبرند؟ آیا علم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و فعلی است و در همه حال، از این آگاهی برخوردارند؟ یا حصولی و ارادی است و منوط به اراده و خواست آن هاست؟ این پرسش‌ها و امثال آن همواره پیش و روی اندیشمندان و محققان شیعی در رشته های گوناگون فقهی، تفسیری، کلامی، فلسفی و عرفانی بوده و دربارۀ آن به بحث و تبادل نظر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بررسی و تحلیل اجمالیِ مهم ترین دیدگاه ها و استدلال های آن ها در این زمینه خواهیم پرداخت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 دو دسته از آیات قرآن مبنی بر این که علم غیب در انحصار خداوند است و از دیگران نفی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طرح آیاتی که اطلاع از غیب را به غیر خدا با اذن خداوندی امکان پذیر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طرح روایات متعددی که به ظاهر متناظر می رسند، به گونه ای که در دسته ای از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را از خود نفی می کنند و از سوی دیگر، دستۀ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به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آگاهی گستردۀ امام از همه چیز و همه کس در همۀ احوال و زمان ها، حتی اطلاع از زمان و مکان و کیفیت شهادت خویش تصریح دارد، همه و همه پرسش ها و شبهات متعددی را در اذهان اندیشمندان و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مردم عادی در صدر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نیز با توجه به شرایط و مقتضیات زمانۀ خویش و به فراخور حال مخاطبان، پاسخ هایی را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طرح و بحث و مجادله های علمی، از آن زمان تا کنون بین علما در اکثر حوزه های علوم دینی،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نزد اندیشمندان شیعی در اواخر قرن چهارم به بعد شدت بیشتری به خود گرفت، چنان که در اغلب آثار بزرگانی چون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bookmarkStart w:id="142" w:name="pg2631_17644"/>
    </w:p>
    <w:p>
      <w:pPr>
        <w:pStyle w:val="BookText"/>
        <w:rPr/>
      </w:pPr>
      <w:bookmarkEnd w:id="142"/>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این مناقشه ها اشاره شده است</w:t>
      </w:r>
      <w:r>
        <w:rPr>
          <w:rFonts w:eastAsia="IRNazanin" w:cs="IRNazanin"/>
          <w:color w:val="111111"/>
          <w:sz w:val="28"/>
          <w:szCs w:val="28"/>
          <w:rtl w:val="true"/>
          <w:lang w:bidi="fa-IR"/>
        </w:rPr>
        <w:t>.</w:t>
      </w:r>
    </w:p>
    <w:p>
      <w:pPr>
        <w:pStyle w:val="Heading3"/>
        <w:numPr>
          <w:ilvl w:val="2"/>
          <w:numId w:val="1"/>
        </w:numPr>
        <w:rPr/>
      </w:pPr>
      <w:bookmarkStart w:id="143" w:name="__RefHeading___Toc561334_1395250215"/>
      <w:bookmarkStart w:id="144" w:name="_Toc57"/>
      <w:bookmarkEnd w:id="143"/>
      <w:r>
        <w:rPr>
          <w:rtl w:val="true"/>
        </w:rPr>
        <w:t>مشرب های گوناگون علما دربارۀ قلمرو علم امام</w:t>
      </w:r>
      <w:bookmarkEnd w:id="144"/>
    </w:p>
    <w:p>
      <w:pPr>
        <w:pStyle w:val="Heading4"/>
        <w:numPr>
          <w:ilvl w:val="3"/>
          <w:numId w:val="1"/>
        </w:numPr>
        <w:rPr/>
      </w:pPr>
      <w:bookmarkStart w:id="145" w:name="__RefHeading___Toc561336_1395250215"/>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رابطه با محدوده و گسترۀ علم امام و تبیین کیفیت و چگونگی علم غیب امام، تقسیمات متفاوتی را می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همۀ اقوال علمای شیعه را در سه دیدگاه عمده جمع کرده ایم که عبارتند از</w:t>
      </w:r>
      <w:r>
        <w:rPr>
          <w:rFonts w:eastAsia="IRNazanin" w:cs="IRNazanin"/>
          <w:color w:val="111111"/>
          <w:sz w:val="28"/>
          <w:szCs w:val="28"/>
          <w:rtl w:val="true"/>
          <w:lang w:bidi="fa-IR"/>
        </w:rPr>
        <w:t>:</w:t>
      </w:r>
    </w:p>
    <w:p>
      <w:pPr>
        <w:pStyle w:val="Heading4"/>
        <w:numPr>
          <w:ilvl w:val="3"/>
          <w:numId w:val="1"/>
        </w:numPr>
        <w:rPr/>
      </w:pPr>
      <w:bookmarkStart w:id="147" w:name="__RefHeading___Toc561338_1395250215"/>
      <w:bookmarkStart w:id="148" w:name="_Toc59"/>
      <w:bookmarkEnd w:id="147"/>
      <w:r>
        <w:rPr>
          <w:rtl w:val="true"/>
        </w:rPr>
        <w:t>الف</w:t>
      </w:r>
      <w:r>
        <w:rPr>
          <w:rtl w:val="true"/>
        </w:rPr>
        <w:t xml:space="preserve">) </w:t>
      </w:r>
      <w:r>
        <w:rPr>
          <w:rtl w:val="true"/>
        </w:rPr>
        <w:t>تردید و سکوت در حدود علم امام</w:t>
      </w:r>
      <w:bookmarkEnd w:id="148"/>
    </w:p>
    <w:p>
      <w:pPr>
        <w:pStyle w:val="Heading5"/>
        <w:numPr>
          <w:ilvl w:val="4"/>
          <w:numId w:val="1"/>
        </w:numPr>
        <w:rPr/>
      </w:pPr>
      <w:bookmarkStart w:id="149" w:name="__RefHeading___Toc561340_1395250215"/>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برخی بزرگان معتقدند، در باب نوع، کمیت و کیفیت علم امام، به نتیجة روشن و صریحی نمی‌توان دست یافت و ادلۀ عقلی و نقلی هیچ کدام قضاوت صریح و مفید یقین در این باره به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اعتقاد تفصیلی به حدود و خصوصیات علم امام لازم نیست؛ بنابراین، باید به اعتقاد اجمالی بسنده کرد و بهتر است حقیقت امر را به خود امام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دلیل نقلی نیز نمی تواند ما را از این بن بست خارج کند، زیرا روایاتی که در این باره به دست ما رسیده‌اند، مورد اطمینان نیستند و مضامین گوناگونی دارند؛ از این رو، نمی‌توان نظر قاطع و صریحی ارائه کرد، چراکه بعضی روایات دلالت دارند بر این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و مایکون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 علم پیامبرانند و کانون و معدن علمند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بعضی دیگر از روایات دلالت می‌کنند بر این که آنان علم غیب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نیز کلینی،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یکی از بزرگانی است که چنین اعتقادی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تأیید این نظریه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مسئلۀ اندازۀ دانسته‌های امام، از جهت فراگیر بودن و فراگیر نبودن و نیز چگونگی علم او به آن ها، از جهت متوقف بودن آن ها بر خواست امام، یا توقف بر توجه آن ها به خود شیء و یا عدم توقف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گوناگون، چیزی که مورد اطمینان باشد به دست نمی‌آید؛ پس سزاوارتر آن است که علم آن را به خود ایشان واگذار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الله محقق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حاشیة خود بر کفایة الاصول روایات وارد شده در این باب را مفید قطع نمی داند، زیرا دلالتشان صریح و قطعی نیست؛ از سوی دیگر، ظن و گمان در اصول</w:t>
      </w:r>
      <w:bookmarkStart w:id="151" w:name="pg2631_17645"/>
    </w:p>
    <w:p>
      <w:pPr>
        <w:pStyle w:val="BookText"/>
        <w:rPr/>
      </w:pPr>
      <w:bookmarkEnd w:id="151"/>
      <w:r>
        <w:rPr>
          <w:rFonts w:ascii="IRNazanin" w:hAnsi="IRNazanin" w:eastAsia="IRNazanin"/>
          <w:color w:val="111111"/>
          <w:sz w:val="28"/>
          <w:sz w:val="28"/>
          <w:szCs w:val="28"/>
          <w:rtl w:val="true"/>
          <w:lang w:bidi="fa-IR"/>
        </w:rPr>
        <w:t>دین حجیت ندارد و انسان در عقیدۀ خویش باید از یقین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5"/>
        <w:numPr>
          <w:ilvl w:val="4"/>
          <w:numId w:val="1"/>
        </w:numPr>
        <w:rPr/>
      </w:pPr>
      <w:bookmarkStart w:id="152" w:name="__RefHeading___Toc561342_1395250215"/>
      <w:bookmarkStart w:id="153" w:name="_Toc61"/>
      <w:bookmarkEnd w:id="152"/>
      <w:r>
        <w:rPr>
          <w:rtl w:val="true"/>
        </w:rPr>
        <w:t>تحلیل و بررسی این رویکرد</w:t>
      </w:r>
      <w:bookmarkEnd w:id="153"/>
    </w:p>
    <w:p>
      <w:pPr>
        <w:pStyle w:val="BookText"/>
        <w:rPr/>
      </w:pPr>
      <w:r>
        <w:rPr>
          <w:rFonts w:ascii="IRNazanin" w:hAnsi="IRNazanin" w:eastAsia="IRNazanin"/>
          <w:color w:val="111111"/>
          <w:sz w:val="28"/>
          <w:sz w:val="28"/>
          <w:szCs w:val="28"/>
          <w:rtl w:val="true"/>
          <w:lang w:bidi="fa-IR"/>
        </w:rPr>
        <w:t>درست است که در کتاب های روایی، احادیث گوناگون و متناظری مشاهده می‌شود، اما این ها همگی قابل جمع و توجیهند، به گونه ای که می توان احتمالات فراوانی دربارۀ آن ها تصور کرد؛ مثلاً روایات نافیِ علم غیب، به جهت تقیه یا جلوگیری از غلو دوستان نادان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بهترین توجیهات در جمع بندی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جز خداوند متعال، غیب را بالذات و از پیش خود و مستقلاً نمی‌داند، ولی ممکن است آن را به پیغمبر برگزیدة خود،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متعدد،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بالوراثه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علم غیب امام بالوراثه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وحی و تعلیم خداوند متعال، و علم خداوند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جعفری،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توجه است، این دسته از علما که تعداد قابل توجهی نیستند، ضمن پذیرش اصل اشتراط اعلم بودن امام اولاً، به سبب فراوانی روایات در این باب که گاهی با یکدیگر و یا با برخی آیات، به ظاهر تزاحم دارند، مواجه شده اند؛ ثانیاً، گزارش های نقل شده از زندگی عادی و روز مرة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بهره نجستن از علم غیب خود در پیش بُرد امور و کارهای خویش، این بزرگان را دچار حیرت و سرگردانی کرده؛ از این رو، راه احتیاط را در پیش گرفته و حدّ و حدود و کمیّت و کیفیت این علم امامان را به خود آن ها واگذار کرده اند</w:t>
      </w:r>
      <w:r>
        <w:rPr>
          <w:rFonts w:eastAsia="IRNazanin" w:cs="IRNazanin"/>
          <w:color w:val="111111"/>
          <w:sz w:val="28"/>
          <w:szCs w:val="28"/>
          <w:rtl w:val="true"/>
          <w:lang w:bidi="fa-IR"/>
        </w:rPr>
        <w:t>.</w:t>
      </w:r>
    </w:p>
    <w:p>
      <w:pPr>
        <w:pStyle w:val="Heading4"/>
        <w:numPr>
          <w:ilvl w:val="3"/>
          <w:numId w:val="1"/>
        </w:numPr>
        <w:rPr/>
      </w:pPr>
      <w:bookmarkStart w:id="154" w:name="__RefHeading___Toc561344_1395250215"/>
      <w:bookmarkStart w:id="155" w:name="_Toc62"/>
      <w:bookmarkEnd w:id="154"/>
      <w:r>
        <w:rPr>
          <w:rtl w:val="true"/>
        </w:rPr>
        <w:t>ب</w:t>
      </w:r>
      <w:r>
        <w:rPr>
          <w:rtl w:val="true"/>
        </w:rPr>
        <w:t xml:space="preserve">) </w:t>
      </w:r>
      <w:r>
        <w:rPr>
          <w:rtl w:val="true"/>
        </w:rPr>
        <w:t>محدود بودن قلمرو علم امام</w:t>
      </w:r>
      <w:bookmarkEnd w:id="155"/>
    </w:p>
    <w:p>
      <w:pPr>
        <w:pStyle w:val="Heading5"/>
        <w:numPr>
          <w:ilvl w:val="4"/>
          <w:numId w:val="1"/>
        </w:numPr>
        <w:rPr/>
      </w:pPr>
      <w:bookmarkStart w:id="156" w:name="__RefHeading___Toc561346_1395250215"/>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برخی از علمای امامیه، آگاهی امام از غیب را نه تنها شرط برای امامت نمی‌دانند، بلکه آن را محدود به بعضی از موضوعات خارجی و رویدادها و حوادث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این دسته متفاوت است که در ادامه به برخی از این نظریات اشاره می‌شود</w:t>
      </w:r>
      <w:r>
        <w:rPr>
          <w:rFonts w:eastAsia="IRNazanin" w:cs="IRNazanin"/>
          <w:color w:val="111111"/>
          <w:sz w:val="28"/>
          <w:szCs w:val="28"/>
          <w:rtl w:val="true"/>
          <w:lang w:bidi="fa-IR"/>
        </w:rPr>
        <w:t>.</w:t>
      </w:r>
    </w:p>
    <w:p>
      <w:pPr>
        <w:pStyle w:val="Heading5"/>
        <w:numPr>
          <w:ilvl w:val="4"/>
          <w:numId w:val="1"/>
        </w:numPr>
        <w:rPr/>
      </w:pPr>
      <w:bookmarkStart w:id="158" w:name="__RefHeading___Toc561348_1395250215"/>
      <w:bookmarkStart w:id="159" w:name="_Toc64"/>
      <w:bookmarkEnd w:id="158"/>
      <w:r>
        <w:rPr>
          <w:rtl w:val="true"/>
        </w:rPr>
        <w:t>شیخ مفید</w:t>
      </w:r>
      <w:bookmarkEnd w:id="159"/>
    </w:p>
    <w:p>
      <w:pPr>
        <w:pStyle w:val="BookText"/>
        <w:rPr/>
      </w:pPr>
      <w:r>
        <w:rPr>
          <w:rFonts w:ascii="IRNazanin" w:hAnsi="IRNazanin" w:eastAsia="IRNazanin"/>
          <w:color w:val="111111"/>
          <w:sz w:val="28"/>
          <w:sz w:val="28"/>
          <w:szCs w:val="28"/>
          <w:rtl w:val="true"/>
          <w:lang w:bidi="fa-IR"/>
        </w:rPr>
        <w:t>به نظر می‌رسد، شیخ از طرف داران این نظریه است، چرا که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ضمایر بعضی از بندگان آگاه بودند و از هرچه باید بشود، پیش از شدن آن خبر داشتند؛ ولی این صفت واجبی در آنان، یا شرطی لازم برای امامت</w:t>
      </w:r>
      <w:bookmarkStart w:id="160" w:name="pg2631_17646"/>
    </w:p>
    <w:p>
      <w:pPr>
        <w:pStyle w:val="BookText"/>
        <w:rPr/>
      </w:pPr>
      <w:bookmarkEnd w:id="160"/>
      <w:r>
        <w:rPr>
          <w:rFonts w:ascii="IRNazanin" w:hAnsi="IRNazanin" w:eastAsia="IRNazanin"/>
          <w:color w:val="111111"/>
          <w:sz w:val="28"/>
          <w:sz w:val="28"/>
          <w:szCs w:val="28"/>
          <w:rtl w:val="true"/>
          <w:lang w:bidi="fa-IR"/>
        </w:rPr>
        <w:t>نیست، بلکه تنها بدان جهت چنین می‌شود که خدا در حقّ ایشان اکرام می‌کند و این دانش را بدان جهت به آنان ارزانی می‌دارد که دیگران بهتر فرمان ایشان ببرند و به امامت آنان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طریق استدلال عقلی واجب نیست، بلکه برای آنان از جهت وحی و سمع واجب شده است، و اما به صورت مطلق گفتن که امامان از غیب آگاهند، خطایی آشکار است، چه این صفت تنها مخصوص کسی است که به خود از چیزها باخبر است، نه به علم مستفاد، و این جز مخصوص خدای عزوجل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ابتدا عالم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ضمایر بعضی افراد نسبت داده، سپس با این که اصل عالم به غیب بودن امام را پذیرفته است، اما هیچ‌گاه این کلمه را برای امامان به کار نبرد؛ حتی بر این مطلب تصریح دارد که نمی‌توان معتقد شد، امام مطلقاً و به صورت مستقل عالم به غیب است، چرا که علم به غیب، ذاتاً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شیخ مفید در تألیفاتش،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 مسائل العکبریه و الارشاد، سخن و عبارتی که بر علم غیب داشتن امامان دلالت کند، مطرح نکرده‌اند؛ نهایت چیزی که آورده‌اند، مطالبی از قبیل داشتن اخبار غیبی و اطلاع از ضمایر برخی مردم و آگاهی از برخی پیش 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گرچه برخی متفکران، به خصوص معاصران این موارد را از مصادیق علم غیب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دلیلی که در صفحات بعد به آن اشاره می‌کنیم، ظاهراً اصرار داشته‌اند که از این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هم چنین معتقد است، این گونه نیست که امام همیشه و همواره به همۀ حوادث و پیش آمدها علم داشته باشد؛ برای نمونه، وی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مکان شهادت خویش علم داشته است؟ و اگر داشته، چگونه رفتن به مسجد و کربلا توجیه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شیعه تنها بر علم امام بر احکام شرع منعقد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5"/>
        <w:numPr>
          <w:ilvl w:val="4"/>
          <w:numId w:val="1"/>
        </w:numPr>
        <w:rPr/>
      </w:pPr>
      <w:bookmarkStart w:id="161" w:name="__RefHeading___Toc561350_1395250215"/>
      <w:bookmarkStart w:id="162" w:name="_Toc65"/>
      <w:bookmarkEnd w:id="161"/>
      <w:r>
        <w:rPr>
          <w:rtl w:val="true"/>
        </w:rPr>
        <w:t>سید مرتضی</w:t>
      </w:r>
      <w:bookmarkEnd w:id="162"/>
    </w:p>
    <w:p>
      <w:pPr>
        <w:pStyle w:val="BookText"/>
        <w:rPr/>
      </w:pPr>
      <w:r>
        <w:rPr>
          <w:rFonts w:ascii="IRNazanin" w:hAnsi="IRNazanin" w:eastAsia="IRNazanin"/>
          <w:color w:val="111111"/>
          <w:sz w:val="28"/>
          <w:sz w:val="28"/>
          <w:szCs w:val="28"/>
          <w:rtl w:val="true"/>
          <w:lang w:bidi="fa-IR"/>
        </w:rPr>
        <w:t>سید مرتضی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دربارۀ علم غیبِ امام، موضع خاص صریحی اخذ نکرده است، چراکه از سویی، دربارۀ علم انبیا و امامان به صنایع و مسئلۀ نوشتن، سخنی دارند که می توان از آن استفاده کرد که ایشان شاید طرف دار محدودیت علم امام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سویی</w:t>
      </w:r>
      <w:bookmarkStart w:id="163" w:name="pg2631_17647"/>
    </w:p>
    <w:p>
      <w:pPr>
        <w:pStyle w:val="BookText"/>
        <w:rPr/>
      </w:pPr>
      <w:bookmarkEnd w:id="163"/>
      <w:r>
        <w:rPr>
          <w:rFonts w:ascii="IRNazanin" w:hAnsi="IRNazanin" w:eastAsia="IRNazanin"/>
          <w:color w:val="111111"/>
          <w:sz w:val="28"/>
          <w:sz w:val="28"/>
          <w:szCs w:val="28"/>
          <w:rtl w:val="true"/>
          <w:lang w:bidi="fa-IR"/>
        </w:rPr>
        <w:t>دیگر، ایشان با این که به انکار احاطۀ علمی و فعلیِ امام به همة معلومات با تمام جزئیات و تفاصیل آن، معترف است، اما با وجود این معتقد است، امام می تواند به کلیات احکام علم فعلی داشته باشد، چراکه این ملکه را در نفسش دارد که هر گاه بخواهد، می تواند احکام جزئی را از قوانین کلی آن اخذ و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ادعای خویش دلیل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احکام و مسائل جزئی در تمام ابواب فقهی غیر متناهی است، محال و ممتنع است که علم آدمی به تفصیل و دفعتاً به آن ها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از علما همچون سید مرتضی و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امام به احکام شرعی و امور مربوط به دین علم دارد، اما علم فعلیِ وی تنها به کلیات احکام و معارف است و نمی تواند به تفصیل، به تمامی جزئیات امور و احکام بالفعل آگاهی کامل داشته باشد؛ از این رو به نظر می رسد، می توان این بزرگواران را در ردیف علمای قائل به محدودیت علم امام جای داد؛ مگر این که قائل شویم، هر کس که منکر علم فعلیِ امام به جزئیاتِ معلومات است، لزوماً به معنای منکر عمومیت علم امام نیست</w:t>
      </w:r>
      <w:r>
        <w:rPr>
          <w:rFonts w:eastAsia="IRNazanin" w:cs="IRNazanin"/>
          <w:color w:val="111111"/>
          <w:sz w:val="28"/>
          <w:szCs w:val="28"/>
          <w:rtl w:val="true"/>
          <w:lang w:bidi="fa-IR"/>
        </w:rPr>
        <w:t>.</w:t>
      </w:r>
    </w:p>
    <w:p>
      <w:pPr>
        <w:pStyle w:val="Heading5"/>
        <w:numPr>
          <w:ilvl w:val="4"/>
          <w:numId w:val="1"/>
        </w:numPr>
        <w:rPr/>
      </w:pPr>
      <w:bookmarkStart w:id="164" w:name="__RefHeading___Toc561352_1395250215"/>
      <w:bookmarkStart w:id="165" w:name="_Toc66"/>
      <w:bookmarkEnd w:id="164"/>
      <w:r>
        <w:rPr>
          <w:rtl w:val="true"/>
        </w:rPr>
        <w:t>محمد شهر آشوب مازندرانی</w:t>
      </w:r>
      <w:bookmarkEnd w:id="165"/>
    </w:p>
    <w:p>
      <w:pPr>
        <w:pStyle w:val="BookText"/>
        <w:rPr/>
      </w:pPr>
      <w:r>
        <w:rPr>
          <w:rFonts w:ascii="IRNazanin" w:hAnsi="IRNazanin" w:eastAsia="IRNazanin"/>
          <w:color w:val="111111"/>
          <w:sz w:val="28"/>
          <w:sz w:val="28"/>
          <w:szCs w:val="28"/>
          <w:rtl w:val="true"/>
          <w:lang w:bidi="fa-IR"/>
        </w:rPr>
        <w:t>ایشان باور به آگاهی امام از تمام حوادث و امور غیبی را غلو در حق آنان می‌داند و عقلاً چنین عقیده‌ای را باطل شمرده،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 باید علوم دین و شریعت را بدانند، اما لازم نیست که غیب و حوادث گذشته و آینده را بدانند، زیرا چنین چیزی به مشارکت آنان با خداوند در همة معلومات منتهی می گردد، و دانسته‌های او نامحدود است؛ آنچه لازم است آن است که آنان برای خودشان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است که بعضی از امور نهانی و حوادث گذشته یا آینده را به واسطة تعلیم الهی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5"/>
        <w:numPr>
          <w:ilvl w:val="4"/>
          <w:numId w:val="1"/>
        </w:numPr>
        <w:rPr/>
      </w:pPr>
      <w:bookmarkStart w:id="166" w:name="__RefHeading___Toc561354_1395250215"/>
      <w:bookmarkStart w:id="167" w:name="_Toc67"/>
      <w:bookmarkEnd w:id="166"/>
      <w:r>
        <w:rPr>
          <w:rtl w:val="true"/>
        </w:rPr>
        <w:t>امین الاسلام طبرسی</w:t>
      </w:r>
      <w:bookmarkEnd w:id="167"/>
    </w:p>
    <w:p>
      <w:pPr>
        <w:pStyle w:val="BookText"/>
        <w:rPr/>
      </w:pPr>
      <w:r>
        <w:rPr>
          <w:rFonts w:ascii="IRNazanin" w:hAnsi="IRNazanin" w:eastAsia="IRNazanin"/>
          <w:color w:val="111111"/>
          <w:sz w:val="28"/>
          <w:sz w:val="28"/>
          <w:szCs w:val="28"/>
          <w:rtl w:val="true"/>
          <w:lang w:bidi="fa-IR"/>
        </w:rPr>
        <w:t>ایشان در موارد متعددی از تفسیر مجمع البیان این مطلب را متذکر می‌شود که اعتقاد به عالم به غیب بودن امامان، موجب خروج از دین است و هیچ یک از علمای امامیه چنین اعتقادی ندارد؛ لذا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الرسول فیقول ماذا اجبتم قالوا لا علم لنا انک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اعتقاد امامیه به این که امامان، آگاه به غیب هستند را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ستمی است از او به این</w:t>
      </w:r>
      <w:bookmarkStart w:id="168" w:name="pg2631_17648"/>
    </w:p>
    <w:p>
      <w:pPr>
        <w:pStyle w:val="BookText"/>
        <w:rPr/>
      </w:pPr>
      <w:bookmarkEnd w:id="168"/>
      <w:r>
        <w:rPr>
          <w:rFonts w:ascii="IRNazanin" w:hAnsi="IRNazanin" w:eastAsia="IRNazanin"/>
          <w:color w:val="111111"/>
          <w:sz w:val="28"/>
          <w:sz w:val="28"/>
          <w:szCs w:val="28"/>
          <w:rtl w:val="true"/>
          <w:lang w:bidi="fa-IR"/>
        </w:rPr>
        <w:t>طایفه، زیرا ما احدی از ایشان و بلکه احدی از مسلمانان را نمی‌شناسیم که یکی از مردم را متصف به علم غیب بداند و کسی که مخلوقی را بدین وصف موصوف کند، از دین جدا شده، و شیعۀ امامیه از این وصف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بین دانشمندان دیگری از امامیه، همچون ابوالفتح 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داشته اند</w:t>
      </w:r>
      <w:r>
        <w:rPr>
          <w:rFonts w:eastAsia="IRNazanin" w:cs="IRNazanin"/>
          <w:color w:val="111111"/>
          <w:sz w:val="28"/>
          <w:szCs w:val="28"/>
          <w:rtl w:val="true"/>
          <w:lang w:bidi="fa-IR"/>
        </w:rPr>
        <w:t>.</w:t>
      </w:r>
    </w:p>
    <w:p>
      <w:pPr>
        <w:pStyle w:val="Heading5"/>
        <w:numPr>
          <w:ilvl w:val="4"/>
          <w:numId w:val="1"/>
        </w:numPr>
        <w:rPr/>
      </w:pPr>
      <w:bookmarkStart w:id="169" w:name="__RefHeading___Toc561356_1395250215"/>
      <w:bookmarkStart w:id="170" w:name="_Toc68"/>
      <w:bookmarkEnd w:id="169"/>
      <w:r>
        <w:rPr>
          <w:rtl w:val="true"/>
        </w:rPr>
        <w:t>سید علی قزوینی</w:t>
      </w:r>
      <w:bookmarkEnd w:id="170"/>
    </w:p>
    <w:p>
      <w:pPr>
        <w:pStyle w:val="BookText"/>
        <w:rPr/>
      </w:pPr>
      <w:r>
        <w:rPr>
          <w:rFonts w:ascii="IRNazanin" w:hAnsi="IRNazanin" w:eastAsia="IRNazanin"/>
          <w:color w:val="111111"/>
          <w:sz w:val="28"/>
          <w:sz w:val="28"/>
          <w:szCs w:val="28"/>
          <w:rtl w:val="true"/>
          <w:lang w:bidi="fa-IR"/>
        </w:rPr>
        <w:t>ایشان که از معاصران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علم به پاره‌ای از موضوعات جزئی و حوادث خاص به نحو قضیة مهمله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ترسی به دل راه داد به این که امکان دارد امام برخی رویداد‌های خاصی را که مورد ابتلای سؤال کنندگان بوده و خداوند از راه های غیرعادی آن را برای او روشن نکرده است،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5"/>
        <w:numPr>
          <w:ilvl w:val="4"/>
          <w:numId w:val="1"/>
        </w:numPr>
        <w:rPr/>
      </w:pPr>
      <w:bookmarkStart w:id="171" w:name="__RefHeading___Toc561358_1395250215"/>
      <w:bookmarkStart w:id="172" w:name="_Toc69"/>
      <w:bookmarkEnd w:id="171"/>
      <w:r>
        <w:rPr>
          <w:rtl w:val="true"/>
        </w:rPr>
        <w:t>تحلیل و بررسی این رویکرد</w:t>
      </w:r>
      <w:bookmarkEnd w:id="172"/>
    </w:p>
    <w:p>
      <w:pPr>
        <w:pStyle w:val="BookText"/>
        <w:rPr/>
      </w:pPr>
      <w:r>
        <w:rPr>
          <w:rFonts w:ascii="IRNazanin" w:hAnsi="IRNazanin" w:eastAsia="IRNazanin"/>
          <w:color w:val="111111"/>
          <w:sz w:val="28"/>
          <w:sz w:val="28"/>
          <w:szCs w:val="28"/>
          <w:rtl w:val="true"/>
          <w:lang w:bidi="fa-IR"/>
        </w:rPr>
        <w:t>تحلیل و بررسی این رویکرد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هر چیز نباید بین این که امام باید و لازم است احاطۀ علمیِ مطلق و فعلی به همه چیز و حقایق و مسائل غیبی داشته باشد، با این مطلب که امام این صفت و ویژگی را داراست، خلط کرد؛ بنابراین، اگر قائلان به محدودیت علم امام مرادشان از نفی احاطۀ علمیِ امام این است که شرط و واجب نیست، که امام چنین علمی داشته باشد، سخن آن ها منطقی و پذیرفته است، گرچه برخی با این عقیده مخالفند</w:t>
      </w:r>
      <w:r>
        <w:rPr>
          <w:rStyle w:val="FootnoteAnchor"/>
          <w:rtl w:val="true"/>
        </w:rPr>
        <w:footnoteReference w:id="9"/>
      </w:r>
      <w:r>
        <w:rPr>
          <w:rFonts w:ascii="IRNazanin" w:hAnsi="IRNazanin" w:eastAsia="IRNazanin"/>
          <w:color w:val="111111"/>
          <w:sz w:val="28"/>
          <w:sz w:val="28"/>
          <w:szCs w:val="28"/>
          <w:rtl w:val="true"/>
          <w:lang w:bidi="fa-IR"/>
        </w:rPr>
        <w:t>اما اگر مرادشان آن است که اصلاً امام چنین آگاهی و تسلطی ندارد و نمی‌تواند داشته باشد، چنین ادعایی با توجه به آیات و روایات فراوان و سخنان برخی بزرگان،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صاحب نظرانی که مخالف نظریۀ دوم هستند و معتقدند علم امام قابل تعمیم است، نگفته اند علم امام همچون علم خداوند است و هرچه خدا می داند، آن ها نیز به همان</w:t>
      </w:r>
    </w:p>
    <w:p>
      <w:pPr>
        <w:pStyle w:val="BookText"/>
        <w:rPr/>
      </w:pPr>
      <w:r>
        <w:rPr>
          <w:rFonts w:ascii="IRNazanin" w:hAnsi="IRNazanin" w:eastAsia="IRNazanin"/>
          <w:color w:val="111111"/>
          <w:sz w:val="28"/>
          <w:sz w:val="28"/>
          <w:szCs w:val="28"/>
          <w:rtl w:val="true"/>
          <w:lang w:bidi="fa-IR"/>
        </w:rPr>
        <w:t>کمیت و کیفیت آگاهی دارند، بلکه همگی تصریح دارند بر این که، از جهات گوناگون بین علم الهی با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علم خداوند، قدیم و پیش از معلومات است و عین ذات اوست و این علم ازلی، علت پدید آمدن تمامی معلومات و مخلوقات است، ولی علم امام در هیچ یک از این خصوصیات، شریک علم خداوند نیست، چرا که علم امام، حادث، عرضی و به تعلیم الهی است، و مغایر با ذات اوست؛ پس سزاوار نیست، کسی گمان کند که امام در این صفت شریک خداوند است، زیرا اوصاف این دو علم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شیروانی،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نجفی لاری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فراوانی بین علم باری تعالی و علم فعلیِ امام هست؛ از جمله از جهت قدم و حدوث و سبق و عدم و علیت و معلولیت و عینیت با ذات و عدم آن و غیر آن که دیگر مجالی برای توهم اتحاد بین دو علم و لزوم شرک باقی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شایان ذکر در این رابطه آن است، با این که تمامی علمای شیعه اصل علم غیب امام را فی الجمله ـ و نه بالجمله ـ از ویژگی ها ی امام دانسته اند، اما مشاهده می شود برخی از بزرگان در این باب موضعی سخت گرفته و به قائلان علم غیب امام،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چنین رویکردی به مسئله دارند، پس چرا این‌گونه تند موضع گرفته‌اند؟ به نظر می‌رسد، سرّ این مسئله در این نهفته است که باید از نظر تاریخی تحلیل کرد،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برخی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سبحانی،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روایات و نوشته‌های دانشمندان بزرگ دینی، به خصوص علمای متقدم،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علم غیب ذاتی بود و فقط برای ذات باری تعالی، استعمال می‌شد نه برای غیر او؛ 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برای خداوند سبحان به کار می رود و یا به کار بردن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اگر منظور، واجب الوجود بالذات و خالقیت و رازقیت ذاتی، حقیقی و مستقل باشد، این اوصاف تنها مختص خداست؛ اما آیا اگر مراد از واجب الوجود، واجب الوجودِ بالغیر و خالق و رازق بالعرض و بالتبع باشد، اشکالی دارد برای غیر خدا به کار برود؟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گونه موضع گیری به سبب آن است که علم غیب نزد ایشان، بر معنای خاصی دلالت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موجودی، ذاتاً بر همه چیز احاطة علمی</w:t>
      </w:r>
    </w:p>
    <w:p>
      <w:pPr>
        <w:pStyle w:val="BookText"/>
        <w:rPr/>
      </w:pPr>
      <w:r>
        <w:rPr>
          <w:rFonts w:ascii="IRNazanin" w:hAnsi="IRNazanin" w:eastAsia="IRNazanin"/>
          <w:color w:val="111111"/>
          <w:sz w:val="28"/>
          <w:sz w:val="28"/>
          <w:szCs w:val="28"/>
          <w:rtl w:val="true"/>
          <w:lang w:bidi="fa-IR"/>
        </w:rPr>
        <w:t>داشته باشد، که البته چنین چیزی به خداوند اختصاص دارد؛ لذا اگر انسانی با تعلیم الهی، از نهان و پنهان عالم آگاه شود، آن را علم غیب نمی‌نامند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بر این نظریه، برخی روایات و گفتار‌های دانشمندان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جنگ جمل،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خطبه‌ای خواند و در ضمن آن خطبه از برخی حوادث آینده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با تعجبی فراوان،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اعطیت یا امیر المؤمنین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علم غیب دارید؟ آن حضرت در پاسخ او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بعلم الغیب و انما هو التعلم من ذی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من از حوادث آینده خبر می‌دهم، علم غیب ذاتی و بدون تعلیم الهی نیست، بلکه به وسیلۀ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صراحت بر علم غیب خویش تصریح می‌کنند، اما خوف خود را از مسائلی چون غلو و مانند این ها این‌گونه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بخواهم می‌توانم از همۀ خصوصیات هر کدام از شما که از کجا و چگونه و به چه هدف آمده‌اید و چه تصمیم دارید و خصوصیات دیگر خبر دهم، اما می‌ترسم که با این گونه خبرها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شیعیان و مخاطبان سادۀ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نوعی به درک حقیقت علم غیب و تابع بودن علم غیب امامان بر علم غیب خداوند قادر نبودند، با مشاهدۀ کوچک‌ترین علم غیبِ ائمه، آنان را در مرتبۀ نبوت و چه بسا خدایی نشانده و از غلو سر در می‌آورند؛ بر این اساس، وقتی امامان احساس می‌کردند که در سائل یا مخاطب زمینۀ غلو وجود دارد، به سرعت به مقابله با آن بر‌خاسته و علم غیب را از خودشان نفی می کردند؛ برای مثال، سدیر از یاران نزدیک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من، ابوبصیر، یحیی بزّار و داودبن کثیر در مجلسی بودیم که حضرت با حالت غضبناک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اقوامی که گمان می‌کنند ما علم غیب می‌دانیم، در حالی که من قصد تنبیه کنیزم را داشتم و او فرار کرد و من نمی‌دانم در کدام یک از اتاق‌هاست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مجلس خارج و وارد منزل خود شد، من، ابوبصیر و میسّر وارد خانۀ ایشان شده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گم شدن کنیز خود این چنین سخن می گویید، در حالی که ما می‌دانیم شما دارای علم کثیرید؛ البته نسبتِ علم غیب به شما</w:t>
      </w:r>
      <w:bookmarkStart w:id="173" w:name="pg2631_17651"/>
    </w:p>
    <w:p>
      <w:pPr>
        <w:pStyle w:val="BookText"/>
        <w:rPr/>
      </w:pPr>
      <w:bookmarkEnd w:id="173"/>
      <w:r>
        <w:rPr>
          <w:rFonts w:ascii="IRNazanin" w:hAnsi="IRNazanin" w:eastAsia="IRNazanin"/>
          <w:color w:val="111111"/>
          <w:sz w:val="28"/>
          <w:sz w:val="28"/>
          <w:szCs w:val="28"/>
          <w:rtl w:val="true"/>
          <w:lang w:bidi="fa-IR"/>
        </w:rPr>
        <w:t>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با اشاره با آوردن تخت بلقیس توسط شخصی که ذره‌ای از علم کتاب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قطره‌ای از علم کتاب داشت، اما تمام علم کتاب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صالح مازندرانی ذیل این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علی أن علم الغیب علم غیرمستفاد کعلم اللّه تعالی و علم الامام لما کان مستفادا منه تعالی لایکون علما بالغیب حقیقة و قد یسمی أیضا علما بالغیب نظرا الی تعلقه بالامور الغائبة و به یجمع بین الاخبار التی دل بعضها علی أنهم عالمون بالغیب و دل بعضها علی أنهم غیر عالمین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تاریخی می‌توان به روشنی تحلیل کرد که حضرت در بیان موضع خود، حال عوام و خواص را ملاحظه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عبدالله بن حسن به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هی الا وراثة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خدا قسم آنچه ما می‌دانیم،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و از آن حضرت آموخته‌ایم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ابن میثم بحرانی در شرح نهج البلاغه تصریح می‌کند که منظور از علم غیبی که جز خدا نمی داند، علم غیبی است که بدون تعلیم و آموختن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تعلیم، به خدا اختصاص دارد و جز خدا هر کس آگاهی از غیب پیدا کند، به تعلیم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علم غیبی که آن را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کنیم، علمی است که بدون واسطه و اسباب باشد و ذاتی باشد نه مستفاد، و این فقط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174" w:name="__RefHeading___Toc561360_1395250215"/>
      <w:bookmarkStart w:id="175" w:name="_Toc70"/>
      <w:bookmarkEnd w:id="174"/>
      <w:r>
        <w:rPr>
          <w:rtl w:val="true"/>
        </w:rPr>
        <w:t>ج</w:t>
      </w:r>
      <w:r>
        <w:rPr>
          <w:rtl w:val="true"/>
        </w:rPr>
        <w:t xml:space="preserve">) </w:t>
      </w:r>
      <w:r>
        <w:rPr>
          <w:rtl w:val="true"/>
        </w:rPr>
        <w:t>تعمیم در قلمرو علم امام</w:t>
      </w:r>
      <w:bookmarkEnd w:id="175"/>
    </w:p>
    <w:p>
      <w:pPr>
        <w:pStyle w:val="Heading5"/>
        <w:numPr>
          <w:ilvl w:val="4"/>
          <w:numId w:val="1"/>
        </w:numPr>
        <w:rPr/>
      </w:pPr>
      <w:bookmarkStart w:id="176" w:name="__RefHeading___Toc561362_1395250215"/>
      <w:bookmarkStart w:id="177" w:name="_Toc7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در قلمرو علم امام</w:t>
      </w:r>
    </w:p>
    <w:p>
      <w:pPr>
        <w:pStyle w:val="BookText"/>
        <w:rPr/>
      </w:pPr>
      <w:r>
        <w:rPr>
          <w:rFonts w:ascii="IRNazanin" w:hAnsi="IRNazanin" w:eastAsia="IRNazanin"/>
          <w:color w:val="111111"/>
          <w:sz w:val="28"/>
          <w:sz w:val="28"/>
          <w:szCs w:val="28"/>
          <w:rtl w:val="true"/>
          <w:lang w:bidi="fa-IR"/>
        </w:rPr>
        <w:t>بسیاری از اندیشمندان و صاحب نظران امامیه، هم از جنبة کمیت و هم کیفیت، آگاهی امام را گسترده‌تر از آنچه تا کنون تبیین شد،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این دسته، امام معصوم از همۀ حوادث گذشته، حال و آینده اطلاع دارد و احاطۀ علمی او به حوادث و مسائل، اعم از امور دینی و غیر آن، بالاتر از آن است که در تصور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بیشترشان این امر را جزء شروط امام قلمداد نکرده‌اند، بلکه این صفت یکی از ویژگی‌های امامت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اندیشمندان و حکمای شیعی و به طور کلی، بیشتر بزرگانی که مشرب فلسفی یا عرفانی داشته‌اند، چنین رویکردی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آنان دربارة انسان کامل، که مصداق اتمّ آن</w:t>
      </w:r>
      <w:bookmarkStart w:id="178" w:name="pg2631_17652"/>
    </w:p>
    <w:p>
      <w:pPr>
        <w:pStyle w:val="BookText"/>
        <w:rPr/>
      </w:pPr>
      <w:bookmarkEnd w:id="178"/>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خوبی روشن گر مقام علمیِ والای ولیّ خدا و احاطة علمی او به رویداد‌های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نه تنها ولیّ خدا از همۀ حوادث آگاه است، بلکه با متن واقعیت ارتباط و نوعی اتحاد وجودی داشته، همۀ کائنات در پیشگاه آنان خاضع و خاشعند؛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الْمَلَئکَةُ کُلُّهُمْ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سجدة مدبرات امور عالم، حاکی از خضوع همة عالم در برابر آنان است، و قرآن کریم دلیل این برتری را آگاهیِ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179" w:name="__RefHeading___Toc561364_1395250215"/>
      <w:bookmarkStart w:id="180" w:name="_Toc72"/>
      <w:bookmarkEnd w:id="179"/>
      <w:r>
        <w:rPr>
          <w:rtl w:val="true"/>
        </w:rPr>
        <w:t>آخوند خراسانی</w:t>
      </w:r>
      <w:bookmarkEnd w:id="180"/>
    </w:p>
    <w:p>
      <w:pPr>
        <w:pStyle w:val="BookText"/>
        <w:rPr/>
      </w:pPr>
      <w:r>
        <w:rPr>
          <w:rFonts w:ascii="IRNazanin" w:hAnsi="IRNazanin" w:eastAsia="IRNazanin"/>
          <w:color w:val="111111"/>
          <w:sz w:val="28"/>
          <w:sz w:val="28"/>
          <w:szCs w:val="28"/>
          <w:rtl w:val="true"/>
          <w:lang w:bidi="fa-IR"/>
        </w:rPr>
        <w:t>بیان آخوند خرسانی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مشمول عنایت خداوند باشد و جان پاکش به عالم لوح محفوظ، که از بزرگ ترین عوالم ربوبی است و اصل کتاب می‌باشد، اتصال یابد، حقایق آن چنان که هست نزد او هویدا می‌گردد؛ همان‌گونه که چه بسا برای رسول گرامی اسلام و برخی از اوصیا اتفاق می‌افتد و بر همة موجودات آن چنان که بوده‌اند و خواهند شد، معرفت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5"/>
        <w:numPr>
          <w:ilvl w:val="4"/>
          <w:numId w:val="1"/>
        </w:numPr>
        <w:rPr/>
      </w:pPr>
      <w:bookmarkStart w:id="181" w:name="__RefHeading___Toc561366_1395250215"/>
      <w:bookmarkStart w:id="182" w:name="_Toc73"/>
      <w:bookmarkEnd w:id="181"/>
      <w:r>
        <w:rPr>
          <w:rtl w:val="true"/>
        </w:rPr>
        <w:t>شیخ محمد حسین اصفهانی</w:t>
      </w:r>
      <w:bookmarkEnd w:id="182"/>
    </w:p>
    <w:p>
      <w:pPr>
        <w:pStyle w:val="BookText"/>
        <w:rPr/>
      </w:pPr>
      <w:r>
        <w:rPr>
          <w:rFonts w:ascii="IRNazanin" w:hAnsi="IRNazanin" w:eastAsia="IRNazanin"/>
          <w:color w:val="111111"/>
          <w:sz w:val="28"/>
          <w:sz w:val="28"/>
          <w:szCs w:val="28"/>
          <w:rtl w:val="true"/>
          <w:lang w:bidi="fa-IR"/>
        </w:rPr>
        <w:t>ایشان مقام علمی امام را از آنچه آخوند گفتند، هم بالاتر می‌داند و در تعلیقة خود بر کلامِ نقل شده از صاحب کفایه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حال آن که او در سیر خود به سوی عوالم قدسی، با عالم عقل کلی اتصال می‌یابد و مقام او مقام عقل نخستین می‌شود که از عالم نفس کلی، که همان عالم لوح محفوظ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عبارت صاحب کفایه اشعار به آن دارد که آخرین درجۀ صعود رسول گرامی در حرکت استکمالی او عالم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Heading5"/>
        <w:numPr>
          <w:ilvl w:val="4"/>
          <w:numId w:val="1"/>
        </w:numPr>
        <w:rPr/>
      </w:pPr>
      <w:bookmarkStart w:id="183" w:name="__RefHeading___Toc561368_1395250215"/>
      <w:bookmarkStart w:id="184" w:name="_Toc74"/>
      <w:bookmarkEnd w:id="183"/>
      <w:r>
        <w:rPr>
          <w:rtl w:val="true"/>
        </w:rPr>
        <w:t>شیخ محمد حسین مظفر</w:t>
      </w:r>
      <w:bookmarkEnd w:id="184"/>
    </w:p>
    <w:p>
      <w:pPr>
        <w:pStyle w:val="BookText"/>
        <w:rPr/>
      </w:pPr>
      <w:r>
        <w:rPr>
          <w:rFonts w:ascii="IRNazanin" w:hAnsi="IRNazanin" w:eastAsia="IRNazanin"/>
          <w:color w:val="111111"/>
          <w:sz w:val="28"/>
          <w:sz w:val="28"/>
          <w:szCs w:val="28"/>
          <w:rtl w:val="true"/>
          <w:lang w:bidi="fa-IR"/>
        </w:rPr>
        <w:t>شیخ در کتابی مستقل با اقامۀ ادلۀ متعدد، قائل به احاطۀ علمیِ امام آن هم مطلق، فعلی و حضوری به همۀ امور است؛ چنان که در عبارتی آورده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آگاهی از موضوعات خارجی جزئی محض است، نه آگاهی از موضوعات احکام کلی، زیرا جهل امام به آن ها موجب کمبود در رتبۀ امامت و تنزّل از آن مقام است؛ افزون بر آن که، بیان آن ها از ویژگی های</w:t>
      </w:r>
      <w:bookmarkStart w:id="185" w:name="pg2631_17653"/>
    </w:p>
    <w:p>
      <w:pPr>
        <w:pStyle w:val="BookText"/>
        <w:rPr/>
      </w:pPr>
      <w:bookmarkEnd w:id="185"/>
      <w:r>
        <w:rPr>
          <w:rFonts w:ascii="IRNazanin" w:hAnsi="IRNazanin" w:eastAsia="IRNazanin"/>
          <w:color w:val="111111"/>
          <w:sz w:val="28"/>
          <w:sz w:val="28"/>
          <w:szCs w:val="28"/>
          <w:rtl w:val="true"/>
          <w:lang w:bidi="fa-IR"/>
        </w:rPr>
        <w:t>امام و وظایف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مراد از علم امام در این بحث اطلاع وی از احکام نیست، زیرا علم امام به آن ها باید حضوری باشد، چراکه روا نیست حکمی از او بپرسند و امام آن را نداند که در این صورت، حجت بر بندگان نبوده، بلکه امامتش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شامل اطلاع بر زمان رستاخیز و اجل ها و مرگ ها و دیگر اموری که به ظاهر به خداوند متعال اختصاص دارد، نیز می گردد؛ حتی مواردی که آیة ذیل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عِندَهُ 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روایات خاصی، با صراحت بیان می کنند که خداوند ائمۀ ما را بر اموری از این قبیل نیز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نیز شیروانی،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محمد رضا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نجفی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دیدگاهی دارند</w:t>
      </w:r>
      <w:r>
        <w:rPr>
          <w:rFonts w:eastAsia="IRNazanin" w:cs="IRNazanin"/>
          <w:color w:val="111111"/>
          <w:sz w:val="28"/>
          <w:szCs w:val="28"/>
          <w:rtl w:val="true"/>
          <w:lang w:bidi="fa-IR"/>
        </w:rPr>
        <w:t>.</w:t>
      </w:r>
    </w:p>
    <w:p>
      <w:pPr>
        <w:pStyle w:val="Heading5"/>
        <w:numPr>
          <w:ilvl w:val="4"/>
          <w:numId w:val="1"/>
        </w:numPr>
        <w:rPr/>
      </w:pPr>
      <w:bookmarkStart w:id="186" w:name="__RefHeading___Toc561370_1395250215"/>
      <w:bookmarkStart w:id="187" w:name="_Toc75"/>
      <w:bookmarkEnd w:id="186"/>
      <w:r>
        <w:rPr>
          <w:rtl w:val="true"/>
        </w:rPr>
        <w:t>امام خمینی رحمه الله علیه</w:t>
      </w:r>
      <w:bookmarkEnd w:id="187"/>
    </w:p>
    <w:p>
      <w:pPr>
        <w:pStyle w:val="BookText"/>
        <w:rPr/>
      </w:pPr>
      <w:r>
        <w:rPr>
          <w:rFonts w:ascii="IRNazanin" w:hAnsi="IRNazanin" w:eastAsia="IRNazanin"/>
          <w:color w:val="111111"/>
          <w:sz w:val="28"/>
          <w:sz w:val="28"/>
          <w:szCs w:val="28"/>
          <w:rtl w:val="true"/>
          <w:lang w:bidi="fa-IR"/>
        </w:rPr>
        <w:t>از دیدگاه ایشان خداوند متعال، انسان کامل و آدم نخستین را بر صورت جامع خویش آفرید و او را آیینۀ اسما و صفات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اسمای حق در نشئۀ انسانی ظاهر گشت و انسان به رتبۀ احاطه و جمع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جامع همۀ مراتب عقلی، مثالی و حسی بوده و عوالم غیب و شهود و آنچه در آن هاست در او منطوی است، چنانچه خداوند همۀ اسما را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با وحدت خود، واجد همۀ مراتب غیب و شهود بوده و با بساطتش جامع همۀ کتاب 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188" w:name="__RefHeading___Toc561372_1395250215"/>
      <w:bookmarkStart w:id="189" w:name="_Toc76"/>
      <w:bookmarkEnd w:id="188"/>
      <w:r>
        <w:rPr>
          <w:rtl w:val="true"/>
        </w:rPr>
        <w:t>علامه طباطبایی رحمه الله علیه</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علم امام به امور خارجی و رویدادها را بر دو قسم می‌داند و در بیان قسم اول آن معتقد است، امام در هر گونه شرایطی، به حقایق جهان هستی، به اذن خدا علم دارد؛ اعم از این که تحت حس باشند یا بیرون از دایرۀ حسّ؛ مانند موجودات آسمانی و حوادث گذشته و وقایع آینده؛ چرا که از راه عقل، براهینی است که به موجب آن ها امام به حسب مقام نورانیت خود، کامل‌ترین انسان عهد خود و مظهر تامّ اسما و صفات خدایی و بالفعل به همه چیز عالم و به هر واقعۀ شخصی آشناست و به حسب وجود عنصریِ خود به هر سوی توجه کند، برای وی حقایق روشن می‌شود </w:t>
      </w:r>
      <w:r>
        <w:rPr>
          <w:rFonts w:eastAsia="IRNazanin" w:cs="IRNazanin"/>
          <w:color w:val="111111"/>
          <w:sz w:val="28"/>
          <w:szCs w:val="28"/>
          <w:rtl w:val="true"/>
          <w:lang w:bidi="fa-IR"/>
        </w:rPr>
        <w:t>.</w:t>
      </w:r>
      <w:bookmarkStart w:id="190" w:name="pg2631_17654"/>
    </w:p>
    <w:p>
      <w:pPr>
        <w:pStyle w:val="BookText"/>
        <w:rPr/>
      </w:pPr>
      <w:bookmarkEnd w:id="190"/>
      <w:r>
        <w:rPr>
          <w:rFonts w:ascii="IRNazanin" w:hAnsi="IRNazanin" w:eastAsia="IRNazanin"/>
          <w:color w:val="111111"/>
          <w:sz w:val="28"/>
          <w:sz w:val="28"/>
          <w:szCs w:val="28"/>
          <w:rtl w:val="true"/>
          <w:lang w:bidi="fa-IR"/>
        </w:rPr>
        <w:t>علامه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موروثی بودن علوم آنان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شاؤوا ان یَعلموا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علم که به آنان داده شده، دو گونه است؛ بعضی از آن ها مثل بدیهیات ماست که از نظرشان غایب نمی‌شود و بعضی دیگر از آن محتاج به تأمل و توجه است، به گونه‌ای که هر گاه خواستند بدانند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شاؤوا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مانند ملکۀ اجتهادی است که شخص مجتهد و فقیه دارد، که در اوقات عادی به آن توجه ندارد، ولی همین که مسئله‌ای یا مسائلی از او پرسیده شد و به حالت نفسانی خود توجه کرد، می‌تواند جواب آن مسائل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هر وقت به مقام نورانیت خود توجه کند، مطلب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علم تفصیلی امام به زمان و مکان و چگونگی شهادت خویش معتقد است، با توجه به مقام قرب بالای امام، هرچه را بخواهد به اذن خدا می‌تواند بداند و از آن جمله است علم به تفصیل مرگ و شهادت خود با جمیع جزئیات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191" w:name="__RefHeading___Toc561374_1395250215"/>
      <w:bookmarkStart w:id="192" w:name="_Toc77"/>
      <w:bookmarkEnd w:id="191"/>
      <w:r>
        <w:rPr>
          <w:rtl w:val="true"/>
        </w:rPr>
        <w:t>آیت الله جوادی آملی</w:t>
      </w:r>
      <w:bookmarkEnd w:id="192"/>
    </w:p>
    <w:p>
      <w:pPr>
        <w:pStyle w:val="BookText"/>
        <w:rPr/>
      </w:pPr>
      <w:r>
        <w:rPr>
          <w:rFonts w:ascii="IRNazanin" w:hAnsi="IRNazanin" w:eastAsia="IRNazanin"/>
          <w:color w:val="111111"/>
          <w:sz w:val="28"/>
          <w:sz w:val="28"/>
          <w:szCs w:val="28"/>
          <w:rtl w:val="true"/>
          <w:lang w:bidi="fa-IR"/>
        </w:rPr>
        <w:t>ایشان در تحلیل احاطه و سیطرۀ علم امام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کون جامع و دارای همة نشئات وجودی هستند، در مرتبة نورانیت و ولایت کلیه، یعنی مرحلة تام، که حقیقت امامت آن هاست، به عنایت الهی مسلط بر همۀ عوالم هستی هستند و چیزی از احاطة علمی آنان مخفی نمی‌ماند؛ به بیان دیگر، تمام حوادث بزرگ و کوچک نظام هستی، حتی پلک زدن انسان‌ها، قیام و قعودشان، افتادگی برگی از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 آن هاست و چیزی به نام زمان گذشته، حال و آینده برای آنان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تفاوتشان با دیگران این است که دیگران به آن خزانة بی پایان راهی ندارند؛ لذا ممکن است دلشان بخواهد چیزی را بدانند ولی نتوانند، اما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کلیددار و خازن آن خزانة بی پایانند، هر چه را که بخواهند می‌توانند بدانند؛ از این رو،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اذا شاء ان یعلم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امامان، مظهر علم الهی اند؛ یعنی همان گونه که چیزی از حیطة علم بی پایان خدا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گسترة علم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همة موجودات نظام هستی را در برمی‌گیرد؛ اما در تفاوت این دو خاطرنشان کرده که</w:t>
      </w:r>
      <w:bookmarkStart w:id="193" w:name="pg2631_17655"/>
    </w:p>
    <w:p>
      <w:pPr>
        <w:pStyle w:val="BookText"/>
        <w:rPr/>
      </w:pPr>
      <w:bookmarkEnd w:id="193"/>
      <w:r>
        <w:rPr>
          <w:rFonts w:ascii="IRNazanin" w:hAnsi="IRNazanin" w:eastAsia="IRNazanin"/>
          <w:color w:val="111111"/>
          <w:sz w:val="28"/>
          <w:sz w:val="28"/>
          <w:szCs w:val="28"/>
          <w:rtl w:val="true"/>
          <w:lang w:bidi="fa-IR"/>
        </w:rPr>
        <w:t>علم الهی استقلالی بوده، اما علم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و عرضی است و به منبع لایزال علم الهی مرتبط است و اساساً اگر تعلیم الهی و اتصال به علم بی پایان او نباشد،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مساوی دیگران خواهند بود؛ لذا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بخواهد چیزی را بداند، خدا آن را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الامام ان یعلم شیئا اعلمه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علم امام به اراده و خواست او بستگی دارد و هر چه را بخواهد بداند، خواهد دانست، اما ارادة آنان تابع اراده و مشیت خداست و تا خدا اراده نکند، آنان نیز اراده نخواهند کرد، چراکه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قلوب ائمه را محل ارادة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چیزی را بخواهد، آن ها نیز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را نمی‌خواهید مگر آن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5"/>
        <w:numPr>
          <w:ilvl w:val="4"/>
          <w:numId w:val="1"/>
        </w:numPr>
        <w:rPr/>
      </w:pPr>
      <w:bookmarkStart w:id="194" w:name="__RefHeading___Toc561376_1395250215"/>
      <w:bookmarkStart w:id="195" w:name="_Toc78"/>
      <w:bookmarkEnd w:id="194"/>
      <w:r>
        <w:rPr>
          <w:rtl w:val="true"/>
        </w:rPr>
        <w:t>تحلیل و برسی رویکرد سوم</w:t>
      </w:r>
      <w:bookmarkEnd w:id="195"/>
    </w:p>
    <w:p>
      <w:pPr>
        <w:pStyle w:val="BookText"/>
        <w:rPr/>
      </w:pPr>
      <w:r>
        <w:rPr>
          <w:rFonts w:ascii="IRNazanin" w:hAnsi="IRNazanin" w:eastAsia="IRNazanin"/>
          <w:color w:val="111111"/>
          <w:sz w:val="28"/>
          <w:sz w:val="28"/>
          <w:szCs w:val="28"/>
          <w:rtl w:val="true"/>
          <w:lang w:bidi="fa-IR"/>
        </w:rPr>
        <w:t>تحلیل و بررسی رویکرد سوم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ملاحظه شد، برخی اندیشمندان بر این عقیده اند که احاطۀ علمیِ امام آن چنان گسترده است که حتی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الساعة، روز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 و این برخلاف نظر برخی دیگر از علمای قائل به تعمیم علم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لواسانی،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مظفر،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با توجه به برخی آیات و روایات، و هم چنین شواهدی که در زندگی پیشوایان دینی هست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گرچه امام به همه چیز و حقایق نهان و آشکار علم دارد، اما برخی امور بر او پوشیده می ماند و علم آن ها فقط مخصوص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باب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ذیل این آیه این حدیث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پنج شیء احدی از ملک مقرب و نبیّ مرسل اطلاعی ندارد، و این از صفات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علمی مخصوصِ خود دارد و کسی به غیر خودش آن را نمی داند و علم دیگری دارد که فرشتگان مقرب و انبیای مرسل آن را می دانند و هر آنچه انبیای مرسل می دانند، ما هم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نیز همچون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شیروانی،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نجفی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درست است علم به این مواردِ پنج گانه مخصوص خداست، اما به واسطۀ تعلیم، برخی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می توانند به آن موارد آگاهی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روایاتی را که این موارد را نفی می کنند، یا ضعیف دانسته اند، یا قابل توجیه؛ علاوه بر این، روایاتِ معارضِ فراوانی داریم؛ از جمله روایات بسیاری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این حضرات از آیندۀ حال خود و از زمان مرگشان و این که در چه سرزمینی از دنیا می‌روند خبر داده‌اند، و این روایات بسیار، روایت مزبور و نظایر آن را تقیید می کنند، و حاصل مجموع روایات این می‌شود، که علم این پنج امر مخصوص خداست و به کسی نداده، مگر آن کس که خود به وی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دسته از احادیث، روایاتی هست که قبول تقیید نمی کنند؛ مثلاً در آن ها آمده که حتی به تعلیم الهی نیز کسی در این پنج مسئله آگاه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روایات نباید اعتنا کرد، زیرا روایاتِ پیش گویی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فراوان است، که نمی توان به سبب یک روایت از همۀ آن ها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شد قائلان به رویکرد سوم، خود دو دسته اند؛ برخی معتقد به علم مطلق و فعلی و حضوریِ امامند و برخی قائل به علم ارادی و مشیتی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سیرة عملی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کارهای شخصی و اجتماعی خویش، و نیز با در نظر گرفتن برخی روایات،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الامام ان یعلم شیئا اعلمه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این رویکرد مشهور علمای شیعه صحیح باشد که آگاهی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امور اعم از غیبی و غیر آن، به خواست و ارادة آنان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می‌توان دانش‌های آنان را به نامه‌ای دربسته همانند دانست که برای آگاهی از محتوای آن، باید درِ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خواستن و دانستن، وابسته به وجود مصلحت و گره خورده با حکمت الهی است؛ چه بسا امام نخواهد و در نتیجه، نداند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آگاهی پیامبر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حادثه و جریانی، علم ارادی و مشیتی است، نه علم فعلی و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bookmarkStart w:id="196" w:name="pg2631_17657"/>
    </w:p>
    <w:p>
      <w:pPr>
        <w:pStyle w:val="Heading5"/>
        <w:numPr>
          <w:ilvl w:val="4"/>
          <w:numId w:val="1"/>
        </w:numPr>
        <w:rPr/>
      </w:pPr>
      <w:bookmarkStart w:id="197" w:name="__RefHeading___Toc561378_1395250215"/>
      <w:bookmarkStart w:id="198" w:name="_Toc79"/>
      <w:bookmarkEnd w:id="196"/>
      <w:bookmarkEnd w:id="197"/>
      <w:r>
        <w:rPr>
          <w:rtl w:val="true"/>
        </w:rPr>
        <w:t>دلایل موافقانتعمیم علم امام</w:t>
      </w:r>
      <w:bookmarkEnd w:id="198"/>
    </w:p>
    <w:p>
      <w:pPr>
        <w:pStyle w:val="Heading6"/>
        <w:numPr>
          <w:ilvl w:val="5"/>
          <w:numId w:val="1"/>
        </w:numPr>
        <w:rPr/>
      </w:pPr>
      <w:bookmarkStart w:id="199" w:name="__RefHeading___Toc561380_1395250215"/>
      <w:bookmarkStart w:id="200" w:name="_Toc8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برای اثبات این که احاطۀ علمی امام معصوم از چنین ویژگی‌ای برخوردار است که می‌تواند به تمامی امور عالم آگاهی یابد، می‌توان به ادلۀ عقلی و نقلی تمسک جست</w:t>
      </w:r>
      <w:r>
        <w:rPr>
          <w:rFonts w:eastAsia="IRNazanin" w:cs="IRNazanin"/>
          <w:color w:val="111111"/>
          <w:sz w:val="28"/>
          <w:szCs w:val="28"/>
          <w:rtl w:val="true"/>
          <w:lang w:bidi="fa-IR"/>
        </w:rPr>
        <w:t>.</w:t>
      </w:r>
    </w:p>
    <w:p>
      <w:pPr>
        <w:pStyle w:val="Heading6"/>
        <w:numPr>
          <w:ilvl w:val="5"/>
          <w:numId w:val="1"/>
        </w:numPr>
        <w:rPr/>
      </w:pPr>
      <w:bookmarkStart w:id="201" w:name="__RefHeading___Toc561382_1395250215"/>
      <w:bookmarkStart w:id="202" w:name="_Toc81"/>
      <w:bookmarkEnd w:id="201"/>
      <w:r>
        <w:rPr>
          <w:rtl w:val="true"/>
        </w:rPr>
        <w:t>ادله عقلی</w:t>
      </w:r>
      <w:bookmarkEnd w:id="202"/>
    </w:p>
    <w:p>
      <w:pPr>
        <w:pStyle w:val="BookText"/>
        <w:rPr/>
      </w:pPr>
      <w:r>
        <w:rPr>
          <w:rFonts w:ascii="IRNazanin" w:hAnsi="IRNazanin" w:eastAsia="IRNazanin"/>
          <w:color w:val="111111"/>
          <w:sz w:val="28"/>
          <w:sz w:val="28"/>
          <w:szCs w:val="28"/>
          <w:rtl w:val="true"/>
          <w:lang w:bidi="fa-IR"/>
        </w:rPr>
        <w:t>ادلۀ عقلی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پیش از این در کلمات متفکران و صاحبان این دیدگاه بیان شد، از آن جا که امام خود برگزیدة الهی است، به واسطۀ تربیت نفس خویش و طی کردن مراحل تکامل نفس و مستعد شدن قوۀ عقل نظری و عملی به درجه‌ای از کمال می‌رسد که خود، کلام الهی را استماع و فرشتگان را مشاهده می کند و از آن سو، با قوۀ عملی، قدرت فاعلیت پیدا می‌کند و عالم ماده را تسخیر می‌کند؛ از این رو، با فرض اتصال نفس نبی یا امام معصوم به عالم عقول، دیگر حجابی برای نفس باقی نمی‌ماند و ملکوت همة امور بر او عیان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باب دامنۀ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دارند که از همان برای گسترۀ علم امام نیز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حقیقی همان یقین است که تنها از راه ایجاد زمینۀ اتصال نفس قدسی با ملائکه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احتجاب به بدن و قوای آن و تعلق به دنیا و اخلاد در زمین نداشته باشد، به مبادی عالی و ملائکۀ مقربین، به خصوص به روح القدس که معلم انبیاست، متصل می گردد و در این هنگام، نقوش علمی و صفات کمالی در آن تلألو می کند، زیرا میان مجردات حجابی نیست و هیچ منع و تقصیر و بخلی در افاضه وجود ندارد، زیرا این امور از ویژگی های عالم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 از بزرگانی که قائل به علم مطلق و فعلیِ امامند، یکی از دلایلشان این است که کامل تر بودن رسالت و امامت منوط به آن است که صفات رسول و امام، اتم صفات باشد و در صورتی چنین خواهد بود که علمش حضوری و بالفعل به همۀ امور و وقایع باشد، نه مشروط و مقید بر اراده و خواست، زیرا علم مشروط به اراده گرچه کمال و فضیلت است، اما بالاترین کمال و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203" w:name="__RefHeading___Toc561384_1395250215"/>
      <w:bookmarkStart w:id="204" w:name="_Toc82"/>
      <w:bookmarkEnd w:id="203"/>
      <w:r>
        <w:rPr>
          <w:rtl w:val="true"/>
        </w:rPr>
        <w:t>ادله نقلی و روایات</w:t>
      </w:r>
      <w:bookmarkEnd w:id="204"/>
    </w:p>
    <w:p>
      <w:pPr>
        <w:pStyle w:val="BookText"/>
        <w:rPr/>
      </w:pPr>
      <w:r>
        <w:rPr>
          <w:rFonts w:ascii="IRNazanin" w:hAnsi="IRNazanin" w:eastAsia="IRNazanin"/>
          <w:color w:val="111111"/>
          <w:sz w:val="28"/>
          <w:sz w:val="28"/>
          <w:szCs w:val="28"/>
          <w:rtl w:val="true"/>
          <w:lang w:bidi="fa-IR"/>
        </w:rPr>
        <w:t>ادلۀ نقلی و روایی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پوشیده نیست که در مقام تحقیق و داوری دربارۀ حقیقت و گسترة علم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آیات الهی، یکی از بهترین منابع، سخنان حکیمانۀ خود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5" w:name="pg2631_17658"/>
    </w:p>
    <w:p>
      <w:pPr>
        <w:pStyle w:val="BookText"/>
        <w:rPr/>
      </w:pPr>
      <w:bookmarkEnd w:id="205"/>
      <w:r>
        <w:rPr>
          <w:rFonts w:ascii="IRNazanin" w:hAnsi="IRNazanin" w:eastAsia="IRNazanin"/>
          <w:color w:val="111111"/>
          <w:sz w:val="28"/>
          <w:sz w:val="28"/>
          <w:szCs w:val="28"/>
          <w:rtl w:val="true"/>
          <w:lang w:bidi="fa-IR"/>
        </w:rPr>
        <w:t>دربارۀ گسترۀ علم امام، فقط به ابوابی در این مورد که خود متضمن روایات فراوانی اند،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 علم آدم و علوم جمیع انبیایند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نگهبانان و خزینه داران علم خدا در آسمان و زمینند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آنان ملکوت آسمان و زمین را نشان می‌دهد، چنان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ملکوت و مافوق عرش و پایین آن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معدن علم خداوند، موضع ودایع رسالت، درخت نبوت و محل رفت وآمد فرشتگانند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بزرگواران زمان فرا رسیدن مرگ و رویدادهای ناخوش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 و به اصل و نسب آدمیان و چگونگی داوری بین آن ها آگاهی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حوادثی که در گذشته اتفاق افتاده و پیش‌آمدها و اتفاقاتی که در آینده تا روز قیامت به وقوع می‌پیوندد، آگاهی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 ما یکون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به آنچه در آسمان و زمین است و به آنچه در بهشت و جهنم است، علم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فروخ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علم الکتاب و تفسیر و تأویل قرآن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ابوابِ روایی و امثال آن که هر کدام متضمن ده ها روایتند، پذیرفتن حتی یکی از آن ها برای ما کافی است که تردیدی در گسترة علم امامان نداشته باشیم و آگاهیِ سرشار آن ها را از نهان و آشکار وقایع عالم، بپذیریم و اعتراف کنیم</w:t>
      </w:r>
      <w:r>
        <w:rPr>
          <w:rFonts w:eastAsia="IRNazanin" w:cs="IRNazanin"/>
          <w:color w:val="111111"/>
          <w:sz w:val="28"/>
          <w:szCs w:val="28"/>
          <w:rtl w:val="true"/>
          <w:lang w:bidi="fa-IR"/>
        </w:rPr>
        <w:t>.</w:t>
      </w:r>
    </w:p>
    <w:p>
      <w:pPr>
        <w:pStyle w:val="Heading3"/>
        <w:numPr>
          <w:ilvl w:val="2"/>
          <w:numId w:val="1"/>
        </w:numPr>
        <w:rPr/>
      </w:pPr>
      <w:bookmarkStart w:id="206" w:name="__RefHeading___Toc561386_1395250215"/>
      <w:bookmarkStart w:id="207" w:name="_Toc83"/>
      <w:bookmarkEnd w:id="206"/>
      <w:r>
        <w:rPr>
          <w:rtl w:val="true"/>
        </w:rPr>
        <w:t>نتیجه</w:t>
      </w:r>
      <w:bookmarkEnd w:id="207"/>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اتفاق نظر همۀ علمای شیعی بر اَعلم بودن امام و هم چنین پذیرش فی الجملۀ علم غیب آنان، متفکران اسلامی دربارۀ احاطۀ علمیِ امام و کیفیت آن اختلاف نظر دارند؛ برخی با شک و تردید، سکوت را برگزیده، برخی دیگر قائل به محدودیت شده و بعضی دیگر تعمیم و احاطۀ علمیِ امام به همه چیز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علمای دستۀ دوم این بود که در عصر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آن،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را برای خود نهی می کردند؛ اما چنان که اشاره شد، چه بسا این به</w:t>
      </w:r>
      <w:bookmarkStart w:id="208" w:name="pg2631_17659"/>
    </w:p>
    <w:p>
      <w:pPr>
        <w:pStyle w:val="BookText"/>
        <w:rPr/>
      </w:pPr>
      <w:bookmarkEnd w:id="208"/>
      <w:r>
        <w:rPr>
          <w:rFonts w:ascii="IRNazanin" w:hAnsi="IRNazanin" w:eastAsia="IRNazanin"/>
          <w:color w:val="111111"/>
          <w:sz w:val="28"/>
          <w:sz w:val="28"/>
          <w:szCs w:val="28"/>
          <w:rtl w:val="true"/>
          <w:lang w:bidi="fa-IR"/>
        </w:rPr>
        <w:t xml:space="preserve">سبب تقیه، یا به دلیل فهم ناقص و ضعیف مخاطب و جلوگیری از سوء استفاده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از جمع بندی بین آیات و روایات می‌توان گفت، امام علاوه بر تعلیم و تعلم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به سبب تلاش و مجاهدت‌های شخصی و لطف و عنایت های خاصۀ الهی، توانسته با اتصال به عالم تعقل و شهود، ملکوت عالم را مشاهده کند و بر همۀ حقایق و امور عالم به اذن الهی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امکان و وقوع آن را هم عقل و برهان ثابت می‌کند و هم نقل بر آن صحه می‌گذارد</w:t>
      </w:r>
      <w:r>
        <w:rPr>
          <w:rFonts w:eastAsia="IRNazanin" w:cs="IRNazanin"/>
          <w:color w:val="111111"/>
          <w:sz w:val="28"/>
          <w:szCs w:val="28"/>
          <w:rtl w:val="true"/>
          <w:lang w:bidi="fa-IR"/>
        </w:rPr>
        <w:t>.</w:t>
      </w:r>
    </w:p>
    <w:p>
      <w:pPr>
        <w:pStyle w:val="Heading3"/>
        <w:numPr>
          <w:ilvl w:val="2"/>
          <w:numId w:val="1"/>
        </w:numPr>
        <w:rPr/>
      </w:pPr>
      <w:bookmarkStart w:id="209" w:name="__RefHeading___Toc561388_1395250215"/>
      <w:bookmarkStart w:id="210" w:name="_Toc84"/>
      <w:bookmarkEnd w:id="209"/>
      <w:r>
        <w:rPr>
          <w:rtl w:val="true"/>
        </w:rPr>
        <w:t>منابع</w:t>
      </w:r>
      <w:bookmarkEnd w:id="210"/>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احمد،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بیروت،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الاصول، بیروت، مؤسسة النعمان للطباع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کمال الدین میثم بن علی بن میثم،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بی جا،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النجاة فی القیامة فی تحقیق امر الامامة، قم، 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نهج البلاغه،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فنای مقربان، قم،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الهداة بانصوص و المعجزات، شرح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تهران، دارالکتب الاسلامیۀ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لواسانی، سیدحسن،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الافهام فی علم الکلام، قم، مؤسسۀ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 کاظم،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الاصول، قم، مؤسسه نشر اسلامی وابسته به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دعای سحر،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فهری،تهران،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محمدحسین،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استاد علامه طباطبائی، قم، سماء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سوم یا علم غیب، قم، مؤسسۀ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التفسیر القرآن، قم، مؤسسه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کوتاه دربارۀ علم امام،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علی قاضی طباطبائی، تبریز،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فضل بن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و سیدفضل الله یزدی طباطبائی،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الی الطریق الرشاد، قم، منشورات مکتبة چهل ستون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قم، انتشارات المحبین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شریف مرتضی، قم، دار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 حسین،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الدرایة فی شرح الکفایة، قم،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آیۀ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بن هاشم،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قم، مؤسسة دار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کنزالفوائد، قم، 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 سید عبد الحسین،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السلیمانیه فی کیفیۀ علم الامام و کمیته،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جمیل حمّود، بیروت، مرکز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مازندرانی، محمد بن علی ابن شهر آشوب،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تهران، کتاب فروشی و چاپ خانۀ محمدعلی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ابوالحسن،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کفایة الاصول، قم، لقمان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حسین،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الامام و کمیته و کیفیته عن الطریق العقل و النقل، بیروت، انتشارات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الصدق،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عقائد الامامیة، قم،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معرفۀ حجج الله علی العباد،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مذاهب و المختارات، تهران، انتشارات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العکبریه، قم،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قم،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قزوینی،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الحاشیة علی قوانین الأصول، قم، مطبعه حاجی ابراهیم تبریزی</w:t>
      </w:r>
      <w:r>
        <w:rPr>
          <w:rFonts w:eastAsia="IRNazanin" w:cs="IRNazanin"/>
          <w:color w:val="111111"/>
          <w:sz w:val="28"/>
          <w:szCs w:val="28"/>
          <w:rtl w:val="true"/>
          <w:lang w:bidi="fa-IR"/>
        </w:rPr>
        <w:t>.</w:t>
      </w:r>
      <w:bookmarkStart w:id="211" w:name="pg2631_17662"/>
    </w:p>
    <w:p>
      <w:pPr>
        <w:pStyle w:val="Heading2"/>
        <w:numPr>
          <w:ilvl w:val="1"/>
          <w:numId w:val="1"/>
        </w:numPr>
        <w:rPr/>
      </w:pPr>
      <w:bookmarkStart w:id="212" w:name="__RefHeading___Toc561390_1395250215"/>
      <w:bookmarkStart w:id="213" w:name="_Toc85"/>
      <w:bookmarkEnd w:id="211"/>
      <w:bookmarkEnd w:id="212"/>
      <w:r>
        <w:rPr>
          <w:rtl w:val="true"/>
        </w:rPr>
        <w:t>برسی تاثیر شیعیان کوفه از فرهنگ رای و قیلس در نیمه اول سده دوم</w:t>
      </w:r>
      <w:bookmarkEnd w:id="213"/>
    </w:p>
    <w:p>
      <w:pPr>
        <w:pStyle w:val="Heading3"/>
        <w:numPr>
          <w:ilvl w:val="2"/>
          <w:numId w:val="1"/>
        </w:numPr>
        <w:rPr/>
      </w:pPr>
      <w:bookmarkStart w:id="214" w:name="__RefHeading___Toc561392_1395250215"/>
      <w:bookmarkStart w:id="215" w:name="_Toc8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حسن طارمی راد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محمدصادق واحدی فرد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سوسن فخرایی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سیدعبدالحمید ابطحی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1392/08/04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1392/09/28</w:t>
      </w:r>
    </w:p>
    <w:p>
      <w:pPr>
        <w:pStyle w:val="Heading3"/>
        <w:numPr>
          <w:ilvl w:val="2"/>
          <w:numId w:val="1"/>
        </w:numPr>
        <w:rPr/>
      </w:pPr>
      <w:bookmarkStart w:id="216" w:name="__RefHeading___Toc561394_1395250215"/>
      <w:bookmarkStart w:id="217" w:name="_Toc87"/>
      <w:bookmarkEnd w:id="216"/>
      <w:r>
        <w:rPr>
          <w:rtl w:val="true"/>
        </w:rPr>
        <w:t>چکیده</w:t>
      </w:r>
      <w:bookmarkEnd w:id="217"/>
    </w:p>
    <w:p>
      <w:pPr>
        <w:pStyle w:val="BookText"/>
        <w:rPr/>
      </w:pPr>
      <w:r>
        <w:rPr>
          <w:rFonts w:ascii="IRNazanin" w:hAnsi="IRNazanin" w:eastAsia="IRNazanin"/>
          <w:color w:val="111111"/>
          <w:sz w:val="28"/>
          <w:sz w:val="28"/>
          <w:szCs w:val="28"/>
          <w:rtl w:val="true"/>
          <w:lang w:bidi="fa-IR"/>
        </w:rPr>
        <w:t>توسعۀ فرهنگ رأی و قیاس در سدۀ اول، به گونه ای مکمل و جبران کنندۀ فقدان دست رسی به وحی شده بود و دست کم در موارد نبودِ موضوعی در کتاب و سنت، مسائل از طریق رأی و اجتهاد 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این روال در نظام فقهی و قضاییِ رایج موجب شد، افراد بسیاری آن را امری عادی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میان برخی شیعیان عمدتا کوفی که تازه هدایت شده یا بیشتر با جریان عامه در تعامل بودند، تأثیراتی را آشکار کرده بود،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شیعیان را از لغرشگاه های این فرهنگ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حاضر می کوشد به بررسی تأثر شیعیان کوفه از این فرهنگ در نیمۀ اول سدۀ دوم بپردازد</w:t>
      </w:r>
      <w:r>
        <w:rPr>
          <w:rFonts w:eastAsia="IRNazanin" w:cs="IRNazanin"/>
          <w:color w:val="111111"/>
          <w:sz w:val="28"/>
          <w:szCs w:val="28"/>
          <w:rtl w:val="true"/>
          <w:lang w:bidi="fa-IR"/>
        </w:rPr>
        <w:t>.</w:t>
      </w:r>
    </w:p>
    <w:p>
      <w:pPr>
        <w:pStyle w:val="Heading3"/>
        <w:numPr>
          <w:ilvl w:val="2"/>
          <w:numId w:val="1"/>
        </w:numPr>
        <w:rPr/>
      </w:pPr>
      <w:bookmarkStart w:id="218" w:name="__RefHeading___Toc561396_1395250215"/>
      <w:bookmarkStart w:id="219" w:name="_Toc88"/>
      <w:bookmarkEnd w:id="218"/>
      <w:r>
        <w:rPr>
          <w:rtl w:val="true"/>
        </w:rPr>
        <w:t>واژگان کلیدی</w:t>
      </w:r>
      <w:bookmarkEnd w:id="2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رأی، تفویض، شیعیان کوفه، اجتهاد، معضلات</w:t>
      </w:r>
      <w:r>
        <w:rPr>
          <w:rFonts w:eastAsia="IRNazanin" w:cs="IRNazanin"/>
          <w:color w:val="111111"/>
          <w:sz w:val="28"/>
          <w:szCs w:val="28"/>
          <w:rtl w:val="true"/>
          <w:lang w:bidi="fa-IR"/>
        </w:rPr>
        <w:t>.</w:t>
      </w:r>
      <w:bookmarkStart w:id="220" w:name="pg2631_17663"/>
    </w:p>
    <w:p>
      <w:pPr>
        <w:pStyle w:val="Heading3"/>
        <w:numPr>
          <w:ilvl w:val="2"/>
          <w:numId w:val="1"/>
        </w:numPr>
        <w:rPr/>
      </w:pPr>
      <w:bookmarkStart w:id="221" w:name="__RefHeading___Toc561398_1395250215"/>
      <w:bookmarkStart w:id="222" w:name="_Toc89"/>
      <w:bookmarkEnd w:id="220"/>
      <w:bookmarkEnd w:id="221"/>
      <w:r>
        <w:rPr/>
        <w:t>1</w:t>
      </w:r>
      <w:r>
        <w:rPr>
          <w:rtl w:val="true"/>
        </w:rPr>
        <w:t xml:space="preserve">. </w:t>
      </w:r>
      <w:r>
        <w:rPr>
          <w:rtl w:val="true"/>
        </w:rPr>
        <w:t>رواج رأی گرایی در پایان قرن اول و ابتدای قرن دوم</w:t>
      </w:r>
      <w:bookmarkEnd w:id="222"/>
    </w:p>
    <w:p>
      <w:pPr>
        <w:pStyle w:val="BookText"/>
        <w:rPr/>
      </w:pPr>
      <w:r>
        <w:rPr>
          <w:rFonts w:ascii="IRNazanin" w:hAnsi="IRNazanin" w:eastAsia="IRNazanin"/>
          <w:color w:val="111111"/>
          <w:sz w:val="28"/>
          <w:sz w:val="28"/>
          <w:szCs w:val="28"/>
          <w:rtl w:val="true"/>
          <w:lang w:bidi="fa-IR"/>
        </w:rPr>
        <w:t>می دانیم پایه رأی و اجتهاد بلافاصله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از ابتدا شأن رأی و اجتهاد این بود که جای گزین راه بسته شدۀ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توانست در امور گوناگونی به کار آید؛ مثل جریان قضاوت و یا مصلحت سنجی در تغییر دستورات پیامبر و یا تصمیم گیری در مواردی که اختلاف در اخبار رسیده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در جایی که مطلبی از ایشان در اختیار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فراوانی از اختلافات آرای صحابه در منابع تاریخی و فقهی آمده که منشأ اختلافات بعدی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سوی دیگر، به خصوص بعد از شهادت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دورۀ معاویه تلاش شد که سنت نبوی اساساً و با سرعت تضعیف شود و این روند ادامه داشت</w:t>
      </w:r>
      <w:r>
        <w:rPr>
          <w:rStyle w:val="FootnoteAnchor"/>
          <w:rtl w:val="true"/>
        </w:rPr>
        <w:footnoteReference w:id="16"/>
      </w:r>
      <w:r>
        <w:rPr>
          <w:rFonts w:ascii="IRNazanin" w:hAnsi="IRNazanin" w:eastAsia="IRNazanin"/>
          <w:color w:val="111111"/>
          <w:sz w:val="28"/>
          <w:sz w:val="28"/>
          <w:szCs w:val="28"/>
          <w:rtl w:val="true"/>
          <w:lang w:bidi="fa-IR"/>
        </w:rPr>
        <w:t xml:space="preserve">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روند جامعه، خصوصاً در عراق و حجاز دچار تحولاتی شد و مجدداً توجه به سنت بیشتر شد و جامعه انتظار داشت مرجعیت قرآن و سنت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فقهی بعد از این تا حدی بر اساس مرجعیت قرآن و سنت و در نبود آن رأی و قیاس و سایر روش های غیروحیانی سامان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فقهی که در کوفه و مدینه یا شام مطرح بود، در بنیاد خود انقطاع وحی را پذیرفته بود و اگر هم منازعاتی در کار بود، در این گفتمان باید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اهل حدیث و اهل رأی نیز در همین ساختار و فرهنگ باید متفاوت تلقی شود و اساساً هیچ یک از مدارس فقهی مرسوم از رأی به صورت کلی خالی نبود و به صورت اصولی رأی را به رسمیت شناخته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در معیارهای قبول کتاب و سنت و میزان و روش به کارگیری رأی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نیمۀ نخست سدۀ دوم، گرایش به رأی و شیوه‌های اجتهادی در مباحث فقهی، به ویژه در کوفه به نحوی شاخص رو به رشد نهاد، به طوری که پس از آن کوفه پایگاهی برای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شخصیت های مؤثر در شکل گیری مکتب اصحاب رأی</w:t>
      </w:r>
    </w:p>
    <w:p>
      <w:pPr>
        <w:pStyle w:val="BookText"/>
        <w:rPr/>
      </w:pPr>
      <w:r>
        <w:rPr>
          <w:rFonts w:ascii="IRNazanin" w:hAnsi="IRNazanin" w:eastAsia="IRNazanin"/>
          <w:color w:val="111111"/>
          <w:sz w:val="28"/>
          <w:sz w:val="28"/>
          <w:szCs w:val="28"/>
          <w:rtl w:val="true"/>
          <w:lang w:bidi="fa-IR"/>
        </w:rPr>
        <w:t>در کوفه، باید از حماد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ترین شخصیت مکتب ابن مسعود در عصر خود یاد کرد که رجوع اهل دانش بدو کمتر برای شنیدن احادیث و آثار، و عمدتاً برای آگاهی بر رأی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عالمان پس از او که به فقیهانی رأی گرا در کوفه شهرت یافتند، ابن شبرمه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ابی لیلی از کسانی است که از روی اجتهاد خود فتوا می داد و هنگامی که یوسف بن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 در قضاوت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و نظر خودم عمل می کنم و یوسف بن 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قضاوت در کوفه</w:t>
      </w:r>
    </w:p>
    <w:p>
      <w:pPr>
        <w:pStyle w:val="BookText"/>
        <w:rPr/>
      </w:pPr>
      <w:r>
        <w:rPr>
          <w:rFonts w:ascii="IRNazanin" w:hAnsi="IRNazanin" w:eastAsia="IRNazanin"/>
          <w:color w:val="111111"/>
          <w:sz w:val="28"/>
          <w:sz w:val="28"/>
          <w:szCs w:val="28"/>
          <w:rtl w:val="true"/>
          <w:lang w:bidi="fa-IR"/>
        </w:rPr>
        <w:t>می گمارم، و ابن قتیبه نیز وی را اهل فتوا بر اساس رأی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فتاوای خود به اهل بیت استناد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w:t>
      </w:r>
      <w:r>
        <w:rPr>
          <w:rFonts w:eastAsia="IRNazanin" w:cs="IRNazanin"/>
          <w:color w:val="111111"/>
          <w:sz w:val="28"/>
          <w:szCs w:val="28"/>
          <w:lang w:bidi="fa-IR"/>
        </w:rPr>
        <w:t>1947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دینوری،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باید نام برد؛ اما در شکل گیری تعالیم اصحاب رأی، شخصیتی که نقش مؤسس را ایفا کرد و فقه او از تحقیق نسبی در اصول نظری برخوردار بود،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حنفیان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مقدمۀ تاریخش به تقسیم مذاهب و شکل گیری آن ها می پردازد و برآنست که کمال علم فقه از توانایی علمایی که آن صناعت را توسعه داده اند تبعیت می کند، وی می گوید فقه در میان علما به دو روش پیش رفت؛ روش اهل رأی و قیاس که طریق اهل عراق است و روش اهل حدیث که طریق اهل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در روش اهل عراق ابوحنیفه است که مذهب را تثبیت کرد و امام اهل حجاز نیز مالک بن انس و شاگرد او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سپس می گوید که اهل بیت در این میان با مذاهبی که ابداع کردند، تک روی نموده و فقه منفردی را بر اساس مذهب خود بنا کردند که در آن برخی صحابه مورد قدح قرار گرفتند و قائل به عصمت الهی و نبود خطا در کلمات ایشان شدند که همۀ این ها واهی و بی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آنچه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استفاده می شود</w:t>
      </w:r>
      <w:r>
        <w:rPr>
          <w:rStyle w:val="FootnoteAnchor"/>
          <w:rtl w:val="true"/>
        </w:rPr>
        <w:footnoteReference w:id="21"/>
      </w:r>
      <w:r>
        <w:rPr>
          <w:rFonts w:ascii="IRNazanin" w:hAnsi="IRNazanin" w:eastAsia="IRNazanin"/>
          <w:color w:val="111111"/>
          <w:sz w:val="28"/>
          <w:sz w:val="28"/>
          <w:szCs w:val="28"/>
          <w:rtl w:val="true"/>
          <w:lang w:bidi="fa-IR"/>
        </w:rPr>
        <w:t>این است که روش فقهی و مذهب اهل بیت از اساس با آنچه در میان اهل سنت رایج بوده، متفاوت است و انشعاب و فرعی بر آن ها نیست و اساس آن بر دانش همراه با عصمت است، در حالی که مذاهب اهل سنت بر دانش خطاپذیر اصحاب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تفاوت مشرب بعد از</w:t>
      </w:r>
      <w:bookmarkStart w:id="223" w:name="pg2631_17665"/>
    </w:p>
    <w:p>
      <w:pPr>
        <w:pStyle w:val="BookText"/>
        <w:rPr/>
      </w:pPr>
      <w:bookmarkEnd w:id="223"/>
      <w:r>
        <w:rPr>
          <w:rFonts w:ascii="IRNazanin" w:hAnsi="IRNazanin" w:eastAsia="IRNazanin"/>
          <w:color w:val="111111"/>
          <w:sz w:val="28"/>
          <w:sz w:val="28"/>
          <w:szCs w:val="28"/>
          <w:rtl w:val="true"/>
          <w:lang w:bidi="fa-IR"/>
        </w:rPr>
        <w:t>پیامبر از ابتدا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و او رویۀ متفاوت با جریان قدرت و روش مذهبی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ترویج و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 ّولد</w:t>
      </w:r>
      <w:r>
        <w:rPr>
          <w:rStyle w:val="FootnoteAnchor"/>
          <w:rtl w:val="true"/>
        </w:rPr>
        <w:footnoteReference w:id="22"/>
      </w:r>
      <w:r>
        <w:rPr>
          <w:rFonts w:ascii="IRNazanin" w:hAnsi="IRNazanin" w:eastAsia="IRNazanin"/>
          <w:color w:val="111111"/>
          <w:sz w:val="28"/>
          <w:sz w:val="28"/>
          <w:szCs w:val="28"/>
          <w:rtl w:val="true"/>
          <w:lang w:bidi="fa-IR"/>
        </w:rPr>
        <w:t>نسبت داده شد که متضمن قیاس بود، امام قیاس را به شدت از ایشان نفی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دلیل علم به کتاب و سنت، بی نیاز از قیاس معرفی کردند</w:t>
      </w:r>
      <w:r>
        <w:rPr>
          <w:rFonts w:eastAsia="IRNazanin" w:cs="IRNazanin"/>
          <w:color w:val="111111"/>
          <w:sz w:val="28"/>
          <w:szCs w:val="28"/>
          <w:rtl w:val="true"/>
          <w:lang w:bidi="fa-IR"/>
        </w:rPr>
        <w:t>.</w:t>
      </w:r>
    </w:p>
    <w:p>
      <w:pPr>
        <w:pStyle w:val="Heading3"/>
        <w:numPr>
          <w:ilvl w:val="2"/>
          <w:numId w:val="1"/>
        </w:numPr>
        <w:rPr/>
      </w:pPr>
      <w:bookmarkStart w:id="224" w:name="__RefHeading___Toc561400_1395250215"/>
      <w:bookmarkStart w:id="225" w:name="_Toc90"/>
      <w:bookmarkEnd w:id="224"/>
      <w:r>
        <w:rPr/>
        <w:t>2</w:t>
      </w:r>
      <w:r>
        <w:rPr>
          <w:rtl w:val="true"/>
        </w:rPr>
        <w:t xml:space="preserve">. </w:t>
      </w:r>
      <w:r>
        <w:rPr>
          <w:rtl w:val="true"/>
        </w:rPr>
        <w:t>تمایل برخی شیعیان به الگوی اصلاح شدۀ قیاس</w:t>
      </w:r>
      <w:bookmarkEnd w:id="225"/>
    </w:p>
    <w:p>
      <w:pPr>
        <w:pStyle w:val="Heading4"/>
        <w:numPr>
          <w:ilvl w:val="3"/>
          <w:numId w:val="1"/>
        </w:numPr>
        <w:rPr/>
      </w:pPr>
      <w:bookmarkStart w:id="226" w:name="__RefHeading___Toc561402_1395250215"/>
      <w:bookmarkStart w:id="227" w:name="_Toc91"/>
      <w:bookmarkEnd w:id="226"/>
      <w:r>
        <w:rPr>
          <w:rtl w:val="true"/>
        </w:rPr>
        <w:t>اشاره</w:t>
      </w:r>
      <w:bookmarkEnd w:id="2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فرهنگ رأی در دین در متن بخش بزرگی از جامعه، به ویژه در کوفه که مرکز علمی عراق به حساب می آمد، جاری و نافذ بوده و نفوذ فرهنگ قیاس به عنوان راه حل دست یابی به احکام دین در محیط علمی و فرهنگی جامعه در نیمۀ اول سدۀ دوم بسیار عمیق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شاید رهایی شیعیان از اثرات این فرهنگ کار ساده ای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برخی اصحاب ائمهعلیهم السلام نیز مواردی از گرایش به استفاده از قیاس دیده می شود؛ گرچه این گرایش ـ همان طور که روشن خواهد شدـ همراه با علم ایشان به مخالفت امامانعلیهم السلام با اصل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در تمامی این موارد اصل عقیده به علم الهیِ امام دچار چالش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مشکل شیعیان این بوده که برخی گمان می کرده اند که بطلان قیاس ناشی از عدم رجوع به ائمهعلیهم السلام است نه در ذات آن؛ لذا معمولاً در جایی به قیاس رو می آورده اند که از امامانعلیهم السلام نیز مطلبی در اختیار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موضوع این است که ائمهعلیهم السلام در موارد مختلفی در معرض این رفتار در میان شیعیان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نفوذ فرهنگ قیاس در میان برخی شیعیان ناشی از سابقۀ تسنن گروهی از ایشان یا ناشی از معاشرت و غلبۀ فرهنگ قیاس به عنوان یک الگوی علمی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مواردی که در اخبار گزارش شده، در حکم نوادر و مواردی است که در جامعۀ در حال شکل گیری فرهنگی مانند تشیع، امر عجیبی نیست؛ ضمن این که مراجعات شیعیان به ائمهعلیهم السلام و پرسش از صحت عمل قیاس نشان می دهد در میان شیعیان فرهنگ بطلان قیاس در حال نهادینه شدن بوده است و لذا در باب به کار گیری آن در حوزه هایی که روایتی از اهل بیتعلیهم السلام در اختیار ندارند، همراه با تردید بوده و</w:t>
      </w:r>
      <w:bookmarkStart w:id="228" w:name="pg2631_17666"/>
    </w:p>
    <w:p>
      <w:pPr>
        <w:pStyle w:val="BookText"/>
        <w:rPr/>
      </w:pPr>
      <w:bookmarkEnd w:id="228"/>
      <w:r>
        <w:rPr>
          <w:rFonts w:ascii="IRNazanin" w:hAnsi="IRNazanin" w:eastAsia="IRNazanin"/>
          <w:color w:val="111111"/>
          <w:sz w:val="28"/>
          <w:sz w:val="28"/>
          <w:szCs w:val="28"/>
          <w:rtl w:val="true"/>
          <w:lang w:bidi="fa-IR"/>
        </w:rPr>
        <w:t>نهایتاً از امام پرسش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دسته از روایات نشان می دهند بطلان قیاس در میان شیعیان امری شناخته شده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سه قالب مهم برای اظهار تمایل به قیاس در آن دوره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استفاده از قیاس به عنوان روش دست یابی به نتیجه و اثبات حق؛</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جواز استفاده از قیاس در جایی که از امام مطلبی در دست رس 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جواز استفادۀ امامانعلیهم السلام از قیاس، برخلاف مردم عادی و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بیان شواهد این قالب ها خواهیم پرداخت</w:t>
      </w:r>
      <w:r>
        <w:rPr>
          <w:rFonts w:eastAsia="IRNazanin" w:cs="IRNazanin"/>
          <w:color w:val="111111"/>
          <w:sz w:val="28"/>
          <w:szCs w:val="28"/>
          <w:rtl w:val="true"/>
          <w:lang w:bidi="fa-IR"/>
        </w:rPr>
        <w:t>.</w:t>
      </w:r>
    </w:p>
    <w:p>
      <w:pPr>
        <w:pStyle w:val="Heading4"/>
        <w:numPr>
          <w:ilvl w:val="3"/>
          <w:numId w:val="1"/>
        </w:numPr>
        <w:rPr/>
      </w:pPr>
      <w:bookmarkStart w:id="229" w:name="__RefHeading___Toc561404_1395250215"/>
      <w:bookmarkStart w:id="230" w:name="_Toc92"/>
      <w:bookmarkEnd w:id="229"/>
      <w:r>
        <w:rPr>
          <w:rtl w:val="true"/>
        </w:rPr>
        <w:t>استفاده از قیاس به عنوان روش دست یابی به نتیجه و اثبات حق</w:t>
      </w:r>
      <w:bookmarkEnd w:id="230"/>
    </w:p>
    <w:p>
      <w:pPr>
        <w:pStyle w:val="Heading5"/>
        <w:numPr>
          <w:ilvl w:val="4"/>
          <w:numId w:val="1"/>
        </w:numPr>
        <w:rPr/>
      </w:pPr>
      <w:bookmarkStart w:id="231" w:name="__RefHeading___Toc561406_1395250215"/>
      <w:bookmarkStart w:id="232" w:name="_Toc9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این قسمت متذکر نمونه هایی می شویم که اصحاب امامان علیهم السلام برای دست یابی به حق یا نتیجۀ مطلوب خود از قیاس کمک گرفته اند</w:t>
      </w:r>
      <w:r>
        <w:rPr>
          <w:rFonts w:eastAsia="IRNazanin" w:cs="IRNazanin"/>
          <w:color w:val="111111"/>
          <w:sz w:val="28"/>
          <w:szCs w:val="28"/>
          <w:rtl w:val="true"/>
          <w:lang w:bidi="fa-IR"/>
        </w:rPr>
        <w:t>.</w:t>
      </w:r>
    </w:p>
    <w:p>
      <w:pPr>
        <w:pStyle w:val="Heading5"/>
        <w:numPr>
          <w:ilvl w:val="4"/>
          <w:numId w:val="1"/>
        </w:numPr>
        <w:rPr/>
      </w:pPr>
      <w:bookmarkStart w:id="233" w:name="__RefHeading___Toc561408_1395250215"/>
      <w:bookmarkStart w:id="234" w:name="_Toc94"/>
      <w:bookmarkEnd w:id="233"/>
      <w:r>
        <w:rPr>
          <w:rtl w:val="true"/>
        </w:rPr>
        <w:t>ابان بن تغلب</w:t>
      </w:r>
      <w:bookmarkEnd w:id="234"/>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یکی از اصحابی که در گزارش هایش نیز ابتلای به قیاس مشاهده شده، ابان بن تغلب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اصحاب اهل بیتعلیهم السلام در کوفه بود که دارای موقعیت علمی انحصاری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گوناگون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قرآن، حدیث، ادب، نحو و لغت سرآمد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دیۀ قطع انگشتان زن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می کند که دیۀ چهار انگشت معادل دو انگشت است، به اعتراض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دیۀ سه انگشت، سی شتر و چهار انگشت، بیست شتر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روش قیاس با من بحث کردی و قیاس، سنت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5"/>
        <w:numPr>
          <w:ilvl w:val="4"/>
          <w:numId w:val="1"/>
        </w:numPr>
        <w:rPr/>
      </w:pPr>
      <w:bookmarkStart w:id="235" w:name="__RefHeading___Toc561410_1395250215"/>
      <w:bookmarkStart w:id="236" w:name="_Toc95"/>
      <w:bookmarkEnd w:id="235"/>
      <w:r>
        <w:rPr>
          <w:rtl w:val="true"/>
        </w:rPr>
        <w:t>مومن طاق</w:t>
      </w:r>
      <w:bookmarkEnd w:id="2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IRNazanin" w:hAnsi="IRNazanin" w:eastAsia="IRNazanin"/>
          <w:color w:val="111111"/>
          <w:sz w:val="28"/>
          <w:sz w:val="28"/>
          <w:szCs w:val="28"/>
          <w:rtl w:val="true"/>
          <w:lang w:bidi="fa-IR"/>
        </w:rPr>
        <w:t>وی از اصحاب توانمند، باهوش و حاضر 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مباحث بسیاری بر مخالفان اهل بیتعلیهم السلام سلطه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مناظره های وی با یکی از خوارج،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گوی تو سخنی از حق نبود، چرا که از روش قیاس استفاده می کردی و قیاس از دین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امام دربارۀ مؤمن طاق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237" w:name="pg2631_17667"/>
    </w:p>
    <w:p>
      <w:pPr>
        <w:pStyle w:val="BookText"/>
        <w:rPr/>
      </w:pPr>
      <w:bookmarkEnd w:id="237"/>
      <w:r>
        <w:rPr>
          <w:rFonts w:ascii="IRNazanin" w:hAnsi="IRNazanin" w:eastAsia="IRNazanin"/>
          <w:color w:val="111111"/>
          <w:sz w:val="28"/>
          <w:sz w:val="28"/>
          <w:szCs w:val="28"/>
          <w:rtl w:val="true"/>
          <w:lang w:bidi="fa-IR"/>
        </w:rPr>
        <w:t xml:space="preserve">بسیار هوشمندانه عمل می کند، ولی به شدت از قیاس استفاده کرده و باطل را به باطل دیگری می 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امام نشان می دهد که روش قیاس در این دوره کاملاً مورد استفاده بوده و اصحابی نظیر مؤمن طاق در مواردی به آن مبتلا بوده اند و امام نیز بطلان روش را به ایشان متذکر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استفاده از قیاس در جایی که از امام مطلبی در دست رس نیست</w:t>
      </w:r>
    </w:p>
    <w:p>
      <w:pPr>
        <w:pStyle w:val="BookText"/>
        <w:rPr/>
      </w:pPr>
      <w:r>
        <w:rPr>
          <w:rFonts w:ascii="IRNazanin" w:hAnsi="IRNazanin" w:eastAsia="IRNazanin"/>
          <w:color w:val="111111"/>
          <w:sz w:val="28"/>
          <w:sz w:val="28"/>
          <w:szCs w:val="28"/>
          <w:rtl w:val="true"/>
          <w:lang w:bidi="fa-IR"/>
        </w:rPr>
        <w:t>در این قسمت به ذکر شواهد و موارد تمایل شیعیان به استفاده از قیاس به صورتی متناسب با عقاید شیعی می پردازیم؛ به این بیان که اصحاب در موارد فقدان دست رسی به روایات، تمایل داشتند از قیاس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بخش روشن می شود که نوع این ها در حد جریان فکری نیستند و به صورت موردی واقع شدند </w:t>
      </w:r>
      <w:r>
        <w:rPr>
          <w:rFonts w:eastAsia="IRNazanin" w:cs="IRNazanin"/>
          <w:color w:val="111111"/>
          <w:sz w:val="28"/>
          <w:szCs w:val="28"/>
          <w:rtl w:val="true"/>
          <w:lang w:bidi="fa-IR"/>
        </w:rPr>
        <w:t>.</w:t>
      </w:r>
    </w:p>
    <w:p>
      <w:pPr>
        <w:pStyle w:val="Heading5"/>
        <w:numPr>
          <w:ilvl w:val="4"/>
          <w:numId w:val="1"/>
        </w:numPr>
        <w:rPr/>
      </w:pPr>
      <w:bookmarkStart w:id="238" w:name="__RefHeading___Toc561412_1395250215"/>
      <w:bookmarkStart w:id="239" w:name="_Toc96"/>
      <w:bookmarkEnd w:id="238"/>
      <w:r>
        <w:rPr>
          <w:rtl w:val="true"/>
        </w:rPr>
        <w:t>ابو بصیر</w:t>
      </w:r>
      <w:bookmarkEnd w:id="239"/>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ابو بصیر نیز از اصحابی است که در گزارشی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که گاهی برای ما موضوعاتی پیش می آید که از کتاب و سنت مطلبی در اختیار ما نیست و در این مورد به قیاس 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پاسخت درست باشد، اجری نداری و اگر خطا کنی بر خدا دروغ بسته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ابوبصیر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گاهی مسئله ای برای ما پیش می آید که حکم آن را از کتاب و سنت نمی دانیم ؛ آیا می توانیم به نظر و رأی در آن وارد شویم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مذاکره، زمینۀ تمایل برای خروج از بی اطلاعی و جهل به احکام از طریق قیاس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راحت ترین روش فرار از جهل، قیاس بوده و لذا در میان شیعیان نیز از آن پرسش می شده است</w:t>
      </w:r>
      <w:r>
        <w:rPr>
          <w:rFonts w:eastAsia="IRNazanin" w:cs="IRNazanin"/>
          <w:color w:val="111111"/>
          <w:sz w:val="28"/>
          <w:szCs w:val="28"/>
          <w:rtl w:val="true"/>
          <w:lang w:bidi="fa-IR"/>
        </w:rPr>
        <w:t>.</w:t>
      </w:r>
    </w:p>
    <w:p>
      <w:pPr>
        <w:pStyle w:val="Heading5"/>
        <w:numPr>
          <w:ilvl w:val="4"/>
          <w:numId w:val="1"/>
        </w:numPr>
        <w:rPr/>
      </w:pPr>
      <w:bookmarkStart w:id="240" w:name="__RefHeading___Toc561414_1395250215"/>
      <w:bookmarkStart w:id="241" w:name="_Toc97"/>
      <w:bookmarkEnd w:id="240"/>
      <w:r>
        <w:rPr>
          <w:rtl w:val="true"/>
        </w:rPr>
        <w:t>محمد بن حکیم</w:t>
      </w:r>
      <w:bookmarkEnd w:id="2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ascii="IRNazanin" w:hAnsi="IRNazanin" w:eastAsia="IRNazanin"/>
          <w:color w:val="111111"/>
          <w:sz w:val="28"/>
          <w:sz w:val="28"/>
          <w:szCs w:val="28"/>
          <w:rtl w:val="true"/>
          <w:lang w:bidi="fa-IR"/>
        </w:rPr>
        <w:t>محمد بن حکیم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w:t>
      </w:r>
      <w:r>
        <w:rPr>
          <w:rStyle w:val="FootnoteAnchor"/>
          <w:rtl w:val="true"/>
        </w:rPr>
        <w:footnoteReference w:id="27"/>
      </w:r>
      <w:r>
        <w:rPr>
          <w:rFonts w:ascii="IRNazanin" w:hAnsi="IRNazanin" w:eastAsia="IRNazanin"/>
          <w:color w:val="111111"/>
          <w:sz w:val="28"/>
          <w:sz w:val="28"/>
          <w:szCs w:val="28"/>
          <w:rtl w:val="true"/>
          <w:lang w:bidi="fa-IR"/>
        </w:rPr>
        <w:t>در گزارشش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که اهل تفقه هستند و از علم و احادیث اهل بیتعلیهم السلام بهره برده اند، گاهی با مسئله ای مواجه می شوند و بر اساس رأی خودشان</w:t>
      </w:r>
      <w:bookmarkStart w:id="242" w:name="pg2631_17668"/>
    </w:p>
    <w:p>
      <w:pPr>
        <w:pStyle w:val="BookText"/>
        <w:rPr/>
      </w:pPr>
      <w:bookmarkEnd w:id="242"/>
      <w:r>
        <w:rPr>
          <w:rFonts w:ascii="IRNazanin" w:hAnsi="IRNazanin" w:eastAsia="IRNazanin"/>
          <w:color w:val="111111"/>
          <w:sz w:val="28"/>
          <w:sz w:val="28"/>
          <w:szCs w:val="28"/>
          <w:rtl w:val="true"/>
          <w:lang w:bidi="fa-IR"/>
        </w:rPr>
        <w:t>در مورد آن نظر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این موضوع را نفی و موجب هلاکت دانستند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گزارشی به هشام می گوید که مشابه همین مطلب را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گفته که به برکت شما اهل بیتعلیهم السلام ما از دیگران بی نیاز شده ایم و پاسخ مسائل را از طریق شما در اختیار داریم، ولی گاهی پیش می آید که موضوعی برای ما مطرح می شود که در ارتباط با آن چیزی از شما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که بر اساس بهترین و موافق ترین مطالبی که از شما می دانیم،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 صدد است توضیح دهد که با روش قیاس و به کمک روایات اهل بیتعلیهم السلام نزدیک ترین حکم را با روش قیاس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ضمن بیان پاسخ ردّ امام، در این باره به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طرح کردم به قصد این که حضرت در باب قیاس به ما اجازه ای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گزارش ها برمی آید اصحاب ائمه علیهم السلام گاه برای برون رفت از مواردی که به حکم جهل داشته اند، به قیاس تمایل نشان داده اند و البته همواره با مخالفت امامانعلیهم السلام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امام در این مجلس ابوحنیفه را لعن کرده و می فرمایند که او این فرهنگ را دامن می زند که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متقابلاً نظر من این است؛ یعنی فرهنگ فقهای سنی این بوده که خودشان را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آنچه از وی نقل شده را در حد نظر شخصی وی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که از محمد بن حکیم نقل شده و در آن ابتلای برخی فقهای شیعه به قیاس مطرح شده، امام ضمن نفی صریح قیاس از وی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ابوحنیفه رفت و آمد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نگرانی امام این است که فرهنگ اهل رأی در اثر معاشرت به اصحاب خودشان منتقل شود و البته امام به او توصیه می کنند که در جایی که علمی از معصوم در اختیار ندارید، سکوت کنید</w:t>
      </w:r>
      <w:r>
        <w:rPr>
          <w:rFonts w:eastAsia="IRNazanin" w:cs="IRNazanin"/>
          <w:color w:val="111111"/>
          <w:sz w:val="28"/>
          <w:szCs w:val="28"/>
          <w:rtl w:val="true"/>
          <w:lang w:bidi="fa-IR"/>
        </w:rPr>
        <w:t>.</w:t>
      </w:r>
    </w:p>
    <w:p>
      <w:pPr>
        <w:pStyle w:val="Heading5"/>
        <w:numPr>
          <w:ilvl w:val="4"/>
          <w:numId w:val="1"/>
        </w:numPr>
        <w:rPr/>
      </w:pPr>
      <w:bookmarkStart w:id="243" w:name="__RefHeading___Toc561416_1395250215"/>
      <w:bookmarkStart w:id="244" w:name="_Toc98"/>
      <w:bookmarkEnd w:id="243"/>
      <w:r>
        <w:rPr>
          <w:rtl w:val="true"/>
        </w:rPr>
        <w:t>سماعه بن مهران</w:t>
      </w:r>
      <w:bookmarkEnd w:id="2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ascii="IRNazanin" w:hAnsi="IRNazanin" w:eastAsia="IRNazanin"/>
          <w:color w:val="111111"/>
          <w:sz w:val="28"/>
          <w:sz w:val="28"/>
          <w:szCs w:val="28"/>
          <w:rtl w:val="true"/>
          <w:lang w:bidi="fa-IR"/>
        </w:rPr>
        <w:t>در گزارشی سماعة از امام هفتم اجازۀ قیاس در مواردی را می خواهد که مطلبی از امام نزد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دیگری که به</w:t>
      </w:r>
      <w:bookmarkStart w:id="245" w:name="pg2631_17669"/>
    </w:p>
    <w:p>
      <w:pPr>
        <w:pStyle w:val="BookText"/>
        <w:rPr/>
      </w:pPr>
      <w:bookmarkEnd w:id="245"/>
      <w:r>
        <w:rPr>
          <w:rFonts w:ascii="IRNazanin" w:hAnsi="IRNazanin" w:eastAsia="IRNazanin"/>
          <w:color w:val="111111"/>
          <w:sz w:val="28"/>
          <w:sz w:val="28"/>
          <w:szCs w:val="28"/>
          <w:rtl w:val="true"/>
          <w:lang w:bidi="fa-IR"/>
        </w:rPr>
        <w:t>حضرت خبر می دهد اصحاب در این موارد از قیاس استفاده 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پیش از شما وقتی به قیاس رو آوردند،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وی می گوید که ما در این موارد دقت می کنیم و نهایتاً به بهترین چیزی که نزد ماست، قیاس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حاکی از این است که وی انتظار داشته حضرت راهی برای قیاس در مواردی که دست ایشان از علم خالی بوده، باز کنند و این میل به قیاس را می توان ناشی از جریان فرهنگی غالب در جامعۀ آن روز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گزارش آمده که امام ایشان را از نشست و برخاست با ابوحنیفه بر حذر می دارند و این نشان می دهد که بسیاری از شیعیان در مقابل جوّ علمی و فرهنگی قیاس آسیب پذیر بوده اند و امام حضور برخی از ایشان را در محافل علمی، به مصلحت ایشان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سماعه نیز گزارش می دهد که ما همراه با اصحاب مذاکراتی داریم و عموماً مطالبی که به ما می رسد ما نوشته ای در مورد آن داریم، ولی گاهی مطلب کوچکی به ما می رسد که نوشته ای دربارۀ آن نداریم و در این موارد با قیاس مطلب را حل کرده و آن را به بهترین چیزی که نزد ماست حمل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گزارش برمی آید که نوعی قیاس در داخل مکتب اهل بیتعلیهم السلام برای برخی اصحاب شکل گرفته است که نشان از نفوذ فرهنگ قیاس در میان برخی از اهل علم می کند؛ فرهنگی که شیعیان نیز از آن در امان نبوده و گاهی گمان می کرده اند که در فضای روایات اهل بیتعلیهم السلام این کار مجاز می شود</w:t>
      </w:r>
      <w:r>
        <w:rPr>
          <w:rFonts w:eastAsia="IRNazanin" w:cs="IRNazanin"/>
          <w:color w:val="111111"/>
          <w:sz w:val="28"/>
          <w:szCs w:val="28"/>
          <w:rtl w:val="true"/>
          <w:lang w:bidi="fa-IR"/>
        </w:rPr>
        <w:t>.</w:t>
      </w:r>
    </w:p>
    <w:p>
      <w:pPr>
        <w:pStyle w:val="Heading4"/>
        <w:numPr>
          <w:ilvl w:val="3"/>
          <w:numId w:val="1"/>
        </w:numPr>
        <w:rPr/>
      </w:pPr>
      <w:bookmarkStart w:id="246" w:name="__RefHeading___Toc561418_1395250215"/>
      <w:bookmarkStart w:id="247" w:name="_Toc99"/>
      <w:bookmarkEnd w:id="246"/>
      <w:r>
        <w:rPr>
          <w:rtl w:val="true"/>
        </w:rPr>
        <w:t>سایر موارد</w:t>
      </w:r>
      <w:bookmarkEnd w:id="2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محمد 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شما را شنیده و بر اساس آن ها قیاس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تأیید آن خودداری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امر از ما اهل بیتعلیهم السلام بیرون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دیگر، در صورت راه افتادن قیاس، دیگر به امامِ عالم به دین و مطلع از سنت نبوی و علم الهی نیازی نیست و کار دین به دست خود مردم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تعابیر استفاده می شود که قیاس به حدی در مجامع علمی مطرح و رایج بوده که برخی شیعیان تصور می کرده اند که نفی قیاس در این حد است که باید پیش از قیاس، به علم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بیتعلیهم السلام رجوع کنند و بعد از استماع احادیث ایشان، در مواردی که از ایشان علمی در دست رس نباشد، قیاس مجاز است</w:t>
      </w:r>
      <w:r>
        <w:rPr>
          <w:rFonts w:eastAsia="IRNazanin" w:cs="IRNazanin"/>
          <w:color w:val="111111"/>
          <w:sz w:val="28"/>
          <w:szCs w:val="28"/>
          <w:rtl w:val="true"/>
          <w:lang w:bidi="fa-IR"/>
        </w:rPr>
        <w:t>.</w:t>
      </w:r>
      <w:bookmarkStart w:id="248" w:name="pg2631_17670"/>
    </w:p>
    <w:p>
      <w:pPr>
        <w:pStyle w:val="BookText"/>
        <w:rPr/>
      </w:pPr>
      <w:bookmarkEnd w:id="248"/>
      <w:r>
        <w:rPr>
          <w:rFonts w:ascii="IRNazanin" w:hAnsi="IRNazanin" w:eastAsia="IRNazanin"/>
          <w:color w:val="111111"/>
          <w:sz w:val="28"/>
          <w:sz w:val="28"/>
          <w:szCs w:val="28"/>
          <w:rtl w:val="true"/>
          <w:lang w:bidi="fa-IR"/>
        </w:rPr>
        <w:t>در مجموع می توان گفت، این گونه موارد نشان می دهند در میان شیعیان گاه میل به قیاس و احساس نیاز به آن، به خصوص در موضوعات جدید تشدید می شده است و این احساس تمایل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متأثر از فرهنگ رایج قیاس دانست که شیعیان نیز به نحوی برای آن در دین شأنی قائل می شدند و البته امامانعلیهم السلام نیز درست در همین نقطه، به ایشان جایگاه بلند علم الهی و امامِ عالم به این علم را متذکر می شده اند</w:t>
      </w:r>
      <w:r>
        <w:rPr>
          <w:rFonts w:eastAsia="IRNazanin" w:cs="IRNazanin"/>
          <w:color w:val="111111"/>
          <w:sz w:val="28"/>
          <w:szCs w:val="28"/>
          <w:rtl w:val="true"/>
          <w:lang w:bidi="fa-IR"/>
        </w:rPr>
        <w:t>.</w:t>
      </w:r>
    </w:p>
    <w:p>
      <w:pPr>
        <w:pStyle w:val="Heading4"/>
        <w:numPr>
          <w:ilvl w:val="3"/>
          <w:numId w:val="1"/>
        </w:numPr>
        <w:rPr/>
      </w:pPr>
      <w:bookmarkStart w:id="249" w:name="__RefHeading___Toc561420_1395250215"/>
      <w:bookmarkStart w:id="250" w:name="_Toc100"/>
      <w:bookmarkEnd w:id="249"/>
      <w:r>
        <w:rPr>
          <w:rtl w:val="true"/>
        </w:rPr>
        <w:t>تربیت شیعیان در مسیر پرهیز از قیاس</w:t>
      </w:r>
      <w:bookmarkEnd w:id="2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شیعی، منطق متفاوتی برای معیار و چارچوب دست رسی به دین معرفی شده بود و آن مراجعه به عالمی الهی بود که بدون اعمال آرا و اهوا، از آبشخور وحی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مشاهده می شود که پرهیز از قیاس نمودن در دین بسیار نافذ بوده و خط قرمزی در معرفت دینی به حساب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آموزه های کلامی، رفتار نزدیکان و شاگردان خاص اهل بیتعلیهم السلام نیز گواه این شیوۀ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روحیه در شیعیان به تدریج شناخته شده بود و معروف بود که این ها فقط به آثار مستند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می کنند و آرای اصحاب و فقها را در دین قبول ندارند؛ برای نمونه، حریز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ابو حنیفه رفته بودم و در مقابل او کتاب های متعددی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تعریض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همه دربارۀ طلاق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ندارید، و در حال گفتن این حرف ها با دستش کتاب ها را جابه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تمام این کتاب ها را ما در آیه ای جمع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 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هایی هستی که چیزی را قبول نداری، مگر به روایتی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من حکم موردی را پرسید و من هم روایتی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مورد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جالب نشان می دهد 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تعلیم ائمهعلیهم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شیعیان به شاخص جالبی، مشهور شده اند و آن این که اهل اقوال و قیاسات و امثال آن نیستند و در احکام فقط روایتی را می پذیرند که از طریق اهل بیت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معلوم می شود در میان اهل تسنن مکتوباتی از اقوال و آرا توسعه پیدا کرده و آن ها را به خود مشغول می کرده است، در حالی که شیعیان فقط به اخبار رسیده از ائمهعلیهم السلام اتکا داشته و اساساً به این منابع اعتنایی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مجلس نشان می دهد که برخی اصحاب به محافل علمیِ ایشان سرکشی داشته اند و از بحث و تبادل علمی پرهیز نمی کرده اند </w:t>
      </w:r>
      <w:r>
        <w:rPr>
          <w:rFonts w:eastAsia="IRNazanin" w:cs="IRNazanin"/>
          <w:color w:val="111111"/>
          <w:sz w:val="28"/>
          <w:szCs w:val="28"/>
          <w:rtl w:val="true"/>
          <w:lang w:bidi="fa-IR"/>
        </w:rPr>
        <w:t>.</w:t>
      </w:r>
      <w:bookmarkStart w:id="251" w:name="pg2631_17671"/>
    </w:p>
    <w:p>
      <w:pPr>
        <w:pStyle w:val="Heading3"/>
        <w:numPr>
          <w:ilvl w:val="2"/>
          <w:numId w:val="1"/>
        </w:numPr>
        <w:rPr/>
      </w:pPr>
      <w:bookmarkStart w:id="252" w:name="__RefHeading___Toc561422_1395250215"/>
      <w:bookmarkStart w:id="253" w:name="_Toc101"/>
      <w:bookmarkEnd w:id="251"/>
      <w:bookmarkEnd w:id="252"/>
      <w:r>
        <w:rPr/>
        <w:t>3</w:t>
      </w:r>
      <w:r>
        <w:rPr>
          <w:rtl w:val="true"/>
        </w:rPr>
        <w:t xml:space="preserve">. </w:t>
      </w:r>
      <w:r>
        <w:rPr>
          <w:rtl w:val="true"/>
        </w:rPr>
        <w:t>انتظار جواز رأی و قیاس برای خود امامان علیهم السلام</w:t>
      </w:r>
      <w:bookmarkEnd w:id="253"/>
    </w:p>
    <w:p>
      <w:pPr>
        <w:pStyle w:val="Heading4"/>
        <w:numPr>
          <w:ilvl w:val="3"/>
          <w:numId w:val="1"/>
        </w:numPr>
        <w:rPr/>
      </w:pPr>
      <w:bookmarkStart w:id="254" w:name="__RefHeading___Toc561424_1395250215"/>
      <w:bookmarkStart w:id="255" w:name="_Toc10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گاه مشاهده شده برخی اصحاب انتظار داشته اند که خود امامانعلیهم السلام دین را از طریق رأی و قیاس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نمازش را قضا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اش را قضا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پاسخ دادند که اولین فردی که قیاس کرد ابلیس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مذاکره نشان می دهد در ضمیر حسن بن راشد این انتظار وجود دارد که احکام با قیاس و تشبیه سازگار باشد؛ لذا امام او را متذکر این نکته می کنند که مراقب تفکر قیاسی باشد و دین را در این محدوده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ناشی از فرهنگی است که قیاس رواج یافته است و شیعیان نیز گاهی متأثر از آن بوده اند</w:t>
      </w:r>
      <w:r>
        <w:rPr>
          <w:rFonts w:eastAsia="IRNazanin" w:cs="IRNazanin"/>
          <w:color w:val="111111"/>
          <w:sz w:val="28"/>
          <w:szCs w:val="28"/>
          <w:rtl w:val="true"/>
          <w:lang w:bidi="fa-IR"/>
        </w:rPr>
        <w:t>.</w:t>
      </w:r>
    </w:p>
    <w:p>
      <w:pPr>
        <w:pStyle w:val="Heading4"/>
        <w:numPr>
          <w:ilvl w:val="3"/>
          <w:numId w:val="1"/>
        </w:numPr>
        <w:rPr/>
      </w:pPr>
      <w:bookmarkStart w:id="256" w:name="__RefHeading___Toc561426_1395250215"/>
      <w:bookmarkStart w:id="257" w:name="_Toc103"/>
      <w:bookmarkEnd w:id="256"/>
      <w:r>
        <w:rPr>
          <w:rtl w:val="true"/>
        </w:rPr>
        <w:t>پرسشهای شیعیان درباره منابع علم امام</w:t>
      </w:r>
      <w:bookmarkEnd w:id="257"/>
    </w:p>
    <w:p>
      <w:pPr>
        <w:pStyle w:val="BookText"/>
        <w:rPr/>
      </w:pPr>
      <w:r>
        <w:rPr>
          <w:rFonts w:ascii="IRNazanin" w:hAnsi="IRNazanin" w:eastAsia="IRNazanin"/>
          <w:color w:val="111111"/>
          <w:sz w:val="28"/>
          <w:sz w:val="28"/>
          <w:szCs w:val="28"/>
          <w:rtl w:val="true"/>
          <w:lang w:bidi="fa-IR"/>
        </w:rPr>
        <w:t>دو محور کلیدی علم صحیح اهل بیتعلیهم السلام و نفی جواز قیاس در دین که به گفتمان شیعیِ پایداری تبدیل می شد، در کنار خود با مسائلی دیگر هم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مسئله که آیا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تمامی مطالب را در منابع مکتوب خود در اختیار دارند یا ممکن است که موارد و مسائلی هم پیش آید که در این منابع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سؤال از اهل بیتعلیهم السلامپرسش شده است و ایشان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دو رویکرد در پاسخ اتخاذ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اهل بیت علیهم السلام به پرسش گر اطمینان داده اند که همه چیز در کتاب و سنت هست؛ یعنی دامنۀ مسائل مورد نیاز افراد در میراث علمی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پرسش گر مسئله را دنبال کرده و تقاضای توضیح بیشتر داشته است، و ظاهر این گونه پافشاری نشان می دهد که سطح دیگری از مطلب را جست وجو می کرده اند؛ برای نمونه، سورة بن کلیب</w:t>
      </w:r>
      <w:r>
        <w:rPr>
          <w:rStyle w:val="FootnoteAnchor"/>
          <w:rtl w:val="true"/>
        </w:rPr>
        <w:footnoteReference w:id="30"/>
      </w:r>
      <w:r>
        <w:rPr>
          <w:rFonts w:ascii="IRNazanin" w:hAnsi="IRNazanin" w:eastAsia="IRNazanin"/>
          <w:color w:val="111111"/>
          <w:sz w:val="28"/>
          <w:sz w:val="28"/>
          <w:szCs w:val="28"/>
          <w:rtl w:val="true"/>
          <w:lang w:bidi="fa-IR"/>
        </w:rPr>
        <w:t>گزارش می 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امام بر چه اساسی فتوا می دهد، پرسش کرده و حضرت مبنای فتوای خود را کتاب و سنت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باب که اگر موردی در کتاب و سنت نبود، مجدداً پرسش می کند و حضرت به او می فرمایند که همه چیز در کتاب و سنت هست و او باز هم پافشاری می کند که اگر موردی نبود چه می شود و حضرت سخن از توفیق و تسدید پیش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در گزارش مستقلی گفته است که در این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 حضور داشته و مذاکرات سوره را با امام</w:t>
      </w:r>
      <w:bookmarkStart w:id="258" w:name="pg2631_17672"/>
    </w:p>
    <w:p>
      <w:pPr>
        <w:pStyle w:val="BookText"/>
        <w:rPr/>
      </w:pPr>
      <w:bookmarkEnd w:id="258"/>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مشابهی گزارش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در این مذاکره حضرت مطلبی را که به اجمال می فرمودند، در اثر پافشاری یکی از اصحاب از جهتی باز می کنند و به اختصار یکی از ابعاد جدید موضوع را برای سورة بن کلیب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نیز نشان می دهد که مطلب تا مرتبه ای برای سوره روشن بوده و زوایای جدیدی را دنبال می کرده است، شاهد این نکته این است که حضرت در پایان بیان خود به او تأکید می کنند که وی تصور و گمان غلطی را برای پاسخ به این مشکل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وی تصور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که راه امام در امور جدید، قیاس و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اهمیت این مذاکره خوب است توجه شود که سورة بن کلیب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فردی اهل بحث و احتجاج بوده است، به طوری که بعد از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ابن کلیب دربارۀ نحوۀ اعتقاد یافتنش به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کلیب به وی می گوید که ما وقتی از برادرت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 کردیم، از رسول خدا و کتاب خدا پاسخ ما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به سوی شما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در میان ایشان تنها کسی که تمام پرسش های ما را مانند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سنت پاسخ داد،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بقیه برخی مسائل ما را دانسته و برخی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ضمن تأیید ضمنی 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کتاب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از این مذاکره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کلیب فردی از شخصیت های علمی و اثرگذار شیعه است و لذا زید می خواهد دلیل وی را در این اقبال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 اختصاصی اهل بیتعلیهم السلام بوده، در حدی است که در بحث ها می توانستند علمیت متفاوت ایشان را به آن مستند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داشتن علم الهی در حدی که هر سؤالی باید مستند به کتاب و سنت پاسخ داده شود، معیار پذیرش امامت بوده است</w:t>
      </w:r>
      <w:r>
        <w:rPr>
          <w:rFonts w:eastAsia="IRNazanin" w:cs="IRNazanin"/>
          <w:color w:val="111111"/>
          <w:sz w:val="28"/>
          <w:szCs w:val="28"/>
          <w:rtl w:val="true"/>
          <w:lang w:bidi="fa-IR"/>
        </w:rPr>
        <w:t>.</w:t>
      </w:r>
    </w:p>
    <w:p>
      <w:pPr>
        <w:pStyle w:val="Heading4"/>
        <w:numPr>
          <w:ilvl w:val="3"/>
          <w:numId w:val="1"/>
        </w:numPr>
        <w:rPr/>
      </w:pPr>
      <w:bookmarkStart w:id="259" w:name="__RefHeading___Toc561428_1395250215"/>
      <w:bookmarkStart w:id="260" w:name="_Toc104"/>
      <w:bookmarkEnd w:id="259"/>
      <w:r>
        <w:rPr>
          <w:rtl w:val="true"/>
        </w:rPr>
        <w:t>مقوله معضلات یا موضوعاتی که در کتاب و سنتا نبوده</w:t>
      </w:r>
      <w:bookmarkEnd w:id="2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بسترهای لغزش به سوی نظریۀ رأی، جایی بوده که کتاب و سنت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مناسبت توسط شیعیان از اهل بیتعلیهم السلام پرسش می شده و بسته به این که مخاطب در چه شرایط معرفتی بوده، پاسخ ها از اجمال و تفصیل برخوردار بوده است و همین می توانسته برخی را به سوی احتمال جواز رأی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موضوع، گزارش عبد الرحیم قصیر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و سنت قضاوت می کرده و اگر موردی برای وی می آمد که در کتاب و سنت نبود، رجم و اصابت به حق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 که این مطلب از معضلات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ظاهر این تعابیر خالی از تقیه یا مراعات درک مخاطب نیست و در ابتدا ممکن است فرد تلقی رأی در برنامۀ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روشن می کنیم که این روایت به معنای بهره گیری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به روشنی حکایت از این می کنند که برخی اصحاب فرضیۀ غلطی در ذهن داشته اند که وقتی امام چیزی از کتاب و سنت در اختیار نداشته باشد، لاجرم قیاس و رأی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سورة بن کلیب در منی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می پرسد و حماد بن عثمان نیز که شاهد این مذاکره بوده آن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دربارۀ فتوا در وضعیتی که نه کتاب و نه سنتی در اختیار امام نباشد، پرسش کرده است و حضرت به وی تذکر داده اند که گمان وی در این مسئله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راه حل وی بر اساس فرهنگ رایج پناه بردن امام به رأی و قیاس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وضعیت را خیثم تجربه کرده و با سماجت چندین بار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 که در صورتی که مطلبی در کتاب و سنت نباشد چه می کنند و حضرت ضمن پاسخ به او تذکر داده اند که موضوع به گونه ای که وی خیال کرده است،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مکالمات نشان می دهد این اصحاب به صورت جدی جایی برای جواز رأی بر امام در تصورات خود گشوده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یک بار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چه شما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در کتاب و سنت هست یا برخی مطالب را نیز بر اساس رأی و نظر خودتان بیان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نیز حاکی از انتظارات القایی در وی است که ائمهعلیهم السلام نیز مانند دیگران در دین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در دست رس است که اهل بیتعلیهم السلام هرگونه فتوا و سخن گفتن از روی رأی و نظر خود را ردّ و نفی کرده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 نیز از روی هوا باشد ما نیز مانند بقیه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تأکیدات می تواند تا حدی بیان گر نفوذ اندیشه و فرهنگ قیاس و رأی باشد که برخی اصحاب هم چنان گرفتار آن بوده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مسئله امور و موضوعاتی که کتاب و سنت در آن در دست رس نباشد، مطلب مهمی است که در موارد متعددی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w:t>
      </w:r>
      <w:bookmarkStart w:id="261" w:name="pg2631_17674"/>
    </w:p>
    <w:p>
      <w:pPr>
        <w:pStyle w:val="BookText"/>
        <w:rPr/>
      </w:pPr>
      <w:bookmarkEnd w:id="261"/>
      <w:r>
        <w:rPr>
          <w:rFonts w:ascii="IRNazanin" w:hAnsi="IRNazanin" w:eastAsia="IRNazanin"/>
          <w:color w:val="111111"/>
          <w:sz w:val="28"/>
          <w:sz w:val="28"/>
          <w:szCs w:val="28"/>
          <w:rtl w:val="true"/>
          <w:lang w:bidi="fa-IR"/>
        </w:rPr>
        <w:t>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حکمش در کتاب و سنت نبود چه می کرده، گزارش می کند؛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امور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گزارش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معضلات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پیشین گفتیم شبیه همین بیان را عبد الرحیم قصیر که از اصحاب موثق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کرده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زمان خود را این گونه توصیف می کردند که در مقام حکم در امور معضل و مبهم به آرای خود ساخته و جهالت آمیز رو می آورده اند که از اصابت و خطای آن بی اطلاع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جای دیگری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گله می کنند که در معضلات به خودشان پناه می برند و در مبهمات بر رأی خود اتکا می کنند و خودشان را امام خویش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بوده که ظاهراً حکم و بیانی از کتاب و سنت در دست رس نبوده و جز با علم الهی مشکل حل نمی شده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 توان احتمال داد که در این قضاوت ها نیز مطلب و نصی از کتاب و سنت در اختیار نبوده و به هر دلیل، براساس رأی نیز کار پیش نمی رفته است و لذا به امام متوسل می شده اند و ایشان نیز باز بر مبنای علوم الهی و اختصاصیِ خودشان گره را باز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مبتلا به مشکل بقیه نبوده و از الهام الهی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 توان گفت، ورود ائمهعلیهم السلام به معضلات و مبهمات علمی بدون استفاده از رأی و قیاس، نشان گر بهرۀ ایشان از علوم الهی و دست رسیِ ایشان به منابع علم ربانی بوده است</w:t>
      </w:r>
      <w:r>
        <w:rPr>
          <w:rFonts w:eastAsia="IRNazanin" w:cs="IRNazanin"/>
          <w:color w:val="111111"/>
          <w:sz w:val="28"/>
          <w:szCs w:val="28"/>
          <w:rtl w:val="true"/>
          <w:lang w:bidi="fa-IR"/>
        </w:rPr>
        <w:t>.</w:t>
      </w:r>
    </w:p>
    <w:p>
      <w:pPr>
        <w:pStyle w:val="Heading3"/>
        <w:numPr>
          <w:ilvl w:val="2"/>
          <w:numId w:val="1"/>
        </w:numPr>
        <w:rPr/>
      </w:pPr>
      <w:bookmarkStart w:id="262" w:name="__RefHeading___Toc561430_1395250215"/>
      <w:bookmarkStart w:id="263" w:name="_Toc105"/>
      <w:bookmarkEnd w:id="262"/>
      <w:r>
        <w:rPr>
          <w:rtl w:val="true"/>
        </w:rPr>
        <w:t>جمع بندی</w:t>
      </w:r>
      <w:bookmarkEnd w:id="263"/>
    </w:p>
    <w:p>
      <w:pPr>
        <w:pStyle w:val="BookText"/>
        <w:rPr/>
      </w:pPr>
      <w:r>
        <w:rPr>
          <w:rFonts w:ascii="IRNazanin" w:hAnsi="IRNazanin" w:eastAsia="IRNazanin"/>
          <w:color w:val="111111"/>
          <w:sz w:val="28"/>
          <w:sz w:val="28"/>
          <w:szCs w:val="28"/>
          <w:rtl w:val="true"/>
          <w:lang w:bidi="fa-IR"/>
        </w:rPr>
        <w:t>جمع بندی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فرهنگ قیاس در جامعۀ علمی قرن دوم، امری ریشه دار بود که بسیاری نوشیعیان و شیعیان را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دو حوزه بیشتر قابل مشاهده است؛ یکی این که برخی شیعیان در مواردی که روایتی از اهل بیتعلیهم السلام در اختیار نداشتند، به استفاده از قیاس</w:t>
      </w:r>
      <w:bookmarkStart w:id="264" w:name="pg2631_17675"/>
    </w:p>
    <w:p>
      <w:pPr>
        <w:pStyle w:val="BookText"/>
        <w:rPr/>
      </w:pPr>
      <w:bookmarkEnd w:id="264"/>
      <w:r>
        <w:rPr>
          <w:rFonts w:ascii="IRNazanin" w:hAnsi="IRNazanin" w:eastAsia="IRNazanin"/>
          <w:color w:val="111111"/>
          <w:sz w:val="28"/>
          <w:sz w:val="28"/>
          <w:szCs w:val="28"/>
          <w:rtl w:val="true"/>
          <w:lang w:bidi="fa-IR"/>
        </w:rPr>
        <w:t>تمایل نشان می دادند، و دیگر این که گمان می کردند امامانعلیهم السلام در مواردی خودشان از رأی و قیاس استفاده می کنند و این کار دست کم برای ایشان جایز است و این عقیده حاکی از باور به محدودیت در علم الهی یا میراث علمی اهل بیتعلیهم السلام بوده است و در نتیجه، به خاطر این نحوۀ قیاس در کلمات اهل بیت علیهم السلام تغییرات یا اختلافاتی هم بروز می کرده است</w:t>
      </w:r>
      <w:r>
        <w:rPr>
          <w:rFonts w:eastAsia="IRNazanin" w:cs="IRNazanin"/>
          <w:color w:val="111111"/>
          <w:sz w:val="28"/>
          <w:szCs w:val="28"/>
          <w:rtl w:val="true"/>
          <w:lang w:bidi="fa-IR"/>
        </w:rPr>
        <w:t>.</w:t>
      </w:r>
    </w:p>
    <w:p>
      <w:pPr>
        <w:pStyle w:val="Heading3"/>
        <w:numPr>
          <w:ilvl w:val="2"/>
          <w:numId w:val="1"/>
        </w:numPr>
        <w:rPr/>
      </w:pPr>
      <w:bookmarkStart w:id="265" w:name="__RefHeading___Toc561432_1395250215"/>
      <w:bookmarkStart w:id="266" w:name="_Toc106"/>
      <w:bookmarkEnd w:id="265"/>
      <w:r>
        <w:rPr>
          <w:rtl w:val="true"/>
        </w:rPr>
        <w:t>منابع</w:t>
      </w:r>
      <w:bookmarkEnd w:id="26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ابوالحسن،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الإحکام فی أصول الأحکام، تحقیق عبد الرزاق عفیفی،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حسینی جلالی،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ابنآحیون، نعمان بن محمد مغربی،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دعائم الإسلام و ذکر الحلال و الحرام و القضایا و الاحکام، تحقیق آصف فیضی،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محمد پروین گنابادی، 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شمس الدین،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وفیات الأعیان و أنباء أبناء الزمان، بیروت،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 محمد عبد القادر عطا،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اکبر غفاری،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أبی عمر یوسف،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الاستذکار، تحقیق سالم محمد عطا،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تحقیق مصطفی بن احمد العلوی، المغرب، وزارة عموم الأوقاف و الشؤون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ابی القاسم علی بن الحسن،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 علی شیری، بیروت، دار الفکر للطباعة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عبد الله بن مسلم،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تحقیق ثروت عکاشة، القاهرة، الهیئة المصریة العامة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جمال الدین،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تاریخ دمشق لابن عساکر، دمشق، دار الفکر للطباعة و التوزیع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 جلال الدین محدث، قم،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الصادق و المذاهب الأربعة، بیروت، دار 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 القاسم،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الرواة، قم، مرکز نشر آثار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الإسلام و وفیات المشاهیر و الأعلام،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أعلام النبلاء، تحقیق شعیب الأرنؤوط،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زیلعی، جمال الدین،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الرایة، تحقیق أیمن صالح شعبان، القاهرة،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أبوحبیب،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الفقهی لغة و اصطلاحا، دمشق،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نورالدین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حاشیة السندی علی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التفسیر المأثور، بیروت، دارالمعرفة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شنقیطی، محمد أمین،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أضواء البیان،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منیة المرید، تحقیق رضا مختاری، قم،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میرزاحسن 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قم، مکتبة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تحقیق موسوی خرسان، سید حسن،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بیروت، دار المعرفة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علائی، صلاح 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التحصیل فی أحکام المراسیل، تحقیق حمدی سلفی، بیروت، عالم الکتب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 شرح صحیح البخاری،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ابوعمرو محمد بن عمر بن عبد العزیز،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مشهد،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علی اکبر غفاری و محمد آخوندی، تهران،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فقه و فقها، تهران، مؤسسه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الحکم و المواعظ، قم،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ابی عبد الله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کاظم،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پاکتچی، تهران، دائرة 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انتشارات اسلامی وابسته به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مؤسسة</w:t>
      </w:r>
    </w:p>
    <w:p>
      <w:pPr>
        <w:pStyle w:val="BookText"/>
        <w:rPr/>
      </w:pP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ابو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وکیع، ابوبکر محمد بن خلف،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القضاة، بیروت، عالم الکتب</w:t>
      </w:r>
      <w:r>
        <w:rPr>
          <w:rFonts w:eastAsia="IRNazanin" w:cs="IRNazanin"/>
          <w:color w:val="111111"/>
          <w:sz w:val="28"/>
          <w:szCs w:val="28"/>
          <w:rtl w:val="true"/>
          <w:lang w:bidi="fa-IR"/>
        </w:rPr>
        <w:t>.</w:t>
      </w:r>
      <w:bookmarkStart w:id="267" w:name="pg2631_17678"/>
    </w:p>
    <w:p>
      <w:pPr>
        <w:pStyle w:val="Heading2"/>
        <w:numPr>
          <w:ilvl w:val="1"/>
          <w:numId w:val="1"/>
        </w:numPr>
        <w:rPr/>
      </w:pPr>
      <w:bookmarkStart w:id="268" w:name="__RefHeading___Toc561434_1395250215"/>
      <w:bookmarkStart w:id="269" w:name="_Toc107"/>
      <w:bookmarkEnd w:id="267"/>
      <w:bookmarkEnd w:id="268"/>
      <w:r>
        <w:rPr>
          <w:rtl w:val="true"/>
        </w:rPr>
        <w:t>مقصود اصلی در اعتقادات</w:t>
      </w:r>
      <w:bookmarkEnd w:id="269"/>
    </w:p>
    <w:p>
      <w:pPr>
        <w:pStyle w:val="Heading3"/>
        <w:numPr>
          <w:ilvl w:val="2"/>
          <w:numId w:val="1"/>
        </w:numPr>
        <w:rPr/>
      </w:pPr>
      <w:bookmarkStart w:id="270" w:name="__RefHeading___Toc561436_1395250215"/>
      <w:bookmarkStart w:id="271" w:name="_Toc108"/>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1392/10/28</w:t>
      </w:r>
    </w:p>
    <w:p>
      <w:pPr>
        <w:pStyle w:val="Heading3"/>
        <w:numPr>
          <w:ilvl w:val="2"/>
          <w:numId w:val="1"/>
        </w:numPr>
        <w:rPr/>
      </w:pPr>
      <w:bookmarkStart w:id="272" w:name="__RefHeading___Toc561438_1395250215"/>
      <w:bookmarkStart w:id="273" w:name="_Toc109"/>
      <w:bookmarkEnd w:id="272"/>
      <w:r>
        <w:rPr>
          <w:rtl w:val="true"/>
        </w:rPr>
        <w:t>چکیده</w:t>
      </w:r>
      <w:bookmarkEnd w:id="273"/>
    </w:p>
    <w:p>
      <w:pPr>
        <w:pStyle w:val="BookText"/>
        <w:rPr/>
      </w:pPr>
      <w:r>
        <w:rPr>
          <w:rFonts w:ascii="IRNazanin" w:hAnsi="IRNazanin" w:eastAsia="IRNazanin"/>
          <w:color w:val="111111"/>
          <w:sz w:val="28"/>
          <w:sz w:val="28"/>
          <w:szCs w:val="28"/>
          <w:rtl w:val="true"/>
          <w:lang w:bidi="fa-IR"/>
        </w:rPr>
        <w:t>یکی از مباحث مهمّ کلامی که فقط در کتاب های اصولی از آن بحثی گذرا شده، تعیین مقصود اصلی در واجبات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دو دیدگاه عمده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و اعتقاد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یک از این دو دیدگاه در صددند تا اثبات کنند یکی از وجوب ها نفسی و دیگری مقدمه یا متولد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دلایل دو نظریه بررسی و در نهایت نظریۀ دوم برگزیده شد</w:t>
      </w:r>
      <w:r>
        <w:rPr>
          <w:rFonts w:eastAsia="IRNazanin" w:cs="IRNazanin"/>
          <w:color w:val="111111"/>
          <w:sz w:val="28"/>
          <w:szCs w:val="28"/>
          <w:rtl w:val="true"/>
          <w:lang w:bidi="fa-IR"/>
        </w:rPr>
        <w:t>.</w:t>
      </w:r>
    </w:p>
    <w:p>
      <w:pPr>
        <w:pStyle w:val="Heading3"/>
        <w:numPr>
          <w:ilvl w:val="2"/>
          <w:numId w:val="1"/>
        </w:numPr>
        <w:rPr/>
      </w:pPr>
      <w:bookmarkStart w:id="274" w:name="__RefHeading___Toc561440_1395250215"/>
      <w:bookmarkStart w:id="275" w:name="_Toc110"/>
      <w:bookmarkEnd w:id="274"/>
      <w:r>
        <w:rPr>
          <w:rtl w:val="true"/>
        </w:rPr>
        <w:t>واژگان کلیدی</w:t>
      </w:r>
      <w:bookmarkEnd w:id="2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عقلی، دل سپردن، تدین، اعتقاد، واجب اعتقادی، معرفت الله</w:t>
      </w:r>
      <w:r>
        <w:rPr>
          <w:rFonts w:eastAsia="IRNazanin" w:cs="IRNazanin"/>
          <w:color w:val="111111"/>
          <w:sz w:val="28"/>
          <w:szCs w:val="28"/>
          <w:rtl w:val="true"/>
          <w:lang w:bidi="fa-IR"/>
        </w:rPr>
        <w:t>.</w:t>
      </w:r>
      <w:bookmarkStart w:id="276" w:name="pg2631_17679"/>
    </w:p>
    <w:p>
      <w:pPr>
        <w:pStyle w:val="Heading3"/>
        <w:numPr>
          <w:ilvl w:val="2"/>
          <w:numId w:val="1"/>
        </w:numPr>
        <w:rPr/>
      </w:pPr>
      <w:bookmarkStart w:id="277" w:name="__RefHeading___Toc561442_1395250215"/>
      <w:bookmarkStart w:id="278" w:name="_Toc111"/>
      <w:bookmarkEnd w:id="276"/>
      <w:bookmarkEnd w:id="277"/>
      <w:r>
        <w:rPr>
          <w:rtl w:val="true"/>
        </w:rPr>
        <w:t>مقدمه</w:t>
      </w:r>
      <w:bookmarkEnd w:id="278"/>
    </w:p>
    <w:p>
      <w:pPr>
        <w:pStyle w:val="BookText"/>
        <w:rPr/>
      </w:pPr>
      <w:r>
        <w:rPr>
          <w:rFonts w:ascii="IRNazanin" w:hAnsi="IRNazanin" w:eastAsia="IRNazanin"/>
          <w:color w:val="111111"/>
          <w:sz w:val="28"/>
          <w:sz w:val="28"/>
          <w:szCs w:val="28"/>
          <w:rtl w:val="true"/>
          <w:lang w:bidi="fa-IR"/>
        </w:rPr>
        <w:t>یکی از مباحث بسیار مهم و اثرگذار در اعتقادات، تعیین مقصود اصلی از واجبات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اعتقادی، چه چیزی مقصود اصلی و نهایی است؟ آیا معرفت و شناخت مقصود اصلی است و یا تدین و اعتقاد داشتن؟ با وجود اهمیت فراوان بحث حاضر، متکلمان در کتاب های کلامی به این بحث نپرداخته اند و تنها در کتاب های متأخر اصولی به آن اشاره شده است؛ که سزاوار است عنوان جدیدی در مباحث کلامی شکل بگیرد و عهده دار بحث از مقصود اصلی در اعتقادات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ثمرات بحث حاضر می توان به اثرگذاری آن در حجیت ظنون اعتقادی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در اعتقادات، امکان تعبد به ظنون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متفکران اسلامی معتقدند ظنون اعتقادی حجیت ندارند، زیرا اثر عملی بر آن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سند،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زمانی استوار خواهد ماند که هدف اصلی در اعتقادات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ولی اگر هدف اصلی در اعتقادات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ـ که خود از جملۀ افعال است ـ، در این صورت می توان برای تعبد به ظنون اعتقادی به مانند ظنون فقهی، اثر عملی در نظر گرفت و به تبع، ظنون اعتقادی را نیز از حجیت لازم برخوردار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مقصود اصلی و نهایی از واجبات اعتقادی، دو دیدگاه معروف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معرفت و 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تدین و اعتقادورزی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معترفند شناختِ بدون تدین، تأمین کنندۀ هدف از وجوب اعتقادی نیست و برعکس؛ تدین بدون شناخت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ممکن است این مطلب به ذهن برسد که بحث حاضر ثمرۀ خاصی ندارد؛ به هر حال، چه مقصود اصلی تدین باشد یا شناخت عقلی، طرف دیگر نیز خود 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فرق میان این دو دیدگاه می توان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کلامی، افعال از لحاظی به دو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مباشر و فعل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مباشر فعلی است که ابتدائاً با قدرت و اختیار انسان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متولد فعلی است که قهراً و بدون اختیار از فعل دیگر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کلام معتقدند فعل متولد، چون مورد مدح و ذم قرار می گیرد و متولد از فعل اختیاری انسان است، منسوب به انسان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شخصی می تواند چیزی را در آتش بیندازد؛ این عملِ وی بوده و اختیاری است، ولی پس از افتادن در آتش، عمل سوزاندن فعل غیراختیاری و متولد از فعلِ پیشین است</w:t>
      </w:r>
      <w:r>
        <w:rPr>
          <w:rFonts w:eastAsia="IRNazanin" w:cs="IRNazanin"/>
          <w:color w:val="111111"/>
          <w:sz w:val="28"/>
          <w:szCs w:val="28"/>
          <w:rtl w:val="true"/>
          <w:lang w:bidi="fa-IR"/>
        </w:rPr>
        <w:t>.</w:t>
      </w:r>
      <w:bookmarkStart w:id="279" w:name="pg2631_17680"/>
    </w:p>
    <w:p>
      <w:pPr>
        <w:pStyle w:val="BookText"/>
        <w:rPr/>
      </w:pPr>
      <w:bookmarkEnd w:id="279"/>
      <w:r>
        <w:rPr>
          <w:rFonts w:ascii="IRNazanin" w:hAnsi="IRNazanin" w:eastAsia="IRNazanin"/>
          <w:color w:val="111111"/>
          <w:sz w:val="28"/>
          <w:sz w:val="28"/>
          <w:szCs w:val="28"/>
          <w:rtl w:val="true"/>
          <w:lang w:bidi="fa-IR"/>
        </w:rPr>
        <w:t>اگر شناخت را مقصود اصلی بدانیم و اعتقاد را نتیجۀ قهری آن، شناخت، فعل مباشر خواهد بود و اعتقاد و تدین فعل متولد، ولی اگر تدین مانند شناخت، اختیاری بوده و مقصود اصلی در عقاید باشد، در این صورت، هردو فعل مباشر خواهند بود؛ هرچند شناخت، مقدمه و اعتقاد ذی المقدمه خواهد بود، مانند 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اصول فقه نیز در تبیین رابطه میان مقدمه و ذی المقدمه، بر اختیاری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عرض این دو دیدگاه می توان به دیدگاه دیگری نیز اشاره کرد که از جهت مبنا کاملاً با این دو دیدگاه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شناخت از جمله امور مشترک میان این دو دیدگاه است و اختیاری بودن یا نبودن تدین مورد اختلاف آن هاست، ولی از لوازم دیدگاه سوم که دیدگاه فلسفی است، شناخت و تدین هر دو امری قهری و غیر اختیاری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مکاتب فلسفی، تصدیق نتیجۀ قهریِ تصور، و تصور هم نتیجۀ قهریِ علل خارجی است و علل خارجی هم که بنا بر قانون علیت سرانجام به علت العلل ـ که خداوند است ـ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برنجکار،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نه تصور و شناخت می تواند متعلق تکلیف باشد نه تصدیق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یک از دو نظریۀ مزبور مورد تأیید فلسفه هایی چون فلسفۀ ابن سینا و ملاصدرا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دیدگاه سوم پرداخته نخواهد شد، زیرا از بحث فعلی خارج است؛ علاوه بر این که از جهت نقد نیز با همان اشکالات دیدگاه اول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برای این که این بحث به خوبی تنقیح شود، می توان از تطبیق این مبحث بر یکی از واجبات اعتقادی، مثل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بحث را با این مصداق مطابقت داده و به تبیین، نقد و بررسی ادلۀ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مشخص خواهد شد که در این اصل اعتقادی، شناخت مقصود اصلی است یا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که معرفت عقلی، مقصود اصلی از واجبات اعتقادی است یا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وجوب شناخت یا تدین ثابت شود؛ ثانیاً، نفسی بودن یکی از این دو با ادله تثبیت گردد تا در سایۀ آن، دیگری مقدمه یا شرط متأخر تلقی شود</w:t>
      </w:r>
      <w:r>
        <w:rPr>
          <w:rFonts w:eastAsia="IRNazanin" w:cs="IRNazanin"/>
          <w:color w:val="111111"/>
          <w:sz w:val="28"/>
          <w:szCs w:val="28"/>
          <w:rtl w:val="true"/>
          <w:lang w:bidi="fa-IR"/>
        </w:rPr>
        <w:t>.</w:t>
      </w:r>
    </w:p>
    <w:p>
      <w:pPr>
        <w:pStyle w:val="Heading3"/>
        <w:numPr>
          <w:ilvl w:val="2"/>
          <w:numId w:val="1"/>
        </w:numPr>
        <w:rPr/>
      </w:pPr>
      <w:bookmarkStart w:id="280" w:name="__RefHeading___Toc561444_1395250215"/>
      <w:bookmarkStart w:id="281" w:name="_Toc112"/>
      <w:bookmarkEnd w:id="280"/>
      <w:r>
        <w:rPr>
          <w:rtl w:val="true"/>
        </w:rPr>
        <w:t>دیدگاه اول</w:t>
      </w:r>
      <w:r>
        <w:rPr>
          <w:rtl w:val="true"/>
        </w:rPr>
        <w:t xml:space="preserve">: </w:t>
      </w:r>
      <w:r>
        <w:rPr>
          <w:rtl w:val="true"/>
        </w:rPr>
        <w:t>شناخت و معرفت عقلی</w:t>
      </w:r>
      <w:bookmarkEnd w:id="281"/>
    </w:p>
    <w:p>
      <w:pPr>
        <w:pStyle w:val="Heading4"/>
        <w:numPr>
          <w:ilvl w:val="3"/>
          <w:numId w:val="1"/>
        </w:numPr>
        <w:rPr/>
      </w:pPr>
      <w:bookmarkStart w:id="282" w:name="__RefHeading___Toc561446_1395250215"/>
      <w:bookmarkStart w:id="283" w:name="_Toc113"/>
      <w:bookmarkEnd w:id="282"/>
      <w:r>
        <w:rPr>
          <w:rtl w:val="true"/>
        </w:rPr>
        <w:t>اشاره</w:t>
      </w:r>
      <w:bookmarkEnd w:id="2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اندیشمندان معتقدند، مقصود اصلی در اعتقادات همان شناخت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تدین نتیجۀ قهری و غیرارادیِ شناخت است و نظر و استدلال نیز مقدمۀ آن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تطبیق این بحث در مسئلۀ توحید، ابتدا به ذکر ادلۀ اثبات وجوب معرفت الله اشاره می شود و در ادامه، به وجوب نفسی بودن آن پرداخته خواهد شد</w:t>
      </w:r>
      <w:r>
        <w:rPr>
          <w:rFonts w:eastAsia="IRNazanin" w:cs="IRNazanin"/>
          <w:color w:val="111111"/>
          <w:sz w:val="28"/>
          <w:szCs w:val="28"/>
          <w:rtl w:val="true"/>
          <w:lang w:bidi="fa-IR"/>
        </w:rPr>
        <w:t>.</w:t>
      </w:r>
      <w:bookmarkStart w:id="284" w:name="pg2631_17681"/>
    </w:p>
    <w:p>
      <w:pPr>
        <w:pStyle w:val="Heading4"/>
        <w:numPr>
          <w:ilvl w:val="3"/>
          <w:numId w:val="1"/>
        </w:numPr>
        <w:rPr/>
      </w:pPr>
      <w:bookmarkStart w:id="285" w:name="__RefHeading___Toc561448_1395250215"/>
      <w:bookmarkStart w:id="286" w:name="_Toc114"/>
      <w:bookmarkEnd w:id="284"/>
      <w:bookmarkEnd w:id="285"/>
      <w:r>
        <w:rPr>
          <w:rtl w:val="true"/>
        </w:rPr>
        <w:t>ادله وجوب معرفت الله</w:t>
      </w:r>
      <w:bookmarkEnd w:id="286"/>
    </w:p>
    <w:p>
      <w:pPr>
        <w:pStyle w:val="Heading5"/>
        <w:numPr>
          <w:ilvl w:val="4"/>
          <w:numId w:val="1"/>
        </w:numPr>
        <w:rPr/>
      </w:pPr>
      <w:bookmarkStart w:id="287" w:name="__RefHeading___Toc561450_1395250215"/>
      <w:bookmarkStart w:id="288" w:name="_Toc11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برای اثبات وجوب شناخت خداوند از دلایل عقلی و نقلیِ گوناگونی استفاده شده است، که مهم ترین آن ها عبارتند از</w:t>
      </w:r>
      <w:r>
        <w:rPr>
          <w:rFonts w:eastAsia="IRNazanin" w:cs="IRNazanin"/>
          <w:color w:val="111111"/>
          <w:sz w:val="28"/>
          <w:szCs w:val="28"/>
          <w:rtl w:val="true"/>
          <w:lang w:bidi="fa-IR"/>
        </w:rPr>
        <w:t>:</w:t>
      </w:r>
    </w:p>
    <w:p>
      <w:pPr>
        <w:pStyle w:val="Heading5"/>
        <w:numPr>
          <w:ilvl w:val="4"/>
          <w:numId w:val="1"/>
        </w:numPr>
        <w:rPr/>
      </w:pPr>
      <w:bookmarkStart w:id="289" w:name="__RefHeading___Toc561452_1395250215"/>
      <w:bookmarkStart w:id="290" w:name="_Toc116"/>
      <w:bookmarkEnd w:id="289"/>
      <w:r>
        <w:rPr>
          <w:rtl w:val="true"/>
        </w:rPr>
        <w:t>وجوب شکر منعم</w:t>
      </w:r>
      <w:bookmarkEnd w:id="290"/>
    </w:p>
    <w:p>
      <w:pPr>
        <w:pStyle w:val="BookText"/>
        <w:rPr/>
      </w:pPr>
      <w:r>
        <w:rPr>
          <w:rFonts w:ascii="IRNazanin" w:hAnsi="IRNazanin" w:eastAsia="IRNazanin"/>
          <w:color w:val="111111"/>
          <w:sz w:val="28"/>
          <w:sz w:val="28"/>
          <w:szCs w:val="28"/>
          <w:rtl w:val="true"/>
          <w:lang w:bidi="fa-IR"/>
        </w:rPr>
        <w:t>به لحاظ نعمت های فراوان در پیرامون انسان باید به بداهت عقلی، لزوم شکر منعم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از کسی که این همه نعمت را در اختیار انسان قرار داده، عقلاً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از چنین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ای بدون شناخت او ممکن نخواهد بود؛ پس عقلاً شناخت منعم و خداوند لازم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291" w:name="__RefHeading___Toc561454_1395250215"/>
      <w:bookmarkStart w:id="292" w:name="_Toc117"/>
      <w:bookmarkEnd w:id="291"/>
      <w:r>
        <w:rPr>
          <w:rtl w:val="true"/>
        </w:rPr>
        <w:t>دفع ضرر محتمل</w:t>
      </w:r>
      <w:bookmarkEnd w:id="292"/>
    </w:p>
    <w:p>
      <w:pPr>
        <w:pStyle w:val="BookText"/>
        <w:rPr/>
      </w:pPr>
      <w:r>
        <w:rPr>
          <w:rFonts w:ascii="IRNazanin" w:hAnsi="IRNazanin" w:eastAsia="IRNazanin"/>
          <w:color w:val="111111"/>
          <w:sz w:val="28"/>
          <w:sz w:val="28"/>
          <w:szCs w:val="28"/>
          <w:rtl w:val="true"/>
          <w:lang w:bidi="fa-IR"/>
        </w:rPr>
        <w:t>دربارۀ وجود خداوند، آرای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پذیرش یا انکار صانعِ عالَم، نتایج بسیار عظیمی در سعادت و شقاوت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عالَم، صانع داشته باشد و شخص مکلف، به انکار او دست بزند، گرفتار شقاوت ابدی شده و ضرر عظیمی متوجه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جهت دفع ضرر محتمل باید خداوند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سبزواری،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293" w:name="__RefHeading___Toc561456_1395250215"/>
      <w:bookmarkStart w:id="294" w:name="_Toc118"/>
      <w:bookmarkEnd w:id="293"/>
      <w:r>
        <w:rPr>
          <w:rtl w:val="true"/>
        </w:rPr>
        <w:t>نصوص</w:t>
      </w:r>
      <w:bookmarkEnd w:id="294"/>
    </w:p>
    <w:p>
      <w:pPr>
        <w:pStyle w:val="BookText"/>
        <w:rPr/>
      </w:pPr>
      <w:r>
        <w:rPr>
          <w:rFonts w:ascii="IRNazanin" w:hAnsi="IRNazanin" w:eastAsia="IRNazanin"/>
          <w:color w:val="111111"/>
          <w:sz w:val="28"/>
          <w:sz w:val="28"/>
          <w:szCs w:val="28"/>
          <w:rtl w:val="true"/>
          <w:lang w:bidi="fa-IR"/>
        </w:rPr>
        <w:t>در برخی نصوص، مانند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که به وجود خداوند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نیز لازم 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و در مسئلۀ توحید علم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اجماع به عدم فصل میان توحید و سایر اصول عقاید قائم است؛ پس در همۀ اصول عقاید باید به دنبال شناخت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حائری خراسانی بیارجمندی،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295" w:name="__RefHeading___Toc561458_1395250215"/>
      <w:bookmarkStart w:id="296" w:name="_Toc119"/>
      <w:bookmarkEnd w:id="295"/>
      <w:r>
        <w:rPr>
          <w:rtl w:val="true"/>
        </w:rPr>
        <w:t>اجماع</w:t>
      </w:r>
      <w:bookmarkEnd w:id="2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آرا و افکار اندیشمندان اسلامی نشان می دهد، جملگی بر وجوب معرفت الله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w:t>
      </w:r>
      <w:bookmarkStart w:id="297" w:name="pg2631_17682"/>
    </w:p>
    <w:p>
      <w:pPr>
        <w:pStyle w:val="Heading4"/>
        <w:numPr>
          <w:ilvl w:val="3"/>
          <w:numId w:val="1"/>
        </w:numPr>
        <w:rPr/>
      </w:pPr>
      <w:bookmarkStart w:id="298" w:name="__RefHeading___Toc561460_1395250215"/>
      <w:bookmarkStart w:id="299" w:name="_Toc120"/>
      <w:bookmarkEnd w:id="297"/>
      <w:bookmarkEnd w:id="298"/>
      <w:r>
        <w:rPr>
          <w:rtl w:val="true"/>
        </w:rPr>
        <w:t>ادله وجوب نفسی شناخت و معرفت عقلی</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شرایط عمومی تکلیف آن است که فعل، مقدورِ مکلف باشد؛ عقلاً صحیح نیست کسی را به فعل غیرمقدورش تکلیف کرد، زیرا مستلزم تکلیف به مالایطاق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اعتقادات دو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مسئلۀ اعتقادی، و تدین یا دل سپردن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گزارۀ اعتقادی، فعل اختیاری نیست، بلکه از امور نفسانی و حالات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خشوع، خوف، رجاء، رضایت و امثال آن تابع مبادی خود است و هر زمان که این مبادی در نفس ایجاد شود، حالت های مذکور نیز بدون درنگ شکل می گیرد و اگر این مبادی به وجود نیاید، محال است حالت های مذکور نمایان شود، زیرا معلول در وجود و عدم خود تابع علت تامه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حالات قلبیِ مذکور معلول علم و شناخت امر اعتقادی است، به گونه ای که تا شناخت گزارۀ اعتقادی حاصل نشود، امکان دل سپردن به آن وجود نخواهد داشت و هر آن که حاصل شد، امکان تخلف و عدم تدین به آن نیز منتفی خواهد شد؛ در نتیجه باید تکلیف به مبادی تدین ـ که از جمله امور اختیاری است ـ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اعتقادات لازم و ضروری است، دست یابی به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چنین توهم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التزام قلبی برخلاف یقین موجود در نفس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زبانی است، نه التزام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لاریجانی،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آیه منافی با تقریر ذکر 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منعم مراتبی دارد؛ گاه با دانستن منعم شکر وی به جا آورده می شود، گاه با حالت روحی خضوع و خشوع در برابر وی این شکر محقق می شود و گاه نیز با عمل کردن و به کارگیری زبان و گوش و تمام اعضای بدن در راستای همان هدفی که خداوند آن ها را در نهاد انسان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منعم به خودیِ خود نه تنها از مراتب شکر به حساب می آید، بلکه از برترین مراتب شکر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استدلال بر مطلب حاضر بدین جهت است که در واقع با استدلال مذکور، وجوب نفسیِ معرفت عقلی ثابت شده است نه وجوب مقدمی؛ به عبارت دیگر، دلیل مذکور خودِ شناخت عقلی را ـ فارغ از به دنبال داشتن یا نداشتن تدین ـ در نظر گرفته و حکم به وجوب آن کرده است</w:t>
      </w:r>
      <w:r>
        <w:rPr>
          <w:rFonts w:eastAsia="IRNazanin" w:cs="IRNazanin"/>
          <w:color w:val="111111"/>
          <w:sz w:val="28"/>
          <w:szCs w:val="28"/>
          <w:rtl w:val="true"/>
          <w:lang w:bidi="fa-IR"/>
        </w:rPr>
        <w:t>.</w:t>
      </w:r>
      <w:bookmarkStart w:id="300" w:name="pg2631_17683"/>
    </w:p>
    <w:p>
      <w:pPr>
        <w:pStyle w:val="Heading4"/>
        <w:numPr>
          <w:ilvl w:val="3"/>
          <w:numId w:val="1"/>
        </w:numPr>
        <w:rPr/>
      </w:pPr>
      <w:bookmarkStart w:id="301" w:name="__RefHeading___Toc561462_1395250215"/>
      <w:bookmarkStart w:id="302" w:name="_Toc121"/>
      <w:bookmarkEnd w:id="300"/>
      <w:bookmarkEnd w:id="301"/>
      <w:r>
        <w:rPr>
          <w:rtl w:val="true"/>
        </w:rPr>
        <w:t>نقد و برسی</w:t>
      </w:r>
      <w:bookmarkEnd w:id="302"/>
    </w:p>
    <w:p>
      <w:pPr>
        <w:pStyle w:val="BookText"/>
        <w:rPr/>
      </w:pPr>
      <w:r>
        <w:rPr>
          <w:rFonts w:ascii="IRNazanin" w:hAnsi="IRNazanin" w:eastAsia="IRNazanin"/>
          <w:color w:val="111111"/>
          <w:sz w:val="28"/>
          <w:sz w:val="28"/>
          <w:szCs w:val="28"/>
          <w:rtl w:val="true"/>
          <w:lang w:bidi="fa-IR"/>
        </w:rPr>
        <w:t>در اولین استدلالِ اقامه شده برای اثبات وجوب نفسی معرفت عقلی، این پیش فرض لحاظ شده که اعتقاد نتیجۀ قهری شناخت است، در حالی که اگر در خصوص تصدیق ذهنی این پیش فرض پذیرفته شود، دربارۀ تصدیق قلبی که عملی اختیاری است، این پیش فرض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وجدان می یابیم که با فهم درستیِ مطلبی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به آن دل بسپریم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ایمان به خدا، بلکه تصدیق قلبی به هر حقیقتی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کفر کافران نیز عدم دل سپردن به خدا و دین است، نه فقط عدم بیان اعتقاد به خدا یا نشناختن خدا، چون عدم بیان اعتقاد، صرفاً دروغ است نه کفر، و نشناختنِ واقعیت باعث کفر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نیز یکی از واجبات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کسانی که معرفت را واجب اصلی می دانند با توجه به این دلیل در صددند اثبات کنند تدین، نتیجۀ قهری و غیرارادیِ علم و شناخت است؛ به همین جهت نیز تکلیف به علم تعلق گرفته است، 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این استدلال را نقد کرد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توضیح این که، پیروان هر دو دیدگاه قبول دارند معرفت</w:t>
      </w:r>
      <w:r>
        <w:rPr>
          <w:rStyle w:val="FootnoteAnchor"/>
          <w:rtl w:val="true"/>
        </w:rPr>
        <w:footnoteReference w:id="37"/>
      </w:r>
      <w:r>
        <w:rPr>
          <w:rFonts w:ascii="IRNazanin" w:hAnsi="IRNazanin" w:eastAsia="IRNazanin"/>
          <w:color w:val="111111"/>
          <w:sz w:val="28"/>
          <w:sz w:val="28"/>
          <w:szCs w:val="28"/>
          <w:rtl w:val="true"/>
          <w:lang w:bidi="fa-IR"/>
        </w:rPr>
        <w:t>و یا تذکر به معرفت</w:t>
      </w:r>
      <w:r>
        <w:rPr>
          <w:rStyle w:val="FootnoteAnchor"/>
          <w:rtl w:val="true"/>
        </w:rPr>
        <w:footnoteReference w:id="38"/>
      </w:r>
      <w:r>
        <w:rPr>
          <w:rFonts w:ascii="IRNazanin" w:hAnsi="IRNazanin" w:eastAsia="IRNazanin"/>
          <w:color w:val="111111"/>
          <w:sz w:val="28"/>
          <w:sz w:val="28"/>
          <w:szCs w:val="28"/>
          <w:rtl w:val="true"/>
          <w:lang w:bidi="fa-IR"/>
        </w:rPr>
        <w:t>امری اختیاری است و اختلافشان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تدین به متعلق شناخت، اختیاری است یا اضطراری؟ پیروان دیدگاه اول معتقدند نمی توان چیزی را شناخت، ولی به متعلق آن دل نسپرد و از تدین ورزی بدان ممانعت کرد و اگر کسی خلاف شناخت خود را به زبان می آورد، حاکی از تدین ورزی بر طبق گفتارش نیست، بلکه او در مرحلۀ زبان مخالفت خود را ابراز می کند و در مرحلۀ قلب با شناخت خود هم سوست؛ ولی پیروان دیدگاه دوم معتقدند دل سپردن فعل اضطراری انسان نیست، بلکه فرد می تواند به چیزی که شناخته است تدین نورزد و دست به انکار قلبی بزند، نه صرفاً انکار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نزاعی مبنایی در باب کیفیت اختیاری بودن افعال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نظریۀ اول باید گفت، اراده همان گونه که در مرحلۀ معرفت حضور دارد ـ هم چنان که پیروان نظریۀ اول آن را می پذیرند ـ، در مرحلۀ تصدیق و میل و عمل بیرونی نیز وجود دارد،</w:t>
      </w:r>
    </w:p>
    <w:p>
      <w:pPr>
        <w:pStyle w:val="BookText"/>
        <w:rPr/>
      </w:pPr>
      <w:r>
        <w:rPr>
          <w:rFonts w:ascii="IRNazanin" w:hAnsi="IRNazanin" w:eastAsia="IRNazanin"/>
          <w:color w:val="111111"/>
          <w:sz w:val="28"/>
          <w:sz w:val="28"/>
          <w:szCs w:val="28"/>
          <w:rtl w:val="true"/>
          <w:lang w:bidi="fa-IR"/>
        </w:rPr>
        <w:t>زیرا علاوه بر دلالت وجدان و علم حضوری، می توان به تعلق امر و نهی و ثواب و عقاب به آن ها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تعقل، تذکر و اعتبار را ستوده و بدان ها امر کرده و کسانی را که تفکر و تعقل را ترک می کنند، نکوهیده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آیات قرآنی، مؤمنان را به اجتناب از گمان تکلیف کرده و برخی گمان ها را نیز گناه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حضور اراده در میل نیز باید به نمونه هایی اشاره کرد که عقاب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کسانی که به اشاعۀ فحشا در میان مؤمنان علاقه دارند، عذاب دردناک در نظر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دوستی با دشمنان خدا نهی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کسانی که به لقای خدا امید ندارند و به زندگی دنیا خشنودند، کیفر آتش در نظر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اختیاری بودن اراده نیز باید به آیات و احادیثی اشاره کرد که از اراده به صورت یکی از افعال انسان یا خدا سخن به میان آورده و به اراده های مختلف، حسن و قبح، امر و نهی، کیفر و پاداش تعلق گرفته است؛ مثلاً قرآن، بهشت را به کسانی بشارت می دهد که ارادۀ علو و برتری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را نیز می توان از جمله روایات ناظر بر نقش نیت و اراده در کیفر و پاداش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هریک از این موارد می توان احادیث فراوانی را شاهد آورد که جهت اختصار، تنها بر شواهد قرآنی و نمونه ای از احادیث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امور می توان گفت، اراده فقط در مرحلۀ معرفت نیست تا تدین را غیر ارادی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ممکن است با تصورات انسان همراه باشد، همان گونه که ممکن است با تصدیقات قرین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و تبیین دیدگاه دوم، دلایل دیگری نیز جهت اثبات ارادی بودن تدین اقامه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استدلال مزبور این است که اگر فرض کنیم اعتقاد و تدین قهراً بعد از شناخت حاصل می شود، و چون شناخت که مقدمۀ تدین است در استدلال اختیاری دانسته شد، پس تدین نیز اختیاری خواهد بود، زیرا امری که مقدماتش اختیاری باشد و بتوان با اختیار به آن دست یافت خودش نیز اختیاری تلقی می شود و مقدورِ باواسطه نیز از جمله افعال اختیاریِ</w:t>
      </w:r>
      <w:bookmarkStart w:id="303" w:name="pg2631_17685"/>
    </w:p>
    <w:p>
      <w:pPr>
        <w:pStyle w:val="BookText"/>
        <w:rPr/>
      </w:pPr>
      <w:bookmarkEnd w:id="303"/>
      <w:r>
        <w:rPr>
          <w:rFonts w:ascii="IRNazanin" w:hAnsi="IRNazanin" w:eastAsia="IRNazanin"/>
          <w:color w:val="111111"/>
          <w:sz w:val="28"/>
          <w:sz w:val="28"/>
          <w:szCs w:val="28"/>
          <w:rtl w:val="true"/>
          <w:lang w:bidi="fa-IR"/>
        </w:rPr>
        <w:t>مکلف است و می تواند هدف اصلی از وجوب باشد؛ بنابراین، مانعی وجود ندارد که اعتقاد و تدین را واجب اصلی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دلیل دومِ نظریۀ نخست باید گفت، آنچه با دلیل مذکور ثابت می شود تعلق وجوب به اصل معرفت و شناخت است، و این که شناخت خدا از مراتب شکر علمی است؛ اما این دلیل اثبات نمی کند که شناخت، مقصود اصلی در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ادلۀ اثبات کنندۀ وجوب معرفت با ادلۀ وجوب نفسی بودن شناخت عقلی ضمیمه شود، می تواند نتیجه بدهد تدین مقصود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دلیل اثبات کنندۀ وجوب نفسی بودن معرفت عقلی و غیراختیاری بودن تدین با چالش رو به رو شد، در این صورت، دلایل اثبات کنندۀ وجوب معرفت نمی تواند مقصود اصلی بودن آن را اثبات کند، بلکه با ضمیمه شدن این ادله با ادلۀ دالّ بر وجوب تدین و اختیاری بودن آن و نفسی بودن تدین ثابت خواهد کرد شناخت، مقدمۀ تدین بوده و تدین نیز مقصود اصلی از اعتقادات است</w:t>
      </w:r>
      <w:r>
        <w:rPr>
          <w:rFonts w:eastAsia="IRNazanin" w:cs="IRNazanin"/>
          <w:color w:val="111111"/>
          <w:sz w:val="28"/>
          <w:szCs w:val="28"/>
          <w:rtl w:val="true"/>
          <w:lang w:bidi="fa-IR"/>
        </w:rPr>
        <w:t>.</w:t>
      </w:r>
    </w:p>
    <w:p>
      <w:pPr>
        <w:pStyle w:val="Heading3"/>
        <w:numPr>
          <w:ilvl w:val="2"/>
          <w:numId w:val="1"/>
        </w:numPr>
        <w:rPr/>
      </w:pPr>
      <w:bookmarkStart w:id="304" w:name="__RefHeading___Toc561464_1395250215"/>
      <w:bookmarkStart w:id="305" w:name="_Toc122"/>
      <w:bookmarkEnd w:id="304"/>
      <w:r>
        <w:rPr>
          <w:rtl w:val="true"/>
        </w:rPr>
        <w:t xml:space="preserve">دیدگاه دوم </w:t>
      </w:r>
      <w:r>
        <w:rPr>
          <w:rtl w:val="true"/>
        </w:rPr>
        <w:t xml:space="preserve">: </w:t>
      </w:r>
      <w:r>
        <w:rPr>
          <w:rtl w:val="true"/>
        </w:rPr>
        <w:t>وجوب تدین</w:t>
      </w:r>
      <w:bookmarkEnd w:id="305"/>
    </w:p>
    <w:p>
      <w:pPr>
        <w:pStyle w:val="Heading4"/>
        <w:numPr>
          <w:ilvl w:val="3"/>
          <w:numId w:val="1"/>
        </w:numPr>
        <w:rPr/>
      </w:pPr>
      <w:bookmarkStart w:id="306" w:name="__RefHeading___Toc561466_1395250215"/>
      <w:bookmarkStart w:id="307" w:name="_Toc12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بسیاری از اندیشمندان اسلامی معتقدند، شناخت و معرفت اصول عقاید هرچند لازم و ضروری است، ولی نه به عنوان واجب مستقل و نفسی، بلکه به جهت مقدمه بودن برای اعتقاد و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به امور اعتقادی واجب نفسی است، و این تدین بدون شناخت امور اعتقادی امکان پذیر نیست؛ پس علم و معرفت به عقاید، مقدمۀ حصول تدین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مرعشی نجفی،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فیروزآبادی،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حکیم،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مروج،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308" w:name="__RefHeading___Toc561468_1395250215"/>
      <w:bookmarkStart w:id="309" w:name="_Toc124"/>
      <w:bookmarkEnd w:id="308"/>
      <w:r>
        <w:rPr>
          <w:rtl w:val="true"/>
        </w:rPr>
        <w:t>ادله وجوب تدین</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همیشه به فعل اختیاری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 و دل سپردن، دل سپردن اختیاری و علم غیراختیاری است، زیرا حصول علم و ظن از روی ادله با اختیار نیست و چنین نیست که پس از بررسی ادله و مشاهدۀ آن ها اختیار کنیم علم حاصل بشود یا نشود، بلکه اگر ادله قوی باشند قطعاً علم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اگر به حد اعلا نرسیده باشند، خود به خود ظن حاصل می شود؛ و اگر تلاش کنیم به جای ظن، علم ایجاد شود، تلاش بیهوده ای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روایاتی را که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 از تحت اختیار بشر خارج می دانند، نیز مؤید این امر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انصاری،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آشتیانی،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قابل مناقشه است، چون شناخت و تصور هم مانند تدین و تصدیق اختیاری است، هرچند به مقدماتش؛ از این رو، آیات متعددی از قرآن، کسانی را که تفکر و تعقل را ترک می کنند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تفکر و تعقل مقدمۀ رسیدن به شناخت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مستمر متشرعان، لزوم تدین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مسلمانان ـ اگر نگوییم همۀ آن ها ـ به عقاید الهیه قطع و یقین نداشتند، بلکه تدین به آن ها در نفسشان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قطع و یقین در اعتقادات لازم باشد، باید اغلب مسلمانان را مستحق عقوبت بدانیم و حتی فراتر از آن؛ باید کسی را که ظن به یکی از عقاید و علم به سایر اعتقادات دارد در زمرۀ کفار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 این دلیل مناقشه کرد که در این گونه موارد که قطع برای فردی حاصل نمی شود، دلایل اجمالی و اعتقاد اجمالی برای آن ها وجود داشته؛ پس آن ها علم به معتقَد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نقد مستحکم نیست، زیرا احتمال وجود عقیدۀ اجمالی نمی تواند ثابت کند قطعاً آن ها چنین علم و اعتقاد اجمالی داشتند؛ به عبارت دیگر، صرف احتمال وجود اعتقاد اجمالی، سندی برای وجود این حالت در میان مسلمانان نیست، بلکه باید شاهد تاریخی قوی و واضح تری برای این ادعا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دلیل مزبور، عدم وجوب قطع در همۀ عقاید و کفایت ظن برای تدین در برخی عقاید را بیان می کند، نه این که مقصود اصلی در عقاید شناخت است یا عقیده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عقل به تحصیل علم و یقین در امور اعتقادی حکم می کند، ولی این حکمِ عقل از باب دفع ضرر محتمل است؛ از این رو، وجوب نفسی برای طلب العلم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محتمل نیز با به دست آوردن علم بدون تدین دفع نمی شود؛ پس هدف اصلی از وجوب عقل، همان تدین به امور اعتقادی است، به گونه ای که اگر عبد بر صرف طلب علم اکتفا کند و پس از دست یابی به یقین متوقف شود نه تنها این کار وی حسن نیست، بلکه قبیح است؛ مخصوصاً اگر این کار وی به جحد و انکار هم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تدین برای اعتقادات لازم است و طلب علم، نقش مقدمۀ تدین را ایفا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روایاتی که دلالت دارند آنچه اولاً و بالذات در اعتقادات لازم است، همان تدین و دل سپردن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ادلۀ نقلی به چند دسته تقسیم می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وجود 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شهادتین در صدر اسلام اکتفا می کردند و مردم را به تحصیل علم امر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دلیل</w:t>
      </w:r>
    </w:p>
    <w:p>
      <w:pPr>
        <w:pStyle w:val="BookText"/>
        <w:rPr/>
      </w:pPr>
      <w:r>
        <w:rPr>
          <w:rFonts w:ascii="IRNazanin" w:hAnsi="IRNazanin" w:eastAsia="IRNazanin"/>
          <w:color w:val="111111"/>
          <w:sz w:val="28"/>
          <w:sz w:val="28"/>
          <w:szCs w:val="28"/>
          <w:rtl w:val="true"/>
          <w:lang w:bidi="fa-IR"/>
        </w:rPr>
        <w:t>است بر این که اقرار و اعتراف قلبی در اعتقادات لازم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میان علمای دین نیز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اخبار می توان به روایت ذیل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بِأُسَارَی فَأَمَرَ بِقَتْلِهِمْ خَلَا رَجُلًا مِنْ بَیْنِهِمْ فَقَالَ الرَّجُلُ بِأَبِی أَنْتَ وَ أُمِّی یَا مُحَمَّدُ کَیْفَ أَطْلَقْتَ عَنِّی مِنْ بَیْنِهِمْ فَقَالَ أَخْبَرَنِی جَبْرَئِیلُ عَنِ اللَّهِ عَزَّ وَ جَلَّ أَنَّ فِیکَ خَمْسَ خِصَالٍ یُحِبُّهَا اللَّهُ عَزَّ وَ جَلَّ وَ رَسُولُهُ الْغَیْرَةَ الشَّدِیدَةَ عَلَی حَرَمِکَ وَ السَّخَاءَ وَ حُسْنَ الْخُلُقِ وَ صِدْقَ اللِّسَانِ وَ الشَّجَاعَةَ فَلَمَّا سَمِعَهَا الرَّجُلُ أَسْلَمَ وَ حَسُنَ إِسْلَامُهُ وَ قَاتَلَ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 شَدِیداً حَتَّی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علی،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شخصِ اسیر شده پس از شنیدن علت عفو شدنش، به رسالت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اقرار را کافی دانستند و دستور به کسب علم پیش از اقرار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دلیل نیز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آن ها به مفاد اقرار و معتقَد خود علم نداشتند؟ مگر می شود کسی امری را نداند و به آن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شهادتین نمی توان تصور کرد شخصی خدا و پیامبرش را نشناخته، ولی در محضر پیامبر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قطعاً اعتقاد اجمالی به وجود خدا در نهاد آن ها بوده است، و به تفصیل و با ادله چنین اعتقادی را کسب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کفر را منوط به انکار کرده اند، نه مشروط به جهل و شک؛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 یَسَارِهِ وَ زُرَارَةُ عَنْ یَمِینِهِ فَدَخَلَ عَلَیْهِ أَبُوبَصِیرٍ فَقَالَ یَا أَبَا عَبْدِ اللَّهِ مَا تَقُولُ فِیمَنْ شَکَّ فِی اللَّهِ فَقَالَ کَافِرٌ یَا أَبَا مُحَمَّدٍ قَالَ فَشَکَّ فِی رَسُولِ اللَّهِ فَقَالَ کَافِرٌ قَالَ ثُمَّ الْتَفَتَ إِلَی زُرَارَةَ فَقَالَ إِنَّمَا یَکْفُرُ إِذَا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حر عاملی، بی 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ابتدا شک کننده در خدا و رسولش را کافر می داند، ولی بعد در ذیل روایت این حکم را تقیید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کافر است که در کنار شک خود دست به انکار نیز بزند، ولی مادامی که منکر نشده است،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اعتقادات، اساسی است همان تدین به امر اعتقادی است نه صرف علم، چون اگر صرف علم ملاک بود با وجود شک باید حکم به کفر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تدین را ملاک اعتقادات معرفی کرده اند، نه علم و یقین را؛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مِنْهُمُ النَّبِیِّینَ فَدَعَوْهُمْ إِلَی الْإِقْرَارِ بِاللَّهِ عَزَّوَ جَلَّ وَ هُوَ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دَعَوْهُمْ إِلَی الْإِقْرَارِ بِالنَّبِیِّینَ فَأَقَرَّ بَعْضُهُمْ وَ أَنْکَرَ بَعْضٌ ثُمَّ دَعَوْهُمْ إِلَی وَلَایَتِنَا فَأَقَرَّ بِهَا وَ اللَّهِ مَنْ أَحَبَّ وَ أَنْکَرَهَا مَنْ أَبْغَضَ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در روایت آمده، از تمام بندگان اقرار به توحید و نبوت و امامت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هدف اصلیِ اعتقادات است؛ البته شایستۀ یادآوری است این روایت در صدد نفی لزوم علم نیست، زیرا روایت مذکور از جمله روایات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قطعاً معرفت به خدا و رسول و امام داده شده و پس از آن، از بندگان اقرار به مفاد علم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بعد از علم حکایت می کند از این که اقرار، فعل غیر اختیاریِ مکلف نیست؛ 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تکلیف ما لاطاق پیش می آید و ثانیاً، لغویت رخ می دهد، چون کسی که علم دارد توان انکار مفاد علم خود را نخواهد داشت و نمی تواند به ضد معلوم خود متمایل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از بصر و سمع و فؤاد سؤال می شود؛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هارون 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قَالَ یُسْأَلُ السَّمْعُ عَمَّا سَمِعَ وَ الْبَصَرُ عَمَّا نَظَرَ إِلَیْهِ وَ الْفُؤَادُ عَمَّا عَقَدَ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از فؤاد صورت می گیرد از معتقد عنه وی است، نه از معلومش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 دهد هدف اصلی در اعتقادات، تدین و دل سپردن است و شناخت نیز مقدمۀ تدین است، زیرا اگر علم، مقصودِ اولاً و بالذات در اعتقادات بود و حصول حالت نفسانیِ دل سپردن غیراختیاری بود، چنین سؤالی معنادار نخواهد بود؛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 اصلی در اعتقادات همان تدین به امر اعتقادی است و ثانیاً، تدین مقدورِ بی واسطۀ هر مکلفی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90</w:t>
      </w:r>
      <w:r>
        <w:rPr>
          <w:rFonts w:eastAsia="IRNazanin" w:cs="IRNazanin"/>
          <w:color w:val="111111"/>
          <w:sz w:val="28"/>
          <w:szCs w:val="28"/>
          <w:rtl w:val="true"/>
          <w:lang w:bidi="fa-IR"/>
        </w:rPr>
        <w:t>).</w:t>
      </w:r>
      <w:bookmarkStart w:id="310" w:name="pg2631_17689"/>
    </w:p>
    <w:p>
      <w:pPr>
        <w:pStyle w:val="Heading3"/>
        <w:numPr>
          <w:ilvl w:val="2"/>
          <w:numId w:val="1"/>
        </w:numPr>
        <w:rPr/>
      </w:pPr>
      <w:bookmarkStart w:id="311" w:name="__RefHeading___Toc561470_1395250215"/>
      <w:bookmarkStart w:id="312" w:name="_Toc125"/>
      <w:bookmarkEnd w:id="310"/>
      <w:bookmarkEnd w:id="311"/>
      <w:r>
        <w:rPr>
          <w:rtl w:val="true"/>
        </w:rPr>
        <w:t>نتیجه نهایی</w:t>
      </w:r>
      <w:bookmarkEnd w:id="312"/>
    </w:p>
    <w:p>
      <w:pPr>
        <w:pStyle w:val="BookText"/>
        <w:rPr/>
      </w:pPr>
      <w:r>
        <w:rPr>
          <w:rFonts w:ascii="IRNazanin" w:hAnsi="IRNazanin" w:eastAsia="IRNazanin"/>
          <w:color w:val="111111"/>
          <w:sz w:val="28"/>
          <w:sz w:val="28"/>
          <w:szCs w:val="28"/>
          <w:rtl w:val="true"/>
          <w:lang w:bidi="fa-IR"/>
        </w:rPr>
        <w:t>در مقالۀ حاضر، به دو دیدگاه موجود در تعیین مقصود اصلی از اعتقادات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شناخت علمی و وجوب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دیدگاه نخست با توجه به دو دلیل، مقصود اصلی از اعتقادات را شناخت علمی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شناخت امری اختیاری است، ولی تدین نتیجۀ قهری شناخت است؛ از سویی، شناخت در مراتب شکر منعم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متن مقاله، هر دو دلیل نقد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دیدگاه دوم با تمسک به چهار دلیل، مقصود اصلی از اعتقادات را تدین و دل سپردن به امور اعتقادی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تدین امری اختیاری است، ولی شناخت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مدعی بودند سیرۀ مسلمانان بر لزوم تدین است نه لزوم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مقاله این دو دلیل، نقد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آن ها دلالت قاعدۀ دفع ضرر محتمل بر مقصود اصلی بودن تدین است، که با این دلیل در مقاله همراهی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دلیل چهارم به چهار دسته از نصوص دینی تمسک جستند که دستۀ اول با انتقاد روبه رو شد، ولی سایر نصوص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نوشتار، با قول به واجب اصلی بودن تدین در امور اعتقادی همراهی گردید و تدین، مقصود اصلی از اعتقادات معرفی شد</w:t>
      </w:r>
      <w:r>
        <w:rPr>
          <w:rFonts w:eastAsia="IRNazanin" w:cs="IRNazanin"/>
          <w:color w:val="111111"/>
          <w:sz w:val="28"/>
          <w:szCs w:val="28"/>
          <w:rtl w:val="true"/>
          <w:lang w:bidi="fa-IR"/>
        </w:rPr>
        <w:t>.</w:t>
      </w:r>
    </w:p>
    <w:p>
      <w:pPr>
        <w:pStyle w:val="Heading3"/>
        <w:numPr>
          <w:ilvl w:val="2"/>
          <w:numId w:val="1"/>
        </w:numPr>
        <w:rPr/>
      </w:pPr>
      <w:bookmarkStart w:id="313" w:name="__RefHeading___Toc561472_1395250215"/>
      <w:bookmarkStart w:id="314" w:name="_Toc126"/>
      <w:bookmarkEnd w:id="313"/>
      <w:r>
        <w:rPr>
          <w:rtl w:val="true"/>
        </w:rPr>
        <w:t>منابع</w:t>
      </w:r>
      <w:bookmarkEnd w:id="314"/>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محمد حسن بن جعفر،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 الفوائد، قم، کتابخانه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أصول الدین، به تحقیق 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الأمالی، بیروت، اعلمی،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الأصول، قم، دفتر انتشارات اسلامی،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به تحقیق سیداحمد حسینی، قم، مکتبة آیة الله مرعشی نجفی،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اراده در مبادی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و دانشگاه،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ابن سینا و اسپینوزا درباره ضرورت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های فلسفی کلامی،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علیت از دیدگاه ملاصدرا و اسپینوزا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انجمن معارف اسلامی، شماره چهارم،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شناسیِ علم کلام، قم، سازمان چاپ و نشر دارالحدیث،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 فی أصول الدین، بیروت، دارالکتب العلمیة،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خراسانی بیارجمندی، شیخ یوسف،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العروة، نجف، مطبعة النعمان،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علی‌بن 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به تصحیح علی اکبر غفاری، قم، جامعه مدرسین،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سیدمحسن،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حقائق الأصول، قم، کتابفروشی بصیرتی،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 الصلاح،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به تصحیح و تعلیق حسن حسن زاده آملی، قم، مؤسسة النشر الاسلامی،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الأصول،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تحریرات فی الأصول، قم، مؤسسه تنظیم و نشر آثار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قطب الدین،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الخلاصة فی علم الکلام، به کوشش رسول جعفریان، قم، کتاب خانه آیةالله مرعشی نجفی،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به تصحیح علی اکبر غفاری و محمد آخوندی، تهران، دارالکتب الإسلامیة،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الالهیه، به تحقیق محمد علی بحرالعلوم، تهران، فرمان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ضیاء الدین،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الأفکار، قم، دفتر انتشارات اسلامی،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سید مرتضی،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عنایة الأصول، قم، فیروزآبادی،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سیدامیرمحمد،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الآلوسی و التشیع، قم، مرکز الغدیر للدراسات الإسلامیة،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النور الساطع فی الفقه النافع، النجف الاشرف، منشورات مؤسسه</w:t>
      </w:r>
    </w:p>
    <w:p>
      <w:pPr>
        <w:pStyle w:val="BookText"/>
        <w:rPr/>
      </w:pPr>
      <w:r>
        <w:rPr>
          <w:rFonts w:ascii="IRNazanin" w:hAnsi="IRNazanin" w:eastAsia="IRNazanin"/>
          <w:color w:val="111111"/>
          <w:sz w:val="28"/>
          <w:sz w:val="28"/>
          <w:szCs w:val="28"/>
          <w:rtl w:val="true"/>
          <w:lang w:bidi="fa-IR"/>
        </w:rPr>
        <w:t>کاشف الغطاء العامه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صادق،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حدیث در تفسیر 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الهیات و حقوق،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دارإحیاء التراث العربی،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به تحقیق و تصحیح سید هاشم رسولی، تهران، دار الکتب الإسلامیة،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سیدشهاب الدین،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الرشید فی الاجتهاد و التقلید، به تقریر سیدعادل علوی، قم، کتاب خانه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سیدمحمدجعفر،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الدرایة، قم، دارالکتاب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خمینی، روح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الأصول، به تقریر جعفر سبحانی،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أنوارالهدایه، مؤسسه تنظیم و نشر آثار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bookmarkStart w:id="315" w:name="pg2631_17692"/>
    </w:p>
    <w:p>
      <w:pPr>
        <w:pStyle w:val="Heading2"/>
        <w:numPr>
          <w:ilvl w:val="1"/>
          <w:numId w:val="1"/>
        </w:numPr>
        <w:rPr/>
      </w:pPr>
      <w:bookmarkStart w:id="316" w:name="__RefHeading___Toc561474_1395250215"/>
      <w:bookmarkStart w:id="317" w:name="_Toc127"/>
      <w:bookmarkEnd w:id="315"/>
      <w:bookmarkEnd w:id="316"/>
      <w:r>
        <w:rPr>
          <w:rtl w:val="true"/>
        </w:rPr>
        <w:t>مناسبات امامیه و زیدیه</w:t>
      </w:r>
      <w:bookmarkEnd w:id="317"/>
    </w:p>
    <w:p>
      <w:pPr>
        <w:pStyle w:val="Heading3"/>
        <w:numPr>
          <w:ilvl w:val="2"/>
          <w:numId w:val="1"/>
        </w:numPr>
        <w:rPr/>
      </w:pPr>
      <w:bookmarkStart w:id="318" w:name="__RefHeading___Toc561476_1395250215"/>
      <w:bookmarkStart w:id="319" w:name="_Toc12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سیداکبر موسوی تنیانی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1392/08/05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1392/10/18</w:t>
      </w:r>
    </w:p>
    <w:p>
      <w:pPr>
        <w:pStyle w:val="Heading3"/>
        <w:numPr>
          <w:ilvl w:val="2"/>
          <w:numId w:val="1"/>
        </w:numPr>
        <w:rPr/>
      </w:pPr>
      <w:bookmarkStart w:id="320" w:name="__RefHeading___Toc561478_1395250215"/>
      <w:bookmarkStart w:id="321" w:name="_Toc129"/>
      <w:bookmarkEnd w:id="320"/>
      <w:r>
        <w:rPr>
          <w:rtl w:val="true"/>
        </w:rPr>
        <w:t>چکیده</w:t>
      </w:r>
      <w:bookmarkEnd w:id="321"/>
    </w:p>
    <w:p>
      <w:pPr>
        <w:pStyle w:val="BookText"/>
        <w:rPr/>
      </w:pPr>
      <w:r>
        <w:rPr>
          <w:rFonts w:ascii="IRNazanin" w:hAnsi="IRNazanin" w:eastAsia="IRNazanin"/>
          <w:color w:val="111111"/>
          <w:sz w:val="28"/>
          <w:sz w:val="28"/>
          <w:szCs w:val="28"/>
          <w:rtl w:val="true"/>
          <w:lang w:bidi="fa-IR"/>
        </w:rPr>
        <w:t>زیدیه و امامیه از دیرینه‌ترین گروه های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روابط این دو نحلۀ اثرگذار، برای شناخت بهتر تاریخ فکریِ تشیع ره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تعامل اجتماعی، سیاسی و فرهنگی و نیز تقابل این دو گروه در دورۀ غیبت صغرا تا افول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اقتدار تشیع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گزارش های تاریخی نشان گر این است که در این دوره، همکاری زیدیان و امامیان در عرصه‌های گوناگون، روند رو به رشدی داشته است؛ البته به دلیل اختلاف در برخی از مبانی فکری، هم چنان تمایزگذاریِ فرقه‌ای خویش را در قالب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علمی و ردّیه نگاری دنبال کرده‌اند</w:t>
      </w:r>
      <w:r>
        <w:rPr>
          <w:rFonts w:eastAsia="IRNazanin" w:cs="IRNazanin"/>
          <w:color w:val="111111"/>
          <w:sz w:val="28"/>
          <w:szCs w:val="28"/>
          <w:rtl w:val="true"/>
          <w:lang w:bidi="fa-IR"/>
        </w:rPr>
        <w:t>.</w:t>
      </w:r>
    </w:p>
    <w:p>
      <w:pPr>
        <w:pStyle w:val="Heading3"/>
        <w:numPr>
          <w:ilvl w:val="2"/>
          <w:numId w:val="1"/>
        </w:numPr>
        <w:rPr/>
      </w:pPr>
      <w:bookmarkStart w:id="322" w:name="__RefHeading___Toc561480_1395250215"/>
      <w:bookmarkStart w:id="323" w:name="_Toc130"/>
      <w:bookmarkEnd w:id="322"/>
      <w:r>
        <w:rPr>
          <w:rtl w:val="true"/>
        </w:rPr>
        <w:t>واژگان کلیدی</w:t>
      </w:r>
      <w:bookmarkEnd w:id="3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زیدیه، تعامل اجتماعی، تقابل علمی، تعامل فرهنگی</w:t>
      </w:r>
      <w:r>
        <w:rPr>
          <w:rFonts w:eastAsia="IRNazanin" w:cs="IRNazanin"/>
          <w:color w:val="111111"/>
          <w:sz w:val="28"/>
          <w:szCs w:val="28"/>
          <w:rtl w:val="true"/>
          <w:lang w:bidi="fa-IR"/>
        </w:rPr>
        <w:t>.</w:t>
      </w:r>
      <w:bookmarkStart w:id="324" w:name="pg2631_17693"/>
    </w:p>
    <w:p>
      <w:pPr>
        <w:pStyle w:val="Heading3"/>
        <w:numPr>
          <w:ilvl w:val="2"/>
          <w:numId w:val="1"/>
        </w:numPr>
        <w:rPr/>
      </w:pPr>
      <w:bookmarkStart w:id="325" w:name="__RefHeading___Toc561482_1395250215"/>
      <w:bookmarkStart w:id="326" w:name="_Toc131"/>
      <w:bookmarkEnd w:id="324"/>
      <w:bookmarkEnd w:id="325"/>
      <w:r>
        <w:rPr>
          <w:rtl w:val="true"/>
        </w:rPr>
        <w:t>درامد</w:t>
      </w:r>
      <w:bookmarkEnd w:id="326"/>
    </w:p>
    <w:p>
      <w:pPr>
        <w:pStyle w:val="BookText"/>
        <w:rPr/>
      </w:pPr>
      <w:r>
        <w:rPr>
          <w:rFonts w:ascii="IRNazanin" w:hAnsi="IRNazanin" w:eastAsia="IRNazanin"/>
          <w:color w:val="111111"/>
          <w:sz w:val="28"/>
          <w:sz w:val="28"/>
          <w:szCs w:val="28"/>
          <w:rtl w:val="true"/>
          <w:lang w:bidi="fa-IR"/>
        </w:rPr>
        <w:t>امامیه و زیدیه، دو گروه اثرگذار شیعی، هماره در تاریخ اسلام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سیاسی و فکری این دو نحله در پاره‌ای از زمان‌ها بارز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روابط این دو فرقه با همدیگر تحلیل شود تا با واکاویِ مناسبات این دو گروه ممتاز شیعی، ضمن بررسی برهه‌ای از تاریخ فکر امامیه، به نقاط هم‌گرایی و واگرایی آن ها در آموزه‌های کلامی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پیش رو، در پی پاسخ به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فرقۀ مهم شیعه، در محدودۀ زمانی پس از آغاز غیبت صغری تا افول آل‌بویه در چه عرصه‌هایی و چه نوع تعاملی با یکدیگر داشته‌اند؟ این بازۀ زمانی، نقطۀ عطفی در تاریخ هر دو گرو به شمار می‌رود، چراکه امامیه در این عصر با رویداد غیبت وارد مرحلۀ جدیدی شد و در اواخر قرن چهارم به اوج تاریخ فکری خویش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زیدیان پس از مدت ها جنگ و گریز در این دوره قدرت سیاسی یافتند، و در پی آن با بهره گیری از تعالیم برخی گروه‌های عقل گرا مانند معتزله، بیش از پیش در صدد تقویت پایه‌های فکری و عقیدتی خویش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پایانی این موضوع از آن جهت اهمیت دارد که با افول قدرت سیاسی آل‌بویه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نوعی سیر رو به رشد تشیع، چه از لحاظ سیاسی و چه از لحاظ علمی و فرهنگی به محاق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عصر ـ آستانۀ غیبت صغری تا افول امامیه ـ مناسبات دو فرقۀ مهم شیعه، یعنی امامیه و زیدیه به دلیل پاره‌ای از اشتراکات افزایش یافته است و در عرصه‌های اجتماعی، سیاسی و فرهنگی تعاملات خوبی برقرار کرده‌اند و در عین حال، به سبب اختلاف در برخی از اصول مذهبی، تمایزگذاری فرقه‌ای خویش را نیز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 و اثبات این فرضیه، روابط سیاسی، اجتماعی و فرهنگی امامیه و زیدیه را در این بازۀ زمانی بررسی می‌کنیم</w:t>
      </w:r>
      <w:r>
        <w:rPr>
          <w:rFonts w:eastAsia="IRNazanin" w:cs="IRNazanin"/>
          <w:color w:val="111111"/>
          <w:sz w:val="28"/>
          <w:szCs w:val="28"/>
          <w:rtl w:val="true"/>
          <w:lang w:bidi="fa-IR"/>
        </w:rPr>
        <w:t>.</w:t>
      </w:r>
    </w:p>
    <w:p>
      <w:pPr>
        <w:pStyle w:val="Heading3"/>
        <w:numPr>
          <w:ilvl w:val="2"/>
          <w:numId w:val="1"/>
        </w:numPr>
        <w:rPr/>
      </w:pPr>
      <w:bookmarkStart w:id="327" w:name="__RefHeading___Toc561484_1395250215"/>
      <w:bookmarkStart w:id="328" w:name="_Toc132"/>
      <w:bookmarkEnd w:id="327"/>
      <w:r>
        <w:rPr/>
        <w:t>1</w:t>
      </w:r>
      <w:r>
        <w:rPr>
          <w:rtl w:val="true"/>
        </w:rPr>
        <w:t xml:space="preserve">. </w:t>
      </w:r>
      <w:r>
        <w:rPr>
          <w:rtl w:val="true"/>
        </w:rPr>
        <w:t>تعامل اجتماعی و سیاسی</w:t>
      </w:r>
      <w:bookmarkEnd w:id="328"/>
    </w:p>
    <w:p>
      <w:pPr>
        <w:pStyle w:val="Heading4"/>
        <w:numPr>
          <w:ilvl w:val="3"/>
          <w:numId w:val="1"/>
        </w:numPr>
        <w:rPr/>
      </w:pPr>
      <w:bookmarkStart w:id="329" w:name="__RefHeading___Toc561486_1395250215"/>
      <w:bookmarkStart w:id="330" w:name="_Toc133"/>
      <w:bookmarkEnd w:id="329"/>
      <w:r>
        <w:rPr/>
        <w:t>1</w:t>
      </w:r>
      <w:r>
        <w:rPr>
          <w:rtl w:val="true"/>
        </w:rPr>
        <w:t>ـ</w:t>
      </w:r>
      <w:r>
        <w:rPr/>
        <w:t>1</w:t>
      </w:r>
      <w:r>
        <w:rPr>
          <w:rtl w:val="true"/>
        </w:rPr>
        <w:t xml:space="preserve">. </w:t>
      </w:r>
      <w:r>
        <w:rPr>
          <w:rtl w:val="true"/>
        </w:rPr>
        <w:t>پیوندهای خانوادگی</w:t>
      </w:r>
      <w:bookmarkEnd w:id="3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خاندان‌های سرشناسِ ـ غالباً علوی‌تبار ـ این دو فرقه با داشتن روابط نسبی و سببی، ارتباط خانوادگی تنگاتنگی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ابو‌احمد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نوادگان ناصر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نام دار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دو خاندان اصیل امامیه و زیدیه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سید مرتضی و شریف رضی، دو تن از علمای برجستۀ امامیه، به یکی از مهم‌ترین خاندان‌های زیدی منسوبند و سید مرتضی در مقدمۀ الناصریات از این انتساب با افتخار بسیار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هیچ دلیل قاطعی وجود ندارد که اجداد مادری سید مرتضی و سید رضی، به امامیه گرویده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آنان بر مذهب زیدی باقی بوده‌اند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شایان ذکر است، حسن 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طقطقی،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پدربزرگ سیدین نیز از رجال معتزله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ابن‌مرتضی، بی‌تا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داعی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اطروش و فرزندش ابن‌داعی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اعتزال‌گرا و امام زیدیان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پدربزرگ و دایی فاطمه بنت حسن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بعید نیست رویکرد اعتزالی سید مرتضی، از منسوبان زیدی و معتزلی‌اش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دو خاندانِ ریشه‌دار امامی و زیدی روابط خاندانی عمیقی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خاندان مادریِ سید مرتضی و سید رضی، برخی از تبار پدری وی نیز پیرو مذهب زیدیه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خانوادۀ همسر سید رضی نیز زیدی مذهب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طقطقی،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خاندان ذی‌نفوذ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نیشابور دارای جایگاه والایی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ابن‌فندق،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امامیان و زیدیان پیوند نزدیکی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یحیی علوی، متکلم امامیه و شخصیت متنفذ سیاسی نیشابور، از تبار این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شیخ صدوق در سفر به نیشابور در منزل وی اسکان یافت و بعضی از مجالس امالی خویش را در آن جا برگزار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 وی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بود، در نیشابور قیام کرد و به نام خود خطبه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ابن‌فندق،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bookmarkStart w:id="331" w:name="pg2631_17695"/>
    </w:p>
    <w:p>
      <w:pPr>
        <w:pStyle w:val="BookText"/>
        <w:rPr/>
      </w:pPr>
      <w:bookmarkEnd w:id="331"/>
      <w:r>
        <w:rPr>
          <w:rFonts w:ascii="IRNazanin" w:hAnsi="IRNazanin" w:eastAsia="IRNazanin"/>
          <w:color w:val="111111"/>
          <w:sz w:val="28"/>
          <w:sz w:val="28"/>
          <w:szCs w:val="28"/>
          <w:rtl w:val="true"/>
          <w:lang w:bidi="fa-IR"/>
        </w:rPr>
        <w:t>در میان خاندان سادات هارونی نیز عده‌ای به امامیه و برخی به زیدیه گرایش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بن‌هارون و فرزندش عبدالعظیم، پیرو مذهب امامیه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دو تن از فرزندان دیگرش به نام‌های مؤید بالله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زیدیه گرویده بودند و در تقویت تعالیم زیدی آثار مهمی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یاد شده می‌توان دریافت، امامیان و زیدیان در حیطۀ خانوادگی ارتباط تنگاتنگی داشته‌اند، به گونه‌ای که هر یک از این خاندان‌ها، شخصیت‌های اثرگذار هر دو مذهب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غیر از بحث‌های علمی هیچ‌گونه تنش اجتماعی در میان آنان گزارش نشده است</w:t>
      </w:r>
      <w:r>
        <w:rPr>
          <w:rFonts w:eastAsia="IRNazanin" w:cs="IRNazanin"/>
          <w:color w:val="111111"/>
          <w:sz w:val="28"/>
          <w:szCs w:val="28"/>
          <w:rtl w:val="true"/>
          <w:lang w:bidi="fa-IR"/>
        </w:rPr>
        <w:t>.</w:t>
      </w:r>
    </w:p>
    <w:p>
      <w:pPr>
        <w:pStyle w:val="Heading4"/>
        <w:numPr>
          <w:ilvl w:val="3"/>
          <w:numId w:val="1"/>
        </w:numPr>
        <w:rPr/>
      </w:pPr>
      <w:bookmarkStart w:id="332" w:name="__RefHeading___Toc561488_1395250215"/>
      <w:bookmarkStart w:id="333" w:name="_Toc134"/>
      <w:bookmarkEnd w:id="332"/>
      <w:r>
        <w:rPr/>
        <w:t>2</w:t>
      </w:r>
      <w:r>
        <w:rPr>
          <w:rtl w:val="true"/>
        </w:rPr>
        <w:t>ـ</w:t>
      </w:r>
      <w:r>
        <w:rPr/>
        <w:t>1</w:t>
      </w:r>
      <w:r>
        <w:rPr>
          <w:rtl w:val="true"/>
        </w:rPr>
        <w:t xml:space="preserve">. </w:t>
      </w:r>
      <w:r>
        <w:rPr>
          <w:rtl w:val="true"/>
        </w:rPr>
        <w:t>همکاری در عرصۀ سیاسی</w:t>
      </w:r>
      <w:bookmarkEnd w:id="3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همکاری سیاسی امامیه و زیدیه در دولت زیدی‌مذهب آل‌بویه</w:t>
      </w:r>
      <w:r>
        <w:rPr>
          <w:rStyle w:val="FootnoteAnchor"/>
          <w:rtl w:val="true"/>
        </w:rPr>
        <w:footnoteReference w:id="41"/>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دولت در دو حوزۀ سیاسی ـ فرهنگی و سیاسی ـ اجتماعی تعامل درخور توجهی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حکومت‌داری آنان به نوعی مورد رضایت شیعیان امامی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با توجه به فضای فراهم شده از سوی بویهیان، از همکاری با امرا و وزرای بویهی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عالمان نام دار امامیه در ری در دربار رکن الدولۀ بویهی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صدوق به طیف نص‌گرایان امامیه وابسته بود، بویهیان زیدی ـ معتزلی در ری از او استقبال و</w:t>
      </w:r>
      <w:bookmarkStart w:id="334" w:name="pg2631_17696"/>
    </w:p>
    <w:p>
      <w:pPr>
        <w:pStyle w:val="BookText"/>
        <w:rPr/>
      </w:pPr>
      <w:bookmarkEnd w:id="334"/>
      <w:r>
        <w:rPr>
          <w:rFonts w:ascii="IRNazanin" w:hAnsi="IRNazanin" w:eastAsia="IRNazanin"/>
          <w:color w:val="111111"/>
          <w:sz w:val="28"/>
          <w:sz w:val="28"/>
          <w:szCs w:val="28"/>
          <w:rtl w:val="true"/>
          <w:lang w:bidi="fa-IR"/>
        </w:rPr>
        <w:t>فضای خوبی برای اظهار نظر علمی برای وی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این وضعیت مناسب، با برگزاری مجالس علمی به طرح مبانی معارف امامیه و دفاع از آن 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بن‌علی بن‌بابویه، برادر شیخ صدوق نیز در جرگۀ علمای دربار بویهیان ری قرار داشته و از سوی صاحب بن عباد زیدی معتزلی، مورد احترام و اکرام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یکی از آثار خویش را به این وزیر آل بویه تقدیم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دانشمندان امامیه نیز روابط تنگاتنگی با صاحب بن‌عباد برقرار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نقابت نیز امامیان و زیدیان همکاری نزدیکی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نقابت طالبیان همواره بین سادات امامی مذهب و زیدی مذهب می‌چرخید؛ از این رو، طبیعی بود دو فرقۀ امامیه و زیدیه در این زمینه با یکدیگر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 این روابط، احساس قرابتشان نیز تقویت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بن‌حسن، معروف به ابن‌داعی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مادر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امامان زیدیه ـ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بنا به پیشنهاد و اصرار علویان بغداد از سوی معزالدوله بویهی به این سمت گمارده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این انتخاب همۀ سادات بغداد ـ چه امامیه و چه زیدیه ـ نقش بسزایی داشتند، که این موضوع از هم‌دلی و هم‌نظریِ آنان در انتخاب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ابن‌داعی پس از بر عهده گرفتن منصب نقابت، ابو‌احمد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مذهب را به نقابت واسط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موسوی نیز در اقدامی وحدت افزا، با سرودن اشعاری، او را فردی فاضل و شایستۀ جایگاه نقابت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4"/>
        <w:numPr>
          <w:ilvl w:val="3"/>
          <w:numId w:val="1"/>
        </w:numPr>
        <w:rPr/>
      </w:pPr>
      <w:bookmarkStart w:id="335" w:name="__RefHeading___Toc561490_1395250215"/>
      <w:bookmarkStart w:id="336" w:name="_Toc135"/>
      <w:bookmarkEnd w:id="335"/>
      <w:r>
        <w:rPr/>
        <w:t>3</w:t>
      </w:r>
      <w:r>
        <w:rPr>
          <w:rtl w:val="true"/>
        </w:rPr>
        <w:t>ـ</w:t>
      </w:r>
      <w:r>
        <w:rPr/>
        <w:t>1</w:t>
      </w:r>
      <w:r>
        <w:rPr>
          <w:rtl w:val="true"/>
        </w:rPr>
        <w:t xml:space="preserve">. </w:t>
      </w:r>
      <w:r>
        <w:rPr>
          <w:rtl w:val="true"/>
        </w:rPr>
        <w:t>همکاری در عرصه‌های اجتماعی</w:t>
      </w:r>
      <w:bookmarkEnd w:id="3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دو مذهب در عرصۀ اجتماعی نیز همکاری می کردند و امیران بویهی در این زمینه نقش برجسته‌ای داشته‌اند؛ برای مثال، صاحب بن‌عباد، وزیر زیدی‌مذهب آل بویه، در رفع نیازهای شهر امامی‌نشین قم، توجه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تاریخ قم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ایادی و نعم مولانا صاحب الجلیل کافی الکفاه که در حق اهالی و متوطنان و ساکنان بلدۀ قم ـ که شهر من است ـ بر سبیل عموم فرموده است، و در حق سایر بلاد بر وجه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بن‌عباد با انجام کارهای عمرانی و فرهنگی، از قبیل آب رسانی به برخی از نواحی قم و ساختن کتاب خانۀ مملو از کتاب در آن شهر، در عمران و آبادی آن دیار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نزد اهالی قم محبوبیت فزاینده‌ای داشته و حسن بن‌محمد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 فراوان از او، کتاب تاریخ قم را به وی</w:t>
      </w:r>
      <w:bookmarkStart w:id="337" w:name="pg2631_17697"/>
    </w:p>
    <w:p>
      <w:pPr>
        <w:pStyle w:val="BookText"/>
        <w:rPr/>
      </w:pPr>
      <w:bookmarkEnd w:id="337"/>
      <w:r>
        <w:rPr>
          <w:rFonts w:ascii="IRNazanin" w:hAnsi="IRNazanin" w:eastAsia="IRNazanin"/>
          <w:color w:val="111111"/>
          <w:sz w:val="28"/>
          <w:sz w:val="28"/>
          <w:szCs w:val="28"/>
          <w:rtl w:val="true"/>
          <w:lang w:bidi="fa-IR"/>
        </w:rPr>
        <w:t>تقدیم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بویهی در حملۀ سنیان اصفهان به قم ـ به دلیل سبّ خلفا ـ به حمایت از اهالی قم برخاست و اصفهانی‌های مهاجم را مجازات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زیدیان در کنار مردم قم، که غالباً امامی مذهب بودند، زندگی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آنان با امامان زیدیِ یمن در ارتباط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الی الحق،</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نشان گر تعامل و همکاری سازندۀ این دو گروه در مسائل اجتماعی است</w:t>
      </w:r>
      <w:r>
        <w:rPr>
          <w:rFonts w:eastAsia="IRNazanin" w:cs="IRNazanin"/>
          <w:color w:val="111111"/>
          <w:sz w:val="28"/>
          <w:szCs w:val="28"/>
          <w:rtl w:val="true"/>
          <w:lang w:bidi="fa-IR"/>
        </w:rPr>
        <w:t>.</w:t>
      </w:r>
    </w:p>
    <w:p>
      <w:pPr>
        <w:pStyle w:val="Heading4"/>
        <w:numPr>
          <w:ilvl w:val="3"/>
          <w:numId w:val="1"/>
        </w:numPr>
        <w:rPr/>
      </w:pPr>
      <w:bookmarkStart w:id="338" w:name="__RefHeading___Toc561492_1395250215"/>
      <w:bookmarkStart w:id="339" w:name="_Toc136"/>
      <w:bookmarkEnd w:id="338"/>
      <w:r>
        <w:rPr/>
        <w:t>4</w:t>
      </w:r>
      <w:r>
        <w:rPr>
          <w:rtl w:val="true"/>
        </w:rPr>
        <w:t>ـ</w:t>
      </w:r>
      <w:r>
        <w:rPr/>
        <w:t>1</w:t>
      </w:r>
      <w:r>
        <w:rPr>
          <w:rtl w:val="true"/>
        </w:rPr>
        <w:t xml:space="preserve">. </w:t>
      </w:r>
      <w:r>
        <w:rPr>
          <w:rtl w:val="true"/>
        </w:rPr>
        <w:t>همکاری در برابر مخالفان تشیع</w:t>
      </w:r>
      <w:bookmarkEnd w:id="339"/>
    </w:p>
    <w:p>
      <w:pPr>
        <w:pStyle w:val="BookText"/>
        <w:rPr/>
      </w:pPr>
      <w:r>
        <w:rPr>
          <w:rFonts w:ascii="IRNazanin" w:hAnsi="IRNazanin" w:eastAsia="IRNazanin"/>
          <w:color w:val="111111"/>
          <w:sz w:val="28"/>
          <w:sz w:val="28"/>
          <w:szCs w:val="28"/>
          <w:rtl w:val="true"/>
          <w:lang w:bidi="fa-IR"/>
        </w:rPr>
        <w:t>در جهان اسلامِ آن روزگار، آموزه‌ها و باور‌داشت‌های زیدیان نیز مانند امامیان مورد انتقاد مخالفان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زیدیه را مانند امامیه فرقه‌ای مبتدعه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ابن‌بطه 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اهل حدیث عراق، زیدیان را همانند امامیه خارج از دین اسلام و رهبرانشان را ائمۀ ضلال و پیش گام در کفر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دیگرش الابانه نیز زیدیه و امامیه را در زمرۀ اهل اهواء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تنش‌های اجتماعی نیز گروه‌های مخالف شیعه، با زیدیه و امامیه برخوردی یک سان داشتند؛ مثلاً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اهل سنتِ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ابواحمد مدتی نقیب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محله‌های شیعه‌نشین و ویران کردن خانه‌هایشان، هیچ تمایزی بین امامیان و زیدیان قائل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وجود دشمن مشترک، به ویژه تنگ نظریِ مخالفان علیه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 و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مؤثر هم‌گرایی این دو فرقه در جامعۀ اسلامی بوده است تا با این هم‌بستگی اجتماعی در برابر فشارهای گروه‌های مخالف، در جبهه‌ای واحد مقاومت کنند؛ از این رو، آنان در کشمکش‌های اجتماعی هماره در کنار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ترکان سنی مذهب بغداد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رهبری سبکتکین ترک، علیه عزالدوله بویهی شورش کردند که به گزارش تاریخ‌نویسان آن عصر، شیعیان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به حمایت بویهیان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زیدیان جارودی، دشمنی با خلفای نخستین بوده است و امامیان نیز در این ویژگی با زیدیان اشتراک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مشترک در پاره‌ای از زمان‌ها موجب هم‌نظری این دو گروه در عرصۀ اجتماعی شده است؛ برای مثال ابن‌عقده، محدث پر آوازۀ زیدیه</w:t>
      </w:r>
      <w:bookmarkStart w:id="340" w:name="pg2631_17698"/>
    </w:p>
    <w:p>
      <w:pPr>
        <w:pStyle w:val="BookText"/>
        <w:rPr/>
      </w:pPr>
      <w:bookmarkEnd w:id="340"/>
      <w:r>
        <w:rPr>
          <w:rFonts w:ascii="IRNazanin" w:hAnsi="IRNazanin" w:eastAsia="IRNazanin"/>
          <w:color w:val="111111"/>
          <w:sz w:val="28"/>
          <w:sz w:val="28"/>
          <w:szCs w:val="28"/>
          <w:rtl w:val="true"/>
          <w:lang w:bidi="fa-IR"/>
        </w:rPr>
        <w:t>در مسجد براثای بغداد ـ پایگاه امامیه و مرکز بدگویی به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مثالب صحابه برای شیعیان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آزادی شیعیان در برگزاری شعائر مذهبی، از قبیل سوگواری عاشورا و جشن غدیر و نیز برائت علنی از مخالفان اهل‌بیت، از سوی امیران زیدی مذهب آل‌بویه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هم‌گراییِ میان شیعیان زیدی و امامی بی‌تأثیر نبوده است</w:t>
      </w:r>
      <w:r>
        <w:rPr>
          <w:rFonts w:eastAsia="IRNazanin" w:cs="IRNazanin"/>
          <w:color w:val="111111"/>
          <w:sz w:val="28"/>
          <w:szCs w:val="28"/>
          <w:rtl w:val="true"/>
          <w:lang w:bidi="fa-IR"/>
        </w:rPr>
        <w:t>.</w:t>
      </w:r>
    </w:p>
    <w:p>
      <w:pPr>
        <w:pStyle w:val="Heading3"/>
        <w:numPr>
          <w:ilvl w:val="2"/>
          <w:numId w:val="1"/>
        </w:numPr>
        <w:rPr/>
      </w:pPr>
      <w:bookmarkStart w:id="341" w:name="__RefHeading___Toc561494_1395250215"/>
      <w:bookmarkStart w:id="342" w:name="_Toc137"/>
      <w:bookmarkEnd w:id="341"/>
      <w:r>
        <w:rPr/>
        <w:t>2</w:t>
      </w:r>
      <w:r>
        <w:rPr>
          <w:rtl w:val="true"/>
        </w:rPr>
        <w:t xml:space="preserve">. </w:t>
      </w:r>
      <w:r>
        <w:rPr>
          <w:rtl w:val="true"/>
        </w:rPr>
        <w:t>تعامل علمی و فرهنگی</w:t>
      </w:r>
      <w:bookmarkEnd w:id="342"/>
    </w:p>
    <w:p>
      <w:pPr>
        <w:pStyle w:val="Heading4"/>
        <w:numPr>
          <w:ilvl w:val="3"/>
          <w:numId w:val="1"/>
        </w:numPr>
        <w:rPr/>
      </w:pPr>
      <w:bookmarkStart w:id="343" w:name="__RefHeading___Toc561496_1395250215"/>
      <w:bookmarkStart w:id="344" w:name="_Toc138"/>
      <w:bookmarkEnd w:id="343"/>
      <w:r>
        <w:rPr/>
        <w:t>1</w:t>
      </w:r>
      <w:r>
        <w:rPr>
          <w:rtl w:val="true"/>
        </w:rPr>
        <w:t>ـ</w:t>
      </w:r>
      <w:r>
        <w:rPr/>
        <w:t>2</w:t>
      </w:r>
      <w:r>
        <w:rPr>
          <w:rtl w:val="true"/>
        </w:rPr>
        <w:t xml:space="preserve">. </w:t>
      </w:r>
      <w:r>
        <w:rPr>
          <w:rtl w:val="true"/>
        </w:rPr>
        <w:t>داد و ستد میراث حدیثی</w:t>
      </w:r>
      <w:bookmarkEnd w:id="34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میراث حدیثی</w:t>
      </w:r>
    </w:p>
    <w:p>
      <w:pPr>
        <w:pStyle w:val="BookText"/>
        <w:rPr/>
      </w:pPr>
      <w:r>
        <w:rPr>
          <w:rFonts w:ascii="IRNazanin" w:hAnsi="IRNazanin" w:eastAsia="IRNazanin"/>
          <w:color w:val="111111"/>
          <w:sz w:val="28"/>
          <w:sz w:val="28"/>
          <w:szCs w:val="28"/>
          <w:rtl w:val="true"/>
          <w:lang w:bidi="fa-IR"/>
        </w:rPr>
        <w:t xml:space="preserve">از آن جا که میراث معرفتی و عقیدتی و نیز مبانی فکری زیدیه و امامیه برگرفته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گروه ناگزیر به همکاری و تعامل علمی بودند؛ به بیانی دیگر، امامانِ امامیه یکی عوامل مهم این تعامل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هرچند به امامت امامان اثنی عشر ـ غیر از امام علی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باورمند نبوده‌اند، ولی جایگاه علمی امامان امامیه را هیچ‌گاه انکار نکرده و مرجعیت علمی آنان را می‌پذیرفتند و حتی برخی از رهبرانشان نزد ائمۀ امامیه تلمذ کرده‌اند؛ برای نمونه، یحیی بن‌عبد 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ناصر 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زیدیه را نیز از اصحاب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ابن اسفندیار،</w:t>
      </w:r>
      <w:r>
        <w:rPr>
          <w:rFonts w:eastAsia="IRNazanin" w:cs="IRNazanin"/>
          <w:color w:val="111111"/>
          <w:sz w:val="28"/>
          <w:szCs w:val="28"/>
          <w:lang w:bidi="fa-IR"/>
        </w:rPr>
        <w:t>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اطروش نیز در زمرۀ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ابن‌داود حلی در کتاب رجال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زیدی را نام می‌برد که از طریق آنان بسیاری از روایات ائمه در منابع امامیه ورود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ابن‌داود،</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منابع زیدیه بسیاری از روایات از امامان اختصاصیِ امامیه، همچون روایات امام سجاد، امام باقر،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گوناگون انتشار یافته است؛ حتی برخی از عالمان زیدی به نقل احادیث مرسل از ائمه امامیه ابایی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میراث مشترک حدیثی است که در مجالس علمیِ بزرگان زیدی، منقولات راویان امامی خوانده و دربارۀ شخصیت آنان بحث و گفت وگو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روایاتی را به نقل از محدثان امامی، مانند احمد بن‌محمد بن‌عیسی اشعری قمی و ابن‌ابی‌عمیر، در منابع روایی خود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اطروش،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زیدی نه تنها با طیف معتدل امامیه، بلکه با جریان غلو گرای امامیه نیز کم و بیش مراودۀ علمی داشتند؛ مانند</w:t>
      </w:r>
    </w:p>
    <w:p>
      <w:pPr>
        <w:pStyle w:val="BookText"/>
        <w:rPr/>
      </w:pPr>
      <w:r>
        <w:rPr>
          <w:rFonts w:ascii="IRNazanin" w:hAnsi="IRNazanin" w:eastAsia="IRNazanin"/>
          <w:color w:val="111111"/>
          <w:sz w:val="28"/>
          <w:sz w:val="28"/>
          <w:szCs w:val="28"/>
          <w:rtl w:val="true"/>
          <w:lang w:bidi="fa-IR"/>
        </w:rPr>
        <w:t>ارتباط ابن عقده با خصیبی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شخصیت‌ها در داد و ستد علمی میان دو این فرقه، بیشترین نقش‌آفرینی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محدث شهیر شیعه احمد بن‌محمد بن‌سعید، معروف به ابن‌عقده جارودی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اصحاب امامیه با وی حشر و نشر داشته و ضمن ستایش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حدیث نیز فرا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ابن شهرآشوب،</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احادیث فراوانی در موضوعات گوناگون از طریق او در منابع روایی امامی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نعمانی،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فهرست‌نگاران امامی نیز از طریق ابن‌عقده به بسیاری از تألیفات امامیان نخستین دست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بن‌موسی 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برجستۀ امامیه نیز یکی از حلقه‌های اتصال زیدیه و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فراگیری حدیث نزد ابن‌عقده جارودی و ابن‌بقال زیدی، ارتباط علمی بین زیدیه و امامیه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ابوالمفضل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نام‌آور شیعه و شاگرد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امامیه و زیدیه مشحون از روایات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شجری،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مهمی در مراودات علمی آن دو فرقه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محمدبن‌علی بن‌خلف العطار نیز از جملۀ این افراد است که روایات فراوانی از طریق وی در آثار حدیثی امامیه راه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اینان، روایات افرادی چون ناصر اطروش نیز کم و بیش در منابع امامیان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ابن‌شهرآشوب،</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طبری،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منقولات عالمان امامی، مانند شیخ صدوق و ابن‌عبدک جرجانی نیز در مجامیع زیدیان ورود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جشمی،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امامیان نیز ارتباط علمی با زیدیان را اهمیت می‌دادند؛ از این روست که ابن‌جنید اسکافی در سفر به نیشابور به استماع حدیث از زیدیان توجه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امامیان در این زمینه به شکل افراطی سعی داشتند خود را به زیدیان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ابن‌برنیه، عالم امامیه و نوادۀ دختریِ نایب دوم ، به سبب معاشرتش با ابوحسین بن‌شیبه علوی زیدی کتابی برای وی تألیف کرد و در این کتاب با استدلال به حدیثی و با احتساب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بن‌علی، تعداد امامان را سیزده تن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bookmarkStart w:id="345" w:name="pg2631_17700"/>
    </w:p>
    <w:p>
      <w:pPr>
        <w:pStyle w:val="BookText"/>
        <w:rPr/>
      </w:pPr>
      <w:bookmarkEnd w:id="345"/>
      <w:r>
        <w:rPr>
          <w:rFonts w:ascii="IRNazanin" w:hAnsi="IRNazanin" w:eastAsia="IRNazanin"/>
          <w:color w:val="111111"/>
          <w:sz w:val="28"/>
          <w:sz w:val="28"/>
          <w:szCs w:val="28"/>
          <w:rtl w:val="true"/>
          <w:lang w:bidi="fa-IR"/>
        </w:rPr>
        <w:t>گفتنی است، زیدیه و امامیه در انتشار و حفظ آثار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ابن‌مؤیدبالله،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مؤیدی،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وجیه،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ویژه‌ای داشته‌اند</w:t>
      </w:r>
      <w:r>
        <w:rPr>
          <w:rFonts w:eastAsia="IRNazanin" w:cs="IRNazanin"/>
          <w:color w:val="111111"/>
          <w:sz w:val="28"/>
          <w:szCs w:val="28"/>
          <w:rtl w:val="true"/>
          <w:lang w:bidi="fa-IR"/>
        </w:rPr>
        <w:t>.</w:t>
      </w:r>
    </w:p>
    <w:p>
      <w:pPr>
        <w:pStyle w:val="Heading4"/>
        <w:numPr>
          <w:ilvl w:val="3"/>
          <w:numId w:val="1"/>
        </w:numPr>
        <w:rPr/>
      </w:pPr>
      <w:bookmarkStart w:id="346" w:name="__RefHeading___Toc561498_1395250215"/>
      <w:bookmarkStart w:id="347" w:name="_Toc139"/>
      <w:bookmarkEnd w:id="346"/>
      <w:r>
        <w:rPr/>
        <w:t>2</w:t>
      </w:r>
      <w:r>
        <w:rPr>
          <w:rtl w:val="true"/>
        </w:rPr>
        <w:t>ـ</w:t>
      </w:r>
      <w:r>
        <w:rPr/>
        <w:t>2</w:t>
      </w:r>
      <w:r>
        <w:rPr>
          <w:rtl w:val="true"/>
        </w:rPr>
        <w:t xml:space="preserve">. </w:t>
      </w:r>
      <w:r>
        <w:rPr>
          <w:rtl w:val="true"/>
        </w:rPr>
        <w:t>توجه به دست آوردهای علمی ِ یکدیگر</w:t>
      </w:r>
      <w:bookmarkEnd w:id="347"/>
    </w:p>
    <w:p>
      <w:pPr>
        <w:pStyle w:val="BookText"/>
        <w:rPr/>
      </w:pPr>
      <w:r>
        <w:rPr>
          <w:rFonts w:ascii="IRNazanin" w:hAnsi="IRNazanin" w:eastAsia="IRNazanin"/>
          <w:color w:val="111111"/>
          <w:sz w:val="28"/>
          <w:sz w:val="28"/>
          <w:szCs w:val="28"/>
          <w:rtl w:val="true"/>
          <w:lang w:bidi="fa-IR"/>
        </w:rPr>
        <w:t>تبادلات فرهنگی زیدیان و امامیان به حدیث اختصاص نداشت، بلکه فرهیختگان این دو فرقه به آرا و اندیشه، و نیز به محصولات علمی یکدیگر توجه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نظریات هشام بن‌حکم و هشام بن‌سالم در کتاب الدعامه فی الامامه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بالله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ابن‌قبه رازی و ابن‌عبدک جرجانی ، دو متکلم برجستۀ امامیه در نقد اسماعیلیه را سودمند تشخیص داده و حتی در این زمینه آنان را اسلاف خویش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مؤید‌بالله،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محمد بن‌جریر طبری امامی نیز مورد استفادۀ زیدیان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این، جایگاه و شخصیت علمی بعضی از دانشمندان امامی نیز مورد تمجید عالمان زیدی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ابن‌فندق،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علمای امامیه نیز تولیدات علمی نویسندگان زیدی را از نظر دور نگاه نمی‌داشتند؛ مثلاً در عرصۀ دانش رجال به دلیل منابع مشترک روایی، رجال‌شناسان امامی از آرای دانشیان زیدی در این زمینه استفاده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ابن‌غضائری،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ستایش از کتاب رجالی ابن‌عقده جارودی دربارۀ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در تدوین کتاب الرجال خویش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نیز ابن‌نوح سیرافی بر آن اثر شرحی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تعامل فرهنگی، سید مرتضی نیز کتاب الناصریات را در شرح فقه ناصر اطروش نگاشت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امامیه برای گرم نگه داشتن این ارتباط علمی و فرهنگی و تقویت آن، گام های مهمی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تجلیل از شخصیت و اقدامات برخی از رهبران زیدی آثاری را تألیف کردند، که می‌توان کتاب زیدبن‌علی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اخبار زید محمد بن‌زکریا غلابی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اخبار صاحب فخ و اخبار یحیی بن‌عبدالله بن‌حسن، ابو‌الحسن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بعضی از نویسندگان امامیه و زیدیه نیز برخی از تألیفات خود را به سلاطین و امرای زیدی و امامی اهدا</w:t>
      </w:r>
      <w:bookmarkStart w:id="348" w:name="pg2631_17701"/>
    </w:p>
    <w:p>
      <w:pPr>
        <w:pStyle w:val="BookText"/>
        <w:rPr/>
      </w:pPr>
      <w:bookmarkEnd w:id="348"/>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حسین بن‌علی بن‌بابویه کتاب التوحید و نفی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بن‌محمد قمی کتاب 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بن‌عباد، وزیر زیدی مذهب آل‌بویه اهدا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از علمای امامیه نیز در پاسخ به برخی پرسش‌های معزالدوله بویهی کتاب جوابات معزالدوله را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ابوالفرج اصفهانی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الاغانی را به سیف الدوله حمدانی، امیر امامی مذهب حلب تقدیم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349" w:name="__RefHeading___Toc561500_1395250215"/>
      <w:bookmarkStart w:id="350" w:name="_Toc140"/>
      <w:bookmarkEnd w:id="349"/>
      <w:r>
        <w:rPr/>
        <w:t>3</w:t>
      </w:r>
      <w:r>
        <w:rPr>
          <w:rtl w:val="true"/>
        </w:rPr>
        <w:t xml:space="preserve">. </w:t>
      </w:r>
      <w:r>
        <w:rPr>
          <w:rtl w:val="true"/>
        </w:rPr>
        <w:t>تقابل علمی</w:t>
      </w:r>
      <w:bookmarkEnd w:id="350"/>
    </w:p>
    <w:p>
      <w:pPr>
        <w:pStyle w:val="Heading4"/>
        <w:numPr>
          <w:ilvl w:val="3"/>
          <w:numId w:val="1"/>
        </w:numPr>
        <w:rPr/>
      </w:pPr>
      <w:bookmarkStart w:id="351" w:name="__RefHeading___Toc561502_1395250215"/>
      <w:bookmarkStart w:id="352" w:name="_Toc14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با وجود همکاری ها و تعاملات مثبت و سازندۀ زیدیان و امامیان در عرصۀ اجتماعی و فرهنگی، آنان در برخی از حوزه‌های علمی به رویارویی یکدیگر رفته و در این حوزه بسیار به ردّ و نقد هم دیگر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کشمکش‌های علمی، ریشه در دوران حضور داشت؛ البته برخی از خلفای عباسی آن عصر نیز سعی داشتند آتش اختلافات این دو فرقه را روشن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انتقادهای زیدیه از امامیه، از لحاظ کمّی و کیفی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که کلام و آرای عقیدتی زیدیان مدت ها پس از پایه‌گذاری کلام امامیه، تبیین، نظریه‌پردازی و سپس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زیدیان در ابتدای پایه‌گذاری کلامی‌شان به سبب میراث مشترک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مسائل ـ غیر از مسئلۀ امامت ـ با امامیان هم فکر و هم سو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قاسم رسی نیز مانند برخی از اصحاب امامیه متهم به تشبیه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تدریج از امامیان فاصله گرفته و در دامان جریان‌های رقیب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دلایلی برای این روی گردانی و جدایی یافت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حمایت صریح و قاطع امامیان از قیام‌های زیدیه و هم‌چنین اختلاف آن 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زیدی را مجبور کرد در قرن سوم برای سر و سامان دادن و هویت بخشی مذهبی خویش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زمینۀ استقلال و هویت سازی مذهبی آثاری را به رشتۀ تحریر درآوردند، تا در عرصۀ دینی، سیاسی و حتی اجتماعی گروهی ممتاز از امامیه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نوادۀ وی هادی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برجستۀ زیدیه، نقش مهمی در این زمینه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برهه‌ای که زیدیان برای</w:t>
      </w:r>
    </w:p>
    <w:p>
      <w:pPr>
        <w:pStyle w:val="BookText"/>
        <w:rPr/>
      </w:pPr>
      <w:r>
        <w:rPr>
          <w:rFonts w:ascii="IRNazanin" w:hAnsi="IRNazanin" w:eastAsia="IRNazanin"/>
          <w:color w:val="111111"/>
          <w:sz w:val="28"/>
          <w:sz w:val="28"/>
          <w:szCs w:val="28"/>
          <w:rtl w:val="true"/>
          <w:lang w:bidi="fa-IR"/>
        </w:rPr>
        <w:t>هویت سازی خود تلاش می‌کردند، در نقد و ردّ سایر جریانات رقیب مانند امامیه از هیچ کوششی فرو‌گذار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امامیه به رغم خاستگاه مشترک و اشتراکات فراوان عقیدتی با زیدیه، اختلافاتی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مباحث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الرد علی الرافضه قاسم رسی را می‌توان در این راستا ارزیابی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 در این اثر به چالش برانگیزترین مسئله میان زیدیه و امامیه، یعنی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تلاش کرده با ردّ دیدگاه امامیه، نظرگاه متمایز زیدیان را در این باره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گروه‌های غلوگرا امامی، زیدیان را به این تمایزگذاری واداشت تا بدین گونه دامن خویش را از برخی اتهامات گروه های افراطیِ امامیه دور نگه دارند؛ تا جایی که قاسم رسی ـ از نظریه پردازان اولیه زیدیه ـ در ردّ امامیان غالی کتابی با عنوان الرد علی الروافض من اهل الغلو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رشد 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در بستر امامیه به نوعی زیدیان را به بسیاری از عقاید امامیه بدبین ساخت؛ از همین رو، برخی از علمای متأخر زیدیه با وجود پذیرش تفکیک عقاید امامیان از غلات، مفوضه و گروه های باطنی گرا و تأکید بر مسلمان بودن امامیان، اندیشۀ امامیه را دهلیز باطنی گری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و به مرور زمان، اختلاف فکری و عقیدتی میان این دو گروه فزون تر و عمیق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به سبب برخی اختلافات، از جمله موضوع غلو، از امامیان فاصله می‌گرفتند همان اندازه به عقل گرایان معتزلی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حمایت رهبران معتزلی از قیام‌های امامان زیدی در قرون دوم و سوم را دلیل گرایش زیدیه به معتزله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رهبران نخستین زیدیه مانند قاسم رسی در برابر بعضی تعالیم معتزلیان موضع‌گیری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زمان هادی الی الحق نزدیکی به معتزلیان روند رو به رشدی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معتزلیان هم برای پررنگ جلوه دادن اختلافات و شکاف هر چه بیشتر میان امامیه و زیدیه تلاش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این اختلاف دیدگاه‌های امامیه با زیدیه در دوران غیبت صغری وارد مرحلۀ جدیدی شد و پس از آن نیز ادامه یافت، زیرا امامیه در این عصر از نعمت حضور امام محروم شدند و این امر فضای مناسبی را برای زیدیان فراهم کرد تا علیه مبانی اعتقادی امامیان موضع‌گیری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امامیان نیز در برابر این برخوردها، به دفاع از مبانی فکری خویش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عده‌ای از امامیان سعی داشتند نقاط مشترک را برجسته کنند، ولی برخی</w:t>
      </w:r>
      <w:bookmarkStart w:id="353" w:name="pg2631_17703"/>
    </w:p>
    <w:p>
      <w:pPr>
        <w:pStyle w:val="BookText"/>
        <w:rPr/>
      </w:pPr>
      <w:bookmarkEnd w:id="353"/>
      <w:r>
        <w:rPr>
          <w:rFonts w:ascii="IRNazanin" w:hAnsi="IRNazanin" w:eastAsia="IRNazanin"/>
          <w:color w:val="111111"/>
          <w:sz w:val="28"/>
          <w:sz w:val="28"/>
          <w:szCs w:val="28"/>
          <w:rtl w:val="true"/>
          <w:lang w:bidi="fa-IR"/>
        </w:rPr>
        <w:t>زیدیان در برابر این تلاش ها مقاومت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طبری‌زیدی،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در کتاب هایشان نام امامیه را در کنار نواصب و حشویه ذکر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ابن‌قاسم،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طبری‌زیدی،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ها و کشمکش‌های علمی در این بازۀ زمانی به قدری اوج گرفته بود که بین فرهیختگان ضرب‌المثل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شعرای زیدی و امامی نیز تحت‌تأثیر این اختلاف نظرها به هجو تعالیم مذهبی هم‌دیگر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بسیاری از این منازعه‌ها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نام دارِ هریک از این دو گروه سهم بیشتری در این درگیری‌ها داشته‌اند، در حالی که از درگیری اجتماعی توده‌ها گزارشی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زیدی و امامی، علاوه بر گفت وگو و مناظره های رو در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مامطیری،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ردیه‌نویسی علیه هم دیگر نیز فعال بوده‌اند</w:t>
      </w:r>
      <w:r>
        <w:rPr>
          <w:rFonts w:eastAsia="IRNazanin" w:cs="IRNazanin"/>
          <w:color w:val="111111"/>
          <w:sz w:val="28"/>
          <w:szCs w:val="28"/>
          <w:rtl w:val="true"/>
          <w:lang w:bidi="fa-IR"/>
        </w:rPr>
        <w:t>.</w:t>
      </w:r>
    </w:p>
    <w:p>
      <w:pPr>
        <w:pStyle w:val="Heading4"/>
        <w:numPr>
          <w:ilvl w:val="3"/>
          <w:numId w:val="1"/>
        </w:numPr>
        <w:rPr/>
      </w:pPr>
      <w:bookmarkStart w:id="354" w:name="__RefHeading___Toc561504_1395250215"/>
      <w:bookmarkStart w:id="355" w:name="_Toc142"/>
      <w:bookmarkEnd w:id="354"/>
      <w:r>
        <w:rPr/>
        <w:t>1</w:t>
      </w:r>
      <w:r>
        <w:rPr>
          <w:rtl w:val="true"/>
        </w:rPr>
        <w:t>ـ</w:t>
      </w:r>
      <w:r>
        <w:rPr/>
        <w:t>3</w:t>
      </w:r>
      <w:r>
        <w:rPr>
          <w:rtl w:val="true"/>
        </w:rPr>
        <w:t xml:space="preserve">. </w:t>
      </w:r>
      <w:r>
        <w:rPr>
          <w:rtl w:val="true"/>
        </w:rPr>
        <w:t>ردّیه نگاری زیدیان علیه امامیه</w:t>
      </w:r>
      <w:bookmarkEnd w:id="355"/>
    </w:p>
    <w:p>
      <w:pPr>
        <w:pStyle w:val="BookText"/>
        <w:rPr/>
      </w:pPr>
      <w:r>
        <w:rPr>
          <w:rFonts w:ascii="IRNazanin" w:hAnsi="IRNazanin" w:eastAsia="IRNazanin"/>
          <w:color w:val="111111"/>
          <w:sz w:val="28"/>
          <w:sz w:val="28"/>
          <w:szCs w:val="28"/>
          <w:rtl w:val="true"/>
          <w:lang w:bidi="fa-IR"/>
        </w:rPr>
        <w:t>محمد بن‌قاسم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کسانی است که در کتاب کلامی اصول التسعه به طور گذرا آرای امامیه در مبحث امامت را به گونه‌ای انتقادآمیز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ابن‌قاسم،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هادی الی الحق یمنی، مؤسس حکومت زیدیان یمن و از ائمۀ ممتاز زیدی که گرایش اعتزالی داشت، در ردّ اعتقاد امامیه کتاب الرد علی الامامیه را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هادی الی الحق را آغازگر اصلی مجادله های علمی بین امامیه و زیدیه در این بازۀ زمانی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مرتضی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الروافض را علیه امامیان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بن‌موسی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هادی الی الحق نیز در کتاب المنیر علی مذهب الامام الهادی پاره‌ای از آموزه‌های امامیه، مانند خلقت نوری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طبری‌زیدی،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اتهامات بی اساسی را که بعضی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غلات شیعه نشئت گرفته بود، متوجه امامیه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طبری‌زیدی،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طبریِ یادشده در یمن با برخی از امامی مذهبان در بارۀ موضوعاتی چون امامت و علم امام مناظراتی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زیدی،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بن‌قاسم عیانی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امامان زیدی یمن نیز در یکی از رسائل کلامی‌اش، اندیشۀ امامت و نیز برخی از صفات امام از دیدگاه امامیه را نقد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ارتباطاتی که امامان زیدی یمن با عراق داشتند، احتمال دارد آنان بیشتر آرا و عقاید امامیه را از عراق به دست آورده باشند؛ هرچند بعید نیست از طریق امامی مذهبان ساکن یمن به اندیشه‌های اعتقادی امامیه آگاهی یافته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طبری‌زیدی،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متکلمان بنام زیدیان در ری با نگاشتن کتاب الاشهاد، هجمه‌های تندی را متوجه باورداشت‌های امامیه در مبحث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ابوزید علوی، جامعۀ امامی ساکن ری را مجبور به واکنش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ابن‌قبه رازی امامی مذهب در ردّ این اثر، کتاب نقض الاشهاد را به رشتۀ تحریر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توجه است که ابن‌قبه رازی علاوه بر این کتاب، اثر دیگری به نام التعریف علی الزیدیه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الردّ علی الزیدیه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عقیدۀ زیدیان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که نگارش این اثر موجب شده تا ابوزید علوی، کتاب الاشهاد را در نقد سخنان ابن‌قبه تألیف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زیدی در قرون بعد، درگیری علمیِ ابن‌قبه با ابوزید علوی را پی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مؤیدبالله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امامان نام دار زیدیه که سابقه‌ای امامی نیز داشت، با نگاشتن کتاب النقض علی ابن‌قبه فی الاصول بر آتش این اختلاف بیش از پیش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منصوربالله،</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گرویدۀ از امامیه به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 موضوع امامت به نام الدعامۀ فی الامامۀ را به رشتۀ تحریر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برخی از معتقدات امامیه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نص جلی، اعجاز غیرنبی، و یا موضوعاتی چون عدم باور امامت زید بن‌علی از سوی امامیان را به چالش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بستی از عالمان اعتزال‌گرای زیدیه در کتاب البحث عن ادلۀ التکفیر و التفسیق، بسیار به امامیه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امامیه را از سایر گروه های منسوب به امامیه،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خطابیه، مفوضه، باطنیه و اصحاب تناسخ جدا و به تکفیر این گروه‌ها حکم می‌کرد و دربارۀ تکفیر امامیه احتیاط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انتقاد به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داشت‌های امامیان ابایی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در پاره‌ای از موارد با آرای بیشتر زیدیان نیز به مخالفت می پرداخت و به این اختلاف نظر هم اذعان داشت؛ برای مثال، وی برخلاف نظر زیدیان منکران امامت را فاسق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حتی سخنان محمد بن‌جریر طبری امامی در کتاب المسترشد مبنی بر مذمت خلفای نخستین را نمی پذیرفت و رد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w:t>
      </w:r>
      <w:r>
        <w:rPr>
          <w:rFonts w:eastAsia="IRNazanin" w:cs="IRNazanin"/>
          <w:color w:val="111111"/>
          <w:sz w:val="28"/>
          <w:szCs w:val="28"/>
          <w:rtl w:val="true"/>
          <w:lang w:bidi="fa-IR"/>
        </w:rPr>
        <w:t>).</w:t>
      </w:r>
      <w:bookmarkStart w:id="356" w:name="pg2631_17705"/>
    </w:p>
    <w:p>
      <w:pPr>
        <w:pStyle w:val="Heading4"/>
        <w:numPr>
          <w:ilvl w:val="3"/>
          <w:numId w:val="1"/>
        </w:numPr>
        <w:rPr/>
      </w:pPr>
      <w:bookmarkStart w:id="357" w:name="__RefHeading___Toc561506_1395250215"/>
      <w:bookmarkStart w:id="358" w:name="_Toc143"/>
      <w:bookmarkEnd w:id="356"/>
      <w:bookmarkEnd w:id="357"/>
      <w:r>
        <w:rPr/>
        <w:t>2</w:t>
      </w:r>
      <w:r>
        <w:rPr>
          <w:rtl w:val="true"/>
        </w:rPr>
        <w:t>ـ</w:t>
      </w:r>
      <w:r>
        <w:rPr/>
        <w:t>3</w:t>
      </w:r>
      <w:r>
        <w:rPr>
          <w:rtl w:val="true"/>
        </w:rPr>
        <w:t xml:space="preserve">. </w:t>
      </w:r>
      <w:r>
        <w:rPr>
          <w:rtl w:val="true"/>
        </w:rPr>
        <w:t>ردّیه نگاری امامیان علیه زیدیه</w:t>
      </w:r>
      <w:bookmarkEnd w:id="358"/>
    </w:p>
    <w:p>
      <w:pPr>
        <w:pStyle w:val="BookText"/>
        <w:rPr/>
      </w:pPr>
      <w:r>
        <w:rPr>
          <w:rFonts w:ascii="IRNazanin" w:hAnsi="IRNazanin" w:eastAsia="IRNazanin"/>
          <w:color w:val="111111"/>
          <w:sz w:val="28"/>
          <w:sz w:val="28"/>
          <w:szCs w:val="28"/>
          <w:rtl w:val="true"/>
          <w:lang w:bidi="fa-IR"/>
        </w:rPr>
        <w:t>در برابر موضع‌گیری های تند زیدیان علیه امامیه، علاوه بر ابن‌قبه، سایر دانشیان امامی نیز به نقد افکار آنان دست یازیدند و در این راستا، کتاب‌های شایان توجهی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بن‌اشکیب مروزی، از متکلمان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نیمۀ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کتاب الردّ علی الزیدیه جزء نخستین کسانی است که در مقابل زیدیان جبهه‌گیری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عیاشی سمرقندی، شاگرد ابن‌اشکیب، با نگاشتن کتاب اثبات امامۀ علی بن‌الحسین دیدگاه زیدیان دربارۀ عدم اعتقاد به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ممتاز امامیه، کتابی با عنوان الردّ علی فرق الشیعه ما خلا الامامیه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وی در این اثر، زیدیه را در جایگاه مهم ترین فرقۀ شیعه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نیمۀ دوم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متکلم نام دار امامیه کتاب الشهب المحرقه للابالیس المسترقه را در نقد ابن‌بقال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مشهور زیدیه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اندیشمندان امامی به دلیل آشنایی با زیدیان عراق، کتاب الردّ علی الزیدیه را بر ردّ افکار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بن‌هارون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قرن چهارم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مؤیدبالله و ابوطالب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مذهب امامیه بود، بنا بر گزارش یکی از نویسندگان زیدی، علیه زیدیان فعال بوده و به دستور او کتاب‌هایی به نام ناصر اطروش علیه تعالیم زیدیان جعل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وی هم چنین دربارۀ آموزه‌های دو مذهب امامیه و زیدیه، با فرزندش مؤید‌بالله که به زیدیه پیوسته بود مناظره و گفت وگو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ابن‌ابی‌الرجال،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غیبت و در پی آن نابسامانی عقیدتی جمع قابل توجهی از امامیان، فرصتی را برای زیدیان پدید آورد تا بیش از پیش تعالیم امامیه، به خصوص آموزۀ امامت را آماج حملات خویش قرار دهند؛ از این رو،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کمال‌الدین و تمام النعمه را به پاسخ زیدیان در این زمینه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های علمیِ امامیه و زیدیه در دوران شیخ مفید، اندیشمند نام‌آور امامیه در بغداد،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که در این دوران از جمعیت قابل ملاحظه ای در عراق، به ویژه بغداد برخوردار بودند، دربارۀ بسیاری از مسائل اختلافی بین مذهبی، با حضور در مجالس شیخ مفید با وی مناظره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در ردّ آرا و اندیشۀ آن ها</w:t>
      </w:r>
      <w:bookmarkStart w:id="359" w:name="pg2631_17706"/>
    </w:p>
    <w:p>
      <w:pPr>
        <w:pStyle w:val="BookText"/>
        <w:rPr/>
      </w:pPr>
      <w:bookmarkEnd w:id="359"/>
      <w:r>
        <w:rPr>
          <w:rFonts w:ascii="IRNazanin" w:hAnsi="IRNazanin" w:eastAsia="IRNazanin"/>
          <w:color w:val="111111"/>
          <w:sz w:val="28"/>
          <w:sz w:val="28"/>
          <w:szCs w:val="28"/>
          <w:rtl w:val="true"/>
          <w:lang w:bidi="fa-IR"/>
        </w:rPr>
        <w:t>نیز آثاری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مسائل الجارودیه را نوشت و در آن آرای زیدیان در مبحث امامت را با روشی جذاب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اثر که اکنون در دست رس است، همان کتاب مسائل الزیدیه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در ضمن تألیفات شیخ مفید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شیخ مفید کتاب دیگری نیز به نام المسئلۀ علی الزیدیه علیه زیدیان تألیف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دست 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نیز به نام النقض علی ابن‌عباد فی الامامه به نگارش در آورد که ظاهراً در نقد اندیشۀ صاحب بن‌عباد، وزیر زیدی‌مذهب آل‌بویه در مسئلۀ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مفید، دو تن از شاگردانش به نام های حسن بن‌علی بن‌اشناس و جعفر بن‌محمد دوریستی نیز دو کتاب جداگانه با عنوان الردّ علی الزیدیه در نقد تعالیم زیدیه تألیف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عاملی،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دوره، درگیری‌های این دو گروه به شکلی ضعیف ادامه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رازی،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وجیه،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توجه به شرایط نامناسب سیاسی و اجتماعی که از این عصر برای زیدیان به وجود آمد، آنان در عرصۀ رقابت با امامیان کنار رفتند، تا جایی که امامیه، پرجمعیت‌ترین فرقۀ شیعی، جای زیدیه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نشوان،</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360" w:name="__RefHeading___Toc561508_1395250215"/>
      <w:bookmarkStart w:id="361" w:name="_Toc144"/>
      <w:bookmarkEnd w:id="360"/>
      <w:r>
        <w:rPr/>
        <w:t>4</w:t>
      </w:r>
      <w:r>
        <w:rPr>
          <w:rtl w:val="true"/>
        </w:rPr>
        <w:t xml:space="preserve">. </w:t>
      </w:r>
      <w:r>
        <w:rPr>
          <w:rtl w:val="true"/>
        </w:rPr>
        <w:t>روی گردانی زیدیان و امامیان به مذهب یکدیگر</w:t>
      </w:r>
      <w:bookmarkEnd w:id="361"/>
    </w:p>
    <w:p>
      <w:pPr>
        <w:pStyle w:val="Heading4"/>
        <w:numPr>
          <w:ilvl w:val="3"/>
          <w:numId w:val="1"/>
        </w:numPr>
        <w:rPr/>
      </w:pPr>
      <w:bookmarkStart w:id="362" w:name="__RefHeading___Toc561510_1395250215"/>
      <w:bookmarkStart w:id="363" w:name="_Toc14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با توجه با هم گرایی ها و ارتباطاتی که امامیه و زیدیه در عرصه‌های اجتماعی و فرهنگی با یکدیگر داشتند، برخی معتقدان آن دو گروه در پاره‌ای مسائل از هم دیگر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تأثرات در حوزۀ اعتقادات،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روابط این دو فرقه، برخی از امامیان و نیز زیدیان از مذهبشان دست برداشته و به زیدیه و امامیه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تر اشاره شد، جامعۀ امامیه پس از غیبت صغری و نیز سال ها پس از غیبت کبری، در آشفتگی درونی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تحولات در داخل امامیه، زیدیان نیز رفته‌رفته بنا به دلایلی ـ که در ادامه بیان خواهد شدـ از امامیه و حتی از تراث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به گفتمان معتزلی نزدیک شدند</w:t>
      </w:r>
      <w:r>
        <w:rPr>
          <w:rFonts w:eastAsia="IRNazanin" w:cs="IRNazanin"/>
          <w:color w:val="111111"/>
          <w:sz w:val="28"/>
          <w:szCs w:val="28"/>
          <w:rtl w:val="true"/>
          <w:lang w:bidi="fa-IR"/>
        </w:rPr>
        <w:t>.</w:t>
      </w:r>
    </w:p>
    <w:p>
      <w:pPr>
        <w:pStyle w:val="Heading4"/>
        <w:numPr>
          <w:ilvl w:val="3"/>
          <w:numId w:val="1"/>
        </w:numPr>
        <w:rPr/>
      </w:pPr>
      <w:bookmarkStart w:id="364" w:name="__RefHeading___Toc561512_1395250215"/>
      <w:bookmarkStart w:id="365" w:name="_Toc146"/>
      <w:bookmarkEnd w:id="364"/>
      <w:r>
        <w:rPr/>
        <w:t>1</w:t>
      </w:r>
      <w:r>
        <w:rPr>
          <w:rtl w:val="true"/>
        </w:rPr>
        <w:t>ـ</w:t>
      </w:r>
      <w:r>
        <w:rPr/>
        <w:t>4</w:t>
      </w:r>
      <w:r>
        <w:rPr>
          <w:rtl w:val="true"/>
        </w:rPr>
        <w:t xml:space="preserve">. </w:t>
      </w:r>
      <w:r>
        <w:rPr>
          <w:rtl w:val="true"/>
        </w:rPr>
        <w:t>روی‌گردانی زیدیان به امامیه</w:t>
      </w:r>
      <w:bookmarkEnd w:id="3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برخی از عالمان زیدیه با تغییر عقیدۀ زیدی به امامیه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گرایش زیدیان به امامیه به دوران حضور و پیش از این بازۀ زمانی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دوره نیز تعداد اندکی از علمای زیدی به مذهب امامیه گرایش پیدا کردند، که دلایل آن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بن‌محمد ثقفی، نویسندۀ پرتألیف شیعه، از مذهب</w:t>
      </w:r>
      <w:bookmarkStart w:id="366" w:name="pg2631_17707"/>
    </w:p>
    <w:p>
      <w:pPr>
        <w:pStyle w:val="BookText"/>
        <w:rPr/>
      </w:pPr>
      <w:bookmarkEnd w:id="366"/>
      <w:r>
        <w:rPr>
          <w:rFonts w:ascii="IRNazanin" w:hAnsi="IRNazanin" w:eastAsia="IRNazanin"/>
          <w:color w:val="111111"/>
          <w:sz w:val="28"/>
          <w:sz w:val="28"/>
          <w:szCs w:val="28"/>
          <w:rtl w:val="true"/>
          <w:lang w:bidi="fa-IR"/>
        </w:rPr>
        <w:t>زیدیه به مذهب امامیه گرایش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چرایی و چگونگی تحول اعتقادی وی اطلاعی در دست نیست، ولی با توجه به این که در کوفه می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تأثیرپذیری وی از امامیۀ کوفه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زمانی که به اصفهان آمده بود، مورد توجه چهره‌های علمی قم قرار گرفت، به گونه‌ای که برخی از بزرگان مانند احمد بن‌محمد بن‌خالد برقی با سفر به اصفهان، او را برای اقامت به قم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بن‌احمد جعفی کوفی یکی دیگر از دانشمندان شیعۀ مقیم مصر، از زیدیه به امامیه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جایگاه والایی در بین امامیه داشت؛ از این رو، بعضی از محدثان مشهور امامی برای استماع حدیث از او رهسپار مصر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مهم فقهی الفاخر وی نیز برای قرن‌های متمادی مورد توجه و اهتمام فقیهان امامیه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الادیب، فرزند ناصر 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پیرو مذهب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پدرش ناصر و مذهب زیدیه را هجو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ابن‌عنبه،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روی آوری او به مذهب امامیه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ثائر بالله بن مهدی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ثائربالله ثائری، از امامان زیدیۀ گیلان نیز در این دوره به امامیه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ابن‌بابویه‌رازی،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استبصار وی نیز آگاهی چندانی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نسل دوم آل بویه مانند عزالدوله و عضدالدوله، نیز به مذهب امامیه روی آورده و به ائمۀ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گفت عالمان امامی، به ویژه تاج‌العلماء بن ابی‌سعد صیزوری، در تغییر عقیدۀ بویهیان بسیار اثرگذار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367" w:name="__RefHeading___Toc561514_1395250215"/>
      <w:bookmarkStart w:id="368" w:name="_Toc147"/>
      <w:bookmarkEnd w:id="367"/>
      <w:r>
        <w:rPr/>
        <w:t>2</w:t>
      </w:r>
      <w:r>
        <w:rPr>
          <w:rtl w:val="true"/>
        </w:rPr>
        <w:t>ـ</w:t>
      </w:r>
      <w:r>
        <w:rPr/>
        <w:t>4</w:t>
      </w:r>
      <w:r>
        <w:rPr>
          <w:rtl w:val="true"/>
        </w:rPr>
        <w:t xml:space="preserve">. </w:t>
      </w:r>
      <w:r>
        <w:rPr>
          <w:rtl w:val="true"/>
        </w:rPr>
        <w:t>روی گردانی امامیان به زیدیه</w:t>
      </w:r>
      <w:bookmarkEnd w:id="3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ضد امامی معتزلیان و فرافکنی آنان علیه امامیه، به ویژه در موضوع امامت موجب شد بعضی امامی‌مذهبان از باورهای خویش دست کشیده و به مذهب زیدیۀ معتزلی که قرابت بسیاری با امامیه داشته است،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اندیشمند نام دار امامیه، در کتاب خود به تلاش‌های بی دریغ معتزلیان در دمیدن آتش تحیر امامیان در این زمان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زیدیان در این دوران در مسائل بسیاری، از معتزلیان تأثیر پذیرفته بودند؛ لذا با توجه به اختلاف آنان در موضوع امامت با امامیه احتمال دارد، آن ها با بهره‌گیری از روش‌های تخریبی معتزله علیه امامیه، بخشی از امامیان متحیر را به تغییر مذهب امامی تشویق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زیدیِ معتزلی‌گرای مقیم منطقۀ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اثرگذارترین فرد در عرصۀ نقل مذهب امامیان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 با اندیشوران امامی در حال منازعۀ علمی بود و در میدان تحول مذهبی امامیان نیز نقش بسزایی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ابوالعباس حسنی، اندیشور زیدی، با تلمذ نزد ابوزید علوی تحت تأثیر تبلیغات ضد امامی وی از مذهب امامیه به زیدیه گرایش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نیز با فراگیری اصول عقاید زیدیان معتزلی، در تغییر عقیدۀ برخی از امامیان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هارونی از جمله کسانی بودند که با تبلیغات ابوالعباس از امامیه روی برگردانده و به زیدیه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تحول مذهبیِ هارونی‌ها تنها ابوالعباس دخیل نبوده؛ ظاهراً دانش آموزیِ آنان نزد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بن‌مرتضی، نوادۀ امام هادی الی الحق یمنی و متأثر از معتزله در دیلم، در تحول مذهبی شان اثر‌گذار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نقش معتزلیانِ غیرزیدی مانند ابو‌عبدالله بصری معتزلی و قاضی عبدالجبار معتزلی نیز در تغییر عقیدتی آن ها بی تأثیر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جشمی،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برادران هارونی، به ویژه مؤیدبالله هارونی برای اندیشوران امامی ناخوش آیند و ناگوار بود؛ از این رو، شیخ‌مفید او را ناآگاه به عقاید امامیه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کتاب ارزش مند تهذیب الاحکام را به سفارش مفید و برای جلوگیری از این نوع انحراف‌های عقیدتی به رشتۀ تحریر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هارونی نیز برای تغییر عقیدۀ برخی از دانشمندان امامی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تلاش‌های وی، ابوالفرج علی بن‌حسین بن‌هندو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فیلسوف و طبیبِ نا م دار شیعه به زیدیه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ابوزید بلخی، اندیشور پرآوازۀ اسلامی نیز یکی دیگر از امامیانی است که در این دوره به مذهب زیدیه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دربارۀ مذهب وی اندکی تناقض وجود دارد، ولی با این حال گفته شده است او ابتدا بر مذهب امامیه بوده و پس از مدتی از آن مذهب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ابوحیان توحیدی، وی پس از مدتی مذهب زیدی خویش را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دگرگونی عقیدتیِ ابو‌زید اطلاع دقیقی در دست نیست، ولی به نظر می رسد این تحول عقیده پس از سفر او به عراق صورت پذیرفته باشد، چون برخی گزارش ها حاکی از آنند که ابوزید بلخی زمانی که بر مذهب امامیه بود، در خلال مسافرتش به عراق ـ در بحبوحۀ آغاز غیبت صغری ـ برای امر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را که جزء سه متکلم ممتاز جهان اسلام</w:t>
      </w:r>
      <w:bookmarkStart w:id="369" w:name="pg2631_17709"/>
    </w:p>
    <w:p>
      <w:pPr>
        <w:pStyle w:val="BookText"/>
        <w:rPr/>
      </w:pPr>
      <w:bookmarkEnd w:id="369"/>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هشت سال در عراق به سر برد و در آن جا نزد دانشمندانی چون یعقوب بن‌اسحاق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با ابو‌القاسم بلخی، متکلم معتزلی رابطه برقرار کرده بود و این ارتباط دوستانه در دوران حضورشان در بلخ نیز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ابوزید به سبب این هم نشینی با ابوالقاسم بلخی معتزلی، به اندیشۀ اعتزال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ممکن است ارتباطات علمی او با علمای مختلف در عراق در تغییر دیدگاه مذهبی اش تأثیر گذار بوده است؛ به خصوص آن که برخی از علمای هم نشین وی در عراق از مذهب امامیِ او خرده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به نظر می رسد که با توجه به فرافکنی های مذهبی معتزله علیه امامیه و از سوی دیگر، قرابت زیاد معتزله، به ویژه معتزلۀ بغداد با زیدیه، ابوزید بلخی به سوی مذهب زیدیه روی گردان شده است</w:t>
      </w:r>
      <w:r>
        <w:rPr>
          <w:rFonts w:eastAsia="IRNazanin" w:cs="IRNazanin"/>
          <w:color w:val="111111"/>
          <w:sz w:val="28"/>
          <w:szCs w:val="28"/>
          <w:rtl w:val="true"/>
          <w:lang w:bidi="fa-IR"/>
        </w:rPr>
        <w:t>.</w:t>
      </w:r>
    </w:p>
    <w:p>
      <w:pPr>
        <w:pStyle w:val="Heading3"/>
        <w:numPr>
          <w:ilvl w:val="2"/>
          <w:numId w:val="1"/>
        </w:numPr>
        <w:rPr/>
      </w:pPr>
      <w:bookmarkStart w:id="370" w:name="__RefHeading___Toc561516_1395250215"/>
      <w:bookmarkStart w:id="371" w:name="_Toc148"/>
      <w:bookmarkEnd w:id="370"/>
      <w:r>
        <w:rPr>
          <w:rtl w:val="true"/>
        </w:rPr>
        <w:t>جمع بندی</w:t>
      </w:r>
      <w:bookmarkEnd w:id="371"/>
    </w:p>
    <w:p>
      <w:pPr>
        <w:pStyle w:val="BookText"/>
        <w:rPr/>
      </w:pPr>
      <w:r>
        <w:rPr>
          <w:rFonts w:ascii="IRNazanin" w:hAnsi="IRNazanin" w:eastAsia="IRNazanin"/>
          <w:color w:val="111111"/>
          <w:sz w:val="28"/>
          <w:sz w:val="28"/>
          <w:szCs w:val="28"/>
          <w:rtl w:val="true"/>
          <w:lang w:bidi="fa-IR"/>
        </w:rPr>
        <w:t>با توجه مباحثی که مطرح شد، دو گروه مهم تشیع، یعنی زیدیه و امامیه، در دورۀ یاد شده در عرصه‌های مختلف اجتماعی، سیاسی و فرهنگی روابط گسترده‌ای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های خانوادگی، اشتراک های مذهبی و وجود دشمن مشترک را می‌توان از مهم ترین عوامل این همکاری و هم گرایی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مذهبی در دوران حکومت آل بویه بیش از پیش به یکدیگر نزدیک شده و در حوزه‌های گوناگون به تعامل پرداختند، چه آن که سیطرۀ دولت شیعی‌مذهب آل بویه بر اکثریت اهل سنت، انسجام و تعامل اجتماعی و سیاسی گروه های اقلیت شیعه را ضروری می‌کرد؛ از این رو، عالمان و نخبگان امامیه بیش از هر زمانی دیگر در صدد همکاری و همراهی با دولت آل بویۀ زیدی مذهب برآمدند، تا جایی که این تعامل به تغییر عقیدۀ نسل دوم بویهیان از زیدیه به امامیه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وجود خاندان های سرشناس علوی، مانند خاندان آل زباره و ابواحمد موسوی، که شخصیت هایی از امامیه و زیدیه را در خود جای داده بود، همکاری اجتماعی دو فرقۀ زیدیه و امامیه را اجتناب ناپذیر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فرقه به دلیل داشتن میراث مشترک عقیدتی، در عرصۀ علمی نیز تعامل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که عصر شکوفایی علمی مسلمانان قلمداد می‌شود، فرهیختگان زیدی و امامی بیش از پیش به میراث مشترک فرهنگی خویش توجه بسیاری نشان دادند؛ از این رو، داد و ستد علمی بین دانشوران آن دو مذهب نیز رونق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و امامیه هرچند در عرصه‌های اجتماعی، سیاسی و فرهنگی، روابط نسبتاً حسنه ای برقرار کرده بودند، ولی هر یک از این دو فرقه تمایز مذهبی خویش را حفظ کرد و به استحاله</w:t>
      </w:r>
      <w:bookmarkStart w:id="372" w:name="pg2631_17710"/>
    </w:p>
    <w:p>
      <w:pPr>
        <w:pStyle w:val="BookText"/>
        <w:rPr/>
      </w:pPr>
      <w:bookmarkEnd w:id="372"/>
      <w:r>
        <w:rPr>
          <w:rFonts w:ascii="IRNazanin" w:hAnsi="IRNazanin" w:eastAsia="IRNazanin"/>
          <w:color w:val="111111"/>
          <w:sz w:val="28"/>
          <w:sz w:val="28"/>
          <w:szCs w:val="28"/>
          <w:rtl w:val="true"/>
          <w:lang w:bidi="fa-IR"/>
        </w:rPr>
        <w:t>در اصول مذهبی همدیگر تن در ندادند؛ به ویژه آن که زیدیان به سبب بعضی اختلافات با امامیه، در صدد هویت سازیِ عقیدتی نویی بودند؛ از این رو، آنان به این تمایزگذاری مذهبی توجه جدی نشان داده و تنش های مذهبی را با امامیه در عرصۀ گفت وگوهای علمی و 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نویسی دنبال کردند؛ خصوصاً در دوره‌ای که امامیان در تحیر اعتقادی پس از غیبت به سر می بردند و آنان با مناسب دیدن این فضا و با بهره گیری از اندیشه‌های جریان مقتدر معتزله، در صدد فشار بر امامیه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در برابر هجمه‌های هم تباران زیدی نه تنها دفاع کرد، بلکه در برخی مواقع در نقد آنان پیش گام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های علمی زیدیان و امامیان پس از این دوره نیز به گونه‌ای ضعیف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 رسد زیدیان پس از این دوره، بنا بر اوضاع نامناسب سیاسی و اجتماعی، به ناچار میدان داری تشیع را به امامیه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این تقابل، بعضی از عالمان زیدیه و امامیه به مذهب یکدیگر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ریشه جوییِ تغییر عقیدۀ امامیان به مذهب زیدی می‌توان به خوبی ردپای معتزلیان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امامیه پس از غیبت امام دوازدهم در نابسامانی و تحیر عقیدتی به سر می بردند، زیدیان اعتزال‌گرا و معتزلیان غیرزیدی از این شرایط نامناسبِ امامیه استفاده کرده و با تبلیغات تخریبی، جمع قابل توجهی از امامیان را به تغییر عقیده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زیدیه نزدیک ترین فرقه به امامیه و از سوی دیگر به معتزله به شمار می رفت، لذا روی گردانان امامی به مذهب زیدیه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دلایل تحول عقیدتی زیدیان به مذهب امامیه چیزی دانسته نیست، ولی به نظر می رسد داشتن میراث مشترک و نیز تعامل اجتماعی و فرهنگی در این زمینه بی تأثیر نبوده است</w:t>
      </w:r>
      <w:r>
        <w:rPr>
          <w:rFonts w:eastAsia="IRNazanin" w:cs="IRNazanin"/>
          <w:color w:val="111111"/>
          <w:sz w:val="28"/>
          <w:szCs w:val="28"/>
          <w:rtl w:val="true"/>
          <w:lang w:bidi="fa-IR"/>
        </w:rPr>
        <w:t>.</w:t>
      </w:r>
    </w:p>
    <w:p>
      <w:pPr>
        <w:pStyle w:val="Heading3"/>
        <w:numPr>
          <w:ilvl w:val="2"/>
          <w:numId w:val="1"/>
        </w:numPr>
        <w:rPr/>
      </w:pPr>
      <w:bookmarkStart w:id="373" w:name="__RefHeading___Toc561518_1395250215"/>
      <w:bookmarkStart w:id="374" w:name="_Toc149"/>
      <w:bookmarkEnd w:id="373"/>
      <w:r>
        <w:rPr>
          <w:rtl w:val="true"/>
        </w:rPr>
        <w:t>منابع</w:t>
      </w:r>
      <w:bookmarkEnd w:id="374"/>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ابن‌ابی‌الرجال، احمد بن‌صالح،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مطلع البدور،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عبدالرقیب مطهر، صعده، مرکز اهل البیت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ابن‌اسفندیار، محمدبن‌حسن،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طبرستان،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ابن‌بابویه‌رازی، منتجب الدین علی،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اموی، قم، مکتبة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ابن‌بطه، عبیدالله بن محمد،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الابانه،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بن‌عباس، قاهره، الفاروق الحدیثیه للطباعه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 و الابانه،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آل حمدان، ریاض، دارالامر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ابن‌جوزی، عبدالرحمن بن‌علی،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و مصطفی عبدالقادر عطا،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احمد بن‌علی،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 مؤسسه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ابن‌داود، حسن بن 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محمد بن‌علی،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العلماء، نجف، مطبعة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 نجف، مکتبة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ابن‌طقطقی، محمد بن‌علی،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مکتبة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ابن‌عنبه، احمد بن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طالقانی، نجف، مطبعة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ابن‌فندق، حسن بن‌ابی القاسم،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قم،مکتبه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ابن‌قاسم، محمدبن‌قاسم،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کتب و رسائل،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جدبان، صعده، مکتبة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ابی‌الفدا اسماعیل،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ابن‌مرتضی، احمد 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المعتزله،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سوسنه دیفلد فلرز، بیروت، مکتبة الحیاه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ابن‌مؤیدبالله، ابراهیم بن‌قاسم،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الزیدیه،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وجیه، اردن،مؤسسه زیدبن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علی بن‌الحسین،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قم، مؤسسه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اطروش، حسن بن علی،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جدبان، صعده، مکتبة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البساط،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جدبان، صعده، مکتبة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حمید بن‌احمد،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الوردیه،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المحطوری، صنعاء، مکتبه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سهل بن عبدالله،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سرالسلسله العلویه،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قم،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بستی، اسماعیل بن‌احمد،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البحث عن ادلة التکفیر و التفسیق،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زابینه اشمیتکه،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المراتب،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 قم،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عبدالقاهربن‌طاهر،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رمضان،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علی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الامتاع و المؤانسه، بیروت، مکتبه عنصریه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آقابزرگ،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بیروت، دارالاضوا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جشمی، محسن بن کرامه،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الغافلین،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یحیی الدرسی، یمن، مرکز اهل البیت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جلاءالابصار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اخبار ائمه الزیدیه فی طبرستان و دیلمان و 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بیروت، مطبعه المتوسط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سید، تونس، دارالتونسیه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در ایران، تهران، نشر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المصابیح،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الحوثی، عمان، مؤسسه زید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الادباء،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علی بن‌محمد،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کوه کمری، قم، نشر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احمدبن‌علی،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محمد 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عقائد آل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اشتروطتمان، پاریس، دارالبیبلیون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محمدبن‌احمد،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الاعلام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الارنووط، بیروت، 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 قاسم بنا 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کتب و رسائل،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جدبان، صنعاء، دارالحکمه الیمانیه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بن‌محمد،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البارودی، بیروت، دارالجنان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شجری، یحیی بن‌حسین،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الاثنینیه،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العزی، صنعاء، مؤسسه زید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الخمیسیه،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اسماعیل،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شمس الدین محمد بن‌مکی،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ذکری الشیعه، قم،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بن‌علی بن بابویه،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قم، مؤسسه 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مؤسسه</w:t>
      </w:r>
    </w:p>
    <w:p>
      <w:pPr>
        <w:pStyle w:val="BookText"/>
        <w:rPr/>
      </w:pP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خرسان،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العشر،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نشرالفقاهه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الفصول‌المختاره،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میرشریفی،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عمادالدین محمد،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بشارة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 مؤسسه 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زیدی، احمد بن‌موسی،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العزی، صنعاء، مؤسسه</w:t>
      </w:r>
    </w:p>
    <w:p>
      <w:pPr>
        <w:pStyle w:val="BookText"/>
        <w:rPr/>
      </w:pPr>
      <w:r>
        <w:rPr>
          <w:rFonts w:ascii="IRNazanin" w:hAnsi="IRNazanin" w:eastAsia="IRNazanin"/>
          <w:color w:val="111111"/>
          <w:sz w:val="28"/>
          <w:sz w:val="28"/>
          <w:szCs w:val="28"/>
          <w:rtl w:val="true"/>
          <w:lang w:bidi="fa-IR"/>
        </w:rPr>
        <w:t>زید بن‌علی 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المنیر علی مذهب الهادی،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سراج‌الدین عدلان، یمن، مرکز اهل‌بیت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احمد 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الصلة بین الزیدیه و المعتزله، صنعاء، مکتبة الیمنیه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امل الامل،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بغداد، مکتبة 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عیانی، حسین بن‌قاسم،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سید عبدالله، قاهره، الآفاق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غضائری، حسین بن‌عبیدالله،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تکملة رسالة ابی غالب، بی‌جا، مطبعه 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قاضی‌عبدالجبار، ابن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دلائل النبوه، قاهره، دارالمصطفی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مامطیری، علی بن‌مهدی،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نزهة‌الابصار و محاسن الابرار،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تهران، المجمع العالمی للتقریب بین المذاهب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علی بن‌حسین،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الناصریات، تهران، مؤسسه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اسماعیل بن‌حسین،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مکتبة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منصوربالله، عبدالله بن‌حمزه،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مؤیدبالله، احمد 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نبوة النبی،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احمد ابراهیم الحاج، بی‌جا، المکتبة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مؤیدی، مجدالدین،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لوامع الانوار، یمن، صعده، مرکز اهل البیت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فی علماء الزیدیه، نسخه‌ای خطی و نویافته موجود در کتاب خانه کاشف الغطاء،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نشوان، نشوان بن‌سعید،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الحور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مصطفی، مصر، مکتبة الخانجی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محمدبنا 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قم، 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وجیه، عبدالسلام،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المؤلفین الزیدیه، اردن، مؤسسه زید بن‌علی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ابراهیم بن‌محمد،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الفلک الدوار،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عزان، صنعاء، دارالتراث الیمنی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الی‌الحق، یحیی بن‌حسین،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رسائل،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شاذلی، صنعاء، مؤسسه</w:t>
      </w:r>
    </w:p>
    <w:p>
      <w:pPr>
        <w:pStyle w:val="BookText"/>
        <w:rPr/>
      </w:pPr>
      <w:r>
        <w:rPr>
          <w:rFonts w:ascii="IRNazanin" w:hAnsi="IRNazanin" w:eastAsia="IRNazanin"/>
          <w:color w:val="111111"/>
          <w:sz w:val="28"/>
          <w:sz w:val="28"/>
          <w:szCs w:val="28"/>
          <w:rtl w:val="true"/>
          <w:lang w:bidi="fa-IR"/>
        </w:rPr>
        <w:t>زید بن‌علی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هارونی، یحیی بن‌حسین،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الافاده،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رحمتی، تهران،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تیسیر المطالب، صنعاء، مؤسسه زید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 المذاهب الزیدیه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حسن، بیروت، الدارالعربیة للموسوعات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 محمد کاظم،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النفحة العنبریه،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مکتبة المرعشی</w:t>
      </w:r>
      <w:r>
        <w:rPr>
          <w:rFonts w:eastAsia="IRNazanin" w:cs="IRNazanin"/>
          <w:color w:val="111111"/>
          <w:sz w:val="28"/>
          <w:szCs w:val="28"/>
          <w:rtl w:val="true"/>
          <w:lang w:bidi="fa-IR"/>
        </w:rPr>
        <w:t>.</w:t>
      </w:r>
      <w:bookmarkStart w:id="375" w:name="pg2631_17714"/>
    </w:p>
    <w:p>
      <w:pPr>
        <w:pStyle w:val="Heading2"/>
        <w:numPr>
          <w:ilvl w:val="1"/>
          <w:numId w:val="1"/>
        </w:numPr>
        <w:rPr/>
      </w:pPr>
      <w:bookmarkStart w:id="376" w:name="__RefHeading___Toc561520_1395250215"/>
      <w:bookmarkStart w:id="377" w:name="_Toc150"/>
      <w:bookmarkEnd w:id="375"/>
      <w:bookmarkEnd w:id="376"/>
      <w:r>
        <w:rPr>
          <w:rtl w:val="true"/>
        </w:rPr>
        <w:t>طینت و عدل الهی</w:t>
      </w:r>
      <w:bookmarkEnd w:id="377"/>
    </w:p>
    <w:p>
      <w:pPr>
        <w:pStyle w:val="Heading3"/>
        <w:numPr>
          <w:ilvl w:val="2"/>
          <w:numId w:val="1"/>
        </w:numPr>
        <w:rPr/>
      </w:pPr>
      <w:bookmarkStart w:id="378" w:name="__RefHeading___Toc561522_1395250215"/>
      <w:bookmarkStart w:id="379" w:name="_Toc15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مهدی ذاکری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اصغر غلامی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1392/06/22</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1392/10/20</w:t>
      </w:r>
    </w:p>
    <w:p>
      <w:pPr>
        <w:pStyle w:val="Heading3"/>
        <w:numPr>
          <w:ilvl w:val="2"/>
          <w:numId w:val="1"/>
        </w:numPr>
        <w:rPr/>
      </w:pPr>
      <w:bookmarkStart w:id="380" w:name="__RefHeading___Toc561524_1395250215"/>
      <w:bookmarkStart w:id="381" w:name="_Toc152"/>
      <w:bookmarkEnd w:id="380"/>
      <w:r>
        <w:rPr>
          <w:rtl w:val="true"/>
        </w:rPr>
        <w:t>چکیده</w:t>
      </w:r>
      <w:bookmarkEnd w:id="381"/>
    </w:p>
    <w:p>
      <w:pPr>
        <w:pStyle w:val="BookText"/>
        <w:rPr/>
      </w:pPr>
      <w:r>
        <w:rPr>
          <w:rFonts w:ascii="IRNazanin" w:hAnsi="IRNazanin" w:eastAsia="IRNazanin"/>
          <w:color w:val="111111"/>
          <w:sz w:val="28"/>
          <w:sz w:val="28"/>
          <w:szCs w:val="28"/>
          <w:rtl w:val="true"/>
          <w:lang w:bidi="fa-IR"/>
        </w:rPr>
        <w:t>در احادیث متعدد و معتبری، از اختلاف طینت مؤمنان و کافران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احادیث، اختلاف طینت‌ها در سعادت و شقاوت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ظاهر این احادیث را با عدل الهی ناسازگار پنداشته، در صدد توجیه و تأویل آن‌ها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پس از طرح و ارزیابی مهم‌ترین دیدگاه‌ها در این زمینه، با استناد به مجموع احادیث طینت و آغاز حدوث عالم نتیجه گرفته است که اختلاف مخلوقات مربوط به ابتدای حدوث عالم نیست، بلکه بر اثر عوارض ناشی از نحوه عملکرد مخلوقات در برابر تکلیف و امتحان الهی رخ داده است و این موضوع با عدل الهی سازگاری تام دارد</w:t>
      </w:r>
      <w:r>
        <w:rPr>
          <w:rFonts w:eastAsia="IRNazanin" w:cs="IRNazanin"/>
          <w:color w:val="111111"/>
          <w:sz w:val="28"/>
          <w:szCs w:val="28"/>
          <w:rtl w:val="true"/>
          <w:lang w:bidi="fa-IR"/>
        </w:rPr>
        <w:t>.</w:t>
      </w:r>
    </w:p>
    <w:p>
      <w:pPr>
        <w:pStyle w:val="Heading3"/>
        <w:numPr>
          <w:ilvl w:val="2"/>
          <w:numId w:val="1"/>
        </w:numPr>
        <w:rPr/>
      </w:pPr>
      <w:bookmarkStart w:id="382" w:name="__RefHeading___Toc561526_1395250215"/>
      <w:bookmarkStart w:id="383" w:name="_Toc153"/>
      <w:bookmarkEnd w:id="382"/>
      <w:r>
        <w:rPr>
          <w:rtl w:val="true"/>
        </w:rPr>
        <w:t>واژگان کلیدی</w:t>
      </w:r>
      <w:bookmarkEnd w:id="3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 خلقت انسان، طینت، علیین، سجین</w:t>
      </w:r>
      <w:r>
        <w:rPr>
          <w:rFonts w:eastAsia="IRNazanin" w:cs="IRNazanin"/>
          <w:color w:val="111111"/>
          <w:sz w:val="28"/>
          <w:szCs w:val="28"/>
          <w:rtl w:val="true"/>
          <w:lang w:bidi="fa-IR"/>
        </w:rPr>
        <w:t>.</w:t>
      </w:r>
      <w:bookmarkStart w:id="384" w:name="pg2631_17715"/>
    </w:p>
    <w:p>
      <w:pPr>
        <w:pStyle w:val="Heading3"/>
        <w:numPr>
          <w:ilvl w:val="2"/>
          <w:numId w:val="1"/>
        </w:numPr>
        <w:rPr/>
      </w:pPr>
      <w:bookmarkStart w:id="385" w:name="__RefHeading___Toc561528_1395250215"/>
      <w:bookmarkStart w:id="386" w:name="_Toc154"/>
      <w:bookmarkEnd w:id="384"/>
      <w:bookmarkEnd w:id="385"/>
      <w:r>
        <w:rPr>
          <w:rtl w:val="true"/>
        </w:rPr>
        <w:t>درآمد</w:t>
      </w:r>
      <w:bookmarkEnd w:id="386"/>
    </w:p>
    <w:p>
      <w:pPr>
        <w:pStyle w:val="BookText"/>
        <w:rPr/>
      </w:pPr>
      <w:r>
        <w:rPr>
          <w:rFonts w:ascii="IRNazanin" w:hAnsi="IRNazanin" w:eastAsia="IRNazanin"/>
          <w:color w:val="111111"/>
          <w:sz w:val="28"/>
          <w:sz w:val="28"/>
          <w:szCs w:val="28"/>
          <w:rtl w:val="true"/>
          <w:lang w:bidi="fa-IR"/>
        </w:rPr>
        <w:t>در مجامع معتبر حدیثی شیعه، احادیث متعددی از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بر اساس آن‌ها خداوند در آغاز آفرینش انسان ها، دو آب خلق کرد؛ یکی شیرین و گوارا و دیگری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شیرین و گوارا را بر خاکی پاکیزه جاری ساخت و به این صورت گل یا خمیرمایه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پیروان و شیعیان ایشان را از این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آب شور و تلخ را بر خاکی خبیث جاری کرد 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دشمنان پیامبران و امامان از این گل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احادیث با برخی از آموزه‌های مسلّم دینی ناسازگار می‌نماید و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تصریح شده که اختلاف طینت مؤمنان و کافران در سعادت و شقاوت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طینت علیین آفریده شده، در نهایت رستگار و بهشتی خواهد شد و کسی که از طینت سجین خلق شده، در نهایت وارد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آموزه عدل الهی که بر اساس آن، بهشت و جهنم و ثواب و عقاب ناشی از اختیار خود انسان‌هاست، ناسازگار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ناسازگاری ظاهری سبب شده است که حدیث‌پژوهان و اندیشمندان شیعه، بحث‌های فراوانی در این باره صورت دهند و دیدگاه‌های متفاوتی در خصوص ردّ و قبول و نحوه سازگار کردن مضمون این روایات با سایر آموزه‌های دینی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مرآة‌العقول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قول و مرحوم شبّر در مصابیح‌الانوار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در این زمینه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نخست مدلول روایات طینت را درباره نسبتی که با عدل الهی دارند مورد توجه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 عدل الهی و مهم‌ترین دیدگاه‌های اندیشمندان شیعه را در جمع میان این روایات و آموزه عدل الهی بررسی و ارزیابی کرده و در نهایت، دیدگاه برگزیده را مطرح می‌کنیم</w:t>
      </w:r>
      <w:r>
        <w:rPr>
          <w:rFonts w:eastAsia="IRNazanin" w:cs="IRNazanin"/>
          <w:color w:val="111111"/>
          <w:sz w:val="28"/>
          <w:szCs w:val="28"/>
          <w:rtl w:val="true"/>
          <w:lang w:bidi="fa-IR"/>
        </w:rPr>
        <w:t>.</w:t>
      </w:r>
    </w:p>
    <w:p>
      <w:pPr>
        <w:pStyle w:val="Heading3"/>
        <w:numPr>
          <w:ilvl w:val="2"/>
          <w:numId w:val="1"/>
        </w:numPr>
        <w:rPr/>
      </w:pPr>
      <w:bookmarkStart w:id="387" w:name="__RefHeading___Toc561530_1395250215"/>
      <w:bookmarkStart w:id="388" w:name="_Toc155"/>
      <w:bookmarkEnd w:id="387"/>
      <w:r>
        <w:rPr/>
        <w:t>1</w:t>
      </w:r>
      <w:r>
        <w:rPr>
          <w:rtl w:val="true"/>
        </w:rPr>
        <w:t>.</w:t>
      </w:r>
      <w:r>
        <w:rPr>
          <w:rtl w:val="true"/>
        </w:rPr>
        <w:t>مضمون روایت طینت</w:t>
      </w:r>
      <w:bookmarkEnd w:id="3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که معتبرترین مجموعه حدیثی شیعه است، سه باب را به اختلاف طینت مؤمنان و کافران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طینة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تصریح شده که روح و بدن پیامبران از طینت علیین، آفریده شده است؛ روح مؤمنان نیز با اختلاف درجه از همان طینت و بدنشان از طینتی پایین‌تر از علیین خلق شده، اما روح و بدن کفار از طینت سجین</w:t>
      </w:r>
    </w:p>
    <w:p>
      <w:pPr>
        <w:pStyle w:val="BookText"/>
        <w:rPr/>
      </w:pP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هم‌چنین از اختلاط و امتزاج میان دو طینت سخن به میان آمده و تولد مؤمن از کافر و برعکس، به سبب این اختلاط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گرایش و اشتیاق مؤمنان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ها، و نیز سبب میل کافران به پیشوایان کفر و بدی ها همین اختلاف طینت‌ها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که مؤمن از طینت بهشت، کافر از طینت جهنم و ناصبی از گل سیاه بدبو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مؤمن از ایمان خویش و ناصبی از دشمنی خود باز‌نمی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نیز تصریح شده که خوش‌خلقی و اخلاق پسندیده کفار به سبب تماس طینت آن‌ها با طینت مؤمنان در اثر اختلاط و امتزاج دو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رفتارهای ناپسند و تندخویی مؤمنان به مسّ طینت مؤمن با طینت کافر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این باب تا حدودی متضمن معنای همه مطالب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خداوند اراده کرد آدم را بیافریند، جبرئیل را اول وقتِ روز جمعه فرستاد و او مشتی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خود برداشت و مشت او دربردارنده خاکی از آسمان هفتم تا آسمان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برداشت که شامل خاکی از طبقه هفتم زمین تا هفت طبقه زیرین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کلمه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مشت نخست را در دست راست و مشت دوم را در دست چپ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طینت را به دو قسمت کرد و قسمتی از خاک زمین و قسمتی از خاک آسمان‌ها را پاشید و پراکنده ساخت و به خاکی که در دست راست جبرئیل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پیامبران، اوصیا، صدیقیان، مؤمنان، نیک‌بختان و کسانی را که خواستار کرامتشان هستم، از تو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فرموده بود، چنان‌که فرموده بود برای آنان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درست چپ جبرئیل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مشرکان، کافران، طاغوت ها و آنان را که خواستار پستی و نگون‌بختی‌شان هستم از تو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فرموده بود، چنان‌که فرموده بود برای آنان واجب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همه این دو طینت با هم مخلوط شدند و این حقیقت همان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خویش از آن خبر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طینت مؤمنان است که خداوند محبت خود را به آنان القا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طینت کافران است که آن‌ها را از هر خیری دور ساخت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از آن رو که از هر</w:t>
      </w:r>
      <w:bookmarkStart w:id="389" w:name="pg2631_17717"/>
    </w:p>
    <w:p>
      <w:pPr>
        <w:pStyle w:val="BookText"/>
        <w:rPr/>
      </w:pPr>
      <w:bookmarkEnd w:id="389"/>
      <w:r>
        <w:rPr>
          <w:rFonts w:ascii="IRNazanin" w:hAnsi="IRNazanin" w:eastAsia="IRNazanin"/>
          <w:color w:val="111111"/>
          <w:sz w:val="28"/>
          <w:sz w:val="28"/>
          <w:szCs w:val="28"/>
          <w:rtl w:val="true"/>
          <w:lang w:bidi="fa-IR"/>
        </w:rPr>
        <w:t>خیری رانده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را از مرده و مرده را از زنده بیرون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مؤمنی است که طینت او را از طینت کافر خارج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ـ که از زنده خارج می سازد ـ همان کافری است که از طینت مؤمن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حیّ و کافر میّت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نقل کرده که در آن ها ضمن تأکید بر معنای مطالب پیشین، به تحقق تکلیف و امتحان در مرتبه طینت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علاوه بر خلقت بهشت و اهل طاعت از آب گوارا و خلقت جهنم و اهل معصیت از آب تلخ و شور، از اطاعت اصحاب یمین و عصیان اصحاب شمال در امتحان الهی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حدیث‌های اول و سوم باب دوم تصریح شده که اصحاب شمال نمی‌توانند از اصحاب یمین باشند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برخی روایات، راه برای تحول طینت کافر و ناصبی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حدیث نیز در باب سوم آمده که در آن‌ها به اخذ میثاق از مخلوقات بر ربوبیت خداوند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نیز بر تکلیف و امتحان مخلوقات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حکمت اختلاف خلق بیان گردیده که همان آزمایش مخلوقات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علل‌الشرایع به مناسبت های گوناگون، روایات اختلاف طینت های مؤمنان و کافران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امالی طوسی نیز روایاتی در این زمینه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احادیث درباره اختلاف و تفاوت طینت مؤمنان با طینت کافران بسیار است و می توان گفت، اصل اختلاف دو طینت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نیز این روایات را مستفیض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تعلیقه علامه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عدل الهی</w:t>
      </w:r>
    </w:p>
    <w:p>
      <w:pPr>
        <w:pStyle w:val="BookText"/>
        <w:rPr/>
      </w:pPr>
      <w:r>
        <w:rPr>
          <w:rFonts w:ascii="IRNazanin" w:hAnsi="IRNazanin" w:eastAsia="IRNazanin"/>
          <w:color w:val="111111"/>
          <w:sz w:val="28"/>
          <w:sz w:val="28"/>
          <w:szCs w:val="28"/>
          <w:rtl w:val="true"/>
          <w:lang w:bidi="fa-IR"/>
        </w:rPr>
        <w:t>در این روایات تصریح شده که اختلاف طینت مؤمنان و کافران، در سعادت و شقاوت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دو گونه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تام؛ به این معنا که طینت علیین سبب خواهد شد کسانی که از آن طینت آفریده شده‌اند، اهل سعادت باشند و طینت سجین سبب خواهد شد کسانی که از آن آفریده شده‌اند، اهل شقاوت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فی‌الجمله؛ بدین معنا که طینت علیین سبب می‌شود اهل آن به سعادت نزدیک‌تر باشند و طینت سجین، اهل آن را به شقاوت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 هر کدام از این دو باشد، با عدل الهی ناسازگار می‌نماید، زیرا بر اساس آموزه عدل الهی، بهشت و جهنم و ثواب و عقاب، ناشی از اختیار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فی‌الجمله طینت برخی از انسان‌ها در کفر و شقاوت آن‌ها نیز با عدل الهی ناسازگار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این را که برخی از مردم، بیش از آن‌هایی که از طینت پاکی آفریده شده‌اند به قبول گناه نزدیک باشند، تبعیض، ظلم و مخالف اصل عدل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تعلیقه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روایات طینت را از اخبار متشابه و احادیث مشکل و پیچیده معرفی کرده و ظاهر آن‌ها را موهم جبر و نفی اختیار از انسان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هرچند خداوند دو طینت مختلف آفریده، اما انسان ها را بعد از اختلاط و امتزاج این دو طینت آفریده و هر انسانی از مخلوط این دو طینت آفریده شده تا هم اقتضای کار نیک در او باشد و هم اقتضای کار بد، اما آنچه نیکوکاری یا بدکرداری انسان را در نهایت تعیین می کند،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ظاهر احادیث یادشده و مجموع روایات وارد‌شده در این موضوع، این سخن چندان استوار به نظر نمی رسد، زیرا در احادیث مذکور تصریح شده که اصل طینت مؤمنان، علیینی است و در خلط و مزج تنها مسحه ای صورت گرفته و در نهایت هم آنچه از طینت سجین به طینت مؤمن رسیده، از آن جدا خواهد شد و به اصل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نیز درباره طینت کافر،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گفته شود هر انسانی به طور مساوی از هر دو طینت بهره دارد، دیگر بحث درباره آفرینش مؤمن از طینت علیین و آفرینش کافر از طینت سجین، معنای حقیقی خود را از دست می دهد؛ بنابراین، چنین توجیهی با ظواهر احادیث یادشده ناسازگار است</w:t>
      </w:r>
      <w:r>
        <w:rPr>
          <w:rFonts w:eastAsia="IRNazanin" w:cs="IRNazanin"/>
          <w:color w:val="111111"/>
          <w:sz w:val="28"/>
          <w:szCs w:val="28"/>
          <w:rtl w:val="true"/>
          <w:lang w:bidi="fa-IR"/>
        </w:rPr>
        <w:t>.</w:t>
      </w:r>
    </w:p>
    <w:p>
      <w:pPr>
        <w:pStyle w:val="Heading3"/>
        <w:numPr>
          <w:ilvl w:val="2"/>
          <w:numId w:val="1"/>
        </w:numPr>
        <w:rPr/>
      </w:pPr>
      <w:bookmarkStart w:id="390" w:name="__RefHeading___Toc561532_1395250215"/>
      <w:bookmarkStart w:id="391" w:name="_Toc156"/>
      <w:bookmarkEnd w:id="390"/>
      <w:r>
        <w:rPr/>
        <w:t>2</w:t>
      </w:r>
      <w:r>
        <w:rPr>
          <w:rtl w:val="true"/>
        </w:rPr>
        <w:t>.</w:t>
      </w:r>
      <w:r>
        <w:rPr>
          <w:rtl w:val="true"/>
        </w:rPr>
        <w:t>مسئله عدل الهی</w:t>
      </w:r>
      <w:bookmarkEnd w:id="391"/>
    </w:p>
    <w:p>
      <w:pPr>
        <w:pStyle w:val="Heading4"/>
        <w:numPr>
          <w:ilvl w:val="3"/>
          <w:numId w:val="1"/>
        </w:numPr>
        <w:rPr/>
      </w:pPr>
      <w:bookmarkStart w:id="392" w:name="__RefHeading___Toc561534_1395250215"/>
      <w:bookmarkStart w:id="393" w:name="_Toc15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این روایات تصریح شده که اختلاف طینت مؤمنان و کافران، در سعادت و شقاوت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دو گونه می‌تواند باشد</w:t>
      </w:r>
      <w:r>
        <w:rPr>
          <w:rFonts w:eastAsia="IRNazanin" w:cs="IRNazanin"/>
          <w:color w:val="111111"/>
          <w:sz w:val="28"/>
          <w:szCs w:val="28"/>
          <w:rtl w:val="true"/>
          <w:lang w:bidi="fa-IR"/>
        </w:rPr>
        <w:t>:</w:t>
      </w:r>
    </w:p>
    <w:p>
      <w:pPr>
        <w:pStyle w:val="Heading4"/>
        <w:numPr>
          <w:ilvl w:val="3"/>
          <w:numId w:val="1"/>
        </w:numPr>
        <w:rPr/>
      </w:pPr>
      <w:bookmarkStart w:id="394" w:name="__RefHeading___Toc561536_1395250215"/>
      <w:bookmarkStart w:id="395" w:name="_Toc158"/>
      <w:bookmarkEnd w:id="394"/>
      <w:r>
        <w:rPr/>
        <w:t>1</w:t>
      </w:r>
      <w:r>
        <w:rPr>
          <w:rtl w:val="true"/>
        </w:rPr>
        <w:t xml:space="preserve">. </w:t>
      </w:r>
      <w:r>
        <w:rPr>
          <w:rtl w:val="true"/>
        </w:rPr>
        <w:t>تأثیر تام</w:t>
      </w:r>
      <w:bookmarkEnd w:id="3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طینت علیین سبب خواهد شد کسانی که از آن طینت آفریده شده‌اند، اهل سعادت باشند و طینت سجین سبب خواهد شد کسانی که از آن آفریده شده‌اند، اهل شقاوت باشند</w:t>
      </w:r>
      <w:r>
        <w:rPr>
          <w:rFonts w:eastAsia="IRNazanin" w:cs="IRNazanin"/>
          <w:color w:val="111111"/>
          <w:sz w:val="28"/>
          <w:szCs w:val="28"/>
          <w:rtl w:val="true"/>
          <w:lang w:bidi="fa-IR"/>
        </w:rPr>
        <w:t>.</w:t>
      </w:r>
      <w:bookmarkStart w:id="396" w:name="pg2631_17718"/>
    </w:p>
    <w:p>
      <w:pPr>
        <w:pStyle w:val="Heading4"/>
        <w:numPr>
          <w:ilvl w:val="3"/>
          <w:numId w:val="1"/>
        </w:numPr>
        <w:rPr/>
      </w:pPr>
      <w:bookmarkStart w:id="397" w:name="__RefHeading___Toc561538_1395250215"/>
      <w:bookmarkStart w:id="398" w:name="_Toc159"/>
      <w:bookmarkEnd w:id="396"/>
      <w:bookmarkEnd w:id="397"/>
      <w:r>
        <w:rPr/>
        <w:t>2</w:t>
      </w:r>
      <w:r>
        <w:rPr>
          <w:rtl w:val="true"/>
        </w:rPr>
        <w:t xml:space="preserve">. </w:t>
      </w:r>
      <w:r>
        <w:rPr>
          <w:rtl w:val="true"/>
        </w:rPr>
        <w:t>تأثیر فی‌الجمله</w:t>
      </w:r>
      <w:bookmarkEnd w:id="398"/>
    </w:p>
    <w:p>
      <w:pPr>
        <w:pStyle w:val="BookText"/>
        <w:rPr/>
      </w:pPr>
      <w:r>
        <w:rPr>
          <w:rFonts w:ascii="IRNazanin" w:hAnsi="IRNazanin" w:eastAsia="IRNazanin"/>
          <w:color w:val="111111"/>
          <w:sz w:val="28"/>
          <w:sz w:val="28"/>
          <w:szCs w:val="28"/>
          <w:rtl w:val="true"/>
          <w:lang w:bidi="fa-IR"/>
        </w:rPr>
        <w:t>بدین معنا که طینت علیین سبب می‌شود اهل آن به سعادت نزدیک‌تر باشند و طینت سجین، اهل آن را به شقاوت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 هر کدام از این دو باشد، با عدل الهی ناسازگار می‌نماید، زیرا بر اساس آموزه عدل الهی، بهشت و جهنم و ثواب و عقاب، ناشی از اختیار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فی‌الجمله طینت برخی از انسان‌ها در کفر و شقاوت آن‌ها نیز با عدل الهی ناسازگار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این را که برخی از مردم، بیش از آن‌هایی که از طینت پاکی آفریده شده‌اند به قبول گناه نزدیک باشند، تبعیض، ظلم و مخالف اصل عدل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تعلیقه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روایات طینت را از اخبار متشابه و احادیث مشکل و پیچیده معرفی کرده و ظاهر آن‌ها را موهم جبر و نفی اختیار از انسان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هرچند خداوند دو طینت مختلف آفریده، اما انسان ها را بعد از اختلاط و امتزاج این دو طینت آفریده و هر انسانی از مخلوط این دو طینت آفریده شده تا هم اقتضای کار نیک در او باشد و هم اقتضای کار بد، اما آنچه نیکوکاری یا بدکرداری انسان را در نهایت تعیین می کند،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ظاهر احادیث یادشده و مجموع روایات وارد‌شده در این موضوع، این سخن چندان استوار به نظر نمی رسد، زیرا در احادیث مذکور تصریح شده که اصل طینت مؤمنان، علیینی است و در خلط و مزج تنها مسحه ای صورت گرفته و در نهایت هم آنچه از طینت سجین به طینت مؤمن رسیده، از آن جدا خواهد شد و به اصل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نیز درباره طینت کافر،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گفته شود هر انسانی به طور مساوی از هر دو طینت بهره دارد، دیگر بحث درباره آفرینش مؤمن از طینت علیین و آفرینش کافر از طینت سجین، معنای حقیقی خود را از دست می دهد؛ بنابراین، چنین توجیهی با ظواهر احادیث یادشده ناسازگار است</w:t>
      </w:r>
      <w:r>
        <w:rPr>
          <w:rFonts w:eastAsia="IRNazanin" w:cs="IRNazanin"/>
          <w:color w:val="111111"/>
          <w:sz w:val="28"/>
          <w:szCs w:val="28"/>
          <w:rtl w:val="true"/>
          <w:lang w:bidi="fa-IR"/>
        </w:rPr>
        <w:t>.</w:t>
      </w:r>
    </w:p>
    <w:p>
      <w:pPr>
        <w:pStyle w:val="Heading3"/>
        <w:numPr>
          <w:ilvl w:val="2"/>
          <w:numId w:val="1"/>
        </w:numPr>
        <w:rPr/>
      </w:pPr>
      <w:bookmarkStart w:id="399" w:name="__RefHeading___Toc561540_1395250215"/>
      <w:bookmarkStart w:id="400" w:name="_Toc160"/>
      <w:bookmarkEnd w:id="399"/>
      <w:r>
        <w:rPr/>
        <w:t>3</w:t>
      </w:r>
      <w:r>
        <w:rPr>
          <w:rtl w:val="true"/>
        </w:rPr>
        <w:t>.</w:t>
      </w:r>
      <w:r>
        <w:rPr>
          <w:rtl w:val="true"/>
        </w:rPr>
        <w:t>دیدگاه‌ها</w:t>
      </w:r>
      <w:bookmarkEnd w:id="400"/>
    </w:p>
    <w:p>
      <w:pPr>
        <w:pStyle w:val="Heading4"/>
        <w:numPr>
          <w:ilvl w:val="3"/>
          <w:numId w:val="1"/>
        </w:numPr>
        <w:rPr/>
      </w:pPr>
      <w:bookmarkStart w:id="401" w:name="__RefHeading___Toc561542_1395250215"/>
      <w:bookmarkStart w:id="402" w:name="_Toc161"/>
      <w:bookmarkEnd w:id="401"/>
      <w:r>
        <w:rPr>
          <w:rtl w:val="true"/>
        </w:rPr>
        <w:t>اشاره</w:t>
      </w:r>
      <w:bookmarkEnd w:id="4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مطرح‌شده درباره نسبت میان این احادیث و مسئله عدل الهی را می‌توان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دیدگاه‌هایی هستند که به نحوی صورت‌مسئله را پاک می‌کنند و به حل آن نمی‌پردازند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حذفی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برخی از دانشمندان تلاش کرده‌اند تا با تأویل ظاهر این روایات، به نحوی آن‌ها را با عدل الهی سازگار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تأویلی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نیز ضمن قبول صدور چنین روایاتی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آن‌ها، در‌باره درک معنای حقیقی آن‌ها اظهار عجز و سکوت اختیار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سکوت درباره معنا</w:t>
      </w:r>
      <w:r>
        <w:rPr>
          <w:rFonts w:eastAsia="IRNazanin" w:cs="IRNazanin"/>
          <w:color w:val="111111"/>
          <w:sz w:val="28"/>
          <w:szCs w:val="28"/>
          <w:rtl w:val="true"/>
          <w:lang w:bidi="fa-IR"/>
        </w:rPr>
        <w:t>).</w:t>
      </w:r>
      <w:bookmarkStart w:id="403" w:name="pg2631_17719"/>
    </w:p>
    <w:p>
      <w:pPr>
        <w:pStyle w:val="Heading4"/>
        <w:numPr>
          <w:ilvl w:val="3"/>
          <w:numId w:val="1"/>
        </w:numPr>
        <w:rPr/>
      </w:pPr>
      <w:bookmarkStart w:id="404" w:name="__RefHeading___Toc561544_1395250215"/>
      <w:bookmarkStart w:id="405" w:name="_Toc162"/>
      <w:bookmarkEnd w:id="403"/>
      <w:bookmarkEnd w:id="404"/>
      <w:r>
        <w:rPr/>
        <w:t>1</w:t>
      </w:r>
      <w:r>
        <w:rPr>
          <w:rtl w:val="true"/>
        </w:rPr>
        <w:t>ـ</w:t>
      </w:r>
      <w:r>
        <w:rPr/>
        <w:t>3</w:t>
      </w:r>
      <w:r>
        <w:rPr>
          <w:rtl w:val="true"/>
        </w:rPr>
        <w:t xml:space="preserve">. </w:t>
      </w:r>
      <w:r>
        <w:rPr>
          <w:rtl w:val="true"/>
        </w:rPr>
        <w:t>دیدگاه‌های حذفی</w:t>
      </w:r>
      <w:bookmarkEnd w:id="405"/>
    </w:p>
    <w:p>
      <w:pPr>
        <w:pStyle w:val="BookText"/>
        <w:rPr/>
      </w:pPr>
      <w:r>
        <w:rPr>
          <w:rFonts w:ascii="IRNazanin" w:hAnsi="IRNazanin" w:eastAsia="IRNazanin"/>
          <w:color w:val="111111"/>
          <w:sz w:val="28"/>
          <w:sz w:val="28"/>
          <w:szCs w:val="28"/>
          <w:rtl w:val="true"/>
          <w:lang w:bidi="fa-IR"/>
        </w:rPr>
        <w:t>نخستین دیدگاه در این دسته دیدگاهی است که مرحوم شبّر به عنوان اولین قول از اقوال نه‌گانه علما درباره احادیث طینت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این احادیث از اخبار آحادند و به جهت مخالفتشان با قرآن، سنت قطعی، اجماع امامیه و ادله عقلی باید آن‌ها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باور، التزام به مضمون و مفاد روایات طینت، نه ضروری و نه صحیح است و در نتیجه، این روایات باید به کناری نهاده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مرحوم شبر معتقد است این وجه قابل قبول نیست، زیرا روایات در این زمینه چه بسا تواتر دارند؛ پس نمی‌توان آن‌ها را رد کرد، بلکه باید به نحوی تأویل و توجیه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دوم، دیدگاه عالمانی است که به نقل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موافق مذهب اشاعره دانسته و آن‌ها را بر تقیه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چندان موجه به نظر نمی رسد، زیرا تقیه هرگز به معنای تأیید و تقویت عقیده باطل نیست؛ علاوه بر این، در برخی روایات بحث اختلاف طینت مؤمن و کافر، از اسرار علوم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406" w:name="__RefHeading___Toc561546_1395250215"/>
      <w:bookmarkStart w:id="407" w:name="_Toc163"/>
      <w:bookmarkEnd w:id="406"/>
      <w:r>
        <w:rPr/>
        <w:t>2</w:t>
      </w:r>
      <w:r>
        <w:rPr>
          <w:rtl w:val="true"/>
        </w:rPr>
        <w:t>ـ</w:t>
      </w:r>
      <w:r>
        <w:rPr/>
        <w:t>3</w:t>
      </w:r>
      <w:r>
        <w:rPr>
          <w:rtl w:val="true"/>
        </w:rPr>
        <w:t xml:space="preserve">. </w:t>
      </w:r>
      <w:r>
        <w:rPr>
          <w:rtl w:val="true"/>
        </w:rPr>
        <w:t>دیدگاه سکوت دربارۀ معنا</w:t>
      </w:r>
      <w:bookmarkEnd w:id="407"/>
    </w:p>
    <w:p>
      <w:pPr>
        <w:pStyle w:val="BookText"/>
        <w:rPr/>
      </w:pPr>
      <w:r>
        <w:rPr>
          <w:rFonts w:ascii="IRNazanin" w:hAnsi="IRNazanin" w:eastAsia="IRNazanin"/>
          <w:color w:val="111111"/>
          <w:sz w:val="28"/>
          <w:sz w:val="28"/>
          <w:szCs w:val="28"/>
          <w:rtl w:val="true"/>
          <w:lang w:bidi="fa-IR"/>
        </w:rPr>
        <w:t xml:space="preserve">دیدگاه سکوت درباره معنا، دیدگاهی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اخباریان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اخباریان معتقدند باید اجمالاً به مضمون این احادیث ایمان داشت و ضمن اعتراف به جهل از حقیقت معنای احادیث، علم آن را به خود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علامه مجلسی نیز پس از نقل اقوال گوناگون در این باره، به همین قول گرایش نشان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تعمق در امثال این مسائل مشکل را که عقل‌های ما از احاطه به کنه آن‌ها ناتوان است، ترک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توجه به اهمیت مضمونی که در این احادیث آمده است و تواتر معنوی آن، چشم بستن از آن قابل قبول نیست</w:t>
      </w:r>
    </w:p>
    <w:p>
      <w:pPr>
        <w:pStyle w:val="Heading4"/>
        <w:numPr>
          <w:ilvl w:val="3"/>
          <w:numId w:val="1"/>
        </w:numPr>
        <w:rPr/>
      </w:pPr>
      <w:bookmarkStart w:id="408" w:name="__RefHeading___Toc561548_1395250215"/>
      <w:bookmarkStart w:id="409" w:name="_Toc164"/>
      <w:bookmarkEnd w:id="408"/>
      <w:r>
        <w:rPr/>
        <w:t>3</w:t>
      </w:r>
      <w:r>
        <w:rPr>
          <w:rtl w:val="true"/>
        </w:rPr>
        <w:t>ـ</w:t>
      </w:r>
      <w:r>
        <w:rPr/>
        <w:t>3</w:t>
      </w:r>
      <w:r>
        <w:rPr>
          <w:rtl w:val="true"/>
        </w:rPr>
        <w:t xml:space="preserve">. </w:t>
      </w:r>
      <w:r>
        <w:rPr>
          <w:rtl w:val="true"/>
        </w:rPr>
        <w:t>دیدگاه‌های تأویلی</w:t>
      </w:r>
      <w:bookmarkEnd w:id="409"/>
    </w:p>
    <w:p>
      <w:pPr>
        <w:pStyle w:val="Heading5"/>
        <w:numPr>
          <w:ilvl w:val="4"/>
          <w:numId w:val="1"/>
        </w:numPr>
        <w:rPr/>
      </w:pPr>
      <w:bookmarkStart w:id="410" w:name="__RefHeading___Toc561550_1395250215"/>
      <w:bookmarkStart w:id="411" w:name="_Toc165"/>
      <w:bookmarkEnd w:id="410"/>
      <w:r>
        <w:rPr>
          <w:rtl w:val="true"/>
        </w:rPr>
        <w:t>اشاره</w:t>
      </w:r>
      <w:bookmarkEnd w:id="4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دسته، دیدگاه‌های اندیشمندانی قرار می‌گیرد که ضمن پذیرش صدور این احادیث، توانایی انسان‌ها را در درک این روایات، تصدیق کرده و در مقام تفسیر و تحلیل این روایات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بر پذیرش روایات طینت متکی بوده و با رویکردهای عرفانی، فلسفی و یا حدیثی به تبیین این روایات پرداخته و در مقام پاسخ به ایرادات مطرح درباره احادیث طینت، که مهم ترینِ آن اشکال مربوط به عدل الهی و اختیار انسان است، برآمده اند</w:t>
      </w:r>
      <w:r>
        <w:rPr>
          <w:rFonts w:eastAsia="IRNazanin" w:cs="IRNazanin"/>
          <w:color w:val="111111"/>
          <w:sz w:val="28"/>
          <w:szCs w:val="28"/>
          <w:rtl w:val="true"/>
          <w:lang w:bidi="fa-IR"/>
        </w:rPr>
        <w:t>.</w:t>
      </w:r>
      <w:bookmarkStart w:id="412" w:name="pg2631_17720"/>
    </w:p>
    <w:p>
      <w:pPr>
        <w:pStyle w:val="Heading5"/>
        <w:numPr>
          <w:ilvl w:val="4"/>
          <w:numId w:val="1"/>
        </w:numPr>
        <w:rPr/>
      </w:pPr>
      <w:bookmarkStart w:id="413" w:name="__RefHeading___Toc561552_1395250215"/>
      <w:bookmarkStart w:id="414" w:name="_Toc166"/>
      <w:bookmarkEnd w:id="412"/>
      <w:bookmarkEnd w:id="413"/>
      <w:r>
        <w:rPr>
          <w:rtl w:val="true"/>
        </w:rPr>
        <w:t>الف</w:t>
      </w:r>
      <w:r>
        <w:rPr>
          <w:rtl w:val="true"/>
        </w:rPr>
        <w:t xml:space="preserve">) </w:t>
      </w:r>
      <w:r>
        <w:rPr>
          <w:rtl w:val="true"/>
        </w:rPr>
        <w:t>استناد به علم پیشین الهی</w:t>
      </w:r>
      <w:bookmarkEnd w:id="414"/>
    </w:p>
    <w:p>
      <w:pPr>
        <w:pStyle w:val="Heading6"/>
        <w:numPr>
          <w:ilvl w:val="5"/>
          <w:numId w:val="1"/>
        </w:numPr>
        <w:rPr/>
      </w:pPr>
      <w:bookmarkStart w:id="415" w:name="__RefHeading___Toc561554_1395250215"/>
      <w:bookmarkStart w:id="416" w:name="_Toc16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ملاصالح مازندرانی معتقد است اختلاف طینت ها تابع ایمان و کفر است، نه برعکس،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چه کسانی با اختیار خود ایمان خواهند آورد و چه کسانی به اختیار خود کافر خواهند شد؛ از این رو، در آفرینش هم با آن‌ها به همین صورت معامله فرموده و طالب خیر را از طینت پاکیزه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می‌دانست طالب شر حتی اگر از طینت پاکیزه برخوردار باشد به سمت شرور خواهد گرایید، طینت وی را از سجین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خلق مؤمنان از طینت علیین، نوعی تسهیل و تکریم در حق آن‌ها و خلق کافران از طینت سجین، تحقیر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ملاصالح مازندرانی این توهم باطل است که ایمان، فضل و کمال را تابع پاکیزگی و صفای طینت بدانیم و کفر و پستی را تابع خباثت و ظلمت طینت بشماریم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را در قول هفتم می‌آورد و با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که بیشتر احادیث بر آن منطبق است و از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در تأیید این دیدگاه، از این حدیث قدسی هم بهره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المطلع علی قلوب عبادی لاأحیف و لا ألزم أحداً إلا ما أعرفه منه قبل أن أخلقه</w:t>
      </w:r>
      <w:r>
        <w:rPr>
          <w:rFonts w:eastAsia="IRNazanin" w:cs="IRNazanin"/>
          <w:color w:val="111111"/>
          <w:sz w:val="28"/>
          <w:szCs w:val="28"/>
          <w:rtl w:val="true"/>
          <w:lang w:bidi="fa-IR"/>
        </w:rPr>
        <w:t>.»</w:t>
      </w:r>
    </w:p>
    <w:p>
      <w:pPr>
        <w:pStyle w:val="Heading6"/>
        <w:numPr>
          <w:ilvl w:val="5"/>
          <w:numId w:val="1"/>
        </w:numPr>
        <w:rPr/>
      </w:pPr>
      <w:bookmarkStart w:id="417" w:name="__RefHeading___Toc561556_1395250215"/>
      <w:bookmarkStart w:id="418" w:name="_Toc168"/>
      <w:bookmarkEnd w:id="417"/>
      <w:r>
        <w:rPr>
          <w:rtl w:val="true"/>
        </w:rPr>
        <w:t>نقد و برسی</w:t>
      </w:r>
      <w:bookmarkEnd w:id="418"/>
    </w:p>
    <w:p>
      <w:pPr>
        <w:pStyle w:val="BookText"/>
        <w:rPr/>
      </w:pPr>
      <w:r>
        <w:rPr>
          <w:rFonts w:ascii="IRNazanin" w:hAnsi="IRNazanin" w:eastAsia="IRNazanin"/>
          <w:color w:val="111111"/>
          <w:sz w:val="28"/>
          <w:sz w:val="28"/>
          <w:szCs w:val="28"/>
          <w:rtl w:val="true"/>
          <w:lang w:bidi="fa-IR"/>
        </w:rPr>
        <w:t>ملا‌صالح مازندرانی سعی دارد با استنادِ اختلاف طینت‌ها به علم پیشین الهی، تأثیر طینت در ایمان و کفر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خلق از طینت‌های متفاوت را تنها به جهت تجلیل مؤمنان و تحقیر کافران تلقی کرده است؛ اما حمل روایات طینت به این معنا، خلاف صریح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پنجم از باب اول طینت در کافی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رَأَیْتَ مِنْ أُولَئِکَ مِنَ الأَمَانَةِ وَ حُسْنِ الْخُلُقِ وَ حُسْنِ السَّمْتِ فَمِمَّا مَسَّتْهُمْ مِنْ طِینَةِ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مِنْ هَؤُلاءِ مِنْ قِلَّةِ الأَمَانَةِ وَ سُوءِ الْخُلُقِ وَ الزَّعَارَّةِ فَمِمَّا مَسَّتْهُمْ مِنْ طِینَةِ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حسن خلق و خوش‌چهرگی که در دشمنان ما می‌بینی، ناشی از این است که طینت بهشت با آن‌ها تماس داشته است و البته دشمنان به طینتی که از آن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امانت‌داری و بدخلقی که در اهل ولایت ما می‌بینی، ناشی از این است که طینت جهنم با آن‌ها تماس داشته است و البته آن‌ها به طینتی که از آن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w:t>
      </w:r>
      <w:bookmarkStart w:id="419" w:name="pg2631_17721"/>
    </w:p>
    <w:p>
      <w:pPr>
        <w:pStyle w:val="Heading5"/>
        <w:numPr>
          <w:ilvl w:val="4"/>
          <w:numId w:val="1"/>
        </w:numPr>
        <w:rPr/>
      </w:pPr>
      <w:bookmarkStart w:id="420" w:name="__RefHeading___Toc561558_1395250215"/>
      <w:bookmarkStart w:id="421" w:name="_Toc169"/>
      <w:bookmarkEnd w:id="419"/>
      <w:bookmarkEnd w:id="420"/>
      <w:r>
        <w:rPr>
          <w:rtl w:val="true"/>
        </w:rPr>
        <w:t>ب</w:t>
      </w:r>
      <w:r>
        <w:rPr>
          <w:rtl w:val="true"/>
        </w:rPr>
        <w:t xml:space="preserve">) </w:t>
      </w:r>
      <w:r>
        <w:rPr>
          <w:rtl w:val="true"/>
        </w:rPr>
        <w:t>تأویل طینت‌های مختلف به عوالم سه‌گانۀ جبروت، ملکوت و ملک</w:t>
      </w:r>
      <w:bookmarkEnd w:id="421"/>
    </w:p>
    <w:p>
      <w:pPr>
        <w:pStyle w:val="Heading6"/>
        <w:numPr>
          <w:ilvl w:val="5"/>
          <w:numId w:val="1"/>
        </w:numPr>
        <w:rPr/>
      </w:pPr>
      <w:bookmarkStart w:id="422" w:name="__RefHeading___Toc561560_1395250215"/>
      <w:bookmarkStart w:id="423" w:name="_Toc170"/>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دیدگاه تأویلیِ دوم، دیدگاه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اعلی‌علیین را به عالم جبروت و علیین را به عالم ملکوت تطبیق کرده و معتقد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دنیاست که ارواح در آن مسجونند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خلق آفرینش قلوب 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علیین به این معناست که قلوب نبیین به جبروت تعلق دارد، و خلق قلوب کفار از سجین نیز بدین معناست که قلوبشان به خاطر شدت علاقه و پیوند با این بدن، چنان شده که گویا نصیبی از ملکوت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طینت مؤمنان نیز به همین ترتیب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خلط میان دو طینت، به تعلق ارواح ملکوتی به ابدان عنصری اشاره دارد و ایمان و کفر، محصول غلبه هریک از دو نشئه ملکوت و دنیا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فیض، ایمان و کفر درجات و مراتب گوناگونی دارد و اگر نسبت نشئه ملکوت و نشئه دنیا در کسی مساوی باشد، وی نه کافر خواهد بود و نه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می‌تواند شکل‌های مختلفی را بپذیرد و نگه دارد؛ از این رو، آفرینش مستضعفان از خاک دانسته شده است، زیرا مستضعفان ملتزم به راه اهل ایمان و کفر نیستند و می‌توانند هریک را بپذیرند، برخلاف اهل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آنچه برای آن آفریده شده‌اند، متحول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424" w:name="__RefHeading___Toc561562_1395250215"/>
      <w:bookmarkStart w:id="425" w:name="_Toc171"/>
      <w:bookmarkEnd w:id="424"/>
      <w:r>
        <w:rPr>
          <w:rtl w:val="true"/>
        </w:rPr>
        <w:t>نقد و برسی</w:t>
      </w:r>
      <w:bookmarkEnd w:id="425"/>
    </w:p>
    <w:p>
      <w:pPr>
        <w:pStyle w:val="BookText"/>
        <w:rPr/>
      </w:pPr>
      <w:r>
        <w:rPr>
          <w:rFonts w:ascii="IRNazanin" w:hAnsi="IRNazanin" w:eastAsia="IRNazanin"/>
          <w:color w:val="111111"/>
          <w:sz w:val="28"/>
          <w:sz w:val="28"/>
          <w:szCs w:val="28"/>
          <w:rtl w:val="true"/>
          <w:lang w:bidi="fa-IR"/>
        </w:rPr>
        <w:t xml:space="preserve">شواهدی که فیض کاشانی برای تأویل طینت‌های گوناگون در روایات به عوالم سه‌گانه جبروت، ملکوت و ملک ذکر می‌کند، ناکافی‌اند؛ علاوه بر این، این تأویل مشکل ناسازگاری ظاهر این روایات را با عدل الهی حل نمی‌کند، زیرا همان‌گونه که علامه شعرانی در تعلیقه خود بر وافی می‌گوید،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و کفر محصول غلبه هریک از دو نشئه ملکوت و دنیا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قول به جبر و خلاف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تعلیقه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همان‌گونه که بر اساس ظاهر روایات، خلق طینت‌های گوناگون کار خداوند است، تعیین هریک از این نشئات در افراد مختلف و غلبه دادن آن‌ها، از ناحیه خداوند خواهد بود</w:t>
      </w:r>
      <w:r>
        <w:rPr>
          <w:rFonts w:eastAsia="IRNazanin" w:cs="IRNazanin"/>
          <w:color w:val="111111"/>
          <w:sz w:val="28"/>
          <w:szCs w:val="28"/>
          <w:rtl w:val="true"/>
          <w:lang w:bidi="fa-IR"/>
        </w:rPr>
        <w:t>.</w:t>
      </w:r>
    </w:p>
    <w:p>
      <w:pPr>
        <w:pStyle w:val="Heading5"/>
        <w:numPr>
          <w:ilvl w:val="4"/>
          <w:numId w:val="1"/>
        </w:numPr>
        <w:rPr/>
      </w:pPr>
      <w:bookmarkStart w:id="426" w:name="__RefHeading___Toc561564_1395250215"/>
      <w:bookmarkStart w:id="427" w:name="_Toc172"/>
      <w:bookmarkEnd w:id="426"/>
      <w:r>
        <w:rPr>
          <w:rtl w:val="true"/>
        </w:rPr>
        <w:t>ج</w:t>
      </w:r>
      <w:r>
        <w:rPr>
          <w:rtl w:val="true"/>
        </w:rPr>
        <w:t xml:space="preserve">) </w:t>
      </w:r>
      <w:r>
        <w:rPr>
          <w:rtl w:val="true"/>
        </w:rPr>
        <w:t>اخبار طینت، کنایه از علم الهی به آیندۀ انسان‌ها</w:t>
      </w:r>
      <w:bookmarkEnd w:id="427"/>
    </w:p>
    <w:p>
      <w:pPr>
        <w:pStyle w:val="Heading6"/>
        <w:numPr>
          <w:ilvl w:val="5"/>
          <w:numId w:val="1"/>
        </w:numPr>
        <w:rPr/>
      </w:pPr>
      <w:bookmarkStart w:id="428" w:name="__RefHeading___Toc561566_1395250215"/>
      <w:bookmarkStart w:id="429" w:name="_Toc173"/>
      <w:bookmarkEnd w:id="428"/>
      <w:r>
        <w:rPr>
          <w:rtl w:val="true"/>
        </w:rPr>
        <w:t>اشاره</w:t>
      </w:r>
      <w:bookmarkEnd w:id="4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دیدگاه، اخبار طینت کنایه از علم الهی به آینده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با علم به آینده افراد بشر آن‌ها را آفریده، گویا آن‌ها را با سرشت‌های متفاوتی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حسن‌بن‌سلیمان حلی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اخبار، از علم الهی</w:t>
      </w:r>
      <w:bookmarkStart w:id="430" w:name="pg2631_17722"/>
    </w:p>
    <w:p>
      <w:pPr>
        <w:pStyle w:val="BookText"/>
        <w:rPr/>
      </w:pPr>
      <w:bookmarkEnd w:id="430"/>
      <w:r>
        <w:rPr>
          <w:rFonts w:ascii="IRNazanin" w:hAnsi="IRNazanin" w:eastAsia="IRNazanin"/>
          <w:color w:val="111111"/>
          <w:sz w:val="28"/>
          <w:sz w:val="28"/>
          <w:szCs w:val="28"/>
          <w:rtl w:val="true"/>
          <w:lang w:bidi="fa-IR"/>
        </w:rPr>
        <w:t>به عاقبت امر مخلوقاتش خبر می‌دهند؛ عاقبت برخی از انسان‌ها بهشت علیین است و برخی جهنم سجین، اما منتهی شدن به این عاقبت ناشی از اختیار خود انسان‌هاست که در ابتدای آفرینش در عالم ذر اطاعت را برگزینند یا عصیان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علم الهی که در واقع، ظاهر کردن باطن امور و انتقال حقایق از غیب به شهادت است، هرگز موجب سلب قدرت و اختیار از مکلفان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دیگر نیز،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غیب الهی خبر داده‌اند؛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نجیب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مشرکان مکه مسلمان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که علم پیشین الهی به افعال آینده بندگان با اختیار آن‌ها منافاتی ندارد، زیرا علم الهی علمِ به این است که از بندگان با اختیار خود چه افعالی سر خواهد زد، اِخبار از این علم پیشین نیز با اختیار بندگان و عدل الهی، منافاتی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431" w:name="__RefHeading___Toc561568_1395250215"/>
      <w:bookmarkStart w:id="432" w:name="_Toc174"/>
      <w:bookmarkEnd w:id="431"/>
      <w:r>
        <w:rPr>
          <w:rtl w:val="true"/>
        </w:rPr>
        <w:t>نقد و برسی</w:t>
      </w:r>
      <w:bookmarkEnd w:id="432"/>
    </w:p>
    <w:p>
      <w:pPr>
        <w:pStyle w:val="BookText"/>
        <w:rPr/>
      </w:pPr>
      <w:r>
        <w:rPr>
          <w:rFonts w:ascii="IRNazanin" w:hAnsi="IRNazanin" w:eastAsia="IRNazanin"/>
          <w:color w:val="111111"/>
          <w:sz w:val="28"/>
          <w:sz w:val="28"/>
          <w:szCs w:val="28"/>
          <w:rtl w:val="true"/>
          <w:lang w:bidi="fa-IR"/>
        </w:rPr>
        <w:t>این تأویل، مسئله ناسازگاری روایات طینت با عدل الهی را برطرف می‌کند، اما مخالفت آن با ظاهر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مرحوم شبر پس از اشاره بسیار اجمالی به این قول، بدون هیچ توضیحی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آن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433" w:name="__RefHeading___Toc561570_1395250215"/>
      <w:bookmarkStart w:id="434" w:name="_Toc175"/>
      <w:bookmarkEnd w:id="433"/>
      <w:r>
        <w:rPr>
          <w:rtl w:val="true"/>
        </w:rPr>
        <w:t>د</w:t>
      </w:r>
      <w:r>
        <w:rPr>
          <w:rtl w:val="true"/>
        </w:rPr>
        <w:t xml:space="preserve">) </w:t>
      </w:r>
      <w:r>
        <w:rPr>
          <w:rtl w:val="true"/>
        </w:rPr>
        <w:t>اختلاف طینت ها، کنایه از اختلاف استعدادها و قابلیت ها</w:t>
      </w:r>
      <w:bookmarkEnd w:id="434"/>
    </w:p>
    <w:p>
      <w:pPr>
        <w:pStyle w:val="Heading6"/>
        <w:numPr>
          <w:ilvl w:val="5"/>
          <w:numId w:val="1"/>
        </w:numPr>
        <w:rPr/>
      </w:pPr>
      <w:bookmarkStart w:id="435" w:name="__RefHeading___Toc561572_1395250215"/>
      <w:bookmarkStart w:id="436" w:name="_Toc176"/>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دیدگاه چهارم، دیدگاه عالمانی است که اختلاف طینت ها را کنایه از اختلاف استعدادها و قابلیت های افراد گوناگون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اندیشمندان، تفاوت در استعدادها و قابلیت ها نه مستلزم سقوط تکلیف است و نه کسی را به شرّ و فساد مجبور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استعداد و ظرفیت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ابوجهل یک‌سان نیست؛ با وجود این، هر کدام موظفند به قدر توانایی خود در جهت کمالات انسانی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تکلیف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بیشتر از ابوجهل است، اما خداوند ابوجهل را نیز به اندازه قابلیتش مکلف کرده و هرگز او را مجبور به شر و فساد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بی 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اقوال نقل کرده‌اند، بدون این‌که به کسی نسبت دهند</w:t>
      </w:r>
      <w:r>
        <w:rPr>
          <w:rFonts w:eastAsia="IRNazanin" w:cs="IRNazanin"/>
          <w:color w:val="111111"/>
          <w:sz w:val="28"/>
          <w:szCs w:val="28"/>
          <w:rtl w:val="true"/>
          <w:lang w:bidi="fa-IR"/>
        </w:rPr>
        <w:t>.</w:t>
      </w:r>
    </w:p>
    <w:p>
      <w:pPr>
        <w:pStyle w:val="Heading6"/>
        <w:numPr>
          <w:ilvl w:val="5"/>
          <w:numId w:val="1"/>
        </w:numPr>
        <w:rPr/>
      </w:pPr>
      <w:bookmarkStart w:id="437" w:name="__RefHeading___Toc561574_1395250215"/>
      <w:bookmarkStart w:id="438" w:name="_Toc177"/>
      <w:bookmarkEnd w:id="437"/>
      <w:r>
        <w:rPr>
          <w:rtl w:val="true"/>
        </w:rPr>
        <w:t>نقد و برسی</w:t>
      </w:r>
      <w:bookmarkEnd w:id="4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 نیز با ظاهر روایات،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روایات طینت، طینت‌های علیین و سجین در سعادت و شقاوت افراد انسان مؤثرند، به حدی که طینت علیین طینت</w:t>
      </w:r>
      <w:bookmarkStart w:id="439" w:name="pg2631_17723"/>
    </w:p>
    <w:p>
      <w:pPr>
        <w:pStyle w:val="BookText"/>
        <w:rPr/>
      </w:pPr>
      <w:bookmarkEnd w:id="439"/>
      <w:r>
        <w:rPr>
          <w:rFonts w:ascii="IRNazanin" w:hAnsi="IRNazanin" w:eastAsia="IRNazanin"/>
          <w:color w:val="111111"/>
          <w:sz w:val="28"/>
          <w:sz w:val="28"/>
          <w:szCs w:val="28"/>
          <w:rtl w:val="true"/>
          <w:lang w:bidi="fa-IR"/>
        </w:rPr>
        <w:t>بهشت و طینت سجین طینت جهنم نامیده و تصریح شده است که اصحاب شمال ـ که همان افرادی‌اند که از طینت سجین آفریده شده‌اندـ نمی‌توانند از اصحاب یمین ـ که دارای طینت علیینندـ باشند و برعکس</w:t>
      </w:r>
      <w:r>
        <w:rPr>
          <w:rFonts w:eastAsia="IRNazanin" w:cs="IRNazanin"/>
          <w:color w:val="111111"/>
          <w:sz w:val="28"/>
          <w:szCs w:val="28"/>
          <w:rtl w:val="true"/>
          <w:lang w:bidi="fa-IR"/>
        </w:rPr>
        <w:t>.</w:t>
      </w:r>
    </w:p>
    <w:p>
      <w:pPr>
        <w:pStyle w:val="Heading5"/>
        <w:numPr>
          <w:ilvl w:val="4"/>
          <w:numId w:val="1"/>
        </w:numPr>
        <w:rPr/>
      </w:pPr>
      <w:bookmarkStart w:id="440" w:name="__RefHeading___Toc561576_1395250215"/>
      <w:bookmarkStart w:id="441" w:name="_Toc178"/>
      <w:bookmarkEnd w:id="440"/>
      <w:r>
        <w:rPr>
          <w:rtl w:val="true"/>
        </w:rPr>
        <w:t>هـ</w:t>
      </w:r>
      <w:r>
        <w:rPr>
          <w:rtl w:val="true"/>
        </w:rPr>
        <w:t xml:space="preserve">) </w:t>
      </w:r>
      <w:r>
        <w:rPr>
          <w:rtl w:val="true"/>
        </w:rPr>
        <w:t>اختلاف طینت ها تابع اطاعت و عصیان در تکلیف مراحل پیشین</w:t>
      </w:r>
      <w:bookmarkEnd w:id="441"/>
    </w:p>
    <w:p>
      <w:pPr>
        <w:pStyle w:val="Heading6"/>
        <w:numPr>
          <w:ilvl w:val="5"/>
          <w:numId w:val="1"/>
        </w:numPr>
        <w:rPr/>
      </w:pPr>
      <w:bookmarkStart w:id="442" w:name="__RefHeading___Toc561578_1395250215"/>
      <w:bookmarkStart w:id="443" w:name="_Toc179"/>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بر اساس این دیدگاه که مرحوم شبر آن را در قول هشتم نقل می‌کند، اختلاف طینت ها فرع بر تکلیف و امتحان در مراحل پیشین و تابع اطاعت و عصیان در آن مراحل هستند،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در عالم ذر، ارواح را پیش از ابدان آفرید و آن‌ها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برخی اطاعت کردند و برخی عصیان و بدین ترتیب، حجت تمام شد و با اطاعت و عصیان، ایمان و کفر پیش از استقرار ارواح در ابدان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برای ارواح مطیع، مسکنی مناسب آن‌ها آفرید که همان ابدانی از طینت علیین است و برای ارواح عاصی نیز مسکنی مناسب آن‌ها؛ یعنی ابدانی از طینت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از دو طینت متفاوت، نتیجه ایمان و کفر و ناشی از انتخاب و عمل خود انسان‌هاست و مستلزم جبر و ناسازگار با عدل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پس از نقل حدیثی که مؤید این مضمون است، این دیدگاه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جَرَی فِیهِ شَیْ‌ءٌ مِنْ شِرْکِ الشَّیْطَانِ عَلَی الطَّرِیقَةِ یَعْنِی عَلَی الْوَلایَةِ فِی الأَصْلِ عِنْدَ الأَظِلَّةِ حِینَ أَخَذَ اللَّهُ مِیثَاقَ بَنِی‌آدَمَ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لأَسْقَیْناهُم ماءً غَدَقاً یَعْنِی لَکنَّا وَضَعْنَا أَظِلَّتَهُمْ فِی الْمَاءِ الْفُرَاتِ الْعَذْبِ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از این حدیث استفاده می‌کند که مراد از آیه مذکور در حدیث این است که اگر منکران ولایت در عالم ارواح به ولایت اقرار می‌کردند، ارواح آن‌ها را در بدن‌هایی آفریده‌شده از آب گوارا قرار می‌دادیم؛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تفاوت طینت‌ها، تکلیف اول در عالم ارواح هنگام میثاق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6"/>
        <w:numPr>
          <w:ilvl w:val="5"/>
          <w:numId w:val="1"/>
        </w:numPr>
        <w:rPr/>
      </w:pPr>
      <w:bookmarkStart w:id="444" w:name="__RefHeading___Toc561580_1395250215"/>
      <w:bookmarkStart w:id="445" w:name="_Toc180"/>
      <w:bookmarkEnd w:id="444"/>
      <w:r>
        <w:rPr>
          <w:rtl w:val="true"/>
        </w:rPr>
        <w:t>نقد و برسی</w:t>
      </w:r>
      <w:bookmarkEnd w:id="4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تأویل درستی برای همه روایات طینت مطرح نمی‌کند، زیرا اولاً، برخی روایات طینت نخستین مرحله آفرینش انسان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تنها یکی از مراحل آفرینش انسان را مطرح می‌کردند، این تأویل معقول بود، زیرا این‌که مرحله‌ای از مراحل</w:t>
      </w:r>
      <w:bookmarkStart w:id="446" w:name="pg2631_17724"/>
    </w:p>
    <w:p>
      <w:pPr>
        <w:pStyle w:val="BookText"/>
        <w:rPr/>
      </w:pPr>
      <w:bookmarkEnd w:id="446"/>
      <w:r>
        <w:rPr>
          <w:rFonts w:ascii="IRNazanin" w:hAnsi="IRNazanin" w:eastAsia="IRNazanin"/>
          <w:color w:val="111111"/>
          <w:sz w:val="28"/>
          <w:sz w:val="28"/>
          <w:szCs w:val="28"/>
          <w:rtl w:val="true"/>
          <w:lang w:bidi="fa-IR"/>
        </w:rPr>
        <w:t>آفرینش انسان به صورت آفرینش از طینت‌های گوناگون باشد، منافاتی ندارد با این‌که در مرحله‌ای قبل، وقایع دیگری اتفاق افتاده و امتحانی صورت گرفته باشد؛ اما از آن‌جا که برخی از این روایات، نخستین مرحله آفرینش انسان را مطرح می‌کنند، نمی‌توان این تأویل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طینت تنها منشأ بدن انسان‌هاست، زیرا ارواح انسان‌ها در عالم ذر موجود بوده و از آن‌ها میثاق گرفته شده است و بر اساس ایمان و کفر، اکنون وارد بدن‌هایی می‌شوند که از طینت علیین یا سجین آفریده شده‌اند؛ در حالی که از روایات طینت استفاده می‌شود که علاوه بر بدن‌های انسان‌ها، ارواح انسان‌ها نیز از این طینت‌ها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یا کافران را از طینت علیین یا سجین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اعم از ارواح و ابدان انسان‌هاست و تخصیص آن به ابدان، فاقد شواهد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برخی از احادیث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 و چهارم از باب اول از ابواب طینت در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خداوند، قلوب و ابدان مؤمنان یا کافران را از طینت علیین یا سجین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این‌جا منظور از قلب، قلب صنوبری نیست، زیرا جدا کردن قلب صنوبری از بدن،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احادیث نیز به قرینه احادیث دیگر، به‌خصوص احادیث خلق ابدان و ارواح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قلوب را ارواح دانسته‌اند؛ حتی مولی‌صالح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مطرح کردن این احتمال که منظور از قلب، قلب صنوبری باشد، اضافه می‌کند که این قلب همان عضوی است که روح در درجه اول به آن تعلق می‌گیرد تا منافاتی میان این احادیث و احادیث دیگری نباشد که مضمون آن‌ها این است که ابدان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از طینت علیین است و ارواح آن‌ها مخلوق از طنیتی بالاتر از این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حدیثی نیز که علامه مجلسی ذیل آن این دیدگاه مطرح می‌کند، نمی‌تواند به تنهایی مفسر احادیث طینت باشد</w:t>
      </w:r>
      <w:r>
        <w:rPr>
          <w:rFonts w:eastAsia="IRNazanin" w:cs="IRNazanin"/>
          <w:color w:val="111111"/>
          <w:sz w:val="28"/>
          <w:szCs w:val="28"/>
          <w:rtl w:val="true"/>
          <w:lang w:bidi="fa-IR"/>
        </w:rPr>
        <w:t>.</w:t>
      </w:r>
    </w:p>
    <w:p>
      <w:pPr>
        <w:pStyle w:val="Heading5"/>
        <w:numPr>
          <w:ilvl w:val="4"/>
          <w:numId w:val="1"/>
        </w:numPr>
        <w:rPr/>
      </w:pPr>
      <w:bookmarkStart w:id="447" w:name="__RefHeading___Toc561582_1395250215"/>
      <w:bookmarkStart w:id="448" w:name="_Toc181"/>
      <w:bookmarkEnd w:id="447"/>
      <w:r>
        <w:rPr>
          <w:rtl w:val="true"/>
        </w:rPr>
        <w:t>و</w:t>
      </w:r>
      <w:r>
        <w:rPr>
          <w:rtl w:val="true"/>
        </w:rPr>
        <w:t xml:space="preserve">) </w:t>
      </w:r>
      <w:r>
        <w:rPr>
          <w:rtl w:val="true"/>
        </w:rPr>
        <w:t>تأویل طینت‌ها به صورت‌های نفسانی</w:t>
      </w:r>
      <w:bookmarkEnd w:id="448"/>
    </w:p>
    <w:p>
      <w:pPr>
        <w:pStyle w:val="Heading6"/>
        <w:numPr>
          <w:ilvl w:val="5"/>
          <w:numId w:val="1"/>
        </w:numPr>
        <w:rPr/>
      </w:pPr>
      <w:bookmarkStart w:id="449" w:name="__RefHeading___Toc561584_1395250215"/>
      <w:bookmarkStart w:id="450" w:name="_Toc182"/>
      <w:bookmarkEnd w:id="449"/>
      <w:r>
        <w:rPr>
          <w:rtl w:val="true"/>
        </w:rPr>
        <w:t>اشاره</w:t>
      </w:r>
      <w:bookmarkEnd w:id="4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معتقد است، بر اساس روایات مربوط به آفرینش نیک‌بختان از طینت علیین و خلقت اشقیا از طینت سجین، شقاوت و سعادت هر انسانی به طینت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مراد از طینت‌ها را همین خاک‌های زمینی دانسته که در نهایت به صورت‌های انسانی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سعادت و شقاوت انسان ارتباط مستقیمی با آب و گل او دارد و همین آب و گل است که انسان را به سوی حق و سعادت و یا باطل و شقاوت سوق می‌دهد؛ همان‌گونه که گیاه و یا هر موجود دیگری که از ماده زمینی ساخته می‌شود به حسب اختلافی</w:t>
      </w:r>
      <w:bookmarkStart w:id="451" w:name="pg2631_17725"/>
    </w:p>
    <w:p>
      <w:pPr>
        <w:pStyle w:val="BookText"/>
        <w:rPr/>
      </w:pPr>
      <w:bookmarkEnd w:id="451"/>
      <w:r>
        <w:rPr>
          <w:rFonts w:ascii="IRNazanin" w:hAnsi="IRNazanin" w:eastAsia="IRNazanin"/>
          <w:color w:val="111111"/>
          <w:sz w:val="28"/>
          <w:sz w:val="28"/>
          <w:szCs w:val="28"/>
          <w:rtl w:val="true"/>
          <w:lang w:bidi="fa-IR"/>
        </w:rPr>
        <w:t xml:space="preserve">که در ماده زمینی آن است، مختلف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تأثیر این ماده زمینی در صلاح و فساد انسان را بر اساس مبانی فلسفی خویش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فلسفی ملاصدرا، صورت نفسانی یا همان نفس، که مایه امتیاز هر انسانی از انسان‌های دیگر است، ناشی از حرکت جوهری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صورت، صورت سعادت باشد، آن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سعادت قرار می‌گیرد؛ و اگر صورت شقاوت باشد، در راه شقاوت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جهت رفع استبعاد تأثیر ماده بدن انسان بر صلاح و فساد او، به تجربه‌ای که از رابطه میان مزاج و خلقیات داریم،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نشان می‌دهد که بین بنیه‌ها و مزاج‌های بدنی از سویی، و خلق و خوی‌ها از سوی دیگر، رابطه تامی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علامه، تأثیر این ماده بدنی در صلاح و فساد و سعادت و شقاوت به نحو علیت تامه نیست، بلکه در حد اقتضاست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به اثبات می‌رساند تربیت و به‌ویژه تربیت به وسیله تلقین، در تحقق خلق و خوی‌ها، مؤثر است؛ و این بیان‌گر آن است که تأثیر خصوصیات جسمی در به وجود آمدن خلق و خوی‌ها، قطعی و غیر قابل تخلف نیست، بلکه در حدّ استعداد شدید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6"/>
        <w:numPr>
          <w:ilvl w:val="5"/>
          <w:numId w:val="1"/>
        </w:numPr>
        <w:rPr/>
      </w:pPr>
      <w:bookmarkStart w:id="452" w:name="__RefHeading___Toc561586_1395250215"/>
      <w:bookmarkStart w:id="453" w:name="_Toc183"/>
      <w:bookmarkEnd w:id="452"/>
      <w:r>
        <w:rPr>
          <w:rtl w:val="true"/>
        </w:rPr>
        <w:t>نقد و برسی</w:t>
      </w:r>
      <w:bookmarkEnd w:id="453"/>
    </w:p>
    <w:p>
      <w:pPr>
        <w:pStyle w:val="BookText"/>
        <w:rPr/>
      </w:pPr>
      <w:r>
        <w:rPr>
          <w:rFonts w:ascii="IRNazanin" w:hAnsi="IRNazanin" w:eastAsia="IRNazanin"/>
          <w:color w:val="111111"/>
          <w:sz w:val="28"/>
          <w:sz w:val="28"/>
          <w:szCs w:val="28"/>
          <w:rtl w:val="true"/>
          <w:lang w:bidi="fa-IR"/>
        </w:rPr>
        <w:t>این تأویل از این جهت که طینت را همین مواد زمینی و به اصطلاح، خاک و گل متعارف می‌داند با ظاهر روایات سازگار است، اما در نهایت از اشکالاتی رنج می‌برد که آن را غیر قابل قبول می‌سازد؛ اولاً، بر اساس برخی از روایات طینت، منشأ ابدان و ارواح مؤمنان با یکدیگر متفاوت است و طینت ارواح مؤمنان برتر از طینت ابدان آن‌هاست، در حالی که بر اساس تأویل علامه طباطبائی که مبتنی بر مبانی فلسفی حکمت متعالیه است، ارواح یا نفوس برآمده از بدنند و نمی‌توانند منشائی متفاوت از بدن داشته باشند؛ به عبارت دیگر، تأویل علامه مبتنی بر مبانی فلسفی است که با ظاهر روایات طینت، ناسازگار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محور اصلی تحلیل علامه در باب احادیث طینت برای حل مسئله ناسازگاری با عدل الهی، اثر‌گذاری طینت در سرنوشت انسان به گونه اقتضایی و نه علیت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تحلیل، اشکالی که کسانی مانند علامه شعرانی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این روایات داشتند هم‌چنان باقی است، زیرا لازمه چنین تبیینی آن است که فاصله آدمیان تا نیل به سعادت و شقاوت با یکدیگر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پای جبر هم به میان کشیده نشود، همین تأثیر اقتضایی طینت خیر و شر در عاقبت آدمی، گونه ای تبعیض است</w:t>
      </w:r>
      <w:r>
        <w:rPr>
          <w:rFonts w:eastAsia="IRNazanin" w:cs="IRNazanin"/>
          <w:color w:val="111111"/>
          <w:sz w:val="28"/>
          <w:szCs w:val="28"/>
          <w:rtl w:val="true"/>
          <w:lang w:bidi="fa-IR"/>
        </w:rPr>
        <w:t>.</w:t>
      </w:r>
      <w:bookmarkStart w:id="454" w:name="pg2631_17726"/>
    </w:p>
    <w:p>
      <w:pPr>
        <w:pStyle w:val="Heading3"/>
        <w:numPr>
          <w:ilvl w:val="2"/>
          <w:numId w:val="1"/>
        </w:numPr>
        <w:rPr/>
      </w:pPr>
      <w:bookmarkStart w:id="455" w:name="__RefHeading___Toc561588_1395250215"/>
      <w:bookmarkStart w:id="456" w:name="_Toc184"/>
      <w:bookmarkEnd w:id="454"/>
      <w:bookmarkEnd w:id="455"/>
      <w:r>
        <w:rPr/>
        <w:t>4</w:t>
      </w:r>
      <w:r>
        <w:rPr>
          <w:rtl w:val="true"/>
        </w:rPr>
        <w:t xml:space="preserve">. </w:t>
      </w:r>
      <w:r>
        <w:rPr>
          <w:rtl w:val="true"/>
        </w:rPr>
        <w:t>دیدگاه برگزیده</w:t>
      </w:r>
      <w:bookmarkEnd w:id="456"/>
    </w:p>
    <w:p>
      <w:pPr>
        <w:pStyle w:val="BookText"/>
        <w:rPr/>
      </w:pPr>
      <w:r>
        <w:rPr>
          <w:rFonts w:ascii="IRNazanin" w:hAnsi="IRNazanin" w:eastAsia="IRNazanin"/>
          <w:color w:val="111111"/>
          <w:sz w:val="28"/>
          <w:sz w:val="28"/>
          <w:szCs w:val="28"/>
          <w:rtl w:val="true"/>
          <w:lang w:bidi="fa-IR"/>
        </w:rPr>
        <w:t>پیش‌تر بیان شد که برخی عالمان، اختلاف طینت ها را فرع بر امتحان و تکلیف در مراحل پیشین خلقت دانسته اند و نیز اشاره کردیم که این قول در صورتی موجه است که ثابت شود آفرینش دو آب شیرین و تلخ، در آغاز آفرینش عالم رخ نداده، بلکه مربوط به مراحل بعدی خلقت و پس از امتحان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اندیشمندانی که خلقت دو آب شیرین و شور و دو طینت علیین و سجین در ابتدای خلقت را با عدل الهی ناسازگار شمرده و در صدد توجیه آن برآمده اند، چنین پنداشته اند که مراد از ابتدای آفرینش در روایات طینت، بدء حدوث عالم است، در صورتی که روایات مربوط به حدوث عالم با روایات باب طینت بسیار متفاوتند و محدثان شیعه نیز این دو دسته از روایات را در دو باب مختلف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روایات طینت کاملاً آشکار می شود که مراد از ابتدای خلقت در این روایات، آغاز آفرینش انسان است، نه بدء حدوث عالم و اگر گاهی در برخی روایات به آفرینش اولین مخلوق و یا آفرینش بهشت، جهنم، آسمان‌ها و زمین هم اشاره ای شده، بلافاصله بحث خلقت انسان پیش کشیده شده و هرگز بحث بدء حدوث عالم مطرح نشده است؛ برای مثال، در روایتی عبدالله‌بن‌سنان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اولین مخلوق خدا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وی، آب را اولین مخلوق معرفی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آب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بحث آغاز خلقت انسان‌ها را مطرح کرده و از آفرینش دو آب شیرین و شور پیش از خلقت انسان ها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خلق فی مبتدأ الخلق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تربه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در این حدیث شریف نیز بحث خلقت انسان پیش کشیده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با توجه به این‌که در روایت نخست، بحث از خلقت انسان ها از دو آب شیرین و شور بلافاصله بعد از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مخلوق اول مطرح شده و در روایت دوم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مبتدأ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چنین تلقی کنند که آب یا ماده اولیه خلقت، از ابتدا به صورت دو بحر شیرین و شور آفریده شده است، اما حتی اگر از این روایات چنین برداشتی شود باز هم نمی توان تنها این‌گونه روایات را مبنای بحث قرار داد،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روایات ابهام و اجمال دارد و ثانیاً، در میان روایات طینت و نیز روایات حدوث عالم، شواهد و قرائنی برخلاف این پندار موجود است؛ مثلاً در روایتی تصریح شده که آفرینش دو بحر شیرین و شور پس از خلقت آسمان‌ها و زمین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از جمع روایات به</w:t>
      </w:r>
    </w:p>
    <w:p>
      <w:pPr>
        <w:pStyle w:val="BookText"/>
        <w:rPr/>
      </w:pPr>
      <w:r>
        <w:rPr>
          <w:rFonts w:ascii="IRNazanin" w:hAnsi="IRNazanin" w:eastAsia="IRNazanin"/>
          <w:color w:val="111111"/>
          <w:sz w:val="28"/>
          <w:sz w:val="28"/>
          <w:szCs w:val="28"/>
          <w:rtl w:val="true"/>
          <w:lang w:bidi="fa-IR"/>
        </w:rPr>
        <w:t xml:space="preserve">روشنی می توان استفاده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دسته اول، ابتدای خلقت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پس از تأکید بر خلقت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آفرید، زمینی پاک بود که آب شیرین و زلال را از آن جاری ساخت و گلی پدید آورد و پس از عرضه ولایت و امتحان آن گل و پذیرش ولایت از سوی آن، طینت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از آن قرار داد و پس از آن زمینی پست و خبیث آفرید و آب شور و تلخ را از آن جاری کرد و گلی پدید آورد و بعد از عرضه ولایت و امتحان آن گل و عدم پذیرش ولایت از سوی آن، خمیرمایه اهل شقاوت و کافران را از آن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خوبی نشان می دهد، خلقت دو آب شیرین و شور در ابتدای آفرینش انسان ها به معنای خلقت این دو آب در بدء حدوث عالم نیست، زیرا جوشش و جاری شدن این دو بحر بعد از آفرینش زمین‌های پاک و خبیث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حدوث عالم، روایات متعددی درباره آغاز آفرینش عالم هستی وجود دارد که به روشنی، حاکی از یک‌دستی ماده اولیه خلقت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آب بود و سپس خداوند آتش و دود و آسمان‌ها و زمین را از آن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اولین مخلوق را آبی متلاطم و یک‌دست معرفی فرموده است که آسمان ها، ستارگان و خورشید از آن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خدا بود هنگامی که چیزی غیر او نبود و چیزی را که همه اشیا از آن است، آفرید؛ و آن آبی است که اشیا از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همه چیز را به آب قرار داد و آب را به چیزی منسوب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روایات، از یک آب سخن به میان آمده و هرگز به دو بحر بودن آن اشاره ای نشده است، بلکه به‌عکس؛ در روایتی تصریح شده که در ابتدای حدوث عالم، آب یا همان ماده اولیه خلقت، یک‌دست، شیرین و گوارا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شواهد نقلی استفاده می شود که در ابتدای خلقت، اختلافی میان موجودات نبوده و خداوند در آغاز آفرینش، آبی شیرین خلق کرده و بعداً در اجزای آن آب اختلاف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آموزه های روایی و قرآنی، سبب این اختلاف، تکلیف و امتحان الهی بوده است؛ یعنی خداوند بعد از آفرینش آب، علم و دین خود را بر آن حمل و عرضه کرده</w:t>
      </w:r>
    </w:p>
    <w:p>
      <w:pPr>
        <w:pStyle w:val="BookText"/>
        <w:rPr/>
      </w:pPr>
      <w:r>
        <w:rPr>
          <w:rFonts w:ascii="IRNazanin" w:hAnsi="IRNazanin" w:eastAsia="IRNazanin"/>
          <w:color w:val="111111"/>
          <w:sz w:val="28"/>
          <w:sz w:val="28"/>
          <w:szCs w:val="28"/>
          <w:rtl w:val="true"/>
          <w:lang w:bidi="fa-IR"/>
        </w:rPr>
        <w:t>و آن را آزموده است و عملکرد گوناگون اجزای آب، سبب پدید آمدن اختلاف و عوارضی بر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عبدالله‌بن‌سنان که صدر آن را در سطرهای پیشین نقل کردیم،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آب را به صورت دو دریا آفرید؛ یکی گوارا و دیگری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آن‌ها را آفرید، به آب گوارا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رحمتم در تو، و از تو اهل اطاعت و بهشتم را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آب دیگر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تکرار کرد، اما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و از تو اهل معصیت و کسانی را که در آتشم ساکن می‌کنم، می‌آفرینم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دین و علمش را بر آب حمل کرد، پیش از آن‌که زمین، آسمان، جن، انسان، خورشید و یا ماهی در کار باشد؛ پس آن گاه که خدای متعال اراده فرمود، مخلوقات را بیافریند آن ها را در مقابل خویش 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پس اولین کسی که سخن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علم و دین را بر ایشان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پراکنده شدن خلق در مقابل خداوند سبحان پیش از تکون و تعین آن‌ها، ظاهراً به معنای مخاطب قرار دادن و تکلیف اجزای مادیِ موجود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اولیه خلقت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ذیل این حدیث شریف با استناد به حدیث دیگری از کلینی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یادآور شده که اولین حادث، آب است و معنای تحمیل دین و علم بر این آب، حمل معرفت، عبادت، اطاعت و سلطنت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 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استبعادی ندارد که گفته شود حمل علم و دین بر آب، به اعتبار وجود جزء مادی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باشد و شاید مراد 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خداوند در مقابل خویش پراکنده ساخت و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w:t>
      </w:r>
      <w:bookmarkStart w:id="457" w:name="pg2631_17729"/>
    </w:p>
    <w:p>
      <w:pPr>
        <w:pStyle w:val="BookText"/>
        <w:rPr/>
      </w:pPr>
      <w:bookmarkEnd w:id="457"/>
      <w:r>
        <w:rPr>
          <w:rFonts w:ascii="IRNazanin" w:hAnsi="IRNazanin" w:eastAsia="IRNazanin"/>
          <w:color w:val="111111"/>
          <w:sz w:val="28"/>
          <w:sz w:val="28"/>
          <w:szCs w:val="28"/>
          <w:rtl w:val="true"/>
          <w:lang w:bidi="fa-IR"/>
        </w:rPr>
        <w:t>عاقل باشند و شاید هم مراد همه موجودات باشند، زیرا هرچند برخی موجودات به حسب ظاهر صامت و جامدند، اما شواهد بسیاری وجود دارد که همه اشیا دارای نطق و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همه موجودات به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خداوند پاسخ داده اند، نه صرفاً به لسان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حقیقتاً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 در روایات باب طینت و نیز با توجه به تفاوت سیاق این دسته از روایات با روایات باب حدوث عالم، به روشنی می توان دریافت که اختلاف طینت مؤمن و کافر، مسبوق به تکلیف و امتحان سابق بوده و هرگز با اختیار،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 از نظر این‌که آفرینش از طینت علیین و سجین را مبتنی بر گزینشی اختیاری در مرحله قبل می‌کند، مسئله ناسازگاری با عدل الهی را برطرف می‌کند، هرچند از آن‌جا که این گزینش در عوالم گذشته واقع شده است، ما آن را به خاطر نمی‌آوریم</w:t>
      </w:r>
      <w:r>
        <w:rPr>
          <w:rFonts w:eastAsia="IRNazanin" w:cs="IRNazanin"/>
          <w:color w:val="111111"/>
          <w:sz w:val="28"/>
          <w:szCs w:val="28"/>
          <w:rtl w:val="true"/>
          <w:lang w:bidi="fa-IR"/>
        </w:rPr>
        <w:t>.</w:t>
      </w:r>
    </w:p>
    <w:p>
      <w:pPr>
        <w:pStyle w:val="Heading3"/>
        <w:numPr>
          <w:ilvl w:val="2"/>
          <w:numId w:val="1"/>
        </w:numPr>
        <w:rPr/>
      </w:pPr>
      <w:bookmarkStart w:id="458" w:name="__RefHeading___Toc561590_1395250215"/>
      <w:bookmarkStart w:id="459" w:name="_Toc185"/>
      <w:bookmarkEnd w:id="458"/>
      <w:r>
        <w:rPr>
          <w:rtl w:val="true"/>
        </w:rPr>
        <w:t>نتیجه</w:t>
      </w:r>
      <w:bookmarkEnd w:id="459"/>
    </w:p>
    <w:p>
      <w:pPr>
        <w:pStyle w:val="BookText"/>
        <w:rPr/>
      </w:pPr>
      <w:r>
        <w:rPr>
          <w:rFonts w:ascii="IRNazanin" w:hAnsi="IRNazanin" w:eastAsia="IRNazanin"/>
          <w:color w:val="111111"/>
          <w:sz w:val="28"/>
          <w:sz w:val="28"/>
          <w:szCs w:val="28"/>
          <w:rtl w:val="true"/>
          <w:lang w:bidi="fa-IR"/>
        </w:rPr>
        <w:t>با توجه به مباحث مطرح‌شده روشن شد، آنچه با عدل الهی ناسازگار است، اختلاف مخلوقات از ابتدای خلقت می باشد، در حالی که بر پایه تعالیم دینی، در ابتدای خلقت اختلافی میان موجودات نبوده و مخلوق اول یا ماده اولیه خلقت، یک‌دست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 شود که خداوند در ابتدای خلقت، آبی شیرین آفرید و علم و دینش را بر آن حمل کرد و سپس اجزای آن را مورد تکلیف و امتحان قرار داد و تفاوت در عملکرد اجزای آب، سبب پدید آمدن عوارضی در آن شد و بدین ترتیب، موجودات مختلف و متفاوتی با درجات گوناگون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طینت های مؤمنان و کافران نیز همین تکلیف و امتحان الهی بوده است و این اختلاف هرگز با عدالت خداوند ناسازگار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دقت به این نکته سبب ایجاد این توهم شده است که ظاهر روایات با عدل الهی سازگاری ندارد؛ لذا اندیشمندان شیعه برای حل این مشکل، راه‌حل های متعددی ارائه داده و دست به تأویل و توجیه روایات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روایات کاملاً با عدل الهی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سبب باشد که محدثان بزرگ شیعه همچون شیخ کلینی و شیخ صدوق، بی‌آن‌که نگران بروز شبهه جبر باشند، احادیث مربوط به اختلاف طینت های مؤمنان و کافران را در باب مستقلی روایت کرده اند</w:t>
      </w:r>
      <w:r>
        <w:rPr>
          <w:rFonts w:eastAsia="IRNazanin" w:cs="IRNazanin"/>
          <w:color w:val="111111"/>
          <w:sz w:val="28"/>
          <w:szCs w:val="28"/>
          <w:rtl w:val="true"/>
          <w:lang w:bidi="fa-IR"/>
        </w:rPr>
        <w:t>.</w:t>
      </w:r>
      <w:bookmarkStart w:id="460" w:name="pg2631_17730"/>
    </w:p>
    <w:p>
      <w:pPr>
        <w:pStyle w:val="Heading3"/>
        <w:numPr>
          <w:ilvl w:val="2"/>
          <w:numId w:val="1"/>
        </w:numPr>
        <w:rPr/>
      </w:pPr>
      <w:bookmarkStart w:id="461" w:name="__RefHeading___Toc561592_1395250215"/>
      <w:bookmarkStart w:id="462" w:name="_Toc186"/>
      <w:bookmarkEnd w:id="460"/>
      <w:bookmarkEnd w:id="461"/>
      <w:r>
        <w:rPr>
          <w:rtl w:val="true"/>
        </w:rPr>
        <w:t>منابع</w:t>
      </w:r>
      <w:bookmarkEnd w:id="46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احمد‌بن‌محمد‌بن‌خالد،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محدث،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حسن‌بن‌سلیمان،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مختصرالبصائر،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مصابیح الانوار فی حل مشکلات الاخبار، بغداد، مطبعة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محمد‌بن‌علی‌بن‌بابویه،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محمد‌بن‌الحسن،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دارالثقافه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 سیدمحمدحسین،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توحیدی، تحقیق علی شیروانی،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مرآة‌العقول فی شرح اخبار آل‌الرسول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رسولی‌محلاتی، تهران، دارالکتب الاسلامیه، تهران،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 محمد‌باقر‌بن‌محمد‌تقی،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محمد‌بن‌مسعود،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رسولی‌محلاتی، تهران، المطبعة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محمدمحسن‌بن‌شاه‌مرتضی،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 کتابخانه امیر‌المؤمنین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موسوی‌جزائری، قم،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محمد‌بن‌صالح‌بن‌احمد،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تهران، المکتبة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ابی عبد الله محمد بن محمد بن النعمان العکبری،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محمود محمدی‌زرندی، قم،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حسین‌بن‌محمد‌تقی،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لآل‌البیت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63" w:name="pg2631_17731"/>
    </w:p>
    <w:p>
      <w:pPr>
        <w:pStyle w:val="Heading2"/>
        <w:numPr>
          <w:ilvl w:val="1"/>
          <w:numId w:val="1"/>
        </w:numPr>
        <w:rPr/>
      </w:pPr>
      <w:bookmarkStart w:id="464" w:name="__RefHeading___Toc561594_1395250215"/>
      <w:bookmarkStart w:id="465" w:name="_Toc187"/>
      <w:bookmarkEnd w:id="463"/>
      <w:bookmarkEnd w:id="464"/>
      <w:r>
        <w:rPr>
          <w:rtl w:val="true"/>
        </w:rPr>
        <w:t>چکیده عربی مقالات</w:t>
      </w:r>
      <w:bookmarkEnd w:id="465"/>
    </w:p>
    <w:p>
      <w:pPr>
        <w:pStyle w:val="BookText"/>
        <w:rPr/>
      </w:pPr>
      <w:r>
        <w:rPr>
          <w:rFonts w:ascii="IRNazanin" w:hAnsi="IRNazanin" w:eastAsia="IRNazanin"/>
          <w:color w:val="111111"/>
          <w:sz w:val="28"/>
          <w:sz w:val="28"/>
          <w:szCs w:val="28"/>
          <w:rtl w:val="true"/>
          <w:lang w:bidi="fa-IR"/>
        </w:rPr>
        <w:t>الایمان الموهوب من منظار الآیات و الروایات</w:t>
      </w:r>
    </w:p>
    <w:p>
      <w:pPr>
        <w:pStyle w:val="BookText"/>
        <w:rPr/>
      </w:pPr>
      <w:r>
        <w:rPr>
          <w:rFonts w:ascii="IRNazanin" w:hAnsi="IRNazanin" w:eastAsia="IRNazanin"/>
          <w:color w:val="111111"/>
          <w:sz w:val="28"/>
          <w:sz w:val="28"/>
          <w:szCs w:val="28"/>
          <w:rtl w:val="true"/>
          <w:lang w:bidi="fa-IR"/>
        </w:rPr>
        <w:t>السید محمود الموسوی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الأحمدی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المفاهیم العقائدیة فی الاسلام، و قد فسر بأنه الاعتقاد القلبی المقارن للاقرار باللسان و العمل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 للآیات و الروایات فإن تحقق الإیمان منوط بسبقه بالمعرفة، و هذه المعرفة إما اکتسابیة أو بنزول الفیض الالهی علی قلب الانسان، و العمل بالارکان فی کلا الحالتین هو فی نطاق اختیار الانسان، و الإیمان الحاصل من مجموع هذه العوامل هو إیمان اکتسابی، و هو الاساس لإیمان آخر کما فی الروایات نعبر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الایمان وراء الایمان المصطلح، و وفق تعبیر الآیات و الروایات فإن هذا الایمان عطاء الهی و نور یشع علی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تسلیط الأضواء علی الأدلة القرآنیة و الروائیة لهذا النوع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الاختیار، الهدایة، العطاء الالهی، السکینة، نور الایمان، روح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اثبات و تحلیل وساطة الائمة علیهم السلام فی نزول الفیض الالهی</w:t>
      </w:r>
    </w:p>
    <w:p>
      <w:pPr>
        <w:pStyle w:val="BookText"/>
        <w:rPr/>
      </w:pPr>
      <w:r>
        <w:rPr>
          <w:rFonts w:ascii="IRNazanin" w:hAnsi="IRNazanin" w:eastAsia="IRNazanin"/>
          <w:color w:val="111111"/>
          <w:sz w:val="28"/>
          <w:sz w:val="28"/>
          <w:szCs w:val="28"/>
          <w:rtl w:val="true"/>
          <w:lang w:bidi="fa-IR"/>
        </w:rPr>
        <w:t xml:space="preserve">محمدحسین فاریاب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وفق الروایات الکثیرة فإن أحد الشؤون التکوینیة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الوساطة فی نزول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بها هو أن الله سبحانه وتعالی ینزل فیض رحمته الخاصة و العامة علی المخلوقات بواسطتهم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أدق و أرفع فإن وجود العالم و بقاءه لیس هو إلا فیض الله سبحانه و تعالی، و هذا الفیض یتم إنزاله بواسطة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المقال یحاول إثبات ذلک من وجهة نظر 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إثبات هذا الشأن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یبدو نوعاً من الغلو لأو وهلة، و قد یواجه إنکار البعض له، إلا أنه ورد فی روایات عدیدة و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الوساطة فی نزول الفیض الجزئی، الوساطة فی نزول الفیض الکلی، الغلو،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سعة علم الإمام فی فکر علماء الشیعة</w:t>
      </w:r>
    </w:p>
    <w:p>
      <w:pPr>
        <w:pStyle w:val="BookText"/>
        <w:rPr/>
      </w:pPr>
      <w:r>
        <w:rPr>
          <w:rFonts w:ascii="IRNazanin" w:hAnsi="IRNazanin" w:eastAsia="IRNazanin"/>
          <w:color w:val="111111"/>
          <w:sz w:val="28"/>
          <w:sz w:val="28"/>
          <w:szCs w:val="28"/>
          <w:rtl w:val="true"/>
          <w:lang w:bidi="fa-IR"/>
        </w:rPr>
        <w:t>محمدرضا البهدار</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المسائل التی شغلت دوماً أذهان العلماء و المفکرین الشیعة و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دعاهم لطرح العدید من الأسئلة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لتعدد الأسئلة المطروحة فی هذا المجال فإن المقال الحاضر قد دخل البحث من زاویة واحدة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من منظار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ما مقدار هذا العلم، و الی أی مجال یتسع نطاقه؟ و علی الرغم من اتحاد آراء علماء الشیعة فی بعض مجالات علم الإمام، إلا أننا نواجه أجوبة مختلفة فی مجالات أخری بما فیها سؤالنا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تقسیم النظریات الموجودة ضمن ثلاث محاور،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و النظرة التردیدیة، نظرة تحدید نطاق علم الإمام، و نظرة الإحاطة العلمیة التامة بجمیع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العلم، علم الغیب،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دراسة تأثر شیعة الکوفة بثقافة الرأی و القیاس فی النصف الأول من القرن الثانی</w:t>
      </w:r>
    </w:p>
    <w:p>
      <w:pPr>
        <w:pStyle w:val="BookText"/>
        <w:rPr/>
      </w:pPr>
      <w:r>
        <w:rPr>
          <w:rFonts w:ascii="IRNazanin" w:hAnsi="IRNazanin" w:eastAsia="IRNazanin"/>
          <w:color w:val="111111"/>
          <w:sz w:val="28"/>
          <w:sz w:val="28"/>
          <w:szCs w:val="28"/>
          <w:rtl w:val="true"/>
          <w:lang w:bidi="fa-IR"/>
        </w:rPr>
        <w:t xml:space="preserve">حسین طارمی راد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محمدصادق واحدی فرد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سوسن فخرائی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السید عبدالحمید الأبطحی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نشرت ثقافة الرأی و القیاس فی القرن الأول بنحو کانت المتمم و الجابر لفقدان التوصل للوحی، و علی الأقل فإن المسائل و الموضوعات غیر المذکورة فی الکتاب و السنة کانت تعالج عن طریق الرأی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 هذه الثقافة فی القرن الأول باعتبارها المتمم و الجابر لنقص الأحکام و تطبیقها علی النظام الفقهی و القضائی الرائج، جعل منها أمراً مقبولاً عند الکثیر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ترکت هذه الثقافة أثرها بوضوح علی بعض الشیعة الذین هم جدیدوا عهد بالتشیع، أو الذین لهم احتکاک و تعامل واسع بالعامة، و لهذا حاول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یبعد الشیعة عن مزلات هذه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تسلیط الأضواء علی تأثر شیعة الکوفة بهذه الثقافة فی النصف الأول من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القیاس، الرأی، التفویض، شیعة الکوفة، الاجتهاد،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المقصود الأصلی فی العقائد</w:t>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أحد الأبحاث الهامة فی علم الکلام و التی بحثت فی کتب الأصول بنحو عابر هو تعیین المراد الأصلی من الواجبات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الإطار توجد نظریتان أساسیتان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یحاول أتباع کل واحد من الرأیین أن یثبت أن الوجوب النفسی متعلق بما یراه، و أن الآخر مقدمة له أو ناشئ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دراسة النظریتین انتهینا الی قبول النظریة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العقلیة، الإذعان القلبی، التدین، الاعتقاد، الواجب العقائدی،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المناسبات المشترکة بین الامامیة و الزیدیة من أول الغیبة و حتی اضمحلال البویهیین</w:t>
      </w:r>
    </w:p>
    <w:p>
      <w:pPr>
        <w:pStyle w:val="BookText"/>
        <w:rPr/>
      </w:pPr>
      <w:r>
        <w:rPr>
          <w:rFonts w:ascii="IRNazanin" w:hAnsi="IRNazanin" w:eastAsia="IRNazanin"/>
          <w:color w:val="111111"/>
          <w:sz w:val="28"/>
          <w:sz w:val="28"/>
          <w:szCs w:val="28"/>
          <w:rtl w:val="true"/>
          <w:lang w:bidi="fa-IR"/>
        </w:rPr>
        <w:t>السیداکبر الموسوی التنیانی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الزیدیة و الإمامیة من أقدم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فالاطلاع علی علاقات و روابط هاتین الفرقتین المؤثرتین من شأنه أن یفتح أمامنا آفاقاً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حاولنا فی هذا المقال أن ندرس العلاقات الاجتماعیة و السیاسیة و الثقافیة لهاتین الفرقتین مضافاً لمواجهات أحدهما للآخر، و ذلک من عصر الغیبة الصغری و حتی اضمحلال البویهیین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قوة الشیعة فی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الغور فی النصوص التاریخیة انتهینا الی تعاونهما فی تلک الحقبة التاریخیة من الزمن فی شتی المجالات و أن هذا التعاون کان فی تقدم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التعاون أدی الی اختلافهما فی بعض المبانی الفکریة، و التمایز فی بعض المجالات و الذی کان یبرز فی قالب المناظرات العلمیة وتدوین الردود من قبل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الامامیة، الزیدیة، التعامل الاجتماعی، المواجهات العلمیة، التعامل الثقافی</w:t>
      </w:r>
      <w:r>
        <w:rPr>
          <w:rFonts w:eastAsia="IRNazanin" w:cs="IRNazanin"/>
          <w:color w:val="111111"/>
          <w:sz w:val="28"/>
          <w:szCs w:val="28"/>
          <w:rtl w:val="true"/>
          <w:lang w:bidi="fa-IR"/>
        </w:rPr>
        <w:t>.</w:t>
      </w:r>
      <w:bookmarkStart w:id="466" w:name="pg2631_17737"/>
    </w:p>
    <w:p>
      <w:pPr>
        <w:pStyle w:val="BookText"/>
        <w:rPr/>
      </w:pPr>
      <w:bookmarkEnd w:id="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الطینة و العدل الإلهی</w:t>
      </w:r>
    </w:p>
    <w:p>
      <w:pPr>
        <w:pStyle w:val="BookText"/>
        <w:rPr/>
      </w:pPr>
      <w:r>
        <w:rPr>
          <w:rFonts w:ascii="IRNazanin" w:hAnsi="IRNazanin" w:eastAsia="IRNazanin"/>
          <w:color w:val="111111"/>
          <w:sz w:val="28"/>
          <w:sz w:val="28"/>
          <w:szCs w:val="28"/>
          <w:rtl w:val="true"/>
          <w:lang w:bidi="fa-IR"/>
        </w:rPr>
        <w:t>مهدی الذاکری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اصغر الغلامی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وردت الأشارة فی أحادیث عدیدة و معتبرة الی اختلاف طینة المؤمن و الکافر، و أن اختلاف الطینة له تأثیر علی سعادة الانسان و شقائه، و لهذا رأی بعض العلماء أنها لا تنسجم مع العدل الالهی، فحاول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المقال الحاضر لبیان أهم الآراء فی هذا المجال و تقییمها، ثم استنتج ـ من خلال ملاحظة مجموع روایات الطینة و بدء حدوث العالم ـ أن اختلاف المخلوقات راجع للعوارض الناشئة من عمل الأفراد تجاه التکالیف الالهیة، لابسبب بدء حدوث الخلقة، و هو موافق للعدل الالهی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pStyle w:val="BookText"/>
        <w:rPr/>
      </w:pPr>
      <w:r>
        <w:rPr>
          <w:rFonts w:ascii="IRNazanin" w:hAnsi="IRNazanin" w:eastAsia="IRNazanin"/>
          <w:color w:val="111111"/>
          <w:sz w:val="28"/>
          <w:sz w:val="28"/>
          <w:szCs w:val="28"/>
          <w:rtl w:val="true"/>
          <w:lang w:bidi="fa-IR"/>
        </w:rPr>
        <w:t>العدل الالهی، خلق الانسان، الطینة، علیین، سجین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7" w:name="__RefHeading___Toc561596_1395250215"/>
      <w:bookmarkStart w:id="468" w:name="_Toc188"/>
      <w:bookmarkEnd w:id="467"/>
      <w:r>
        <w:rPr>
          <w:rtl w:val="true"/>
        </w:rPr>
        <w:t>چکیده انگلیسی مقالات</w:t>
      </w:r>
      <w:bookmarkEnd w:id="468"/>
    </w:p>
    <w:p>
      <w:pPr>
        <w:pStyle w:val="BookText"/>
        <w:rPr/>
      </w:pPr>
      <w:r>
        <w:rPr>
          <w:rFonts w:eastAsia="Times New Roman" w:cs="Times New Roman" w:ascii="Times New Roman" w:hAnsi="Times New Roman"/>
          <w:color w:val="111111"/>
          <w:sz w:val="28"/>
          <w:szCs w:val="28"/>
          <w:lang w:val="en-US" w:bidi="en-US"/>
        </w:rPr>
        <w:t>p:1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Vol.1, No.3, Winter 2014</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MohammadAli Razavi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p:2</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Faith as a Divine gift in the mirror holy verses and hadiths</w:t>
      </w:r>
    </w:p>
    <w:p>
      <w:pPr>
        <w:pStyle w:val="BookText"/>
        <w:rPr/>
      </w:pPr>
      <w:r>
        <w:rPr>
          <w:rFonts w:eastAsia="Times New Roman" w:cs="Times New Roman" w:ascii="Times New Roman" w:hAnsi="Times New Roman"/>
          <w:color w:val="111111"/>
          <w:sz w:val="28"/>
          <w:szCs w:val="28"/>
          <w:lang w:val="en-US" w:bidi="en-US"/>
        </w:rPr>
        <w:t>Seyyed Mahmud Musawi</w:t>
      </w:r>
    </w:p>
    <w:p>
      <w:pPr>
        <w:pStyle w:val="BookText"/>
        <w:rPr/>
      </w:pPr>
      <w:r>
        <w:rPr>
          <w:rFonts w:eastAsia="Times New Roman" w:cs="Times New Roman" w:ascii="Times New Roman" w:hAnsi="Times New Roman"/>
          <w:color w:val="111111"/>
          <w:sz w:val="28"/>
          <w:szCs w:val="28"/>
          <w:lang w:val="en-US" w:bidi="en-US"/>
        </w:rPr>
        <w:t>Rasoul Ahmadi</w:t>
      </w:r>
    </w:p>
    <w:p>
      <w:pPr>
        <w:pStyle w:val="BookText"/>
        <w:rPr/>
      </w:pPr>
      <w:r>
        <w:rPr>
          <w:rFonts w:eastAsia="Times New Roman" w:cs="Times New Roman" w:ascii="Times New Roman" w:hAnsi="Times New Roman"/>
          <w:color w:val="111111"/>
          <w:sz w:val="28"/>
          <w:szCs w:val="28"/>
          <w:lang w:val="en-US" w:bidi="en-US"/>
        </w:rPr>
        <w:t>Faith is regadedan the most fundamental concept in the doctrinal system of shiism as well as Islam.It is defined as acknowledge by heart along with confession by tongue and action by bodily parts(limbs).Whether or not the confession and action are considered as part of the nature of faith concomitant of it , faith is preceded by some knowledge. This knowledge can be obtained an result of one,s attempts or given to human being due to grace of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either case the acknowledgement by tongue or heart is an act of human free will. Accordingly faith attaind in this way is an acquired one which paves the way for what is called in the traditions a God</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given or giyted faith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given faith is beyond that in technical sense and according to holy verses and hadiths is a light and gift of god bestowed to the chosen individuals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article is an attempt to explain the approach to holy verses and hadith through which one can see clearly the nature of faith an a gift by God to human being</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Keywords:Faith , free will , blessing , guidance , bestowing , tranquility , light of faith , spirir of faith</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An Appraisal of the Infallible Imams’ Mediation of</w:t>
      </w:r>
    </w:p>
    <w:p>
      <w:pPr>
        <w:pStyle w:val="BookText"/>
        <w:rPr/>
      </w:pPr>
      <w:r>
        <w:rPr>
          <w:rFonts w:eastAsia="Times New Roman" w:cs="Times New Roman" w:ascii="Times New Roman" w:hAnsi="Times New Roman"/>
          <w:color w:val="111111"/>
          <w:sz w:val="28"/>
          <w:szCs w:val="28"/>
          <w:lang w:val="en-US" w:bidi="en-US"/>
        </w:rPr>
        <w:t>Grace</w:t>
      </w:r>
    </w:p>
    <w:p>
      <w:pPr>
        <w:pStyle w:val="BookText"/>
        <w:rPr/>
      </w:pPr>
      <w:r>
        <w:rPr>
          <w:rFonts w:eastAsia="Times New Roman" w:cs="Times New Roman" w:ascii="Times New Roman" w:hAnsi="Times New Roman"/>
          <w:color w:val="111111"/>
          <w:sz w:val="28"/>
          <w:szCs w:val="28"/>
          <w:lang w:val="en-US" w:bidi="en-US"/>
        </w:rPr>
        <w:t>Mohammad Hossein Faryab</w:t>
      </w:r>
    </w:p>
    <w:p>
      <w:pPr>
        <w:pStyle w:val="BookText"/>
        <w:rPr/>
      </w:pPr>
      <w:r>
        <w:rPr>
          <w:rFonts w:eastAsia="Times New Roman" w:cs="Times New Roman" w:ascii="Times New Roman" w:hAnsi="Times New Roman"/>
          <w:color w:val="111111"/>
          <w:sz w:val="28"/>
          <w:szCs w:val="28"/>
          <w:lang w:val="en-US" w:bidi="en-US"/>
        </w:rPr>
        <w:t>According to numerous accounts “mediation of grace" is one of the developmental aspects of the Infallible Imams peace be upon them. The purpose of the mediation of grace is that God sends down his general and special blessings on His slaves through them. At a higher semantic level the world and its stability is nothing but grace of God. It is done by virtue of the Infallible Imams peace be upon them. Using traditions, the author of this study tries to analyze and demonstrate the dignity. Although at first glance, the dignity of mediation seems to be exaggerated and may be denied, it is easily proved by the numerous authentic traditions</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Imami Shia, Partial Mediation of Grace, General Mediation of Grace, Exaggeration, Monotheism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The Imams’ Extent of Knowledge as Viewed by</w:t>
      </w:r>
    </w:p>
    <w:p>
      <w:pPr>
        <w:pStyle w:val="BookText"/>
        <w:rPr/>
      </w:pPr>
      <w:r>
        <w:rPr>
          <w:rFonts w:eastAsia="Times New Roman" w:cs="Times New Roman" w:ascii="Times New Roman" w:hAnsi="Times New Roman"/>
          <w:color w:val="111111"/>
          <w:sz w:val="28"/>
          <w:szCs w:val="28"/>
          <w:lang w:val="en-US" w:bidi="en-US"/>
        </w:rPr>
        <w:t>Shia Scholars</w:t>
      </w:r>
    </w:p>
    <w:p>
      <w:pPr>
        <w:pStyle w:val="BookText"/>
        <w:rPr/>
      </w:pPr>
      <w:r>
        <w:rPr>
          <w:rFonts w:eastAsia="Times New Roman" w:cs="Times New Roman" w:ascii="Times New Roman" w:hAnsi="Times New Roman"/>
          <w:color w:val="111111"/>
          <w:sz w:val="28"/>
          <w:szCs w:val="28"/>
          <w:lang w:val="en-US" w:bidi="en-US"/>
        </w:rPr>
        <w:t>Mohammad Reza Behdar</w:t>
      </w:r>
    </w:p>
    <w:p>
      <w:pPr>
        <w:pStyle w:val="BookText"/>
        <w:rPr/>
      </w:pPr>
      <w:r>
        <w:rPr>
          <w:rFonts w:eastAsia="Times New Roman" w:cs="Times New Roman" w:ascii="Times New Roman" w:hAnsi="Times New Roman"/>
          <w:color w:val="111111"/>
          <w:sz w:val="28"/>
          <w:szCs w:val="28"/>
          <w:lang w:val="en-US" w:bidi="en-US"/>
        </w:rPr>
        <w:t>Imam’s Knowledge is one of the issues that have busied the minds of the Shia scholars and thinkers and even many of the followers of the Imams. Thus, it brought about some questions from Imams in this regard. Due to the many questions that arise in this context, this paper deals with only one aspect of the problem that is Imam’s Knowledge as viewed by the Shia clerics; what is the extent of this knowledge and how much is it? Despite the Shia scholars’ agreement in some fields of Imam’s Knowledge, we do not find an adequate answer in some cases, including the above mentioned questions. Generally speaking, all theories can be divided into three approaches: the first approach, doubt and silence; the second approach, the scope of Imam’s Knowledge; the third approach, Imam’s full scientific comprehension of everything</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Knowledge, Prescience, the Shia Clerics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lang w:val="en-US" w:bidi="en-US"/>
        </w:rPr>
        <w:t>Examination of the Influence of Ra’y and Qiyyas on the Shia of Kufa In the First Half of the Second Century</w:t>
      </w:r>
    </w:p>
    <w:p>
      <w:pPr>
        <w:pStyle w:val="BookText"/>
        <w:rPr/>
      </w:pPr>
      <w:r>
        <w:rPr>
          <w:rFonts w:eastAsia="Times New Roman" w:cs="Times New Roman" w:ascii="Times New Roman" w:hAnsi="Times New Roman"/>
          <w:color w:val="111111"/>
          <w:sz w:val="28"/>
          <w:szCs w:val="28"/>
          <w:lang w:val="en-US" w:bidi="en-US"/>
        </w:rPr>
        <w:t>Hasan Taromi Rad</w:t>
      </w:r>
    </w:p>
    <w:p>
      <w:pPr>
        <w:pStyle w:val="BookText"/>
        <w:rPr/>
      </w:pPr>
      <w:r>
        <w:rPr>
          <w:rFonts w:eastAsia="Times New Roman" w:cs="Times New Roman" w:ascii="Times New Roman" w:hAnsi="Times New Roman"/>
          <w:color w:val="111111"/>
          <w:sz w:val="28"/>
          <w:szCs w:val="28"/>
          <w:lang w:val="en-US" w:bidi="en-US"/>
        </w:rPr>
        <w:t>Mohammad Sadeq Vahedi Fard</w:t>
      </w:r>
    </w:p>
    <w:p>
      <w:pPr>
        <w:pStyle w:val="BookText"/>
        <w:rPr/>
      </w:pPr>
      <w:r>
        <w:rPr>
          <w:rFonts w:eastAsia="Times New Roman" w:cs="Times New Roman" w:ascii="Times New Roman" w:hAnsi="Times New Roman"/>
          <w:color w:val="111111"/>
          <w:sz w:val="28"/>
          <w:szCs w:val="28"/>
          <w:lang w:val="en-US" w:bidi="en-US"/>
        </w:rPr>
        <w:t>Soosan Fakhraee</w:t>
      </w:r>
    </w:p>
    <w:p>
      <w:pPr>
        <w:pStyle w:val="BookText"/>
        <w:rPr/>
      </w:pPr>
      <w:r>
        <w:rPr>
          <w:rFonts w:eastAsia="Times New Roman" w:cs="Times New Roman" w:ascii="Times New Roman" w:hAnsi="Times New Roman"/>
          <w:color w:val="111111"/>
          <w:sz w:val="28"/>
          <w:szCs w:val="28"/>
          <w:lang w:val="en-US" w:bidi="en-US"/>
        </w:rPr>
        <w:t>Seyyed Abdolhamid Abtahi</w:t>
      </w:r>
    </w:p>
    <w:p>
      <w:pPr>
        <w:pStyle w:val="BookText"/>
        <w:rPr/>
      </w:pPr>
      <w:r>
        <w:rPr>
          <w:rFonts w:eastAsia="Times New Roman" w:cs="Times New Roman" w:ascii="Times New Roman" w:hAnsi="Times New Roman"/>
          <w:color w:val="111111"/>
          <w:sz w:val="28"/>
          <w:szCs w:val="28"/>
          <w:lang w:val="en-US" w:bidi="en-US"/>
        </w:rPr>
        <w:t>Development of the culture of Ra’y and Qiyyas in the first century, to serve as a complement to offset the lack of availability of Revelation, at least the lack of related issues in the Book and the Sunnah, they were resolved through Ra’y and Ijtihad. Development of this process in the current legal and judicial system caused many people consider it normal. The culture had revealed some effects among some Shia who were newly guided or those who had more interaction with the public. Imam Sadiq (peace be upon him) tried to take them away from the faults of this culture. The present article attempts to examine the influence of Ra’y and Qiyyas on the Shia of Kufa in the first half of the second century</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Ra’y and Qiyyas, Comparison and Opinion, Delegation, the Shia of Kufa, Ijtihad, Problems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Main Purpose of Tenets (Religious Obligations)</w:t>
      </w:r>
    </w:p>
    <w:p>
      <w:pPr>
        <w:pStyle w:val="BookText"/>
        <w:rPr/>
      </w:pPr>
      <w:r>
        <w:rPr>
          <w:rFonts w:eastAsia="Times New Roman" w:cs="Times New Roman" w:ascii="Times New Roman" w:hAnsi="Times New Roman"/>
          <w:color w:val="111111"/>
          <w:sz w:val="28"/>
          <w:szCs w:val="28"/>
          <w:lang w:val="en-US" w:bidi="en-US"/>
        </w:rPr>
        <w:t>Reza Berenjkar</w:t>
      </w:r>
    </w:p>
    <w:p>
      <w:pPr>
        <w:pStyle w:val="BookText"/>
        <w:rPr/>
      </w:pPr>
      <w:r>
        <w:rPr>
          <w:rFonts w:eastAsia="Times New Roman" w:cs="Times New Roman" w:ascii="Times New Roman" w:hAnsi="Times New Roman"/>
          <w:color w:val="111111"/>
          <w:sz w:val="28"/>
          <w:szCs w:val="28"/>
          <w:lang w:val="en-US" w:bidi="en-US"/>
        </w:rPr>
        <w:t>Mahdi Nosratian Ahvar</w:t>
      </w:r>
    </w:p>
    <w:p>
      <w:pPr>
        <w:pStyle w:val="BookText"/>
        <w:rPr/>
      </w:pPr>
      <w:r>
        <w:rPr>
          <w:rFonts w:eastAsia="Times New Roman" w:cs="Times New Roman" w:ascii="Times New Roman" w:hAnsi="Times New Roman"/>
          <w:color w:val="111111"/>
          <w:sz w:val="28"/>
          <w:szCs w:val="28"/>
          <w:lang w:val="en-US" w:bidi="en-US"/>
        </w:rPr>
        <w:t>Determining the main objective of the religious obligations, discussed briefly in Usul books, is one of the important theological issues. There are two main perspectives in this regard: "rational understanding" and "religion and belief." The followers of each of these two perspectives are trying to prove that one of the obligations is inherent and the other is born out of it. This paper reviews the reasons of two theories and finally the latter is chosen</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Intellectual Knowledge, Infatuation, Piety, Believe, Religious Obligatory, Knowledge of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Relationship between the Twelver Shia and Zaidiyya From</w:t>
      </w:r>
    </w:p>
    <w:p>
      <w:pPr>
        <w:pStyle w:val="BookText"/>
        <w:rPr/>
      </w:pPr>
      <w:r>
        <w:rPr>
          <w:rFonts w:eastAsia="Times New Roman" w:cs="Times New Roman" w:ascii="Times New Roman" w:hAnsi="Times New Roman"/>
          <w:color w:val="111111"/>
          <w:sz w:val="28"/>
          <w:szCs w:val="28"/>
          <w:lang w:val="en-US" w:bidi="en-US"/>
        </w:rPr>
        <w:t>the Beginning of Occultation to the Decline of</w:t>
      </w:r>
    </w:p>
    <w:p>
      <w:pPr>
        <w:pStyle w:val="BookText"/>
        <w:rPr/>
      </w:pPr>
      <w:r>
        <w:rPr>
          <w:rFonts w:eastAsia="Times New Roman" w:cs="Times New Roman" w:ascii="Times New Roman" w:hAnsi="Times New Roman"/>
          <w:color w:val="111111"/>
          <w:sz w:val="28"/>
          <w:szCs w:val="28"/>
          <w:lang w:val="en-US" w:bidi="en-US"/>
        </w:rPr>
        <w:t>the Buyids</w:t>
      </w:r>
    </w:p>
    <w:p>
      <w:pPr>
        <w:pStyle w:val="BookText"/>
        <w:rPr/>
      </w:pPr>
      <w:r>
        <w:rPr>
          <w:rFonts w:eastAsia="Times New Roman" w:cs="Times New Roman" w:ascii="Times New Roman" w:hAnsi="Times New Roman"/>
          <w:color w:val="111111"/>
          <w:sz w:val="28"/>
          <w:szCs w:val="28"/>
          <w:lang w:val="en-US" w:bidi="en-US"/>
        </w:rPr>
        <w:t>Sayyed Akbar Mousavi Tanyani</w:t>
      </w:r>
    </w:p>
    <w:p>
      <w:pPr>
        <w:pStyle w:val="BookText"/>
        <w:rPr/>
      </w:pPr>
      <w:r>
        <w:rPr>
          <w:rFonts w:eastAsia="Times New Roman" w:cs="Times New Roman" w:ascii="Times New Roman" w:hAnsi="Times New Roman"/>
          <w:color w:val="111111"/>
          <w:sz w:val="28"/>
          <w:szCs w:val="28"/>
          <w:lang w:val="en-US" w:bidi="en-US"/>
        </w:rPr>
        <w:t>Imamia and Zaidiyya are the oldest groups in the world of Islam. Knowledge of the relationship between the two major factions contributes to a better understanding of intellectual history of Shia. In this article we try to review social, political and cultural relationship as well as interactions between the two groups during the period of the lesser occultation to the decline of the Buyids (Ale Buyah), the age of the authority of the Shia in the world of Islam. Analyzing historical records, we conclude that in this period, cooperation between Zaidis and Imamis in various fields had a growing trend, but due to some differences in belief, they have maintained their ethnic distinction in scientific debate and writing books of rejection</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Imami Shia, Zaidiyya, Social Interactions, Scientific Reciprocity, Cultural Interactions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p:9</w:t>
      </w:r>
    </w:p>
    <w:p>
      <w:pPr>
        <w:pStyle w:val="BookText"/>
        <w:rPr/>
      </w:pPr>
      <w:r>
        <w:rPr>
          <w:rFonts w:eastAsia="Times New Roman" w:cs="Times New Roman" w:ascii="Times New Roman" w:hAnsi="Times New Roman"/>
          <w:color w:val="111111"/>
          <w:sz w:val="28"/>
          <w:szCs w:val="28"/>
          <w:lang w:val="en-US" w:bidi="en-US"/>
        </w:rPr>
        <w:t>Tinat (Inner Nature) and Divine Justice</w:t>
      </w:r>
    </w:p>
    <w:p>
      <w:pPr>
        <w:pStyle w:val="BookText"/>
        <w:rPr/>
      </w:pPr>
      <w:r>
        <w:rPr>
          <w:rFonts w:eastAsia="Times New Roman" w:cs="Times New Roman" w:ascii="Times New Roman" w:hAnsi="Times New Roman"/>
          <w:color w:val="111111"/>
          <w:sz w:val="28"/>
          <w:szCs w:val="28"/>
          <w:lang w:val="en-US" w:bidi="en-US"/>
        </w:rPr>
        <w:t>Mahdi Zakeri</w:t>
      </w:r>
    </w:p>
    <w:p>
      <w:pPr>
        <w:pStyle w:val="BookText"/>
        <w:rPr/>
      </w:pPr>
      <w:r>
        <w:rPr>
          <w:rFonts w:eastAsia="Times New Roman" w:cs="Times New Roman" w:ascii="Times New Roman" w:hAnsi="Times New Roman"/>
          <w:color w:val="111111"/>
          <w:sz w:val="28"/>
          <w:szCs w:val="28"/>
          <w:lang w:val="en-US" w:bidi="en-US"/>
        </w:rPr>
        <w:t>Asghar Gholami</w:t>
      </w:r>
    </w:p>
    <w:p>
      <w:pPr>
        <w:pStyle w:val="BookText"/>
        <w:rPr/>
      </w:pPr>
      <w:r>
        <w:rPr>
          <w:rFonts w:eastAsia="Times New Roman" w:cs="Times New Roman" w:ascii="Times New Roman" w:hAnsi="Times New Roman"/>
          <w:color w:val="111111"/>
          <w:sz w:val="28"/>
          <w:szCs w:val="28"/>
          <w:lang w:val="en-US" w:bidi="en-US"/>
        </w:rPr>
        <w:t>Many reliable hadiths speak of the differences between inner nature of believers and unbelievers. According to these hadiths, the differences are effective in their prosperity and adversity. Some scholars deemed that these traditions are apparently incompatible with divine justice. They have begun to seek an explanation and interpretation for them. After evaluation of the most important ideas in this area and referring to the total traditions concerning the inner nature and beginning of the creation of the world, the authors of the present paper have concluded that the differences between human creatures do not pertain to the beginning of the creation of the world, but due to complications of human functions in doing divine assignments and tests and it has complete compatibility with divine justice</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Divine Justice, Human Creation, Tinat (Inner Nature), Illiyyn (the Highest), Sijjiyyn (the Lowest)</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باقرالعلوم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 حدیث و دانشجوی دکترای دانشگاه قرآن و حدیث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که نگارنده به جست وجو پرداخته، تنها در سه مقاله به مسئله موهبتی بودن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دو ـ سه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برنجکار،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 محال بودن کفر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دانشگاه قم؛ محمد بیابانی،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و هدایت، فعلِ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سفینه؛ مسعود آذربایجانی،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معنایی ایمان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معارف اسلامی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بین اینان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اختلاف وجود دارد؛ یکی تصدیق به معنای التزام و دیگری تصدیق به معنای منطقی که همان معرفت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در روایات این باب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عیاشی،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موسسه آموزشی و پژوهشی امام خمینی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یار دانشگاه صنعتی جندی شاپور دزفول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اندکی از بزرگان، همچون علامه محمدحسین مظفر قائل به اشتراط چنین علمی فعلی و حضوری برای امام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آیات دیگری بر اختصاص این علم به پروردگار دلالت می‌کنند؛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بنیاد دایرةالمعارف اسلامی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پیام نور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پیام نور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دین دانشگاه پیام نور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نمونه هایی از اختلافات آرای اصحاب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عینی، بی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ابن حجر، بی 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سندی،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عبدالبر،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عبد البر،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زیلعی،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شنقیطی ،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گزارش هایی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 معالم المدرستین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علامه مرتضی عاملی، الصحیح من سیرة النبی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علامه شرف الدین، النص و الاجتهاد؛ علامه امینی ، الغدیر، ج</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در تاریخ مذاهب فقهی گفته که رأی غالب بر فقهای عراق، رأی مستند به قیاس بوده است و رأی فقهای حجاز، رأی مستند به مصالح؛ یعنی در مواردی که احیاناً نصی یافت نمی‌شد، فقهای اهل حجاز مصالح را ملاک فتوای خویش قرار می‌دادند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شبرمه از فقهای عامه بود که در زمان هشام بن عبدالملک قاضی کوفه بود و به دست ابو العباس سفاح نیز در مقام قضای کوفه گماشته شد و ابوجعفر منصور نیز قضاوت کوفه و توابع آن را به او سپرد و در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ذهبی،</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ابی لیلی یکی از محدثان و راویان معروف است که در سال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قمری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گوید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 أهل البیت بمذاهب ابتدعوها و فقه انفردوا به و بنوه علی مذهبهم فی تناول بعض الصّحابة بالقدح، و علی قولهم بعصمة الأئمّة و رفع الخلاف عن أقوالهم و هی کلّها أصول واهیة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نقد کلمات ابن خلدون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است که از صاحب خود فرزند 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فروش این کنیز برای مالکش جایز نیست و بعد از فوت مالک نیز به ارث نمی رسد و آزاد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ابوسعد ابان بن تغلب بن رباح بکری جریری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الاحول محمد بن علی بن النعمان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أبوبصیر المرادی الأسدی و هو لیث بن البختری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حکیم الساباطی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حکیم خثعمی، از اصحاب امام صادق و کاظم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اهل مناظره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المقاییس و الرأی؛ نوری،</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باب عدم جواز القضاء و الحکم بالرأی و الاجتهاد و المقاییس و نحوها من الاستنباطات الظنیة فی نفس الأحکام الشرعیة؛ مجلسی،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مهران بن عبدالرحمن الحضرمی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 کلیب بن معاویة الأسدی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فی المعضلات التی لا توجد فی الکتاب و السنة ما یعرفه الأئمة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که حضرت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این موارد رجم می کردند و به واقع اصابت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این که عمر در مواردی که در قضا درمانده می شد و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گره را باز می کرد،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ابوالحسن را برای معضلات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نباشم در معضلی که ابوالحسن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حیون،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تعبیرِ عمر، به نظر می رسد که مراد وی از معضل، مشکلاتی باشد که وی و همراهانش درباره آن علمی نداشته اند و</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 حدیث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نقش اراده در افعال و مراحل گوناگون حضور اراده در مبادی افعال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 اکتسابی بودن معرفت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 اضطراری بودن معرفت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قرآن و حدیث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ابن‌اسفندیار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 قرن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امامی‌مذهب بودن ابوالحسین احمد، پسر ناصر اطروش و جدّ مادری مرتضی و رضی گفته است؛ مطلبی که هیچ یک از انساب‌نگاران و تاریخ‌نویسان بدان اشاره‌ای نکرده‌اند؛ از این رو، بعید است ابوالحسین پیرو امامیه باشد، با توجه به این که وی همواره سردار سپاه اطروش بود و پس از پدر نیز در امور سیاسی حکومت علویان طبرستان، نقش‌آفرین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داعی صغیر زیدی ـ جانشین ناصرـ نیز همسر دختر احمدبن‌ناصر اطروش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ابو‌الحسن، فرزند دیگر ناصر اطروش، از پیروان مذهب امامیه بود و با پدرش اختلاف داشت؛ و حتی با سرودن اشعاری او را هجو کرد و احتمالاً ابن‌اسفندیار بین اسامی آن دو برادر دچار اشتباه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احتمال فراوان اجداد مادری سید مرتضی، همگی بر مذهب زیدی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اسفندیار،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عنبه،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تشیع آل بویه هیچ اختلافی نیست، ولی در نوع تشیع آنان بین برخی از محققان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مستشرقان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اشپولر، فرای و آربری بر تشیع امامی آنان پافشاری کرده‌اند و عده‌ای از پژوهش گران مانند رسول جعفریان نیز با شواهد نه چندان قوی، با آن ها هم نظر گشته‌اند؛ در مقابل، برخی از نویسندگان از زیدی بودن ابتدایی آل بویه و تشیع امامیِ پسینی آنان سخن به میان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تأیید نظریه این عده می‌توان گفت، دست کم نسل اول آل‌بویه، یعنی برادران مؤسس دولت بویهی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الدوله، عماد الدوله و معزالدوله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 مذهب زیدیه بوده‌اند، چون عمادالدوله جزء سرداران ناصر اطروش بوده است و نیز این سه برادر در زمره فرماندهان حسن بن‌قاسم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 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آخرین حاکم علویان طبرستان، قرار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دیگر آن که، معزالدوله بویهی پس از بحث و گفت وگو با برخی از علمای امامیه، به صراحت به امامت ابن‌داعی علوی، از رهبران زیدیه، اعتراف می‌کند و از سوی دیگر، رکن الدوله ضمن پذیرش امامت ابن‌داعی علوی، از عدم مساعدت به وی در گیلان و دیلم عذر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بویهیان پس از به دست گرفتن زمام امور در بغداد بنا داشتند یکی از علویان را به جای خلیفه عباسی بر مسند خلافت بنشانند که این امر با دیدگاه زیدی بودن آنان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باید تأکید شود هیچ گونه دلیل صریحی مبنی بر تغییر مذهب برادران بویهی از زیدیه به امامیه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گرامی داشت آل بویه درباره شعائر شیعی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عزادرای در عاشورا، جشن غدیر، لعن خلفا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سخن میان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زیدیه نیز مانند امامیه به این شعائر اهمیت می‌داده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نسل دوم بویهیان به امامیه روی گردان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جعفریان،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فارابی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فارابی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باقر العلوم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 و طالب دکتوراه فی جامعة القرآن و الحدیث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مؤسسة الامام الخمینی التعلیمیة البحثیة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الصناعة جندی 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مرکز دائرة المعارف الاسلامیة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بیام نور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بیام نور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فلسفة الدین فی جامعة بیام نور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طهران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مرکز أبحاث القرآن و الحدیث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 فی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الفارابی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دکتوراه فی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الفارابی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47015</Words>
  <Characters>195564</Characters>
  <CharactersWithSpaces>240792</CharactersWithSpaces>
  <Paragraphs>1679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2026-08-17T12:00:47Z</dcterms:created>
  <dc:creator>ghaemiyeh.com</dc:creator>
  <dc:description/>
  <dc:language>en-US</dc:language>
  <cp:lastModifiedBy/>
  <dcterms:modified xsi:type="dcterms:W3CDTF">2026-08-17T15:30:52Z</dcterms:modified>
  <cp:revision>1</cp:revision>
  <dc:subject/>
  <dc:title>فصلنامه تحقیقات کلامی شماره 3</dc:title>
</cp:coreProperties>
</file>

<file path=docProps/custom.xml><?xml version="1.0" encoding="utf-8"?>
<Properties xmlns="http://schemas.openxmlformats.org/officeDocument/2006/custom-properties" xmlns:vt="http://schemas.openxmlformats.org/officeDocument/2006/docPropsVTypes"/>
</file>