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الرسائل الفقهیه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27852_380464308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327854_380464308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327856_3804643083">
            <w:r>
              <w:rPr>
                <w:webHidden/>
                <w:rStyle w:val="IndexLink"/>
                <w:rtl w:val="true"/>
              </w:rPr>
              <w:t>[</w:t>
            </w:r>
            <w:r>
              <w:rPr>
                <w:rStyle w:val="IndexLink"/>
                <w:rtl w:val="true"/>
              </w:rPr>
              <w:t>مقدمة التحقیق</w:t>
            </w:r>
            <w:r>
              <w:rPr>
                <w:rStyle w:val="IndexLink"/>
                <w:rtl w:val="true"/>
              </w:rPr>
              <w:t>]</w:t>
              <w:tab/>
            </w:r>
            <w:r>
              <w:rPr>
                <w:rStyle w:val="IndexLink"/>
              </w:rPr>
              <w:t>8</w:t>
            </w:r>
          </w:hyperlink>
        </w:p>
        <w:p>
          <w:pPr>
            <w:pStyle w:val="Contents3"/>
            <w:tabs>
              <w:tab w:val="clear" w:pos="8459"/>
              <w:tab w:val="right" w:pos="9026" w:leader="dot"/>
            </w:tabs>
            <w:rPr/>
          </w:pPr>
          <w:hyperlink w:anchor="__RefHeading___Toc4327858_3804643083">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4327860_3804643083">
            <w:r>
              <w:rPr>
                <w:webHidden/>
                <w:rStyle w:val="IndexLink"/>
                <w:rtl w:val="true"/>
              </w:rPr>
              <w:t>لمحة من حیاة العلّامة الوحید البهبهانی طاب ثراه</w:t>
            </w:r>
            <w:r>
              <w:rPr>
                <w:rStyle w:val="IndexLink"/>
                <w:rtl w:val="true"/>
              </w:rPr>
              <w:tab/>
            </w:r>
            <w:r>
              <w:rPr>
                <w:rStyle w:val="IndexLink"/>
              </w:rPr>
              <w:t>14</w:t>
            </w:r>
          </w:hyperlink>
        </w:p>
        <w:p>
          <w:pPr>
            <w:pStyle w:val="Contents4"/>
            <w:tabs>
              <w:tab w:val="clear" w:pos="8176"/>
              <w:tab w:val="right" w:pos="9026" w:leader="dot"/>
            </w:tabs>
            <w:rPr/>
          </w:pPr>
          <w:hyperlink w:anchor="__RefHeading___Toc4327862_3804643083">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4327864_3804643083">
            <w:r>
              <w:rPr>
                <w:webHidden/>
                <w:rStyle w:val="IndexLink"/>
                <w:rtl w:val="true"/>
              </w:rPr>
              <w:t>نسبه</w:t>
            </w:r>
            <w:r>
              <w:rPr>
                <w:rStyle w:val="IndexLink"/>
                <w:rtl w:val="true"/>
              </w:rPr>
              <w:t>:</w:t>
              <w:tab/>
            </w:r>
            <w:r>
              <w:rPr>
                <w:rStyle w:val="IndexLink"/>
              </w:rPr>
              <w:t>14</w:t>
            </w:r>
          </w:hyperlink>
        </w:p>
        <w:p>
          <w:pPr>
            <w:pStyle w:val="Contents4"/>
            <w:tabs>
              <w:tab w:val="clear" w:pos="8176"/>
              <w:tab w:val="right" w:pos="9026" w:leader="dot"/>
            </w:tabs>
            <w:rPr/>
          </w:pPr>
          <w:hyperlink w:anchor="__RefHeading___Toc4327866_3804643083">
            <w:r>
              <w:rPr>
                <w:webHidden/>
                <w:rStyle w:val="IndexLink"/>
                <w:rtl w:val="true"/>
              </w:rPr>
              <w:t>أبوه</w:t>
            </w:r>
            <w:r>
              <w:rPr>
                <w:rStyle w:val="IndexLink"/>
                <w:rtl w:val="true"/>
              </w:rPr>
              <w:t>:</w:t>
              <w:tab/>
            </w:r>
            <w:r>
              <w:rPr>
                <w:rStyle w:val="IndexLink"/>
              </w:rPr>
              <w:t>14</w:t>
            </w:r>
          </w:hyperlink>
        </w:p>
        <w:p>
          <w:pPr>
            <w:pStyle w:val="Contents4"/>
            <w:tabs>
              <w:tab w:val="clear" w:pos="8176"/>
              <w:tab w:val="right" w:pos="9026" w:leader="dot"/>
            </w:tabs>
            <w:rPr/>
          </w:pPr>
          <w:hyperlink w:anchor="__RefHeading___Toc4327868_3804643083">
            <w:r>
              <w:rPr>
                <w:webHidden/>
                <w:rStyle w:val="IndexLink"/>
                <w:rtl w:val="true"/>
              </w:rPr>
              <w:t>صباه</w:t>
            </w:r>
            <w:r>
              <w:rPr>
                <w:rStyle w:val="IndexLink"/>
                <w:rtl w:val="true"/>
              </w:rPr>
              <w:t>:</w:t>
              <w:tab/>
            </w:r>
            <w:r>
              <w:rPr>
                <w:rStyle w:val="IndexLink"/>
              </w:rPr>
              <w:t>15</w:t>
            </w:r>
          </w:hyperlink>
        </w:p>
        <w:p>
          <w:pPr>
            <w:pStyle w:val="Contents4"/>
            <w:tabs>
              <w:tab w:val="clear" w:pos="8176"/>
              <w:tab w:val="right" w:pos="9026" w:leader="dot"/>
            </w:tabs>
            <w:rPr/>
          </w:pPr>
          <w:hyperlink w:anchor="__RefHeading___Toc4327870_3804643083">
            <w:r>
              <w:rPr>
                <w:webHidden/>
                <w:rStyle w:val="IndexLink"/>
                <w:rtl w:val="true"/>
              </w:rPr>
              <w:t>أساتذته</w:t>
            </w:r>
            <w:r>
              <w:rPr>
                <w:rStyle w:val="IndexLink"/>
                <w:rtl w:val="true"/>
              </w:rPr>
              <w:t>:</w:t>
              <w:tab/>
            </w:r>
            <w:r>
              <w:rPr>
                <w:rStyle w:val="IndexLink"/>
              </w:rPr>
              <w:t>15</w:t>
            </w:r>
          </w:hyperlink>
        </w:p>
        <w:p>
          <w:pPr>
            <w:pStyle w:val="Contents4"/>
            <w:tabs>
              <w:tab w:val="clear" w:pos="8176"/>
              <w:tab w:val="right" w:pos="9026" w:leader="dot"/>
            </w:tabs>
            <w:rPr/>
          </w:pPr>
          <w:hyperlink w:anchor="__RefHeading___Toc4327872_3804643083">
            <w:r>
              <w:rPr>
                <w:webHidden/>
                <w:rStyle w:val="IndexLink"/>
                <w:rtl w:val="true"/>
              </w:rPr>
              <w:t>مشایخ إجازاته</w:t>
            </w:r>
            <w:r>
              <w:rPr>
                <w:rStyle w:val="IndexLink"/>
                <w:rtl w:val="true"/>
              </w:rPr>
              <w:t>:</w:t>
              <w:tab/>
            </w:r>
            <w:r>
              <w:rPr>
                <w:rStyle w:val="IndexLink"/>
              </w:rPr>
              <w:t>16</w:t>
            </w:r>
          </w:hyperlink>
        </w:p>
        <w:p>
          <w:pPr>
            <w:pStyle w:val="Contents4"/>
            <w:tabs>
              <w:tab w:val="clear" w:pos="8176"/>
              <w:tab w:val="right" w:pos="9026" w:leader="dot"/>
            </w:tabs>
            <w:rPr/>
          </w:pPr>
          <w:hyperlink w:anchor="__RefHeading___Toc4327874_3804643083">
            <w:r>
              <w:rPr>
                <w:webHidden/>
                <w:rStyle w:val="IndexLink"/>
                <w:rtl w:val="true"/>
              </w:rPr>
              <w:t>الّذین أجازهم</w:t>
            </w:r>
            <w:r>
              <w:rPr>
                <w:rStyle w:val="IndexLink"/>
                <w:rtl w:val="true"/>
              </w:rPr>
              <w:t>:</w:t>
              <w:tab/>
            </w:r>
            <w:r>
              <w:rPr>
                <w:rStyle w:val="IndexLink"/>
              </w:rPr>
              <w:t>16</w:t>
            </w:r>
          </w:hyperlink>
        </w:p>
        <w:p>
          <w:pPr>
            <w:pStyle w:val="Contents4"/>
            <w:tabs>
              <w:tab w:val="clear" w:pos="8176"/>
              <w:tab w:val="right" w:pos="9026" w:leader="dot"/>
            </w:tabs>
            <w:rPr/>
          </w:pPr>
          <w:hyperlink w:anchor="__RefHeading___Toc4327876_3804643083">
            <w:r>
              <w:rPr>
                <w:webHidden/>
                <w:rStyle w:val="IndexLink"/>
                <w:rtl w:val="true"/>
              </w:rPr>
              <w:t>عصره</w:t>
            </w:r>
            <w:r>
              <w:rPr>
                <w:rStyle w:val="IndexLink"/>
                <w:rtl w:val="true"/>
              </w:rPr>
              <w:t>:</w:t>
              <w:tab/>
            </w:r>
            <w:r>
              <w:rPr>
                <w:rStyle w:val="IndexLink"/>
              </w:rPr>
              <w:t>17</w:t>
            </w:r>
          </w:hyperlink>
        </w:p>
        <w:p>
          <w:pPr>
            <w:pStyle w:val="Contents4"/>
            <w:tabs>
              <w:tab w:val="clear" w:pos="8176"/>
              <w:tab w:val="right" w:pos="9026" w:leader="dot"/>
            </w:tabs>
            <w:rPr/>
          </w:pPr>
          <w:hyperlink w:anchor="__RefHeading___Toc4327878_3804643083">
            <w:r>
              <w:rPr>
                <w:webHidden/>
                <w:rStyle w:val="IndexLink"/>
                <w:rtl w:val="true"/>
              </w:rPr>
              <w:t>نزوله بلدة بهبهان</w:t>
            </w:r>
            <w:r>
              <w:rPr>
                <w:rStyle w:val="IndexLink"/>
                <w:rtl w:val="true"/>
              </w:rPr>
              <w:tab/>
            </w:r>
            <w:r>
              <w:rPr>
                <w:rStyle w:val="IndexLink"/>
              </w:rPr>
              <w:t>19</w:t>
            </w:r>
          </w:hyperlink>
        </w:p>
        <w:p>
          <w:pPr>
            <w:pStyle w:val="Contents4"/>
            <w:tabs>
              <w:tab w:val="clear" w:pos="8176"/>
              <w:tab w:val="right" w:pos="9026" w:leader="dot"/>
            </w:tabs>
            <w:rPr/>
          </w:pPr>
          <w:hyperlink w:anchor="__RefHeading___Toc4327880_3804643083">
            <w:r>
              <w:rPr>
                <w:webHidden/>
                <w:rStyle w:val="IndexLink"/>
                <w:rtl w:val="true"/>
              </w:rPr>
              <w:t>هجرته إلی کربلاء</w:t>
            </w:r>
            <w:r>
              <w:rPr>
                <w:rStyle w:val="IndexLink"/>
                <w:rtl w:val="true"/>
              </w:rPr>
              <w:tab/>
            </w:r>
            <w:r>
              <w:rPr>
                <w:rStyle w:val="IndexLink"/>
              </w:rPr>
              <w:t>19</w:t>
            </w:r>
          </w:hyperlink>
        </w:p>
        <w:p>
          <w:pPr>
            <w:pStyle w:val="Contents4"/>
            <w:tabs>
              <w:tab w:val="clear" w:pos="8176"/>
              <w:tab w:val="right" w:pos="9026" w:leader="dot"/>
            </w:tabs>
            <w:rPr/>
          </w:pPr>
          <w:hyperlink w:anchor="__RefHeading___Toc4327882_3804643083">
            <w:r>
              <w:rPr>
                <w:webHidden/>
                <w:rStyle w:val="IndexLink"/>
                <w:rtl w:val="true"/>
              </w:rPr>
              <w:t>أیادیه فی کربلاء</w:t>
            </w:r>
            <w:r>
              <w:rPr>
                <w:rStyle w:val="IndexLink"/>
                <w:rtl w:val="true"/>
              </w:rPr>
              <w:t>:</w:t>
              <w:tab/>
            </w:r>
            <w:r>
              <w:rPr>
                <w:rStyle w:val="IndexLink"/>
              </w:rPr>
              <w:t>21</w:t>
            </w:r>
          </w:hyperlink>
        </w:p>
        <w:p>
          <w:pPr>
            <w:pStyle w:val="Contents4"/>
            <w:tabs>
              <w:tab w:val="clear" w:pos="8176"/>
              <w:tab w:val="right" w:pos="9026" w:leader="dot"/>
            </w:tabs>
            <w:rPr/>
          </w:pPr>
          <w:hyperlink w:anchor="__RefHeading___Toc4327884_3804643083">
            <w:r>
              <w:rPr>
                <w:webHidden/>
                <w:rStyle w:val="IndexLink"/>
                <w:rtl w:val="true"/>
              </w:rPr>
              <w:t>ما قیل فیه</w:t>
            </w:r>
            <w:r>
              <w:rPr>
                <w:rStyle w:val="IndexLink"/>
                <w:rtl w:val="true"/>
              </w:rPr>
              <w:t>:</w:t>
              <w:tab/>
            </w:r>
            <w:r>
              <w:rPr>
                <w:rStyle w:val="IndexLink"/>
              </w:rPr>
              <w:t>22</w:t>
            </w:r>
          </w:hyperlink>
        </w:p>
        <w:p>
          <w:pPr>
            <w:pStyle w:val="Contents4"/>
            <w:tabs>
              <w:tab w:val="clear" w:pos="8176"/>
              <w:tab w:val="right" w:pos="9026" w:leader="dot"/>
            </w:tabs>
            <w:rPr/>
          </w:pPr>
          <w:hyperlink w:anchor="__RefHeading___Toc4327886_3804643083">
            <w:r>
              <w:rPr>
                <w:webHidden/>
                <w:rStyle w:val="IndexLink"/>
                <w:rtl w:val="true"/>
              </w:rPr>
              <w:t>اهتمام معاصریه و تلامذته و من تأخّر عنه بنظریّاته طاب ثراه</w:t>
            </w:r>
            <w:r>
              <w:rPr>
                <w:rStyle w:val="IndexLink"/>
                <w:rtl w:val="true"/>
              </w:rPr>
              <w:t>:</w:t>
              <w:tab/>
            </w:r>
            <w:r>
              <w:rPr>
                <w:rStyle w:val="IndexLink"/>
              </w:rPr>
              <w:t>28</w:t>
            </w:r>
          </w:hyperlink>
        </w:p>
        <w:p>
          <w:pPr>
            <w:pStyle w:val="Contents4"/>
            <w:tabs>
              <w:tab w:val="clear" w:pos="8176"/>
              <w:tab w:val="right" w:pos="9026" w:leader="dot"/>
            </w:tabs>
            <w:rPr/>
          </w:pPr>
          <w:hyperlink w:anchor="__RefHeading___Toc4327888_3804643083">
            <w:r>
              <w:rPr>
                <w:webHidden/>
                <w:rStyle w:val="IndexLink"/>
                <w:rtl w:val="true"/>
              </w:rPr>
              <w:t>فضائله الأخلاقیّة و ملکاته النفسیّة</w:t>
            </w:r>
            <w:r>
              <w:rPr>
                <w:rStyle w:val="IndexLink"/>
                <w:rtl w:val="true"/>
              </w:rPr>
              <w:t>:</w:t>
              <w:tab/>
            </w:r>
            <w:r>
              <w:rPr>
                <w:rStyle w:val="IndexLink"/>
              </w:rPr>
              <w:t>30</w:t>
            </w:r>
          </w:hyperlink>
        </w:p>
        <w:p>
          <w:pPr>
            <w:pStyle w:val="Contents4"/>
            <w:tabs>
              <w:tab w:val="clear" w:pos="8176"/>
              <w:tab w:val="right" w:pos="9026" w:leader="dot"/>
            </w:tabs>
            <w:rPr/>
          </w:pPr>
          <w:hyperlink w:anchor="__RefHeading___Toc4327890_3804643083">
            <w:r>
              <w:rPr>
                <w:webHidden/>
                <w:rStyle w:val="IndexLink"/>
                <w:rtl w:val="true"/>
              </w:rPr>
              <w:t>معاصروه</w:t>
            </w:r>
            <w:r>
              <w:rPr>
                <w:rStyle w:val="IndexLink"/>
                <w:rtl w:val="true"/>
              </w:rPr>
              <w:t>:</w:t>
              <w:tab/>
            </w:r>
            <w:r>
              <w:rPr>
                <w:rStyle w:val="IndexLink"/>
              </w:rPr>
              <w:t>34</w:t>
            </w:r>
          </w:hyperlink>
        </w:p>
        <w:p>
          <w:pPr>
            <w:pStyle w:val="Contents4"/>
            <w:tabs>
              <w:tab w:val="clear" w:pos="8176"/>
              <w:tab w:val="right" w:pos="9026" w:leader="dot"/>
            </w:tabs>
            <w:rPr/>
          </w:pPr>
          <w:hyperlink w:anchor="__RefHeading___Toc4327892_3804643083">
            <w:r>
              <w:rPr>
                <w:webHidden/>
                <w:rStyle w:val="IndexLink"/>
                <w:rtl w:val="true"/>
              </w:rPr>
              <w:t>تلامذته</w:t>
            </w:r>
            <w:r>
              <w:rPr>
                <w:rStyle w:val="IndexLink"/>
                <w:rtl w:val="true"/>
              </w:rPr>
              <w:t>:</w:t>
              <w:tab/>
            </w:r>
            <w:r>
              <w:rPr>
                <w:rStyle w:val="IndexLink"/>
              </w:rPr>
              <w:t>34</w:t>
            </w:r>
          </w:hyperlink>
        </w:p>
        <w:p>
          <w:pPr>
            <w:pStyle w:val="Contents4"/>
            <w:tabs>
              <w:tab w:val="clear" w:pos="8176"/>
              <w:tab w:val="right" w:pos="9026" w:leader="dot"/>
            </w:tabs>
            <w:rPr/>
          </w:pPr>
          <w:hyperlink w:anchor="__RefHeading___Toc4327894_3804643083">
            <w:r>
              <w:rPr>
                <w:webHidden/>
                <w:rStyle w:val="IndexLink"/>
                <w:rtl w:val="true"/>
              </w:rPr>
              <w:t>تآلیفه القیّمة</w:t>
            </w:r>
            <w:r>
              <w:rPr>
                <w:rStyle w:val="IndexLink"/>
                <w:rtl w:val="true"/>
              </w:rPr>
              <w:t>:</w:t>
              <w:tab/>
            </w:r>
            <w:r>
              <w:rPr>
                <w:rStyle w:val="IndexLink"/>
              </w:rPr>
              <w:t>36</w:t>
            </w:r>
          </w:hyperlink>
        </w:p>
        <w:p>
          <w:pPr>
            <w:pStyle w:val="Contents4"/>
            <w:tabs>
              <w:tab w:val="clear" w:pos="8176"/>
              <w:tab w:val="right" w:pos="9026" w:leader="dot"/>
            </w:tabs>
            <w:rPr/>
          </w:pPr>
          <w:hyperlink w:anchor="__RefHeading___Toc4327896_3804643083">
            <w:r>
              <w:rPr>
                <w:webHidden/>
                <w:rStyle w:val="IndexLink"/>
                <w:rtl w:val="true"/>
              </w:rPr>
              <w:t>وفاته</w:t>
            </w:r>
            <w:r>
              <w:rPr>
                <w:rStyle w:val="IndexLink"/>
                <w:rtl w:val="true"/>
              </w:rPr>
              <w:t>:</w:t>
              <w:tab/>
            </w:r>
            <w:r>
              <w:rPr>
                <w:rStyle w:val="IndexLink"/>
              </w:rPr>
              <w:t>41</w:t>
            </w:r>
          </w:hyperlink>
        </w:p>
        <w:p>
          <w:pPr>
            <w:pStyle w:val="Contents3"/>
            <w:tabs>
              <w:tab w:val="clear" w:pos="8459"/>
              <w:tab w:val="right" w:pos="9026" w:leader="dot"/>
            </w:tabs>
            <w:rPr/>
          </w:pPr>
          <w:hyperlink w:anchor="__RefHeading___Toc4327898_3804643083">
            <w:r>
              <w:rPr>
                <w:webHidden/>
                <w:rStyle w:val="IndexLink"/>
                <w:rtl w:val="true"/>
              </w:rPr>
              <w:t>بین یدی الکتاب</w:t>
            </w:r>
            <w:r>
              <w:rPr>
                <w:rStyle w:val="IndexLink"/>
                <w:rtl w:val="true"/>
              </w:rPr>
              <w:tab/>
            </w:r>
            <w:r>
              <w:rPr>
                <w:rStyle w:val="IndexLink"/>
              </w:rPr>
              <w:t>44</w:t>
            </w:r>
          </w:hyperlink>
        </w:p>
        <w:p>
          <w:pPr>
            <w:pStyle w:val="Contents4"/>
            <w:tabs>
              <w:tab w:val="clear" w:pos="8176"/>
              <w:tab w:val="right" w:pos="9026" w:leader="dot"/>
            </w:tabs>
            <w:rPr/>
          </w:pPr>
          <w:hyperlink w:anchor="__RefHeading___Toc4327900_3804643083">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4327902_3804643083">
            <w:r>
              <w:rPr>
                <w:webHidden/>
                <w:rStyle w:val="IndexLink"/>
                <w:rtl w:val="true"/>
              </w:rPr>
              <w:t>أمّا النسخ الّتی اعتمدت فی تحقیق هذه الرسائل</w:t>
            </w:r>
            <w:r>
              <w:rPr>
                <w:rStyle w:val="IndexLink"/>
                <w:rtl w:val="true"/>
              </w:rPr>
              <w:t xml:space="preserve">- </w:t>
            </w:r>
            <w:r>
              <w:rPr>
                <w:rStyle w:val="IndexLink"/>
                <w:rtl w:val="true"/>
              </w:rPr>
              <w:t>حیث کانت متابعتنا لها إمّا مشافهة أو اعتمادا علی الفهارس</w:t>
            </w:r>
            <w:r>
              <w:rPr>
                <w:rStyle w:val="IndexLink"/>
                <w:rtl w:val="true"/>
              </w:rPr>
              <w:t xml:space="preserve">- </w:t>
            </w:r>
            <w:r>
              <w:rPr>
                <w:rStyle w:val="IndexLink"/>
                <w:rtl w:val="true"/>
              </w:rPr>
              <w:t>فهی</w:t>
            </w:r>
            <w:r>
              <w:rPr>
                <w:rStyle w:val="IndexLink"/>
                <w:rtl w:val="true"/>
              </w:rPr>
              <w:t>:</w:t>
              <w:tab/>
            </w:r>
            <w:r>
              <w:rPr>
                <w:rStyle w:val="IndexLink"/>
              </w:rPr>
              <w:t>44</w:t>
            </w:r>
          </w:hyperlink>
        </w:p>
        <w:p>
          <w:pPr>
            <w:pStyle w:val="Contents4"/>
            <w:tabs>
              <w:tab w:val="clear" w:pos="8176"/>
              <w:tab w:val="right" w:pos="9026" w:leader="dot"/>
            </w:tabs>
            <w:rPr/>
          </w:pPr>
          <w:hyperlink w:anchor="__RefHeading___Toc4327904_3804643083">
            <w:r>
              <w:rPr>
                <w:webHidden/>
                <w:rStyle w:val="IndexLink"/>
                <w:rtl w:val="true"/>
              </w:rPr>
              <w:t>منهجنا فی التحقیق</w:t>
            </w:r>
            <w:r>
              <w:rPr>
                <w:rStyle w:val="IndexLink"/>
                <w:rtl w:val="true"/>
              </w:rPr>
              <w:tab/>
            </w:r>
            <w:r>
              <w:rPr>
                <w:rStyle w:val="IndexLink"/>
              </w:rPr>
              <w:t>48</w:t>
            </w:r>
          </w:hyperlink>
        </w:p>
        <w:p>
          <w:pPr>
            <w:pStyle w:val="Contents2"/>
            <w:tabs>
              <w:tab w:val="clear" w:pos="8743"/>
              <w:tab w:val="right" w:pos="9026" w:leader="dot"/>
            </w:tabs>
            <w:rPr/>
          </w:pPr>
          <w:hyperlink w:anchor="__RefHeading___Toc4327906_3804643083">
            <w:r>
              <w:rPr>
                <w:webHidden/>
                <w:rStyle w:val="IndexLink"/>
                <w:rtl w:val="true"/>
              </w:rPr>
              <w:t>رسالة فی عدم جواز تقلید المیّت</w:t>
            </w:r>
            <w:r>
              <w:rPr>
                <w:rStyle w:val="IndexLink"/>
                <w:rtl w:val="true"/>
              </w:rPr>
              <w:tab/>
            </w:r>
            <w:r>
              <w:rPr>
                <w:rStyle w:val="IndexLink"/>
              </w:rPr>
              <w:t>53</w:t>
            </w:r>
          </w:hyperlink>
        </w:p>
        <w:p>
          <w:pPr>
            <w:pStyle w:val="Contents2"/>
            <w:tabs>
              <w:tab w:val="clear" w:pos="8743"/>
              <w:tab w:val="right" w:pos="9026" w:leader="dot"/>
            </w:tabs>
            <w:rPr/>
          </w:pPr>
          <w:hyperlink w:anchor="__RefHeading___Toc4327908_3804643083">
            <w:r>
              <w:rPr>
                <w:webHidden/>
                <w:rStyle w:val="IndexLink"/>
                <w:rtl w:val="true"/>
              </w:rPr>
              <w:t>رسالة فی حکم عبادة الجاهل</w:t>
            </w:r>
            <w:r>
              <w:rPr>
                <w:rStyle w:val="IndexLink"/>
                <w:rtl w:val="true"/>
              </w:rPr>
              <w:tab/>
            </w:r>
            <w:r>
              <w:rPr>
                <w:rStyle w:val="IndexLink"/>
              </w:rPr>
              <w:t>79</w:t>
            </w:r>
          </w:hyperlink>
        </w:p>
        <w:p>
          <w:pPr>
            <w:pStyle w:val="Contents2"/>
            <w:tabs>
              <w:tab w:val="clear" w:pos="8743"/>
              <w:tab w:val="right" w:pos="9026" w:leader="dot"/>
            </w:tabs>
            <w:rPr/>
          </w:pPr>
          <w:hyperlink w:anchor="__RefHeading___Toc4327910_3804643083">
            <w:r>
              <w:rPr>
                <w:webHidden/>
                <w:rStyle w:val="IndexLink"/>
                <w:rtl w:val="true"/>
              </w:rPr>
              <w:t>رسالة فی أصالة طهارة الأشیاء</w:t>
            </w:r>
            <w:r>
              <w:rPr>
                <w:rStyle w:val="IndexLink"/>
                <w:rtl w:val="true"/>
              </w:rPr>
              <w:tab/>
            </w:r>
            <w:r>
              <w:rPr>
                <w:rStyle w:val="IndexLink"/>
              </w:rPr>
              <w:t>97</w:t>
            </w:r>
          </w:hyperlink>
        </w:p>
        <w:p>
          <w:pPr>
            <w:pStyle w:val="Contents2"/>
            <w:tabs>
              <w:tab w:val="clear" w:pos="8743"/>
              <w:tab w:val="right" w:pos="9026" w:leader="dot"/>
            </w:tabs>
            <w:rPr/>
          </w:pPr>
          <w:hyperlink w:anchor="__RefHeading___Toc4327912_3804643083">
            <w:r>
              <w:rPr>
                <w:webHidden/>
                <w:rStyle w:val="IndexLink"/>
                <w:rtl w:val="true"/>
              </w:rPr>
              <w:t>رسالة فی حکم العصیر التمری و الزبیبی</w:t>
            </w:r>
            <w:r>
              <w:rPr>
                <w:rStyle w:val="IndexLink"/>
                <w:rtl w:val="true"/>
              </w:rPr>
              <w:tab/>
            </w:r>
            <w:r>
              <w:rPr>
                <w:rStyle w:val="IndexLink"/>
              </w:rPr>
              <w:t>103</w:t>
            </w:r>
          </w:hyperlink>
        </w:p>
        <w:p>
          <w:pPr>
            <w:pStyle w:val="Contents3"/>
            <w:tabs>
              <w:tab w:val="clear" w:pos="8459"/>
              <w:tab w:val="right" w:pos="9026" w:leader="dot"/>
            </w:tabs>
            <w:rPr/>
          </w:pPr>
          <w:hyperlink w:anchor="__RefHeading___Toc4327914_3804643083">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4327916_3804643083">
            <w:r>
              <w:rPr>
                <w:webHidden/>
                <w:rStyle w:val="IndexLink"/>
                <w:rtl w:val="true"/>
              </w:rPr>
              <w:t>[</w:t>
            </w:r>
            <w:r>
              <w:rPr>
                <w:rStyle w:val="IndexLink"/>
                <w:rtl w:val="true"/>
              </w:rPr>
              <w:t>المدخل</w:t>
            </w:r>
            <w:r>
              <w:rPr>
                <w:rStyle w:val="IndexLink"/>
                <w:rtl w:val="true"/>
              </w:rPr>
              <w:t>]</w:t>
              <w:tab/>
            </w:r>
            <w:r>
              <w:rPr>
                <w:rStyle w:val="IndexLink"/>
              </w:rPr>
              <w:t>105</w:t>
            </w:r>
          </w:hyperlink>
        </w:p>
        <w:p>
          <w:pPr>
            <w:pStyle w:val="Contents3"/>
            <w:tabs>
              <w:tab w:val="clear" w:pos="8459"/>
              <w:tab w:val="right" w:pos="9026" w:leader="dot"/>
            </w:tabs>
            <w:rPr/>
          </w:pPr>
          <w:hyperlink w:anchor="__RefHeading___Toc4327918_3804643083">
            <w:r>
              <w:rPr>
                <w:webHidden/>
                <w:rStyle w:val="IndexLink"/>
                <w:rtl w:val="true"/>
              </w:rPr>
              <w:t>إذا عرفت هذا، فاعلم أنّ الأقوی عندی الحرمة لوجوه</w:t>
            </w:r>
            <w:r>
              <w:rPr>
                <w:rStyle w:val="IndexLink"/>
                <w:rtl w:val="true"/>
              </w:rPr>
              <w:t>:</w:t>
              <w:tab/>
            </w:r>
            <w:r>
              <w:rPr>
                <w:rStyle w:val="IndexLink"/>
              </w:rPr>
              <w:t>110</w:t>
            </w:r>
          </w:hyperlink>
        </w:p>
        <w:p>
          <w:pPr>
            <w:pStyle w:val="Contents4"/>
            <w:tabs>
              <w:tab w:val="clear" w:pos="8176"/>
              <w:tab w:val="right" w:pos="9026" w:leader="dot"/>
            </w:tabs>
            <w:rPr/>
          </w:pPr>
          <w:hyperlink w:anchor="__RefHeading___Toc4327920_3804643083">
            <w:r>
              <w:rPr>
                <w:webHidden/>
                <w:rStyle w:val="IndexLink"/>
                <w:rtl w:val="true"/>
              </w:rPr>
              <w:t>الأوّل</w:t>
            </w:r>
            <w:r>
              <w:rPr>
                <w:rStyle w:val="IndexLink"/>
                <w:rtl w:val="true"/>
              </w:rPr>
              <w:t xml:space="preserve">: </w:t>
            </w:r>
            <w:r>
              <w:rPr>
                <w:rStyle w:val="IndexLink"/>
                <w:rtl w:val="true"/>
              </w:rPr>
              <w:t xml:space="preserve">موثّقة عمّار عن الصادق علیه السّلام أنّه </w:t>
            </w:r>
            <w:r>
              <w:rPr>
                <w:rStyle w:val="IndexLink"/>
                <w:rtl w:val="true"/>
              </w:rPr>
              <w:t>«</w:t>
            </w:r>
            <w:r>
              <w:rPr>
                <w:rStyle w:val="IndexLink"/>
                <w:rtl w:val="true"/>
              </w:rPr>
              <w:t xml:space="preserve">سئل عن الزبیب، کیف </w:t>
            </w:r>
            <w:r>
              <w:rPr>
                <w:rStyle w:val="IndexLink"/>
                <w:rtl w:val="true"/>
              </w:rPr>
              <w:t>[</w:t>
            </w:r>
            <w:r>
              <w:rPr>
                <w:rStyle w:val="IndexLink"/>
                <w:rtl w:val="true"/>
              </w:rPr>
              <w:t>یحلّ</w:t>
            </w:r>
            <w:r>
              <w:rPr>
                <w:rStyle w:val="IndexLink"/>
                <w:rtl w:val="true"/>
              </w:rPr>
              <w:t xml:space="preserve">] </w:t>
            </w:r>
            <w:r>
              <w:rPr>
                <w:rStyle w:val="IndexLink"/>
                <w:rtl w:val="true"/>
              </w:rPr>
              <w:t>طبخه حتّی یشرب حلالا؟</w:t>
            </w:r>
            <w:r>
              <w:rPr>
                <w:rStyle w:val="IndexLink"/>
                <w:rtl w:val="true"/>
              </w:rPr>
              <w:tab/>
            </w:r>
            <w:r>
              <w:rPr>
                <w:rStyle w:val="IndexLink"/>
              </w:rPr>
              <w:t>110</w:t>
            </w:r>
          </w:hyperlink>
        </w:p>
        <w:p>
          <w:pPr>
            <w:pStyle w:val="Contents4"/>
            <w:tabs>
              <w:tab w:val="clear" w:pos="8176"/>
              <w:tab w:val="right" w:pos="9026" w:leader="dot"/>
            </w:tabs>
            <w:rPr/>
          </w:pPr>
          <w:hyperlink w:anchor="__RefHeading___Toc4327922_3804643083">
            <w:r>
              <w:rPr>
                <w:webHidden/>
                <w:rStyle w:val="IndexLink"/>
                <w:rtl w:val="true"/>
              </w:rPr>
              <w:t>الثانی</w:t>
            </w:r>
            <w:r>
              <w:rPr>
                <w:rStyle w:val="IndexLink"/>
                <w:rtl w:val="true"/>
              </w:rPr>
              <w:t xml:space="preserve">: </w:t>
            </w:r>
            <w:r>
              <w:rPr>
                <w:rStyle w:val="IndexLink"/>
                <w:rtl w:val="true"/>
              </w:rPr>
              <w:t>موثّقة عمّار عن الصادق علیه السّلام</w:t>
            </w:r>
            <w:r>
              <w:rPr>
                <w:rStyle w:val="IndexLink"/>
                <w:rtl w:val="true"/>
              </w:rPr>
              <w:t>: «</w:t>
            </w:r>
            <w:r>
              <w:rPr>
                <w:rStyle w:val="IndexLink"/>
                <w:rtl w:val="true"/>
              </w:rPr>
              <w:t xml:space="preserve">فی النضوح المعتق، کیف یصنع به حتّی </w:t>
            </w:r>
            <w:r>
              <w:rPr>
                <w:rStyle w:val="IndexLink"/>
                <w:rtl w:val="true"/>
              </w:rPr>
              <w:t>[</w:t>
            </w:r>
            <w:r>
              <w:rPr>
                <w:rStyle w:val="IndexLink"/>
                <w:rtl w:val="true"/>
              </w:rPr>
              <w:t>یحل</w:t>
            </w:r>
            <w:r>
              <w:rPr>
                <w:rStyle w:val="IndexLink"/>
                <w:rtl w:val="true"/>
              </w:rPr>
              <w:t>]</w:t>
              <w:tab/>
            </w:r>
            <w:r>
              <w:rPr>
                <w:rStyle w:val="IndexLink"/>
              </w:rPr>
              <w:t>114</w:t>
            </w:r>
          </w:hyperlink>
        </w:p>
        <w:p>
          <w:pPr>
            <w:pStyle w:val="Contents4"/>
            <w:tabs>
              <w:tab w:val="clear" w:pos="8176"/>
              <w:tab w:val="right" w:pos="9026" w:leader="dot"/>
            </w:tabs>
            <w:rPr/>
          </w:pPr>
          <w:hyperlink w:anchor="__RefHeading___Toc4327924_3804643083">
            <w:r>
              <w:rPr>
                <w:webHidden/>
                <w:rStyle w:val="IndexLink"/>
                <w:rtl w:val="true"/>
              </w:rPr>
              <w:t>الثالث</w:t>
            </w:r>
            <w:r>
              <w:rPr>
                <w:rStyle w:val="IndexLink"/>
                <w:rtl w:val="true"/>
              </w:rPr>
              <w:t xml:space="preserve">: </w:t>
            </w:r>
            <w:r>
              <w:rPr>
                <w:rStyle w:val="IndexLink"/>
                <w:rtl w:val="true"/>
              </w:rPr>
              <w:t>صحیحة علی بن جعفر علیه السّلام عن أخیه علیه السّلام</w:t>
            </w:r>
            <w:r>
              <w:rPr>
                <w:rStyle w:val="IndexLink"/>
                <w:rtl w:val="true"/>
              </w:rPr>
              <w:t>: «</w:t>
            </w:r>
            <w:r>
              <w:rPr>
                <w:rStyle w:val="IndexLink"/>
                <w:rtl w:val="true"/>
              </w:rPr>
              <w:t>الرجل یصلّی إلی القبلة و لا یوثق به</w:t>
            </w:r>
            <w:r>
              <w:rPr>
                <w:rStyle w:val="IndexLink"/>
                <w:rtl w:val="true"/>
              </w:rPr>
              <w:tab/>
            </w:r>
            <w:r>
              <w:rPr>
                <w:rStyle w:val="IndexLink"/>
              </w:rPr>
              <w:t>116</w:t>
            </w:r>
          </w:hyperlink>
        </w:p>
        <w:p>
          <w:pPr>
            <w:pStyle w:val="Contents4"/>
            <w:tabs>
              <w:tab w:val="clear" w:pos="8176"/>
              <w:tab w:val="right" w:pos="9026" w:leader="dot"/>
            </w:tabs>
            <w:rPr/>
          </w:pPr>
          <w:hyperlink w:anchor="__RefHeading___Toc4327926_3804643083">
            <w:r>
              <w:rPr>
                <w:webHidden/>
                <w:rStyle w:val="IndexLink"/>
                <w:rtl w:val="true"/>
              </w:rPr>
              <w:t>الرابع</w:t>
            </w:r>
            <w:r>
              <w:rPr>
                <w:rStyle w:val="IndexLink"/>
                <w:rtl w:val="true"/>
              </w:rPr>
              <w:t xml:space="preserve">: </w:t>
            </w:r>
            <w:r>
              <w:rPr>
                <w:rStyle w:val="IndexLink"/>
                <w:rtl w:val="true"/>
              </w:rPr>
              <w:t>روایة زید النرسی، عن الصادق علیه السلام</w:t>
            </w:r>
            <w:r>
              <w:rPr>
                <w:rStyle w:val="IndexLink"/>
                <w:rtl w:val="true"/>
              </w:rPr>
              <w:t>: «</w:t>
            </w:r>
            <w:r>
              <w:rPr>
                <w:rStyle w:val="IndexLink"/>
                <w:rtl w:val="true"/>
              </w:rPr>
              <w:t>فی الزبیب یدقّ و یلقی فی القدر و یصبّ علیه الماء</w:t>
            </w:r>
            <w:r>
              <w:rPr>
                <w:rStyle w:val="IndexLink"/>
                <w:rtl w:val="true"/>
              </w:rPr>
              <w:tab/>
            </w:r>
            <w:r>
              <w:rPr>
                <w:rStyle w:val="IndexLink"/>
              </w:rPr>
              <w:t>120</w:t>
            </w:r>
          </w:hyperlink>
        </w:p>
        <w:p>
          <w:pPr>
            <w:pStyle w:val="Contents4"/>
            <w:tabs>
              <w:tab w:val="clear" w:pos="8176"/>
              <w:tab w:val="right" w:pos="9026" w:leader="dot"/>
            </w:tabs>
            <w:rPr/>
          </w:pPr>
          <w:hyperlink w:anchor="__RefHeading___Toc4327928_3804643083">
            <w:r>
              <w:rPr>
                <w:webHidden/>
                <w:rStyle w:val="IndexLink"/>
                <w:rtl w:val="true"/>
              </w:rPr>
              <w:t>الخامس</w:t>
            </w:r>
            <w:r>
              <w:rPr>
                <w:rStyle w:val="IndexLink"/>
                <w:rtl w:val="true"/>
              </w:rPr>
              <w:t xml:space="preserve">: </w:t>
            </w:r>
            <w:r>
              <w:rPr>
                <w:rStyle w:val="IndexLink"/>
                <w:rtl w:val="true"/>
              </w:rPr>
              <w:t>روایة الکلینی رحمه اللّه فی باب أصل تحریم الخمر</w:t>
            </w:r>
            <w:r>
              <w:rPr>
                <w:rStyle w:val="IndexLink"/>
                <w:rtl w:val="true"/>
              </w:rPr>
              <w:tab/>
            </w:r>
            <w:r>
              <w:rPr>
                <w:rStyle w:val="IndexLink"/>
              </w:rPr>
              <w:t>124</w:t>
            </w:r>
          </w:hyperlink>
        </w:p>
        <w:p>
          <w:pPr>
            <w:pStyle w:val="Contents4"/>
            <w:tabs>
              <w:tab w:val="clear" w:pos="8176"/>
              <w:tab w:val="right" w:pos="9026" w:leader="dot"/>
            </w:tabs>
            <w:rPr/>
          </w:pPr>
          <w:hyperlink w:anchor="__RefHeading___Toc4327930_3804643083">
            <w:r>
              <w:rPr>
                <w:webHidden/>
                <w:rStyle w:val="IndexLink"/>
                <w:rtl w:val="true"/>
              </w:rPr>
              <w:t>السادس</w:t>
            </w:r>
            <w:r>
              <w:rPr>
                <w:rStyle w:val="IndexLink"/>
                <w:rtl w:val="true"/>
              </w:rPr>
              <w:t>: [</w:t>
            </w:r>
            <w:r>
              <w:rPr>
                <w:rStyle w:val="IndexLink"/>
                <w:rtl w:val="true"/>
              </w:rPr>
              <w:t>ظاهر</w:t>
            </w:r>
            <w:r>
              <w:rPr>
                <w:rStyle w:val="IndexLink"/>
                <w:rtl w:val="true"/>
              </w:rPr>
              <w:t xml:space="preserve">] </w:t>
            </w:r>
            <w:r>
              <w:rPr>
                <w:rStyle w:val="IndexLink"/>
                <w:rtl w:val="true"/>
              </w:rPr>
              <w:t>الأخبار الکثیرة الواردة فی أنّ العصیر إذا غلا حرم</w:t>
            </w:r>
            <w:r>
              <w:rPr>
                <w:rStyle w:val="IndexLink"/>
                <w:rtl w:val="true"/>
              </w:rPr>
              <w:tab/>
            </w:r>
            <w:r>
              <w:rPr>
                <w:rStyle w:val="IndexLink"/>
              </w:rPr>
              <w:t>127</w:t>
            </w:r>
          </w:hyperlink>
        </w:p>
        <w:p>
          <w:pPr>
            <w:pStyle w:val="Contents4"/>
            <w:tabs>
              <w:tab w:val="clear" w:pos="8176"/>
              <w:tab w:val="right" w:pos="9026" w:leader="dot"/>
            </w:tabs>
            <w:rPr/>
          </w:pPr>
          <w:hyperlink w:anchor="__RefHeading___Toc4327932_3804643083">
            <w:r>
              <w:rPr>
                <w:webHidden/>
                <w:rStyle w:val="IndexLink"/>
                <w:rtl w:val="true"/>
              </w:rPr>
              <w:t>السابع</w:t>
            </w:r>
            <w:r>
              <w:rPr>
                <w:rStyle w:val="IndexLink"/>
                <w:rtl w:val="true"/>
              </w:rPr>
              <w:t xml:space="preserve">: </w:t>
            </w:r>
            <w:r>
              <w:rPr>
                <w:rStyle w:val="IndexLink"/>
                <w:rtl w:val="true"/>
              </w:rPr>
              <w:t>لأنّ هذا الاستدلال وجه</w:t>
            </w:r>
            <w:r>
              <w:rPr>
                <w:rStyle w:val="IndexLink"/>
                <w:rtl w:val="true"/>
              </w:rPr>
              <w:tab/>
            </w:r>
            <w:r>
              <w:rPr>
                <w:rStyle w:val="IndexLink"/>
              </w:rPr>
              <w:t>129</w:t>
            </w:r>
          </w:hyperlink>
        </w:p>
        <w:p>
          <w:pPr>
            <w:pStyle w:val="Contents3"/>
            <w:tabs>
              <w:tab w:val="clear" w:pos="8459"/>
              <w:tab w:val="right" w:pos="9026" w:leader="dot"/>
            </w:tabs>
            <w:rPr/>
          </w:pPr>
          <w:hyperlink w:anchor="__RefHeading___Toc4327934_3804643083">
            <w:r>
              <w:rPr>
                <w:webHidden/>
                <w:rStyle w:val="IndexLink"/>
                <w:rtl w:val="true"/>
              </w:rPr>
              <w:t>استدلّ المحلّلون بالأصل و العمومات</w:t>
            </w:r>
            <w:r>
              <w:rPr>
                <w:rStyle w:val="IndexLink"/>
                <w:rtl w:val="true"/>
              </w:rPr>
              <w:t>.</w:t>
              <w:tab/>
            </w:r>
            <w:r>
              <w:rPr>
                <w:rStyle w:val="IndexLink"/>
              </w:rPr>
              <w:t>130</w:t>
            </w:r>
          </w:hyperlink>
        </w:p>
        <w:p>
          <w:pPr>
            <w:pStyle w:val="Contents3"/>
            <w:tabs>
              <w:tab w:val="clear" w:pos="8459"/>
              <w:tab w:val="right" w:pos="9026" w:leader="dot"/>
            </w:tabs>
            <w:rPr/>
          </w:pPr>
          <w:hyperlink w:anchor="__RefHeading___Toc4327936_3804643083">
            <w:r>
              <w:rPr>
                <w:webHidden/>
                <w:rStyle w:val="IndexLink"/>
                <w:rtl w:val="true"/>
              </w:rPr>
              <w:t>[</w:t>
            </w:r>
            <w:r>
              <w:rPr>
                <w:rStyle w:val="IndexLink"/>
                <w:rtl w:val="true"/>
              </w:rPr>
              <w:t>کلام صاحب الحدائق و نقده</w:t>
            </w:r>
            <w:r>
              <w:rPr>
                <w:rStyle w:val="IndexLink"/>
                <w:rtl w:val="true"/>
              </w:rPr>
              <w:t>]</w:t>
              <w:tab/>
            </w:r>
            <w:r>
              <w:rPr>
                <w:rStyle w:val="IndexLink"/>
              </w:rPr>
              <w:t>132</w:t>
            </w:r>
          </w:hyperlink>
        </w:p>
        <w:p>
          <w:pPr>
            <w:pStyle w:val="Contents3"/>
            <w:tabs>
              <w:tab w:val="clear" w:pos="8459"/>
              <w:tab w:val="right" w:pos="9026" w:leader="dot"/>
            </w:tabs>
            <w:rPr/>
          </w:pPr>
          <w:hyperlink w:anchor="__RefHeading___Toc4327938_3804643083">
            <w:r>
              <w:rPr>
                <w:webHidden/>
                <w:rStyle w:val="IndexLink"/>
                <w:rtl w:val="true"/>
              </w:rPr>
              <w:t>[</w:t>
            </w:r>
            <w:r>
              <w:rPr>
                <w:rStyle w:val="IndexLink"/>
                <w:rtl w:val="true"/>
              </w:rPr>
              <w:t>کلام الشیخ أبی الحسن سلیمان بن عبد اللّه البحرانی و نقده</w:t>
            </w:r>
            <w:r>
              <w:rPr>
                <w:rStyle w:val="IndexLink"/>
                <w:rtl w:val="true"/>
              </w:rPr>
              <w:t>]</w:t>
              <w:tab/>
            </w:r>
            <w:r>
              <w:rPr>
                <w:rStyle w:val="IndexLink"/>
              </w:rPr>
              <w:t>142</w:t>
            </w:r>
          </w:hyperlink>
        </w:p>
        <w:p>
          <w:pPr>
            <w:pStyle w:val="Contents4"/>
            <w:tabs>
              <w:tab w:val="clear" w:pos="8176"/>
              <w:tab w:val="right" w:pos="9026" w:leader="dot"/>
            </w:tabs>
            <w:rPr/>
          </w:pPr>
          <w:hyperlink w:anchor="__RefHeading___Toc4327940_3804643083">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4327942_3804643083">
            <w:r>
              <w:rPr>
                <w:webHidden/>
                <w:rStyle w:val="IndexLink"/>
                <w:rtl w:val="true"/>
              </w:rPr>
              <w:t>أمّا الأخبار</w:t>
            </w:r>
            <w:r>
              <w:rPr>
                <w:rStyle w:val="IndexLink"/>
                <w:rtl w:val="true"/>
              </w:rPr>
              <w:t>:</w:t>
              <w:tab/>
            </w:r>
            <w:r>
              <w:rPr>
                <w:rStyle w:val="IndexLink"/>
              </w:rPr>
              <w:t>143</w:t>
            </w:r>
          </w:hyperlink>
        </w:p>
        <w:p>
          <w:pPr>
            <w:pStyle w:val="Contents4"/>
            <w:tabs>
              <w:tab w:val="clear" w:pos="8176"/>
              <w:tab w:val="right" w:pos="9026" w:leader="dot"/>
            </w:tabs>
            <w:rPr/>
          </w:pPr>
          <w:hyperlink w:anchor="__RefHeading___Toc4327944_3804643083">
            <w:r>
              <w:rPr>
                <w:webHidden/>
                <w:rStyle w:val="IndexLink"/>
                <w:rtl w:val="true"/>
              </w:rPr>
              <w:t>إذا عرفت هذا، فاعلم أنّ السکر لیس مقصورا فیما ذکره المتأخّرون من أنّه لا یعرف السماء من الأرض،</w:t>
            </w:r>
            <w:r>
              <w:rPr>
                <w:rStyle w:val="IndexLink"/>
                <w:rtl w:val="true"/>
              </w:rPr>
              <w:tab/>
            </w:r>
            <w:r>
              <w:rPr>
                <w:rStyle w:val="IndexLink"/>
              </w:rPr>
              <w:t>151</w:t>
            </w:r>
          </w:hyperlink>
        </w:p>
        <w:p>
          <w:pPr>
            <w:pStyle w:val="Contents5"/>
            <w:tabs>
              <w:tab w:val="clear" w:pos="7892"/>
              <w:tab w:val="right" w:pos="9026" w:leader="dot"/>
            </w:tabs>
            <w:rPr/>
          </w:pPr>
          <w:hyperlink w:anchor="__RefHeading___Toc4327946_3804643083">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4327948_3804643083">
            <w:r>
              <w:rPr>
                <w:webHidden/>
                <w:rStyle w:val="IndexLink"/>
                <w:rtl w:val="true"/>
              </w:rPr>
              <w:t>أمّا الأخبار،</w:t>
            </w:r>
            <w:r>
              <w:rPr>
                <w:rStyle w:val="IndexLink"/>
                <w:rtl w:val="true"/>
              </w:rPr>
              <w:tab/>
            </w:r>
            <w:r>
              <w:rPr>
                <w:rStyle w:val="IndexLink"/>
              </w:rPr>
              <w:t>151</w:t>
            </w:r>
          </w:hyperlink>
        </w:p>
        <w:p>
          <w:pPr>
            <w:pStyle w:val="Contents5"/>
            <w:tabs>
              <w:tab w:val="clear" w:pos="7892"/>
              <w:tab w:val="right" w:pos="9026" w:leader="dot"/>
            </w:tabs>
            <w:rPr/>
          </w:pPr>
          <w:hyperlink w:anchor="__RefHeading___Toc4327950_3804643083">
            <w:r>
              <w:rPr>
                <w:webHidden/>
                <w:rStyle w:val="IndexLink"/>
                <w:rtl w:val="true"/>
              </w:rPr>
              <w:t>و أمّا العرف،</w:t>
            </w:r>
            <w:r>
              <w:rPr>
                <w:rStyle w:val="IndexLink"/>
                <w:rtl w:val="true"/>
              </w:rPr>
              <w:tab/>
            </w:r>
            <w:r>
              <w:rPr>
                <w:rStyle w:val="IndexLink"/>
              </w:rPr>
              <w:t>151</w:t>
            </w:r>
          </w:hyperlink>
        </w:p>
        <w:p>
          <w:pPr>
            <w:pStyle w:val="Contents5"/>
            <w:tabs>
              <w:tab w:val="clear" w:pos="7892"/>
              <w:tab w:val="right" w:pos="9026" w:leader="dot"/>
            </w:tabs>
            <w:rPr/>
          </w:pPr>
          <w:hyperlink w:anchor="__RefHeading___Toc4327952_3804643083">
            <w:r>
              <w:rPr>
                <w:webHidden/>
                <w:rStyle w:val="IndexLink"/>
                <w:rtl w:val="true"/>
              </w:rPr>
              <w:t>[</w:t>
            </w:r>
            <w:r>
              <w:rPr>
                <w:rStyle w:val="IndexLink"/>
                <w:rtl w:val="true"/>
              </w:rPr>
              <w:t>و أمّا اللغة،</w:t>
            </w:r>
            <w:r>
              <w:rPr>
                <w:rStyle w:val="IndexLink"/>
                <w:rtl w:val="true"/>
              </w:rPr>
              <w:t>]</w:t>
              <w:tab/>
            </w:r>
            <w:r>
              <w:rPr>
                <w:rStyle w:val="IndexLink"/>
              </w:rPr>
              <w:t>152</w:t>
            </w:r>
          </w:hyperlink>
        </w:p>
        <w:p>
          <w:pPr>
            <w:pStyle w:val="Contents5"/>
            <w:tabs>
              <w:tab w:val="clear" w:pos="7892"/>
              <w:tab w:val="right" w:pos="9026" w:leader="dot"/>
            </w:tabs>
            <w:rPr/>
          </w:pPr>
          <w:hyperlink w:anchor="__RefHeading___Toc4327954_3804643083">
            <w:r>
              <w:rPr>
                <w:webHidden/>
                <w:rStyle w:val="IndexLink"/>
                <w:rtl w:val="true"/>
              </w:rPr>
              <w:t>و أمّا الأطبّاء،</w:t>
            </w:r>
            <w:r>
              <w:rPr>
                <w:rStyle w:val="IndexLink"/>
                <w:rtl w:val="true"/>
              </w:rPr>
              <w:tab/>
            </w:r>
            <w:r>
              <w:rPr>
                <w:rStyle w:val="IndexLink"/>
              </w:rPr>
              <w:t>153</w:t>
            </w:r>
          </w:hyperlink>
        </w:p>
        <w:p>
          <w:pPr>
            <w:pStyle w:val="Contents5"/>
            <w:tabs>
              <w:tab w:val="clear" w:pos="7892"/>
              <w:tab w:val="right" w:pos="9026" w:leader="dot"/>
            </w:tabs>
            <w:rPr/>
          </w:pPr>
          <w:hyperlink w:anchor="__RefHeading___Toc4327956_3804643083">
            <w:r>
              <w:rPr>
                <w:webHidden/>
                <w:rStyle w:val="IndexLink"/>
                <w:rtl w:val="true"/>
              </w:rPr>
              <w:t>و أمّا الاعتبار،</w:t>
            </w:r>
            <w:r>
              <w:rPr>
                <w:rStyle w:val="IndexLink"/>
                <w:rtl w:val="true"/>
              </w:rPr>
              <w:tab/>
            </w:r>
            <w:r>
              <w:rPr>
                <w:rStyle w:val="IndexLink"/>
              </w:rPr>
              <w:t>153</w:t>
            </w:r>
          </w:hyperlink>
        </w:p>
        <w:p>
          <w:pPr>
            <w:pStyle w:val="Contents4"/>
            <w:tabs>
              <w:tab w:val="clear" w:pos="8176"/>
              <w:tab w:val="right" w:pos="9026" w:leader="dot"/>
            </w:tabs>
            <w:rPr/>
          </w:pPr>
          <w:hyperlink w:anchor="__RefHeading___Toc4327958_3804643083">
            <w:r>
              <w:rPr>
                <w:webHidden/>
                <w:rStyle w:val="IndexLink"/>
                <w:rtl w:val="true"/>
              </w:rPr>
              <w:t>و ممّا ذکرنا ظهر فساد باقی أدلّة هذا الفاضل،</w:t>
            </w:r>
            <w:r>
              <w:rPr>
                <w:rStyle w:val="IndexLink"/>
                <w:rtl w:val="true"/>
              </w:rPr>
              <w:tab/>
            </w:r>
            <w:r>
              <w:rPr>
                <w:rStyle w:val="IndexLink"/>
              </w:rPr>
              <w:t>156</w:t>
            </w:r>
          </w:hyperlink>
        </w:p>
        <w:p>
          <w:pPr>
            <w:pStyle w:val="Contents5"/>
            <w:tabs>
              <w:tab w:val="clear" w:pos="7892"/>
              <w:tab w:val="right" w:pos="9026" w:leader="dot"/>
            </w:tabs>
            <w:rPr/>
          </w:pPr>
          <w:hyperlink w:anchor="__RefHeading___Toc4327960_3804643083">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4327962_3804643083">
            <w:r>
              <w:rPr>
                <w:webHidden/>
                <w:rStyle w:val="IndexLink"/>
                <w:rtl w:val="true"/>
              </w:rPr>
              <w:t>و من أدلّته،</w:t>
            </w:r>
            <w:r>
              <w:rPr>
                <w:rStyle w:val="IndexLink"/>
                <w:rtl w:val="true"/>
              </w:rPr>
              <w:tab/>
            </w:r>
            <w:r>
              <w:rPr>
                <w:rStyle w:val="IndexLink"/>
              </w:rPr>
              <w:t>157</w:t>
            </w:r>
          </w:hyperlink>
        </w:p>
        <w:p>
          <w:pPr>
            <w:pStyle w:val="Contents5"/>
            <w:tabs>
              <w:tab w:val="clear" w:pos="7892"/>
              <w:tab w:val="right" w:pos="9026" w:leader="dot"/>
            </w:tabs>
            <w:rPr/>
          </w:pPr>
          <w:hyperlink w:anchor="__RefHeading___Toc4327964_3804643083">
            <w:r>
              <w:rPr>
                <w:webHidden/>
                <w:rStyle w:val="IndexLink"/>
                <w:rtl w:val="true"/>
              </w:rPr>
              <w:t>و منها،</w:t>
            </w:r>
            <w:r>
              <w:rPr>
                <w:rStyle w:val="IndexLink"/>
                <w:rtl w:val="true"/>
              </w:rPr>
              <w:tab/>
            </w:r>
            <w:r>
              <w:rPr>
                <w:rStyle w:val="IndexLink"/>
              </w:rPr>
              <w:t>157</w:t>
            </w:r>
          </w:hyperlink>
        </w:p>
        <w:p>
          <w:pPr>
            <w:pStyle w:val="Contents5"/>
            <w:tabs>
              <w:tab w:val="clear" w:pos="7892"/>
              <w:tab w:val="right" w:pos="9026" w:leader="dot"/>
            </w:tabs>
            <w:rPr/>
          </w:pPr>
          <w:hyperlink w:anchor="__RefHeading___Toc4327966_3804643083">
            <w:r>
              <w:rPr>
                <w:webHidden/>
                <w:rStyle w:val="IndexLink"/>
                <w:rtl w:val="true"/>
              </w:rPr>
              <w:t>و من أدلّته،</w:t>
            </w:r>
            <w:r>
              <w:rPr>
                <w:rStyle w:val="IndexLink"/>
                <w:rtl w:val="true"/>
              </w:rPr>
              <w:tab/>
            </w:r>
            <w:r>
              <w:rPr>
                <w:rStyle w:val="IndexLink"/>
              </w:rPr>
              <w:t>158</w:t>
            </w:r>
          </w:hyperlink>
        </w:p>
        <w:p>
          <w:pPr>
            <w:pStyle w:val="Contents5"/>
            <w:tabs>
              <w:tab w:val="clear" w:pos="7892"/>
              <w:tab w:val="right" w:pos="9026" w:leader="dot"/>
            </w:tabs>
            <w:rPr/>
          </w:pPr>
          <w:hyperlink w:anchor="__RefHeading___Toc4327968_3804643083">
            <w:r>
              <w:rPr>
                <w:webHidden/>
                <w:rStyle w:val="IndexLink"/>
                <w:rtl w:val="true"/>
              </w:rPr>
              <w:t>و من جملة أدلّته،</w:t>
            </w:r>
            <w:r>
              <w:rPr>
                <w:rStyle w:val="IndexLink"/>
                <w:rtl w:val="true"/>
              </w:rPr>
              <w:tab/>
            </w:r>
            <w:r>
              <w:rPr>
                <w:rStyle w:val="IndexLink"/>
              </w:rPr>
              <w:t>161</w:t>
            </w:r>
          </w:hyperlink>
        </w:p>
        <w:p>
          <w:pPr>
            <w:pStyle w:val="Contents5"/>
            <w:tabs>
              <w:tab w:val="clear" w:pos="7892"/>
              <w:tab w:val="right" w:pos="9026" w:leader="dot"/>
            </w:tabs>
            <w:rPr/>
          </w:pPr>
          <w:hyperlink w:anchor="__RefHeading___Toc4327970_3804643083">
            <w:r>
              <w:rPr>
                <w:webHidden/>
                <w:rStyle w:val="IndexLink"/>
                <w:rtl w:val="true"/>
              </w:rPr>
              <w:t>و من أدلّته،</w:t>
            </w:r>
            <w:r>
              <w:rPr>
                <w:rStyle w:val="IndexLink"/>
                <w:rtl w:val="true"/>
              </w:rPr>
              <w:tab/>
            </w:r>
            <w:r>
              <w:rPr>
                <w:rStyle w:val="IndexLink"/>
              </w:rPr>
              <w:t>163</w:t>
            </w:r>
          </w:hyperlink>
        </w:p>
        <w:p>
          <w:pPr>
            <w:pStyle w:val="Contents5"/>
            <w:tabs>
              <w:tab w:val="clear" w:pos="7892"/>
              <w:tab w:val="right" w:pos="9026" w:leader="dot"/>
            </w:tabs>
            <w:rPr/>
          </w:pPr>
          <w:hyperlink w:anchor="__RefHeading___Toc4327972_3804643083">
            <w:r>
              <w:rPr>
                <w:webHidden/>
                <w:rStyle w:val="IndexLink"/>
                <w:rtl w:val="true"/>
              </w:rPr>
              <w:t>و من أدلّته،</w:t>
            </w:r>
            <w:r>
              <w:rPr>
                <w:rStyle w:val="IndexLink"/>
                <w:rtl w:val="true"/>
              </w:rPr>
              <w:tab/>
            </w:r>
            <w:r>
              <w:rPr>
                <w:rStyle w:val="IndexLink"/>
              </w:rPr>
              <w:t>164</w:t>
            </w:r>
          </w:hyperlink>
        </w:p>
        <w:p>
          <w:pPr>
            <w:pStyle w:val="Contents2"/>
            <w:tabs>
              <w:tab w:val="clear" w:pos="8743"/>
              <w:tab w:val="right" w:pos="9026" w:leader="dot"/>
            </w:tabs>
            <w:rPr/>
          </w:pPr>
          <w:hyperlink w:anchor="__RefHeading___Toc4327974_3804643083">
            <w:r>
              <w:rPr>
                <w:webHidden/>
                <w:rStyle w:val="IndexLink"/>
                <w:rtl w:val="true"/>
              </w:rPr>
              <w:t>رسالة فی رؤیة الهلال</w:t>
            </w:r>
            <w:r>
              <w:rPr>
                <w:rStyle w:val="IndexLink"/>
                <w:rtl w:val="true"/>
              </w:rPr>
              <w:tab/>
            </w:r>
            <w:r>
              <w:rPr>
                <w:rStyle w:val="IndexLink"/>
              </w:rPr>
              <w:t>167</w:t>
            </w:r>
          </w:hyperlink>
        </w:p>
        <w:p>
          <w:pPr>
            <w:pStyle w:val="Contents3"/>
            <w:tabs>
              <w:tab w:val="clear" w:pos="8459"/>
              <w:tab w:val="right" w:pos="9026" w:leader="dot"/>
            </w:tabs>
            <w:rPr/>
          </w:pPr>
          <w:hyperlink w:anchor="__RefHeading___Toc4327976_3804643083">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4327978_3804643083">
            <w:r>
              <w:rPr>
                <w:webHidden/>
                <w:rStyle w:val="IndexLink"/>
                <w:rtl w:val="true"/>
              </w:rPr>
              <w:t>حجّة المشهور وجوه</w:t>
            </w:r>
            <w:r>
              <w:rPr>
                <w:rStyle w:val="IndexLink"/>
                <w:rtl w:val="true"/>
              </w:rPr>
              <w:t>:</w:t>
              <w:tab/>
            </w:r>
            <w:r>
              <w:rPr>
                <w:rStyle w:val="IndexLink"/>
              </w:rPr>
              <w:t>169</w:t>
            </w:r>
          </w:hyperlink>
        </w:p>
        <w:p>
          <w:pPr>
            <w:pStyle w:val="Contents4"/>
            <w:tabs>
              <w:tab w:val="clear" w:pos="8176"/>
              <w:tab w:val="right" w:pos="9026" w:leader="dot"/>
            </w:tabs>
            <w:rPr/>
          </w:pPr>
          <w:hyperlink w:anchor="__RefHeading___Toc4327980_3804643083">
            <w:r>
              <w:rPr>
                <w:webHidden/>
                <w:rStyle w:val="IndexLink"/>
                <w:rtl w:val="true"/>
              </w:rPr>
              <w:t>الأوّل</w:t>
            </w:r>
            <w:r>
              <w:rPr>
                <w:rStyle w:val="IndexLink"/>
                <w:rtl w:val="true"/>
              </w:rPr>
              <w:t xml:space="preserve">: </w:t>
            </w:r>
            <w:r>
              <w:rPr>
                <w:rStyle w:val="IndexLink"/>
                <w:rtl w:val="true"/>
              </w:rPr>
              <w:t>ظاهر قوله تعالی ثُمَّ أَتِمُّوا الصِّیٰامَ إِلَی اللَّیْلِ،</w:t>
            </w:r>
            <w:r>
              <w:rPr>
                <w:rStyle w:val="IndexLink"/>
                <w:rtl w:val="true"/>
              </w:rPr>
              <w:tab/>
            </w:r>
            <w:r>
              <w:rPr>
                <w:rStyle w:val="IndexLink"/>
              </w:rPr>
              <w:t>169</w:t>
            </w:r>
          </w:hyperlink>
        </w:p>
        <w:p>
          <w:pPr>
            <w:pStyle w:val="Contents4"/>
            <w:tabs>
              <w:tab w:val="clear" w:pos="8176"/>
              <w:tab w:val="right" w:pos="9026" w:leader="dot"/>
            </w:tabs>
            <w:rPr/>
          </w:pPr>
          <w:hyperlink w:anchor="__RefHeading___Toc4327982_3804643083">
            <w:r>
              <w:rPr>
                <w:webHidden/>
                <w:rStyle w:val="IndexLink"/>
                <w:rtl w:val="true"/>
              </w:rPr>
              <w:t>الثانی</w:t>
            </w:r>
            <w:r>
              <w:rPr>
                <w:rStyle w:val="IndexLink"/>
                <w:rtl w:val="true"/>
              </w:rPr>
              <w:t xml:space="preserve">: </w:t>
            </w:r>
            <w:r>
              <w:rPr>
                <w:rStyle w:val="IndexLink"/>
                <w:rtl w:val="true"/>
              </w:rPr>
              <w:t>الأخبار المتواترة</w:t>
            </w:r>
            <w:r>
              <w:rPr>
                <w:rStyle w:val="IndexLink"/>
                <w:rtl w:val="true"/>
              </w:rPr>
              <w:tab/>
            </w:r>
            <w:r>
              <w:rPr>
                <w:rStyle w:val="IndexLink"/>
              </w:rPr>
              <w:t>170</w:t>
            </w:r>
          </w:hyperlink>
        </w:p>
        <w:p>
          <w:pPr>
            <w:pStyle w:val="Contents4"/>
            <w:tabs>
              <w:tab w:val="clear" w:pos="8176"/>
              <w:tab w:val="right" w:pos="9026" w:leader="dot"/>
            </w:tabs>
            <w:rPr/>
          </w:pPr>
          <w:hyperlink w:anchor="__RefHeading___Toc4327984_3804643083">
            <w:r>
              <w:rPr>
                <w:webHidden/>
                <w:rStyle w:val="IndexLink"/>
                <w:rtl w:val="true"/>
              </w:rPr>
              <w:t>الثالث</w:t>
            </w:r>
            <w:r>
              <w:rPr>
                <w:rStyle w:val="IndexLink"/>
                <w:rtl w:val="true"/>
              </w:rPr>
              <w:t xml:space="preserve">: </w:t>
            </w:r>
            <w:r>
              <w:rPr>
                <w:rStyle w:val="IndexLink"/>
                <w:rtl w:val="true"/>
              </w:rPr>
              <w:t>الاستصحاب</w:t>
            </w:r>
            <w:r>
              <w:rPr>
                <w:rStyle w:val="IndexLink"/>
                <w:rtl w:val="true"/>
              </w:rPr>
              <w:tab/>
            </w:r>
            <w:r>
              <w:rPr>
                <w:rStyle w:val="IndexLink"/>
              </w:rPr>
              <w:t>172</w:t>
            </w:r>
          </w:hyperlink>
        </w:p>
        <w:p>
          <w:pPr>
            <w:pStyle w:val="Contents4"/>
            <w:tabs>
              <w:tab w:val="clear" w:pos="8176"/>
              <w:tab w:val="right" w:pos="9026" w:leader="dot"/>
            </w:tabs>
            <w:rPr/>
          </w:pPr>
          <w:hyperlink w:anchor="__RefHeading___Toc4327986_3804643083">
            <w:r>
              <w:rPr>
                <w:webHidden/>
                <w:rStyle w:val="IndexLink"/>
                <w:rtl w:val="true"/>
              </w:rPr>
              <w:t>الرابع</w:t>
            </w:r>
            <w:r>
              <w:rPr>
                <w:rStyle w:val="IndexLink"/>
                <w:rtl w:val="true"/>
              </w:rPr>
              <w:t xml:space="preserve">: </w:t>
            </w:r>
            <w:r>
              <w:rPr>
                <w:rStyle w:val="IndexLink"/>
                <w:rtl w:val="true"/>
              </w:rPr>
              <w:t>قولهم علیهم السّلام فی خصوص المقام</w:t>
            </w:r>
            <w:r>
              <w:rPr>
                <w:rStyle w:val="IndexLink"/>
                <w:rtl w:val="true"/>
              </w:rPr>
              <w:t>: «</w:t>
            </w:r>
            <w:r>
              <w:rPr>
                <w:rStyle w:val="IndexLink"/>
                <w:rtl w:val="true"/>
              </w:rPr>
              <w:t>لا یدخل الشک فی الیقین</w:t>
            </w:r>
            <w:r>
              <w:rPr>
                <w:rStyle w:val="IndexLink"/>
                <w:rtl w:val="true"/>
              </w:rPr>
              <w:t>»</w:t>
            </w:r>
            <w:r>
              <w:rPr>
                <w:rStyle w:val="IndexLink"/>
                <w:rtl w:val="true"/>
              </w:rPr>
              <w:t>،</w:t>
            </w:r>
            <w:r>
              <w:rPr>
                <w:rStyle w:val="IndexLink"/>
                <w:rtl w:val="true"/>
              </w:rPr>
              <w:tab/>
            </w:r>
            <w:r>
              <w:rPr>
                <w:rStyle w:val="IndexLink"/>
              </w:rPr>
              <w:t>172</w:t>
            </w:r>
          </w:hyperlink>
        </w:p>
        <w:p>
          <w:pPr>
            <w:pStyle w:val="Contents4"/>
            <w:tabs>
              <w:tab w:val="clear" w:pos="8176"/>
              <w:tab w:val="right" w:pos="9026" w:leader="dot"/>
            </w:tabs>
            <w:rPr/>
          </w:pPr>
          <w:hyperlink w:anchor="__RefHeading___Toc4327988_3804643083">
            <w:r>
              <w:rPr>
                <w:webHidden/>
                <w:rStyle w:val="IndexLink"/>
                <w:rtl w:val="true"/>
              </w:rPr>
              <w:t>الخامس</w:t>
            </w:r>
            <w:r>
              <w:rPr>
                <w:rStyle w:val="IndexLink"/>
                <w:rtl w:val="true"/>
              </w:rPr>
              <w:t xml:space="preserve">: </w:t>
            </w:r>
            <w:r>
              <w:rPr>
                <w:rStyle w:val="IndexLink"/>
                <w:rtl w:val="true"/>
              </w:rPr>
              <w:t>روایة جرّاح المدائنی، عن الصادق علیه السّلام</w:t>
            </w:r>
            <w:r>
              <w:rPr>
                <w:rStyle w:val="IndexLink"/>
                <w:rtl w:val="true"/>
              </w:rPr>
              <w:t>: «</w:t>
            </w:r>
            <w:r>
              <w:rPr>
                <w:rStyle w:val="IndexLink"/>
                <w:rtl w:val="true"/>
              </w:rPr>
              <w:t xml:space="preserve">من رأی هلال شوّال بنهار فی </w:t>
            </w:r>
            <w:r>
              <w:rPr>
                <w:rStyle w:val="IndexLink"/>
                <w:rtl w:val="true"/>
              </w:rPr>
              <w:t>[</w:t>
            </w:r>
            <w:r>
              <w:rPr>
                <w:rStyle w:val="IndexLink"/>
                <w:rtl w:val="true"/>
              </w:rPr>
              <w:t>شهر</w:t>
            </w:r>
            <w:r>
              <w:rPr>
                <w:rStyle w:val="IndexLink"/>
                <w:rtl w:val="true"/>
              </w:rPr>
              <w:t xml:space="preserve">] </w:t>
            </w:r>
            <w:r>
              <w:rPr>
                <w:rStyle w:val="IndexLink"/>
                <w:rtl w:val="true"/>
              </w:rPr>
              <w:t>رمضان فلیتمّ صیامه</w:t>
            </w:r>
            <w:r>
              <w:rPr>
                <w:rStyle w:val="IndexLink"/>
                <w:rtl w:val="true"/>
              </w:rPr>
              <w:t>»</w:t>
            </w:r>
            <w:r>
              <w:rPr>
                <w:rStyle w:val="IndexLink"/>
                <w:rtl w:val="true"/>
              </w:rPr>
              <w:t>،</w:t>
            </w:r>
            <w:r>
              <w:rPr>
                <w:rStyle w:val="IndexLink"/>
                <w:rtl w:val="true"/>
              </w:rPr>
              <w:tab/>
            </w:r>
            <w:r>
              <w:rPr>
                <w:rStyle w:val="IndexLink"/>
              </w:rPr>
              <w:t>173</w:t>
            </w:r>
          </w:hyperlink>
        </w:p>
        <w:p>
          <w:pPr>
            <w:pStyle w:val="Contents4"/>
            <w:tabs>
              <w:tab w:val="clear" w:pos="8176"/>
              <w:tab w:val="right" w:pos="9026" w:leader="dot"/>
            </w:tabs>
            <w:rPr/>
          </w:pPr>
          <w:hyperlink w:anchor="__RefHeading___Toc4327990_3804643083">
            <w:r>
              <w:rPr>
                <w:webHidden/>
                <w:rStyle w:val="IndexLink"/>
                <w:rtl w:val="true"/>
              </w:rPr>
              <w:t>السادس</w:t>
            </w:r>
            <w:r>
              <w:rPr>
                <w:rStyle w:val="IndexLink"/>
                <w:rtl w:val="true"/>
              </w:rPr>
              <w:t xml:space="preserve">: </w:t>
            </w:r>
            <w:r>
              <w:rPr>
                <w:rStyle w:val="IndexLink"/>
                <w:rtl w:val="true"/>
              </w:rPr>
              <w:t>ما رواه الشیخ عن کتاب علیّ بن حاتم الثقة الجلیل</w:t>
            </w:r>
            <w:r>
              <w:rPr>
                <w:rStyle w:val="IndexLink"/>
                <w:rtl w:val="true"/>
              </w:rPr>
              <w:tab/>
            </w:r>
            <w:r>
              <w:rPr>
                <w:rStyle w:val="IndexLink"/>
              </w:rPr>
              <w:t>173</w:t>
            </w:r>
          </w:hyperlink>
        </w:p>
        <w:p>
          <w:pPr>
            <w:pStyle w:val="Contents4"/>
            <w:tabs>
              <w:tab w:val="clear" w:pos="8176"/>
              <w:tab w:val="right" w:pos="9026" w:leader="dot"/>
            </w:tabs>
            <w:rPr/>
          </w:pPr>
          <w:hyperlink w:anchor="__RefHeading___Toc4327992_3804643083">
            <w:r>
              <w:rPr>
                <w:webHidden/>
                <w:rStyle w:val="IndexLink"/>
                <w:rtl w:val="true"/>
              </w:rPr>
              <w:t>السابع</w:t>
            </w:r>
            <w:r>
              <w:rPr>
                <w:rStyle w:val="IndexLink"/>
                <w:rtl w:val="true"/>
              </w:rPr>
              <w:t xml:space="preserve">: </w:t>
            </w:r>
            <w:r>
              <w:rPr>
                <w:rStyle w:val="IndexLink"/>
                <w:rtl w:val="true"/>
              </w:rPr>
              <w:t>ما رواه فی الصحیح عن محمّد بن قیس، عن الباقر علیه السّلام</w:t>
            </w:r>
            <w:r>
              <w:rPr>
                <w:rStyle w:val="IndexLink"/>
                <w:rtl w:val="true"/>
              </w:rPr>
              <w:t>: «</w:t>
            </w:r>
            <w:r>
              <w:rPr>
                <w:rStyle w:val="IndexLink"/>
                <w:rtl w:val="true"/>
              </w:rPr>
              <w:t>إذا رأیتم الهلال فأفطروا</w:t>
            </w:r>
            <w:r>
              <w:rPr>
                <w:rStyle w:val="IndexLink"/>
                <w:rtl w:val="true"/>
              </w:rPr>
              <w:tab/>
            </w:r>
            <w:r>
              <w:rPr>
                <w:rStyle w:val="IndexLink"/>
              </w:rPr>
              <w:t>174</w:t>
            </w:r>
          </w:hyperlink>
        </w:p>
        <w:p>
          <w:pPr>
            <w:pStyle w:val="Contents4"/>
            <w:tabs>
              <w:tab w:val="clear" w:pos="8176"/>
              <w:tab w:val="right" w:pos="9026" w:leader="dot"/>
            </w:tabs>
            <w:rPr/>
          </w:pPr>
          <w:hyperlink w:anchor="__RefHeading___Toc4327994_3804643083">
            <w:r>
              <w:rPr>
                <w:webHidden/>
                <w:rStyle w:val="IndexLink"/>
                <w:rtl w:val="true"/>
              </w:rPr>
              <w:t>الثامن</w:t>
            </w:r>
            <w:r>
              <w:rPr>
                <w:rStyle w:val="IndexLink"/>
                <w:rtl w:val="true"/>
              </w:rPr>
              <w:t xml:space="preserve">: </w:t>
            </w:r>
            <w:r>
              <w:rPr>
                <w:rStyle w:val="IndexLink"/>
                <w:rtl w:val="true"/>
              </w:rPr>
              <w:t>ما رواه فی الموثّق کالصحیح عن إسحاق بن عمّار</w:t>
            </w:r>
            <w:r>
              <w:rPr>
                <w:rStyle w:val="IndexLink"/>
                <w:rtl w:val="true"/>
              </w:rPr>
              <w:tab/>
            </w:r>
            <w:r>
              <w:rPr>
                <w:rStyle w:val="IndexLink"/>
              </w:rPr>
              <w:t>177</w:t>
            </w:r>
          </w:hyperlink>
        </w:p>
        <w:p>
          <w:pPr>
            <w:pStyle w:val="Contents4"/>
            <w:tabs>
              <w:tab w:val="clear" w:pos="8176"/>
              <w:tab w:val="right" w:pos="9026" w:leader="dot"/>
            </w:tabs>
            <w:rPr/>
          </w:pPr>
          <w:hyperlink w:anchor="__RefHeading___Toc4327996_3804643083">
            <w:r>
              <w:rPr>
                <w:webHidden/>
                <w:rStyle w:val="IndexLink"/>
                <w:rtl w:val="true"/>
              </w:rPr>
              <w:t>التاسع</w:t>
            </w:r>
            <w:r>
              <w:rPr>
                <w:rStyle w:val="IndexLink"/>
                <w:rtl w:val="true"/>
              </w:rPr>
              <w:t xml:space="preserve">: </w:t>
            </w:r>
            <w:r>
              <w:rPr>
                <w:rStyle w:val="IndexLink"/>
                <w:rtl w:val="true"/>
              </w:rPr>
              <w:t xml:space="preserve">روایة محمّد بن مسلم، عن أحدهما علیهما السّلام </w:t>
            </w:r>
            <w:r>
              <w:rPr>
                <w:rStyle w:val="IndexLink"/>
                <w:rtl w:val="true"/>
              </w:rPr>
              <w:t>«</w:t>
            </w:r>
            <w:r>
              <w:rPr>
                <w:rStyle w:val="IndexLink"/>
                <w:rtl w:val="true"/>
              </w:rPr>
              <w:t>شهر رمضان یصیبه ما یصیب الشهور من النقصان</w:t>
            </w:r>
            <w:r>
              <w:rPr>
                <w:rStyle w:val="IndexLink"/>
                <w:rtl w:val="true"/>
              </w:rPr>
              <w:tab/>
            </w:r>
            <w:r>
              <w:rPr>
                <w:rStyle w:val="IndexLink"/>
              </w:rPr>
              <w:t>178</w:t>
            </w:r>
          </w:hyperlink>
        </w:p>
        <w:p>
          <w:pPr>
            <w:pStyle w:val="Contents3"/>
            <w:tabs>
              <w:tab w:val="clear" w:pos="8459"/>
              <w:tab w:val="right" w:pos="9026" w:leader="dot"/>
            </w:tabs>
            <w:rPr/>
          </w:pPr>
          <w:hyperlink w:anchor="__RefHeading___Toc4327998_3804643083">
            <w:r>
              <w:rPr>
                <w:webHidden/>
                <w:rStyle w:val="IndexLink"/>
                <w:rtl w:val="true"/>
              </w:rPr>
              <w:t>حجّة القول الآخر،</w:t>
            </w:r>
            <w:r>
              <w:rPr>
                <w:rStyle w:val="IndexLink"/>
                <w:rtl w:val="true"/>
              </w:rPr>
              <w:tab/>
            </w:r>
            <w:r>
              <w:rPr>
                <w:rStyle w:val="IndexLink"/>
              </w:rPr>
              <w:t>180</w:t>
            </w:r>
          </w:hyperlink>
        </w:p>
        <w:p>
          <w:pPr>
            <w:pStyle w:val="Contents3"/>
            <w:tabs>
              <w:tab w:val="clear" w:pos="8459"/>
              <w:tab w:val="right" w:pos="9026" w:leader="dot"/>
            </w:tabs>
            <w:rPr/>
          </w:pPr>
          <w:hyperlink w:anchor="__RefHeading___Toc4328000_3804643083">
            <w:r>
              <w:rPr>
                <w:webHidden/>
                <w:rStyle w:val="IndexLink"/>
                <w:rtl w:val="true"/>
              </w:rPr>
              <w:t>و خلاصة مرجّحات مستند المشهور</w:t>
            </w:r>
            <w:r>
              <w:rPr>
                <w:rStyle w:val="IndexLink"/>
                <w:rtl w:val="true"/>
              </w:rPr>
              <w:t>:</w:t>
              <w:tab/>
            </w:r>
            <w:r>
              <w:rPr>
                <w:rStyle w:val="IndexLink"/>
              </w:rPr>
              <w:t>190</w:t>
            </w:r>
          </w:hyperlink>
        </w:p>
        <w:p>
          <w:pPr>
            <w:pStyle w:val="Contents4"/>
            <w:tabs>
              <w:tab w:val="clear" w:pos="8176"/>
              <w:tab w:val="right" w:pos="9026" w:leader="dot"/>
            </w:tabs>
            <w:rPr/>
          </w:pPr>
          <w:hyperlink w:anchor="__RefHeading___Toc4328002_3804643083">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4328004_3804643083">
            <w:r>
              <w:rPr>
                <w:webHidden/>
                <w:rStyle w:val="IndexLink"/>
                <w:rtl w:val="true"/>
              </w:rPr>
              <w:t>و لم یظهر من قوله علیه السّلام</w:t>
            </w:r>
            <w:r>
              <w:rPr>
                <w:rStyle w:val="IndexLink"/>
                <w:rtl w:val="true"/>
              </w:rPr>
              <w:t>: «</w:t>
            </w:r>
            <w:r>
              <w:rPr>
                <w:rStyle w:val="IndexLink"/>
                <w:rtl w:val="true"/>
              </w:rPr>
              <w:t>و إذا رأیته</w:t>
            </w:r>
            <w:r>
              <w:rPr>
                <w:rStyle w:val="IndexLink"/>
                <w:rtl w:val="true"/>
              </w:rPr>
              <w:t xml:space="preserve">. </w:t>
            </w:r>
            <w:r>
              <w:rPr>
                <w:rStyle w:val="IndexLink"/>
                <w:rtl w:val="true"/>
              </w:rPr>
              <w:t>إلی آخره</w:t>
            </w:r>
            <w:r>
              <w:rPr>
                <w:rStyle w:val="IndexLink"/>
                <w:rtl w:val="true"/>
              </w:rPr>
              <w:t xml:space="preserve">» </w:t>
            </w:r>
            <w:r>
              <w:rPr>
                <w:rStyle w:val="IndexLink"/>
                <w:rtl w:val="true"/>
              </w:rPr>
              <w:t>ما یخالف ذلک، و ذلک لأنّه یحتمل احتمالات</w:t>
            </w:r>
            <w:r>
              <w:rPr>
                <w:rStyle w:val="IndexLink"/>
                <w:rtl w:val="true"/>
              </w:rPr>
              <w:t>:</w:t>
              <w:tab/>
            </w:r>
            <w:r>
              <w:rPr>
                <w:rStyle w:val="IndexLink"/>
              </w:rPr>
              <w:t>195</w:t>
            </w:r>
          </w:hyperlink>
        </w:p>
        <w:p>
          <w:pPr>
            <w:pStyle w:val="Contents5"/>
            <w:tabs>
              <w:tab w:val="clear" w:pos="7892"/>
              <w:tab w:val="right" w:pos="9026" w:leader="dot"/>
            </w:tabs>
            <w:rPr/>
          </w:pPr>
          <w:hyperlink w:anchor="__RefHeading___Toc4328006_3804643083">
            <w:r>
              <w:rPr>
                <w:webHidden/>
                <w:rStyle w:val="IndexLink"/>
                <w:rtl w:val="true"/>
              </w:rPr>
              <w:t>الأوّل</w:t>
            </w:r>
            <w:r>
              <w:rPr>
                <w:rStyle w:val="IndexLink"/>
                <w:rtl w:val="true"/>
              </w:rPr>
              <w:t xml:space="preserve">: </w:t>
            </w:r>
            <w:r>
              <w:rPr>
                <w:rStyle w:val="IndexLink"/>
                <w:rtl w:val="true"/>
              </w:rPr>
              <w:t>ما هو بالنظر إلی ظاهر لفظ الحدیث</w:t>
            </w:r>
            <w:r>
              <w:rPr>
                <w:rStyle w:val="IndexLink"/>
                <w:rtl w:val="true"/>
              </w:rPr>
              <w:tab/>
            </w:r>
            <w:r>
              <w:rPr>
                <w:rStyle w:val="IndexLink"/>
              </w:rPr>
              <w:t>195</w:t>
            </w:r>
          </w:hyperlink>
        </w:p>
        <w:p>
          <w:pPr>
            <w:pStyle w:val="Contents5"/>
            <w:tabs>
              <w:tab w:val="clear" w:pos="7892"/>
              <w:tab w:val="right" w:pos="9026" w:leader="dot"/>
            </w:tabs>
            <w:rPr/>
          </w:pPr>
          <w:hyperlink w:anchor="__RefHeading___Toc4328008_3804643083">
            <w:r>
              <w:rPr>
                <w:webHidden/>
                <w:rStyle w:val="IndexLink"/>
                <w:rtl w:val="true"/>
              </w:rPr>
              <w:t xml:space="preserve">و </w:t>
            </w:r>
            <w:r>
              <w:rPr>
                <w:rStyle w:val="IndexLink"/>
                <w:rtl w:val="true"/>
              </w:rPr>
              <w:t>[</w:t>
            </w:r>
            <w:r>
              <w:rPr>
                <w:rStyle w:val="IndexLink"/>
                <w:rtl w:val="true"/>
              </w:rPr>
              <w:t>الثانی</w:t>
            </w:r>
            <w:r>
              <w:rPr>
                <w:rStyle w:val="IndexLink"/>
                <w:rtl w:val="true"/>
              </w:rPr>
              <w:t xml:space="preserve">]: </w:t>
            </w:r>
            <w:r>
              <w:rPr>
                <w:rStyle w:val="IndexLink"/>
                <w:rtl w:val="true"/>
              </w:rPr>
              <w:t>یحتمل کون المراد وجوب الإتمام بعدول القصد، و جعل النیّة من رمضان</w:t>
            </w:r>
            <w:r>
              <w:rPr>
                <w:rStyle w:val="IndexLink"/>
                <w:rtl w:val="true"/>
              </w:rPr>
              <w:tab/>
            </w:r>
            <w:r>
              <w:rPr>
                <w:rStyle w:val="IndexLink"/>
              </w:rPr>
              <w:t>198</w:t>
            </w:r>
          </w:hyperlink>
        </w:p>
        <w:p>
          <w:pPr>
            <w:pStyle w:val="Contents5"/>
            <w:tabs>
              <w:tab w:val="clear" w:pos="7892"/>
              <w:tab w:val="right" w:pos="9026" w:leader="dot"/>
            </w:tabs>
            <w:rPr/>
          </w:pPr>
          <w:hyperlink w:anchor="__RefHeading___Toc4328010_3804643083">
            <w:r>
              <w:rPr>
                <w:webHidden/>
                <w:rStyle w:val="IndexLink"/>
                <w:rtl w:val="true"/>
              </w:rPr>
              <w:t xml:space="preserve">و </w:t>
            </w:r>
            <w:r>
              <w:rPr>
                <w:rStyle w:val="IndexLink"/>
                <w:rtl w:val="true"/>
              </w:rPr>
              <w:t>[</w:t>
            </w:r>
            <w:r>
              <w:rPr>
                <w:rStyle w:val="IndexLink"/>
                <w:rtl w:val="true"/>
              </w:rPr>
              <w:t>الثالث</w:t>
            </w:r>
            <w:r>
              <w:rPr>
                <w:rStyle w:val="IndexLink"/>
                <w:rtl w:val="true"/>
              </w:rPr>
              <w:t xml:space="preserve">]: </w:t>
            </w:r>
            <w:r>
              <w:rPr>
                <w:rStyle w:val="IndexLink"/>
                <w:rtl w:val="true"/>
              </w:rPr>
              <w:t>یحتمل أن یکون قوله علیه السّلام</w:t>
            </w:r>
            <w:r>
              <w:rPr>
                <w:rStyle w:val="IndexLink"/>
                <w:rtl w:val="true"/>
              </w:rPr>
              <w:t xml:space="preserve">: </w:t>
            </w:r>
            <w:r>
              <w:rPr>
                <w:rStyle w:val="IndexLink"/>
                <w:rtl w:val="true"/>
              </w:rPr>
              <w:t>إن کنت صمت صحیحا</w:t>
            </w:r>
            <w:r>
              <w:rPr>
                <w:rStyle w:val="IndexLink"/>
                <w:rtl w:val="true"/>
              </w:rPr>
              <w:t xml:space="preserve">- </w:t>
            </w:r>
            <w:r>
              <w:rPr>
                <w:rStyle w:val="IndexLink"/>
                <w:rtl w:val="true"/>
              </w:rPr>
              <w:t>المقدّر</w:t>
            </w:r>
            <w:r>
              <w:rPr>
                <w:rStyle w:val="IndexLink"/>
                <w:rtl w:val="true"/>
              </w:rPr>
              <w:t>- [</w:t>
            </w:r>
            <w:r>
              <w:rPr>
                <w:rStyle w:val="IndexLink"/>
                <w:rtl w:val="true"/>
              </w:rPr>
              <w:t>إشارة إلی صوم یوم الثلاثین من رمضان</w:t>
            </w:r>
            <w:r>
              <w:rPr>
                <w:rStyle w:val="IndexLink"/>
                <w:rtl w:val="true"/>
              </w:rPr>
              <w:t>]</w:t>
              <w:tab/>
            </w:r>
            <w:r>
              <w:rPr>
                <w:rStyle w:val="IndexLink"/>
              </w:rPr>
              <w:t>198</w:t>
            </w:r>
          </w:hyperlink>
        </w:p>
        <w:p>
          <w:pPr>
            <w:pStyle w:val="Contents2"/>
            <w:tabs>
              <w:tab w:val="clear" w:pos="8743"/>
              <w:tab w:val="right" w:pos="9026" w:leader="dot"/>
            </w:tabs>
            <w:rPr/>
          </w:pPr>
          <w:hyperlink w:anchor="__RefHeading___Toc4328012_3804643083">
            <w:r>
              <w:rPr>
                <w:webHidden/>
                <w:rStyle w:val="IndexLink"/>
                <w:rtl w:val="true"/>
              </w:rPr>
              <w:t>رسالة الإفادة الإجمالیّة</w:t>
            </w:r>
            <w:r>
              <w:rPr>
                <w:rStyle w:val="IndexLink"/>
                <w:rtl w:val="true"/>
              </w:rPr>
              <w:tab/>
            </w:r>
            <w:r>
              <w:rPr>
                <w:rStyle w:val="IndexLink"/>
              </w:rPr>
              <w:t>201</w:t>
            </w:r>
          </w:hyperlink>
        </w:p>
        <w:p>
          <w:pPr>
            <w:pStyle w:val="Contents2"/>
            <w:tabs>
              <w:tab w:val="clear" w:pos="8743"/>
              <w:tab w:val="right" w:pos="9026" w:leader="dot"/>
            </w:tabs>
            <w:rPr/>
          </w:pPr>
          <w:hyperlink w:anchor="__RefHeading___Toc4328014_3804643083">
            <w:r>
              <w:rPr>
                <w:webHidden/>
                <w:rStyle w:val="IndexLink"/>
                <w:rtl w:val="true"/>
              </w:rPr>
              <w:t>رسالة فی صحّة الجمع بین الفاطمیّتین</w:t>
            </w:r>
            <w:r>
              <w:rPr>
                <w:rStyle w:val="IndexLink"/>
                <w:rtl w:val="true"/>
              </w:rPr>
              <w:tab/>
            </w:r>
            <w:r>
              <w:rPr>
                <w:rStyle w:val="IndexLink"/>
              </w:rPr>
              <w:t>215</w:t>
            </w:r>
          </w:hyperlink>
        </w:p>
        <w:p>
          <w:pPr>
            <w:pStyle w:val="Contents3"/>
            <w:tabs>
              <w:tab w:val="clear" w:pos="8459"/>
              <w:tab w:val="right" w:pos="9026" w:leader="dot"/>
            </w:tabs>
            <w:rPr/>
          </w:pPr>
          <w:hyperlink w:anchor="__RefHeading___Toc4328016_3804643083">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4328018_3804643083">
            <w:r>
              <w:rPr>
                <w:webHidden/>
                <w:rStyle w:val="IndexLink"/>
                <w:rtl w:val="true"/>
              </w:rPr>
              <w:t>و یدلّ علی الصحّة، بل الحلّیة أیضا</w:t>
            </w:r>
            <w:r>
              <w:rPr>
                <w:rStyle w:val="IndexLink"/>
                <w:rtl w:val="true"/>
              </w:rPr>
              <w:t>:</w:t>
              <w:tab/>
            </w:r>
            <w:r>
              <w:rPr>
                <w:rStyle w:val="IndexLink"/>
              </w:rPr>
              <w:t>217</w:t>
            </w:r>
          </w:hyperlink>
        </w:p>
        <w:p>
          <w:pPr>
            <w:pStyle w:val="Contents3"/>
            <w:tabs>
              <w:tab w:val="clear" w:pos="8459"/>
              <w:tab w:val="right" w:pos="9026" w:leader="dot"/>
            </w:tabs>
            <w:rPr/>
          </w:pPr>
          <w:hyperlink w:anchor="__RefHeading___Toc4328020_3804643083">
            <w:r>
              <w:rPr>
                <w:webHidden/>
                <w:rStyle w:val="IndexLink"/>
                <w:rtl w:val="true"/>
              </w:rPr>
              <w:t>ثمَّ إنّه حدث فی هذه الأزمان قول بحرمة الجمع المذکور</w:t>
            </w:r>
            <w:r>
              <w:rPr>
                <w:rStyle w:val="IndexLink"/>
                <w:rtl w:val="true"/>
              </w:rPr>
              <w:tab/>
            </w:r>
            <w:r>
              <w:rPr>
                <w:rStyle w:val="IndexLink"/>
              </w:rPr>
              <w:t>234</w:t>
            </w:r>
          </w:hyperlink>
        </w:p>
        <w:p>
          <w:pPr>
            <w:pStyle w:val="Contents4"/>
            <w:tabs>
              <w:tab w:val="clear" w:pos="8176"/>
              <w:tab w:val="right" w:pos="9026" w:leader="dot"/>
            </w:tabs>
            <w:rPr/>
          </w:pPr>
          <w:hyperlink w:anchor="__RefHeading___Toc4328022_3804643083">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4328024_3804643083">
            <w:r>
              <w:rPr>
                <w:webHidden/>
                <w:rStyle w:val="IndexLink"/>
                <w:rtl w:val="true"/>
              </w:rPr>
              <w:t>و أمّا الکلام فی دلالة الروایة الضعیفة</w:t>
            </w:r>
            <w:r>
              <w:rPr>
                <w:rStyle w:val="IndexLink"/>
                <w:rtl w:val="true"/>
              </w:rPr>
              <w:t>:</w:t>
              <w:tab/>
            </w:r>
            <w:r>
              <w:rPr>
                <w:rStyle w:val="IndexLink"/>
              </w:rPr>
              <w:t>266</w:t>
            </w:r>
          </w:hyperlink>
        </w:p>
        <w:p>
          <w:pPr>
            <w:pStyle w:val="Contents2"/>
            <w:tabs>
              <w:tab w:val="clear" w:pos="8743"/>
              <w:tab w:val="right" w:pos="9026" w:leader="dot"/>
            </w:tabs>
            <w:rPr/>
          </w:pPr>
          <w:hyperlink w:anchor="__RefHeading___Toc4328026_3804643083">
            <w:r>
              <w:rPr>
                <w:webHidden/>
                <w:rStyle w:val="IndexLink"/>
                <w:rtl w:val="true"/>
              </w:rPr>
              <w:t>رسالة فی حکم متعة الصغیرة</w:t>
            </w:r>
            <w:r>
              <w:rPr>
                <w:rStyle w:val="IndexLink"/>
                <w:rtl w:val="true"/>
              </w:rPr>
              <w:tab/>
            </w:r>
            <w:r>
              <w:rPr>
                <w:rStyle w:val="IndexLink"/>
              </w:rPr>
              <w:t>279</w:t>
            </w:r>
          </w:hyperlink>
        </w:p>
        <w:p>
          <w:pPr>
            <w:pStyle w:val="Contents3"/>
            <w:tabs>
              <w:tab w:val="clear" w:pos="8459"/>
              <w:tab w:val="right" w:pos="9026" w:leader="dot"/>
            </w:tabs>
            <w:rPr/>
          </w:pPr>
          <w:hyperlink w:anchor="__RefHeading___Toc4328028_3804643083">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4328030_3804643083">
            <w:r>
              <w:rPr>
                <w:webHidden/>
                <w:rStyle w:val="IndexLink"/>
                <w:rtl w:val="true"/>
              </w:rPr>
              <w:t>و وجوه الاعتراض</w:t>
            </w:r>
            <w:r>
              <w:rPr>
                <w:rStyle w:val="IndexLink"/>
                <w:rtl w:val="true"/>
              </w:rPr>
              <w:t>:</w:t>
              <w:tab/>
            </w:r>
            <w:r>
              <w:rPr>
                <w:rStyle w:val="IndexLink"/>
              </w:rPr>
              <w:t>286</w:t>
            </w:r>
          </w:hyperlink>
        </w:p>
        <w:p>
          <w:pPr>
            <w:pStyle w:val="Contents2"/>
            <w:tabs>
              <w:tab w:val="clear" w:pos="8743"/>
              <w:tab w:val="right" w:pos="9026" w:leader="dot"/>
            </w:tabs>
            <w:rPr/>
          </w:pPr>
          <w:hyperlink w:anchor="__RefHeading___Toc4328032_3804643083">
            <w:r>
              <w:rPr>
                <w:webHidden/>
                <w:rStyle w:val="IndexLink"/>
                <w:rtl w:val="true"/>
              </w:rPr>
              <w:t>رسالة فی القرض بشرط المعاملة المحاباتیّة</w:t>
            </w:r>
            <w:r>
              <w:rPr>
                <w:rStyle w:val="IndexLink"/>
                <w:rtl w:val="true"/>
              </w:rPr>
              <w:tab/>
            </w:r>
            <w:r>
              <w:rPr>
                <w:rStyle w:val="IndexLink"/>
              </w:rPr>
              <w:t>289</w:t>
            </w:r>
          </w:hyperlink>
        </w:p>
        <w:p>
          <w:pPr>
            <w:pStyle w:val="Contents3"/>
            <w:tabs>
              <w:tab w:val="clear" w:pos="8459"/>
              <w:tab w:val="right" w:pos="9026" w:leader="dot"/>
            </w:tabs>
            <w:rPr/>
          </w:pPr>
          <w:hyperlink w:anchor="__RefHeading___Toc4328034_3804643083">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4328036_3804643083">
            <w:r>
              <w:rPr>
                <w:webHidden/>
                <w:rStyle w:val="IndexLink"/>
                <w:rtl w:val="true"/>
              </w:rPr>
              <w:t>[</w:t>
            </w:r>
            <w:r>
              <w:rPr>
                <w:rStyle w:val="IndexLink"/>
                <w:rtl w:val="true"/>
              </w:rPr>
              <w:t>أخبار تدل علی مطلوب الفقهاء القائلون بالحرمة</w:t>
            </w:r>
            <w:r>
              <w:rPr>
                <w:rStyle w:val="IndexLink"/>
                <w:rtl w:val="true"/>
              </w:rPr>
              <w:t>]</w:t>
              <w:tab/>
            </w:r>
            <w:r>
              <w:rPr>
                <w:rStyle w:val="IndexLink"/>
              </w:rPr>
              <w:t>301</w:t>
            </w:r>
          </w:hyperlink>
        </w:p>
        <w:p>
          <w:pPr>
            <w:pStyle w:val="Contents4"/>
            <w:tabs>
              <w:tab w:val="clear" w:pos="8176"/>
              <w:tab w:val="right" w:pos="9026" w:leader="dot"/>
            </w:tabs>
            <w:rPr/>
          </w:pPr>
          <w:hyperlink w:anchor="__RefHeading___Toc4328038_3804643083">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4328040_3804643083">
            <w:r>
              <w:rPr>
                <w:webHidden/>
                <w:rStyle w:val="IndexLink"/>
                <w:rtl w:val="true"/>
              </w:rPr>
              <w:t>منها</w:t>
            </w:r>
            <w:r>
              <w:rPr>
                <w:rStyle w:val="IndexLink"/>
                <w:rtl w:val="true"/>
              </w:rPr>
              <w:t xml:space="preserve">: </w:t>
            </w:r>
            <w:r>
              <w:rPr>
                <w:rStyle w:val="IndexLink"/>
                <w:rtl w:val="true"/>
              </w:rPr>
              <w:t>الصحیح</w:t>
            </w:r>
            <w:r>
              <w:rPr>
                <w:rStyle w:val="IndexLink"/>
                <w:rtl w:val="true"/>
              </w:rPr>
              <w:t>: «</w:t>
            </w:r>
            <w:r>
              <w:rPr>
                <w:rStyle w:val="IndexLink"/>
                <w:rtl w:val="true"/>
              </w:rPr>
              <w:t xml:space="preserve">من أقرض </w:t>
            </w:r>
            <w:r>
              <w:rPr>
                <w:rStyle w:val="IndexLink"/>
                <w:rtl w:val="true"/>
              </w:rPr>
              <w:t>[</w:t>
            </w:r>
            <w:r>
              <w:rPr>
                <w:rStyle w:val="IndexLink"/>
                <w:rtl w:val="true"/>
              </w:rPr>
              <w:t>رجلا</w:t>
            </w:r>
            <w:r>
              <w:rPr>
                <w:rStyle w:val="IndexLink"/>
                <w:rtl w:val="true"/>
              </w:rPr>
              <w:t xml:space="preserve">] </w:t>
            </w:r>
            <w:r>
              <w:rPr>
                <w:rStyle w:val="IndexLink"/>
                <w:rtl w:val="true"/>
              </w:rPr>
              <w:t>ورقا فلا یشترط إلّا مثلها</w:t>
            </w:r>
            <w:r>
              <w:rPr>
                <w:rStyle w:val="IndexLink"/>
                <w:rtl w:val="true"/>
              </w:rPr>
              <w:tab/>
            </w:r>
            <w:r>
              <w:rPr>
                <w:rStyle w:val="IndexLink"/>
              </w:rPr>
              <w:t>301</w:t>
            </w:r>
          </w:hyperlink>
        </w:p>
        <w:p>
          <w:pPr>
            <w:pStyle w:val="Contents4"/>
            <w:tabs>
              <w:tab w:val="clear" w:pos="8176"/>
              <w:tab w:val="right" w:pos="9026" w:leader="dot"/>
            </w:tabs>
            <w:rPr/>
          </w:pPr>
          <w:hyperlink w:anchor="__RefHeading___Toc4328042_3804643083">
            <w:r>
              <w:rPr>
                <w:webHidden/>
                <w:rStyle w:val="IndexLink"/>
                <w:rtl w:val="true"/>
              </w:rPr>
              <w:t>و منها</w:t>
            </w:r>
            <w:r>
              <w:rPr>
                <w:rStyle w:val="IndexLink"/>
                <w:rtl w:val="true"/>
              </w:rPr>
              <w:t xml:space="preserve">: </w:t>
            </w:r>
            <w:r>
              <w:rPr>
                <w:rStyle w:val="IndexLink"/>
                <w:rtl w:val="true"/>
              </w:rPr>
              <w:t>صحیح آخر</w:t>
            </w:r>
            <w:r>
              <w:rPr>
                <w:rStyle w:val="IndexLink"/>
                <w:rtl w:val="true"/>
              </w:rPr>
              <w:t>: «</w:t>
            </w:r>
            <w:r>
              <w:rPr>
                <w:rStyle w:val="IndexLink"/>
                <w:rtl w:val="true"/>
              </w:rPr>
              <w:t xml:space="preserve">الرجل یستقرض الدراهم </w:t>
            </w:r>
            <w:r>
              <w:rPr>
                <w:rStyle w:val="IndexLink"/>
                <w:rtl w:val="true"/>
              </w:rPr>
              <w:t>[</w:t>
            </w:r>
            <w:r>
              <w:rPr>
                <w:rStyle w:val="IndexLink"/>
                <w:rtl w:val="true"/>
              </w:rPr>
              <w:t>البیض</w:t>
            </w:r>
            <w:r>
              <w:rPr>
                <w:rStyle w:val="IndexLink"/>
                <w:rtl w:val="true"/>
              </w:rPr>
              <w:t xml:space="preserve">] </w:t>
            </w:r>
            <w:r>
              <w:rPr>
                <w:rStyle w:val="IndexLink"/>
                <w:rtl w:val="true"/>
              </w:rPr>
              <w:t>عددا، و یقضی سودا وزنا</w:t>
            </w:r>
            <w:r>
              <w:rPr>
                <w:rStyle w:val="IndexLink"/>
                <w:rtl w:val="true"/>
              </w:rPr>
              <w:tab/>
            </w:r>
            <w:r>
              <w:rPr>
                <w:rStyle w:val="IndexLink"/>
              </w:rPr>
              <w:t>303</w:t>
            </w:r>
          </w:hyperlink>
        </w:p>
        <w:p>
          <w:pPr>
            <w:pStyle w:val="Contents4"/>
            <w:tabs>
              <w:tab w:val="clear" w:pos="8176"/>
              <w:tab w:val="right" w:pos="9026" w:leader="dot"/>
            </w:tabs>
            <w:rPr/>
          </w:pPr>
          <w:hyperlink w:anchor="__RefHeading___Toc4328044_3804643083">
            <w:r>
              <w:rPr>
                <w:webHidden/>
                <w:rStyle w:val="IndexLink"/>
                <w:rtl w:val="true"/>
              </w:rPr>
              <w:t>و منها، صحیح آخر</w:t>
            </w:r>
            <w:r>
              <w:rPr>
                <w:rStyle w:val="IndexLink"/>
                <w:rtl w:val="true"/>
              </w:rPr>
              <w:t>: «</w:t>
            </w:r>
            <w:r>
              <w:rPr>
                <w:rStyle w:val="IndexLink"/>
                <w:rtl w:val="true"/>
              </w:rPr>
              <w:t>إذا أقرضت الدراهم ثمَّ أتاک بخیر منها فلا بأس</w:t>
            </w:r>
            <w:r>
              <w:rPr>
                <w:rStyle w:val="IndexLink"/>
                <w:rtl w:val="true"/>
              </w:rPr>
              <w:tab/>
            </w:r>
            <w:r>
              <w:rPr>
                <w:rStyle w:val="IndexLink"/>
              </w:rPr>
              <w:t>304</w:t>
            </w:r>
          </w:hyperlink>
        </w:p>
        <w:p>
          <w:pPr>
            <w:pStyle w:val="Contents4"/>
            <w:tabs>
              <w:tab w:val="clear" w:pos="8176"/>
              <w:tab w:val="right" w:pos="9026" w:leader="dot"/>
            </w:tabs>
            <w:rPr/>
          </w:pPr>
          <w:hyperlink w:anchor="__RefHeading___Toc4328046_3804643083">
            <w:r>
              <w:rPr>
                <w:webHidden/>
                <w:rStyle w:val="IndexLink"/>
                <w:rtl w:val="true"/>
              </w:rPr>
              <w:t>و منها، صحیح آخر</w:t>
            </w:r>
            <w:r>
              <w:rPr>
                <w:rStyle w:val="IndexLink"/>
                <w:rtl w:val="true"/>
              </w:rPr>
              <w:t>: «</w:t>
            </w:r>
            <w:r>
              <w:rPr>
                <w:rStyle w:val="IndexLink"/>
                <w:rtl w:val="true"/>
              </w:rPr>
              <w:t xml:space="preserve">الرجل یستقرض </w:t>
            </w:r>
            <w:r>
              <w:rPr>
                <w:rStyle w:val="IndexLink"/>
                <w:rtl w:val="true"/>
              </w:rPr>
              <w:t>[</w:t>
            </w:r>
            <w:r>
              <w:rPr>
                <w:rStyle w:val="IndexLink"/>
                <w:rtl w:val="true"/>
              </w:rPr>
              <w:t>من الرجل الدرهم</w:t>
            </w:r>
            <w:r>
              <w:rPr>
                <w:rStyle w:val="IndexLink"/>
                <w:rtl w:val="true"/>
              </w:rPr>
              <w:t xml:space="preserve">] </w:t>
            </w:r>
            <w:r>
              <w:rPr>
                <w:rStyle w:val="IndexLink"/>
                <w:rtl w:val="true"/>
              </w:rPr>
              <w:t>فیردّ علیه المثقال</w:t>
            </w:r>
            <w:r>
              <w:rPr>
                <w:rStyle w:val="IndexLink"/>
                <w:rtl w:val="true"/>
              </w:rPr>
              <w:tab/>
            </w:r>
            <w:r>
              <w:rPr>
                <w:rStyle w:val="IndexLink"/>
              </w:rPr>
              <w:t>304</w:t>
            </w:r>
          </w:hyperlink>
        </w:p>
        <w:p>
          <w:pPr>
            <w:pStyle w:val="Contents4"/>
            <w:tabs>
              <w:tab w:val="clear" w:pos="8176"/>
              <w:tab w:val="right" w:pos="9026" w:leader="dot"/>
            </w:tabs>
            <w:rPr/>
          </w:pPr>
          <w:hyperlink w:anchor="__RefHeading___Toc4328048_3804643083">
            <w:r>
              <w:rPr>
                <w:webHidden/>
                <w:rStyle w:val="IndexLink"/>
                <w:rtl w:val="true"/>
              </w:rPr>
              <w:t>و منها</w:t>
            </w:r>
            <w:r>
              <w:rPr>
                <w:rStyle w:val="IndexLink"/>
                <w:rtl w:val="true"/>
              </w:rPr>
              <w:t xml:space="preserve">: </w:t>
            </w:r>
            <w:r>
              <w:rPr>
                <w:rStyle w:val="IndexLink"/>
                <w:rtl w:val="true"/>
              </w:rPr>
              <w:t>معتبر آخر</w:t>
            </w:r>
            <w:r>
              <w:rPr>
                <w:rStyle w:val="IndexLink"/>
                <w:rtl w:val="true"/>
              </w:rPr>
              <w:t>: «</w:t>
            </w:r>
            <w:r>
              <w:rPr>
                <w:rStyle w:val="IndexLink"/>
                <w:rtl w:val="true"/>
              </w:rPr>
              <w:t>الرجل کانت لی علیه مائة درهم عددا قضانیها وزنا،</w:t>
            </w:r>
            <w:r>
              <w:rPr>
                <w:rStyle w:val="IndexLink"/>
                <w:rtl w:val="true"/>
              </w:rPr>
              <w:tab/>
            </w:r>
            <w:r>
              <w:rPr>
                <w:rStyle w:val="IndexLink"/>
              </w:rPr>
              <w:t>305</w:t>
            </w:r>
          </w:hyperlink>
        </w:p>
        <w:p>
          <w:pPr>
            <w:pStyle w:val="Contents4"/>
            <w:tabs>
              <w:tab w:val="clear" w:pos="8176"/>
              <w:tab w:val="right" w:pos="9026" w:leader="dot"/>
            </w:tabs>
            <w:rPr/>
          </w:pPr>
          <w:hyperlink w:anchor="__RefHeading___Toc4328050_3804643083">
            <w:r>
              <w:rPr>
                <w:webHidden/>
                <w:rStyle w:val="IndexLink"/>
                <w:rtl w:val="true"/>
              </w:rPr>
              <w:t>و منها</w:t>
            </w:r>
            <w:r>
              <w:rPr>
                <w:rStyle w:val="IndexLink"/>
                <w:rtl w:val="true"/>
              </w:rPr>
              <w:t xml:space="preserve">: </w:t>
            </w:r>
            <w:r>
              <w:rPr>
                <w:rStyle w:val="IndexLink"/>
                <w:rtl w:val="true"/>
              </w:rPr>
              <w:t>ما رواه علی بن إبراهیم</w:t>
            </w:r>
            <w:r>
              <w:rPr>
                <w:rStyle w:val="IndexLink"/>
                <w:rtl w:val="true"/>
              </w:rPr>
              <w:t xml:space="preserve">- </w:t>
            </w:r>
            <w:r>
              <w:rPr>
                <w:rStyle w:val="IndexLink"/>
                <w:rtl w:val="true"/>
              </w:rPr>
              <w:t xml:space="preserve">فی </w:t>
            </w:r>
            <w:r>
              <w:rPr>
                <w:rStyle w:val="IndexLink"/>
                <w:rtl w:val="true"/>
              </w:rPr>
              <w:t>«</w:t>
            </w:r>
            <w:r>
              <w:rPr>
                <w:rStyle w:val="IndexLink"/>
                <w:rtl w:val="true"/>
              </w:rPr>
              <w:t>تفسیره</w:t>
            </w:r>
            <w:r>
              <w:rPr>
                <w:rStyle w:val="IndexLink"/>
                <w:rtl w:val="true"/>
              </w:rPr>
              <w:t xml:space="preserve">»- </w:t>
            </w:r>
            <w:r>
              <w:rPr>
                <w:rStyle w:val="IndexLink"/>
                <w:rtl w:val="true"/>
              </w:rPr>
              <w:t>عن الصادق علیه السّلام</w:t>
            </w:r>
            <w:r>
              <w:rPr>
                <w:rStyle w:val="IndexLink"/>
                <w:rtl w:val="true"/>
              </w:rPr>
              <w:t>: «</w:t>
            </w:r>
            <w:r>
              <w:rPr>
                <w:rStyle w:val="IndexLink"/>
                <w:rtl w:val="true"/>
              </w:rPr>
              <w:t>الربا رباءان</w:t>
            </w:r>
            <w:r>
              <w:rPr>
                <w:rStyle w:val="IndexLink"/>
                <w:rtl w:val="true"/>
              </w:rPr>
              <w:t>:</w:t>
              <w:tab/>
            </w:r>
            <w:r>
              <w:rPr>
                <w:rStyle w:val="IndexLink"/>
              </w:rPr>
              <w:t>305</w:t>
            </w:r>
          </w:hyperlink>
        </w:p>
        <w:p>
          <w:pPr>
            <w:pStyle w:val="Contents4"/>
            <w:tabs>
              <w:tab w:val="clear" w:pos="8176"/>
              <w:tab w:val="right" w:pos="9026" w:leader="dot"/>
            </w:tabs>
            <w:rPr/>
          </w:pPr>
          <w:hyperlink w:anchor="__RefHeading___Toc4328052_3804643083">
            <w:r>
              <w:rPr>
                <w:webHidden/>
                <w:rStyle w:val="IndexLink"/>
                <w:rtl w:val="true"/>
              </w:rPr>
              <w:t>و منها</w:t>
            </w:r>
            <w:r>
              <w:rPr>
                <w:rStyle w:val="IndexLink"/>
                <w:rtl w:val="true"/>
              </w:rPr>
              <w:t xml:space="preserve">: </w:t>
            </w:r>
            <w:r>
              <w:rPr>
                <w:rStyle w:val="IndexLink"/>
                <w:rtl w:val="true"/>
              </w:rPr>
              <w:t xml:space="preserve">الخطبة المذکورة فی </w:t>
            </w:r>
            <w:r>
              <w:rPr>
                <w:rStyle w:val="IndexLink"/>
                <w:rtl w:val="true"/>
              </w:rPr>
              <w:t>«</w:t>
            </w:r>
            <w:r>
              <w:rPr>
                <w:rStyle w:val="IndexLink"/>
                <w:rtl w:val="true"/>
              </w:rPr>
              <w:t>نهج البلاغة</w:t>
            </w:r>
            <w:r>
              <w:rPr>
                <w:rStyle w:val="IndexLink"/>
                <w:rtl w:val="true"/>
              </w:rPr>
              <w:t>»: «</w:t>
            </w:r>
            <w:r>
              <w:rPr>
                <w:rStyle w:val="IndexLink"/>
                <w:rtl w:val="true"/>
              </w:rPr>
              <w:t>أنّ رسول اللّه صلّی اللّه علیه و آله قال</w:t>
            </w:r>
            <w:r>
              <w:rPr>
                <w:rStyle w:val="IndexLink"/>
                <w:rtl w:val="true"/>
              </w:rPr>
              <w:t xml:space="preserve">: </w:t>
            </w:r>
            <w:r>
              <w:rPr>
                <w:rStyle w:val="IndexLink"/>
                <w:rtl w:val="true"/>
              </w:rPr>
              <w:t>یا علی، إنّ القوم سیفتنون بأموالهم</w:t>
            </w:r>
            <w:r>
              <w:rPr>
                <w:rStyle w:val="IndexLink"/>
                <w:rtl w:val="true"/>
              </w:rPr>
              <w:tab/>
            </w:r>
            <w:r>
              <w:rPr>
                <w:rStyle w:val="IndexLink"/>
              </w:rPr>
              <w:t>306</w:t>
            </w:r>
          </w:hyperlink>
        </w:p>
        <w:p>
          <w:pPr>
            <w:pStyle w:val="Contents4"/>
            <w:tabs>
              <w:tab w:val="clear" w:pos="8176"/>
              <w:tab w:val="right" w:pos="9026" w:leader="dot"/>
            </w:tabs>
            <w:rPr/>
          </w:pPr>
          <w:hyperlink w:anchor="__RefHeading___Toc4328054_3804643083">
            <w:r>
              <w:rPr>
                <w:webHidden/>
                <w:rStyle w:val="IndexLink"/>
                <w:rtl w:val="true"/>
              </w:rPr>
              <w:t>و منها</w:t>
            </w:r>
            <w:r>
              <w:rPr>
                <w:rStyle w:val="IndexLink"/>
                <w:rtl w:val="true"/>
              </w:rPr>
              <w:t xml:space="preserve">: </w:t>
            </w:r>
            <w:r>
              <w:rPr>
                <w:rStyle w:val="IndexLink"/>
                <w:rtl w:val="true"/>
              </w:rPr>
              <w:t>ما رواه الفقهاء عن النبی صلّی اللّه علیه و آله و سلّم</w:t>
            </w:r>
            <w:r>
              <w:rPr>
                <w:rStyle w:val="IndexLink"/>
                <w:rtl w:val="true"/>
              </w:rPr>
              <w:t>: «</w:t>
            </w:r>
            <w:r>
              <w:rPr>
                <w:rStyle w:val="IndexLink"/>
                <w:rtl w:val="true"/>
              </w:rPr>
              <w:t>إنّ کلّ قرض یجرّ منفعة فهو حرام</w:t>
            </w:r>
            <w:r>
              <w:rPr>
                <w:rStyle w:val="IndexLink"/>
                <w:rtl w:val="true"/>
              </w:rPr>
              <w:t>»</w:t>
            </w:r>
            <w:r>
              <w:rPr>
                <w:rStyle w:val="IndexLink"/>
                <w:rtl w:val="true"/>
              </w:rPr>
              <w:t>،</w:t>
            </w:r>
            <w:r>
              <w:rPr>
                <w:rStyle w:val="IndexLink"/>
                <w:rtl w:val="true"/>
              </w:rPr>
              <w:tab/>
            </w:r>
            <w:r>
              <w:rPr>
                <w:rStyle w:val="IndexLink"/>
              </w:rPr>
              <w:t>307</w:t>
            </w:r>
          </w:hyperlink>
        </w:p>
        <w:p>
          <w:pPr>
            <w:pStyle w:val="Contents4"/>
            <w:tabs>
              <w:tab w:val="clear" w:pos="8176"/>
              <w:tab w:val="right" w:pos="9026" w:leader="dot"/>
            </w:tabs>
            <w:rPr/>
          </w:pPr>
          <w:hyperlink w:anchor="__RefHeading___Toc4328056_3804643083">
            <w:r>
              <w:rPr>
                <w:webHidden/>
                <w:rStyle w:val="IndexLink"/>
                <w:rtl w:val="true"/>
              </w:rPr>
              <w:t>و منها</w:t>
            </w:r>
            <w:r>
              <w:rPr>
                <w:rStyle w:val="IndexLink"/>
                <w:rtl w:val="true"/>
              </w:rPr>
              <w:t xml:space="preserve">: </w:t>
            </w:r>
            <w:r>
              <w:rPr>
                <w:rStyle w:val="IndexLink"/>
                <w:rtl w:val="true"/>
              </w:rPr>
              <w:t>صحیحة یعقوب بن شعیب، عن الصادق علیه السّلام</w:t>
            </w:r>
            <w:r>
              <w:rPr>
                <w:rStyle w:val="IndexLink"/>
                <w:rtl w:val="true"/>
              </w:rPr>
              <w:t>: «</w:t>
            </w:r>
            <w:r>
              <w:rPr>
                <w:rStyle w:val="IndexLink"/>
                <w:rtl w:val="true"/>
              </w:rPr>
              <w:t>عن الرجل یسلم فی بیع أو تمر عشرین دینارا</w:t>
            </w:r>
            <w:r>
              <w:rPr>
                <w:rStyle w:val="IndexLink"/>
                <w:rtl w:val="true"/>
              </w:rPr>
              <w:tab/>
            </w:r>
            <w:r>
              <w:rPr>
                <w:rStyle w:val="IndexLink"/>
              </w:rPr>
              <w:t>308</w:t>
            </w:r>
          </w:hyperlink>
        </w:p>
        <w:p>
          <w:pPr>
            <w:pStyle w:val="Contents4"/>
            <w:tabs>
              <w:tab w:val="clear" w:pos="8176"/>
              <w:tab w:val="right" w:pos="9026" w:leader="dot"/>
            </w:tabs>
            <w:rPr/>
          </w:pPr>
          <w:hyperlink w:anchor="__RefHeading___Toc4328058_3804643083">
            <w:r>
              <w:rPr>
                <w:webHidden/>
                <w:rStyle w:val="IndexLink"/>
                <w:rtl w:val="true"/>
              </w:rPr>
              <w:t>و منها</w:t>
            </w:r>
            <w:r>
              <w:rPr>
                <w:rStyle w:val="IndexLink"/>
                <w:rtl w:val="true"/>
              </w:rPr>
              <w:t xml:space="preserve">: </w:t>
            </w:r>
            <w:r>
              <w:rPr>
                <w:rStyle w:val="IndexLink"/>
                <w:rtl w:val="true"/>
              </w:rPr>
              <w:t xml:space="preserve">ما رواه الصدوق فی </w:t>
            </w:r>
            <w:r>
              <w:rPr>
                <w:rStyle w:val="IndexLink"/>
                <w:rtl w:val="true"/>
              </w:rPr>
              <w:t>«</w:t>
            </w:r>
            <w:r>
              <w:rPr>
                <w:rStyle w:val="IndexLink"/>
                <w:rtl w:val="true"/>
              </w:rPr>
              <w:t>الفقیه</w:t>
            </w:r>
            <w:r>
              <w:rPr>
                <w:rStyle w:val="IndexLink"/>
                <w:rtl w:val="true"/>
              </w:rPr>
              <w:t xml:space="preserve">»- </w:t>
            </w:r>
            <w:r>
              <w:rPr>
                <w:rStyle w:val="IndexLink"/>
                <w:rtl w:val="true"/>
              </w:rPr>
              <w:t>مع ضمانه صحّة ما فیه</w:t>
            </w:r>
            <w:r>
              <w:rPr>
                <w:rStyle w:val="IndexLink"/>
                <w:rtl w:val="true"/>
              </w:rPr>
              <w:tab/>
            </w:r>
            <w:r>
              <w:rPr>
                <w:rStyle w:val="IndexLink"/>
              </w:rPr>
              <w:t>311</w:t>
            </w:r>
          </w:hyperlink>
        </w:p>
        <w:p>
          <w:pPr>
            <w:pStyle w:val="Contents4"/>
            <w:tabs>
              <w:tab w:val="clear" w:pos="8176"/>
              <w:tab w:val="right" w:pos="9026" w:leader="dot"/>
            </w:tabs>
            <w:rPr/>
          </w:pPr>
          <w:hyperlink w:anchor="__RefHeading___Toc4328060_3804643083">
            <w:r>
              <w:rPr>
                <w:webHidden/>
                <w:rStyle w:val="IndexLink"/>
                <w:rtl w:val="true"/>
              </w:rPr>
              <w:t>و منها</w:t>
            </w:r>
            <w:r>
              <w:rPr>
                <w:rStyle w:val="IndexLink"/>
                <w:rtl w:val="true"/>
              </w:rPr>
              <w:t xml:space="preserve">: </w:t>
            </w:r>
            <w:r>
              <w:rPr>
                <w:rStyle w:val="IndexLink"/>
                <w:rtl w:val="true"/>
              </w:rPr>
              <w:t>ما ورد فی أخبار کثیرة معتبرة أنّ اللّه تعالی حرّم الربا</w:t>
            </w:r>
            <w:r>
              <w:rPr>
                <w:rStyle w:val="IndexLink"/>
                <w:rtl w:val="true"/>
              </w:rPr>
              <w:tab/>
            </w:r>
            <w:r>
              <w:rPr>
                <w:rStyle w:val="IndexLink"/>
              </w:rPr>
              <w:t>313</w:t>
            </w:r>
          </w:hyperlink>
        </w:p>
        <w:p>
          <w:pPr>
            <w:pStyle w:val="Contents4"/>
            <w:tabs>
              <w:tab w:val="clear" w:pos="8176"/>
              <w:tab w:val="right" w:pos="9026" w:leader="dot"/>
            </w:tabs>
            <w:rPr/>
          </w:pPr>
          <w:hyperlink w:anchor="__RefHeading___Toc4328062_3804643083">
            <w:r>
              <w:rPr>
                <w:webHidden/>
                <w:rStyle w:val="IndexLink"/>
                <w:rtl w:val="true"/>
              </w:rPr>
              <w:t>و منها</w:t>
            </w:r>
            <w:r>
              <w:rPr>
                <w:rStyle w:val="IndexLink"/>
                <w:rtl w:val="true"/>
              </w:rPr>
              <w:t xml:space="preserve">: </w:t>
            </w:r>
            <w:r>
              <w:rPr>
                <w:rStyle w:val="IndexLink"/>
                <w:rtl w:val="true"/>
              </w:rPr>
              <w:t>ما رواه الشیخ بسنده عن الصادق علیه السّلام</w:t>
            </w:r>
            <w:r>
              <w:rPr>
                <w:rStyle w:val="IndexLink"/>
                <w:rtl w:val="true"/>
              </w:rPr>
              <w:t>: «</w:t>
            </w:r>
            <w:r>
              <w:rPr>
                <w:rStyle w:val="IndexLink"/>
                <w:rtl w:val="true"/>
              </w:rPr>
              <w:t>الرجل یبیع البیع</w:t>
            </w:r>
            <w:r>
              <w:rPr>
                <w:rStyle w:val="IndexLink"/>
                <w:rtl w:val="true"/>
              </w:rPr>
              <w:tab/>
            </w:r>
            <w:r>
              <w:rPr>
                <w:rStyle w:val="IndexLink"/>
              </w:rPr>
              <w:t>316</w:t>
            </w:r>
          </w:hyperlink>
        </w:p>
        <w:p>
          <w:pPr>
            <w:pStyle w:val="Contents3"/>
            <w:tabs>
              <w:tab w:val="clear" w:pos="8459"/>
              <w:tab w:val="right" w:pos="9026" w:leader="dot"/>
            </w:tabs>
            <w:rPr/>
          </w:pPr>
          <w:hyperlink w:anchor="__RefHeading___Toc4328064_3804643083">
            <w:r>
              <w:rPr>
                <w:webHidden/>
                <w:rStyle w:val="IndexLink"/>
                <w:rtl w:val="true"/>
              </w:rPr>
              <w:t>و أمّا ما دلّ علی فتوی الفقهاء من غیر جهة الخبر</w:t>
            </w:r>
            <w:r>
              <w:rPr>
                <w:rStyle w:val="IndexLink"/>
                <w:rtl w:val="true"/>
              </w:rPr>
              <w:t>:</w:t>
              <w:tab/>
            </w:r>
            <w:r>
              <w:rPr>
                <w:rStyle w:val="IndexLink"/>
              </w:rPr>
              <w:t>320</w:t>
            </w:r>
          </w:hyperlink>
        </w:p>
        <w:p>
          <w:pPr>
            <w:pStyle w:val="Contents4"/>
            <w:tabs>
              <w:tab w:val="clear" w:pos="8176"/>
              <w:tab w:val="right" w:pos="9026" w:leader="dot"/>
            </w:tabs>
            <w:rPr/>
          </w:pPr>
          <w:hyperlink w:anchor="__RefHeading___Toc4328066_3804643083">
            <w:r>
              <w:rPr>
                <w:webHidden/>
                <w:rStyle w:val="IndexLink"/>
                <w:rtl w:val="true"/>
              </w:rPr>
              <w:t>فمنها</w:t>
            </w:r>
            <w:r>
              <w:rPr>
                <w:rStyle w:val="IndexLink"/>
                <w:rtl w:val="true"/>
              </w:rPr>
              <w:t xml:space="preserve">: </w:t>
            </w:r>
            <w:r>
              <w:rPr>
                <w:rStyle w:val="IndexLink"/>
                <w:rtl w:val="true"/>
              </w:rPr>
              <w:t>ما استدلّ به لما ذهب إلیه فقهاؤنا</w:t>
            </w:r>
            <w:r>
              <w:rPr>
                <w:rStyle w:val="IndexLink"/>
                <w:rtl w:val="true"/>
              </w:rPr>
              <w:t xml:space="preserve">- </w:t>
            </w:r>
            <w:r>
              <w:rPr>
                <w:rStyle w:val="IndexLink"/>
                <w:rtl w:val="true"/>
              </w:rPr>
              <w:t>سوی العلّامة</w:t>
            </w:r>
            <w:r>
              <w:rPr>
                <w:rStyle w:val="IndexLink"/>
                <w:rtl w:val="true"/>
              </w:rPr>
              <w:t xml:space="preserve">- </w:t>
            </w:r>
            <w:r>
              <w:rPr>
                <w:rStyle w:val="IndexLink"/>
                <w:rtl w:val="true"/>
              </w:rPr>
              <w:t>من عدم اختصاص الربا بالبیع و القرض</w:t>
            </w:r>
            <w:r>
              <w:rPr>
                <w:rStyle w:val="IndexLink"/>
                <w:rtl w:val="true"/>
              </w:rPr>
              <w:tab/>
            </w:r>
            <w:r>
              <w:rPr>
                <w:rStyle w:val="IndexLink"/>
              </w:rPr>
              <w:t>320</w:t>
            </w:r>
          </w:hyperlink>
        </w:p>
        <w:p>
          <w:pPr>
            <w:pStyle w:val="Contents4"/>
            <w:tabs>
              <w:tab w:val="clear" w:pos="8176"/>
              <w:tab w:val="right" w:pos="9026" w:leader="dot"/>
            </w:tabs>
            <w:rPr/>
          </w:pPr>
          <w:hyperlink w:anchor="__RefHeading___Toc4328068_3804643083">
            <w:r>
              <w:rPr>
                <w:webHidden/>
                <w:rStyle w:val="IndexLink"/>
                <w:rtl w:val="true"/>
              </w:rPr>
              <w:t>و منها</w:t>
            </w:r>
            <w:r>
              <w:rPr>
                <w:rStyle w:val="IndexLink"/>
                <w:rtl w:val="true"/>
              </w:rPr>
              <w:t xml:space="preserve">: </w:t>
            </w:r>
            <w:r>
              <w:rPr>
                <w:rStyle w:val="IndexLink"/>
                <w:rtl w:val="true"/>
              </w:rPr>
              <w:t>أنّ تلک المعاملة لم یثبت بعد صحّتها، و کونها حیلة شرعیّة فرع ثبوت الصحّة من دلیل شرعی</w:t>
            </w:r>
            <w:r>
              <w:rPr>
                <w:rStyle w:val="IndexLink"/>
                <w:rtl w:val="true"/>
              </w:rPr>
              <w:tab/>
            </w:r>
            <w:r>
              <w:rPr>
                <w:rStyle w:val="IndexLink"/>
              </w:rPr>
              <w:t>324</w:t>
            </w:r>
          </w:hyperlink>
        </w:p>
        <w:p>
          <w:pPr>
            <w:pStyle w:val="Contents4"/>
            <w:tabs>
              <w:tab w:val="clear" w:pos="8176"/>
              <w:tab w:val="right" w:pos="9026" w:leader="dot"/>
            </w:tabs>
            <w:rPr/>
          </w:pPr>
          <w:hyperlink w:anchor="__RefHeading___Toc4328070_3804643083">
            <w:r>
              <w:rPr>
                <w:webHidden/>
                <w:rStyle w:val="IndexLink"/>
                <w:rtl w:val="true"/>
              </w:rPr>
              <w:t>و منها</w:t>
            </w:r>
            <w:r>
              <w:rPr>
                <w:rStyle w:val="IndexLink"/>
                <w:rtl w:val="true"/>
              </w:rPr>
              <w:t xml:space="preserve">: </w:t>
            </w:r>
            <w:r>
              <w:rPr>
                <w:rStyle w:val="IndexLink"/>
                <w:rtl w:val="true"/>
              </w:rPr>
              <w:t>ما أشرنا سابقا من أنّ الحیلة لا تتحقّق إلّا فی موضوعات الأحکام لا نفسها</w:t>
            </w:r>
            <w:r>
              <w:rPr>
                <w:rStyle w:val="IndexLink"/>
                <w:rtl w:val="true"/>
              </w:rPr>
              <w:tab/>
            </w:r>
            <w:r>
              <w:rPr>
                <w:rStyle w:val="IndexLink"/>
              </w:rPr>
              <w:t>326</w:t>
            </w:r>
          </w:hyperlink>
        </w:p>
        <w:p>
          <w:pPr>
            <w:pStyle w:val="Contents4"/>
            <w:tabs>
              <w:tab w:val="clear" w:pos="8176"/>
              <w:tab w:val="right" w:pos="9026" w:leader="dot"/>
            </w:tabs>
            <w:rPr/>
          </w:pPr>
          <w:hyperlink w:anchor="__RefHeading___Toc4328072_3804643083">
            <w:r>
              <w:rPr>
                <w:webHidden/>
                <w:rStyle w:val="IndexLink"/>
                <w:rtl w:val="true"/>
              </w:rPr>
              <w:t>و منها</w:t>
            </w:r>
            <w:r>
              <w:rPr>
                <w:rStyle w:val="IndexLink"/>
                <w:rtl w:val="true"/>
              </w:rPr>
              <w:t xml:space="preserve">: </w:t>
            </w:r>
            <w:r>
              <w:rPr>
                <w:rStyle w:val="IndexLink"/>
                <w:rtl w:val="true"/>
              </w:rPr>
              <w:t>ما أشرنا من عدم الفرق بین عبارة الهبة و العطیّة و النحلة و التبرّع</w:t>
            </w:r>
            <w:r>
              <w:rPr>
                <w:rStyle w:val="IndexLink"/>
                <w:rtl w:val="true"/>
              </w:rPr>
              <w:tab/>
            </w:r>
            <w:r>
              <w:rPr>
                <w:rStyle w:val="IndexLink"/>
              </w:rPr>
              <w:t>327</w:t>
            </w:r>
          </w:hyperlink>
        </w:p>
        <w:p>
          <w:pPr>
            <w:pStyle w:val="Contents4"/>
            <w:tabs>
              <w:tab w:val="clear" w:pos="8176"/>
              <w:tab w:val="right" w:pos="9026" w:leader="dot"/>
            </w:tabs>
            <w:rPr/>
          </w:pPr>
          <w:hyperlink w:anchor="__RefHeading___Toc4328074_3804643083">
            <w:r>
              <w:rPr>
                <w:webHidden/>
                <w:rStyle w:val="IndexLink"/>
                <w:rtl w:val="true"/>
              </w:rPr>
              <w:t>و منها</w:t>
            </w:r>
            <w:r>
              <w:rPr>
                <w:rStyle w:val="IndexLink"/>
                <w:rtl w:val="true"/>
              </w:rPr>
              <w:t xml:space="preserve">: </w:t>
            </w:r>
            <w:r>
              <w:rPr>
                <w:rStyle w:val="IndexLink"/>
                <w:rtl w:val="true"/>
              </w:rPr>
              <w:t>ما أشرنا من أنّ اللّه مسخ أصحاب السبت</w:t>
            </w:r>
            <w:r>
              <w:rPr>
                <w:rStyle w:val="IndexLink"/>
                <w:rtl w:val="true"/>
              </w:rPr>
              <w:tab/>
            </w:r>
            <w:r>
              <w:rPr>
                <w:rStyle w:val="IndexLink"/>
              </w:rPr>
              <w:t>328</w:t>
            </w:r>
          </w:hyperlink>
        </w:p>
        <w:p>
          <w:pPr>
            <w:pStyle w:val="Contents3"/>
            <w:tabs>
              <w:tab w:val="clear" w:pos="8459"/>
              <w:tab w:val="right" w:pos="9026" w:leader="dot"/>
            </w:tabs>
            <w:rPr/>
          </w:pPr>
          <w:hyperlink w:anchor="__RefHeading___Toc4328076_3804643083">
            <w:r>
              <w:rPr>
                <w:webHidden/>
                <w:rStyle w:val="IndexLink"/>
                <w:rtl w:val="true"/>
              </w:rPr>
              <w:t>و استدلّوا أیضا، بالأخبار</w:t>
            </w:r>
            <w:r>
              <w:rPr>
                <w:rStyle w:val="IndexLink"/>
                <w:rtl w:val="true"/>
              </w:rPr>
              <w:tab/>
            </w:r>
            <w:r>
              <w:rPr>
                <w:rStyle w:val="IndexLink"/>
              </w:rPr>
              <w:t>329</w:t>
            </w:r>
          </w:hyperlink>
        </w:p>
        <w:p>
          <w:pPr>
            <w:pStyle w:val="Contents4"/>
            <w:tabs>
              <w:tab w:val="clear" w:pos="8176"/>
              <w:tab w:val="right" w:pos="9026" w:leader="dot"/>
            </w:tabs>
            <w:rPr/>
          </w:pPr>
          <w:hyperlink w:anchor="__RefHeading___Toc4328078_3804643083">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4328080_3804643083">
            <w:r>
              <w:rPr>
                <w:webHidden/>
                <w:rStyle w:val="IndexLink"/>
                <w:rtl w:val="true"/>
              </w:rPr>
              <w:t>و الجواب عن هذه الأخبار</w:t>
            </w:r>
            <w:r>
              <w:rPr>
                <w:rStyle w:val="IndexLink"/>
                <w:rtl w:val="true"/>
              </w:rPr>
              <w:tab/>
            </w:r>
            <w:r>
              <w:rPr>
                <w:rStyle w:val="IndexLink"/>
              </w:rPr>
              <w:t>331</w:t>
            </w:r>
          </w:hyperlink>
        </w:p>
        <w:p>
          <w:pPr>
            <w:pStyle w:val="Contents5"/>
            <w:tabs>
              <w:tab w:val="clear" w:pos="7892"/>
              <w:tab w:val="right" w:pos="9026" w:leader="dot"/>
            </w:tabs>
            <w:rPr/>
          </w:pPr>
          <w:hyperlink w:anchor="__RefHeading___Toc4328082_3804643083">
            <w:r>
              <w:rPr>
                <w:webHidden/>
                <w:rStyle w:val="IndexLink"/>
                <w:rtl w:val="true"/>
              </w:rPr>
              <w:t>أمّا مجملا</w:t>
            </w:r>
            <w:r>
              <w:rPr>
                <w:rStyle w:val="IndexLink"/>
                <w:rtl w:val="true"/>
              </w:rPr>
              <w:t>:</w:t>
              <w:tab/>
            </w:r>
            <w:r>
              <w:rPr>
                <w:rStyle w:val="IndexLink"/>
              </w:rPr>
              <w:t>331</w:t>
            </w:r>
          </w:hyperlink>
        </w:p>
        <w:p>
          <w:pPr>
            <w:pStyle w:val="Contents5"/>
            <w:tabs>
              <w:tab w:val="clear" w:pos="7892"/>
              <w:tab w:val="right" w:pos="9026" w:leader="dot"/>
            </w:tabs>
            <w:rPr/>
          </w:pPr>
          <w:hyperlink w:anchor="__RefHeading___Toc4328084_3804643083">
            <w:r>
              <w:rPr>
                <w:webHidden/>
                <w:rStyle w:val="IndexLink"/>
                <w:rtl w:val="true"/>
              </w:rPr>
              <w:t>و أمّا الجواب مفصّلا</w:t>
            </w:r>
            <w:r>
              <w:rPr>
                <w:rStyle w:val="IndexLink"/>
                <w:rtl w:val="true"/>
              </w:rPr>
              <w:t>:</w:t>
              <w:tab/>
            </w:r>
            <w:r>
              <w:rPr>
                <w:rStyle w:val="IndexLink"/>
              </w:rPr>
              <w:t>334</w:t>
            </w:r>
          </w:hyperlink>
        </w:p>
        <w:p>
          <w:pPr>
            <w:pStyle w:val="Contents2"/>
            <w:tabs>
              <w:tab w:val="clear" w:pos="8743"/>
              <w:tab w:val="right" w:pos="9026" w:leader="dot"/>
            </w:tabs>
            <w:rPr/>
          </w:pPr>
          <w:hyperlink w:anchor="__RefHeading___Toc4328086_3804643083">
            <w:r>
              <w:rPr>
                <w:webHidden/>
                <w:rStyle w:val="IndexLink"/>
                <w:rtl w:val="true"/>
              </w:rPr>
              <w:t>رسالة فی أصالة عدم الصحّة فی المعاملات</w:t>
            </w:r>
            <w:r>
              <w:rPr>
                <w:rStyle w:val="IndexLink"/>
                <w:rtl w:val="true"/>
              </w:rPr>
              <w:tab/>
            </w:r>
            <w:r>
              <w:rPr>
                <w:rStyle w:val="IndexLink"/>
              </w:rPr>
              <w:t>345</w:t>
            </w:r>
          </w:hyperlink>
        </w:p>
        <w:p>
          <w:pPr>
            <w:pStyle w:val="Contents3"/>
            <w:tabs>
              <w:tab w:val="clear" w:pos="8459"/>
              <w:tab w:val="right" w:pos="9026" w:leader="dot"/>
            </w:tabs>
            <w:rPr/>
          </w:pPr>
          <w:hyperlink w:anchor="__RefHeading___Toc4328088_3804643083">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4328090_3804643083">
            <w:r>
              <w:rPr>
                <w:webHidden/>
                <w:rStyle w:val="IndexLink"/>
                <w:rtl w:val="true"/>
              </w:rPr>
              <w:t>فلا شکّ فی أنّ إثباتها یتوقّف علی أمور</w:t>
            </w:r>
            <w:r>
              <w:rPr>
                <w:rStyle w:val="IndexLink"/>
                <w:rtl w:val="true"/>
              </w:rPr>
              <w:t>:</w:t>
              <w:tab/>
            </w:r>
            <w:r>
              <w:rPr>
                <w:rStyle w:val="IndexLink"/>
              </w:rPr>
              <w:t>348</w:t>
            </w:r>
          </w:hyperlink>
        </w:p>
        <w:p>
          <w:pPr>
            <w:pStyle w:val="Contents4"/>
            <w:tabs>
              <w:tab w:val="clear" w:pos="8176"/>
              <w:tab w:val="right" w:pos="9026" w:leader="dot"/>
            </w:tabs>
            <w:rPr/>
          </w:pPr>
          <w:hyperlink w:anchor="__RefHeading___Toc4328092_3804643083">
            <w:r>
              <w:rPr>
                <w:webHidden/>
                <w:rStyle w:val="IndexLink"/>
                <w:rtl w:val="true"/>
              </w:rPr>
              <w:t>الأوّل</w:t>
            </w:r>
            <w:r>
              <w:rPr>
                <w:rStyle w:val="IndexLink"/>
                <w:rtl w:val="true"/>
              </w:rPr>
              <w:t xml:space="preserve">: </w:t>
            </w:r>
            <w:r>
              <w:rPr>
                <w:rStyle w:val="IndexLink"/>
                <w:rtl w:val="true"/>
              </w:rPr>
              <w:t>ثبوت کون ذلک بیعا حقیقة فی اصطلاح الشرع</w:t>
            </w:r>
            <w:r>
              <w:rPr>
                <w:rStyle w:val="IndexLink"/>
                <w:rtl w:val="true"/>
              </w:rPr>
              <w:tab/>
            </w:r>
            <w:r>
              <w:rPr>
                <w:rStyle w:val="IndexLink"/>
              </w:rPr>
              <w:t>348</w:t>
            </w:r>
          </w:hyperlink>
        </w:p>
        <w:p>
          <w:pPr>
            <w:pStyle w:val="Contents4"/>
            <w:tabs>
              <w:tab w:val="clear" w:pos="8176"/>
              <w:tab w:val="right" w:pos="9026" w:leader="dot"/>
            </w:tabs>
            <w:rPr/>
          </w:pPr>
          <w:hyperlink w:anchor="__RefHeading___Toc4328094_3804643083">
            <w:r>
              <w:rPr>
                <w:webHidden/>
                <w:rStyle w:val="IndexLink"/>
                <w:rtl w:val="true"/>
              </w:rPr>
              <w:t>الثانی</w:t>
            </w:r>
            <w:r>
              <w:rPr>
                <w:rStyle w:val="IndexLink"/>
                <w:rtl w:val="true"/>
              </w:rPr>
              <w:t xml:space="preserve">: </w:t>
            </w:r>
            <w:r>
              <w:rPr>
                <w:rStyle w:val="IndexLink"/>
                <w:rtl w:val="true"/>
              </w:rPr>
              <w:t>ثبوت کونه من الأفراد المتعارفة للبیع الحقیقی</w:t>
            </w:r>
            <w:r>
              <w:rPr>
                <w:rStyle w:val="IndexLink"/>
                <w:rtl w:val="true"/>
              </w:rPr>
              <w:tab/>
            </w:r>
            <w:r>
              <w:rPr>
                <w:rStyle w:val="IndexLink"/>
              </w:rPr>
              <w:t>349</w:t>
            </w:r>
          </w:hyperlink>
        </w:p>
        <w:p>
          <w:pPr>
            <w:pStyle w:val="Contents4"/>
            <w:tabs>
              <w:tab w:val="clear" w:pos="8176"/>
              <w:tab w:val="right" w:pos="9026" w:leader="dot"/>
            </w:tabs>
            <w:rPr/>
          </w:pPr>
          <w:hyperlink w:anchor="__RefHeading___Toc4328096_3804643083">
            <w:r>
              <w:rPr>
                <w:webHidden/>
                <w:rStyle w:val="IndexLink"/>
                <w:rtl w:val="true"/>
              </w:rPr>
              <w:t>الثالث</w:t>
            </w:r>
            <w:r>
              <w:rPr>
                <w:rStyle w:val="IndexLink"/>
                <w:rtl w:val="true"/>
              </w:rPr>
              <w:t xml:space="preserve">: </w:t>
            </w:r>
            <w:r>
              <w:rPr>
                <w:rStyle w:val="IndexLink"/>
                <w:rtl w:val="true"/>
              </w:rPr>
              <w:t>ثبوت أنّ الحلّیة تستلزم الصحّة فی المقام</w:t>
            </w:r>
            <w:r>
              <w:rPr>
                <w:rStyle w:val="IndexLink"/>
                <w:rtl w:val="true"/>
              </w:rPr>
              <w:tab/>
            </w:r>
            <w:r>
              <w:rPr>
                <w:rStyle w:val="IndexLink"/>
              </w:rPr>
              <w:t>350</w:t>
            </w:r>
          </w:hyperlink>
        </w:p>
        <w:p>
          <w:pPr>
            <w:pStyle w:val="Contents4"/>
            <w:tabs>
              <w:tab w:val="clear" w:pos="8176"/>
              <w:tab w:val="right" w:pos="9026" w:leader="dot"/>
            </w:tabs>
            <w:rPr/>
          </w:pPr>
          <w:hyperlink w:anchor="__RefHeading___Toc4328098_3804643083">
            <w:r>
              <w:rPr>
                <w:webHidden/>
                <w:rStyle w:val="IndexLink"/>
                <w:rtl w:val="true"/>
              </w:rPr>
              <w:t>الرابع</w:t>
            </w:r>
            <w:r>
              <w:rPr>
                <w:rStyle w:val="IndexLink"/>
                <w:rtl w:val="true"/>
              </w:rPr>
              <w:t xml:space="preserve">: </w:t>
            </w:r>
            <w:r>
              <w:rPr>
                <w:rStyle w:val="IndexLink"/>
                <w:rtl w:val="true"/>
              </w:rPr>
              <w:t>عدم تحقّق نهی من الشارع علیه السّلام عن الّذی یراد إثبات صحّته</w:t>
            </w:r>
            <w:r>
              <w:rPr>
                <w:rStyle w:val="IndexLink"/>
                <w:rtl w:val="true"/>
              </w:rPr>
              <w:tab/>
            </w:r>
            <w:r>
              <w:rPr>
                <w:rStyle w:val="IndexLink"/>
              </w:rPr>
              <w:t>350</w:t>
            </w:r>
          </w:hyperlink>
        </w:p>
        <w:p>
          <w:pPr>
            <w:pStyle w:val="Contents5"/>
            <w:tabs>
              <w:tab w:val="clear" w:pos="7892"/>
              <w:tab w:val="right" w:pos="9026" w:leader="dot"/>
            </w:tabs>
            <w:rPr/>
          </w:pPr>
          <w:hyperlink w:anchor="__RefHeading___Toc4328100_3804643083">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4328102_3804643083">
            <w:r>
              <w:rPr>
                <w:webHidden/>
                <w:rStyle w:val="IndexLink"/>
                <w:rtl w:val="true"/>
              </w:rPr>
              <w:t>فساد المعاملة بالنهی</w:t>
            </w:r>
            <w:r>
              <w:rPr>
                <w:rStyle w:val="IndexLink"/>
                <w:rtl w:val="true"/>
              </w:rPr>
              <w:tab/>
            </w:r>
            <w:r>
              <w:rPr>
                <w:rStyle w:val="IndexLink"/>
              </w:rPr>
              <w:t>350</w:t>
            </w:r>
          </w:hyperlink>
        </w:p>
        <w:p>
          <w:pPr>
            <w:pStyle w:val="Contents5"/>
            <w:tabs>
              <w:tab w:val="clear" w:pos="7892"/>
              <w:tab w:val="right" w:pos="9026" w:leader="dot"/>
            </w:tabs>
            <w:rPr/>
          </w:pPr>
          <w:hyperlink w:anchor="__RefHeading___Toc4328104_3804643083">
            <w:r>
              <w:rPr>
                <w:webHidden/>
                <w:rStyle w:val="IndexLink"/>
                <w:rtl w:val="true"/>
              </w:rPr>
              <w:t>فساد العبادات بالنهی</w:t>
            </w:r>
            <w:r>
              <w:rPr>
                <w:rStyle w:val="IndexLink"/>
                <w:rtl w:val="true"/>
              </w:rPr>
              <w:tab/>
            </w:r>
            <w:r>
              <w:rPr>
                <w:rStyle w:val="IndexLink"/>
              </w:rPr>
              <w:t>352</w:t>
            </w:r>
          </w:hyperlink>
        </w:p>
        <w:p>
          <w:pPr>
            <w:pStyle w:val="Contents4"/>
            <w:tabs>
              <w:tab w:val="clear" w:pos="8176"/>
              <w:tab w:val="right" w:pos="9026" w:leader="dot"/>
            </w:tabs>
            <w:rPr/>
          </w:pPr>
          <w:hyperlink w:anchor="__RefHeading___Toc4328106_3804643083">
            <w:r>
              <w:rPr>
                <w:webHidden/>
                <w:rStyle w:val="IndexLink"/>
                <w:rtl w:val="true"/>
              </w:rPr>
              <w:t>الخامس</w:t>
            </w:r>
            <w:r>
              <w:rPr>
                <w:rStyle w:val="IndexLink"/>
                <w:rtl w:val="true"/>
              </w:rPr>
              <w:t xml:space="preserve">: </w:t>
            </w:r>
            <w:r>
              <w:rPr>
                <w:rStyle w:val="IndexLink"/>
                <w:rtl w:val="true"/>
              </w:rPr>
              <w:t>تحقّق شرائط مورد البیع</w:t>
            </w:r>
            <w:r>
              <w:rPr>
                <w:rStyle w:val="IndexLink"/>
                <w:rtl w:val="true"/>
              </w:rPr>
              <w:tab/>
            </w:r>
            <w:r>
              <w:rPr>
                <w:rStyle w:val="IndexLink"/>
              </w:rPr>
              <w:t>352</w:t>
            </w:r>
          </w:hyperlink>
        </w:p>
        <w:p>
          <w:pPr>
            <w:pStyle w:val="Contents3"/>
            <w:tabs>
              <w:tab w:val="clear" w:pos="8459"/>
              <w:tab w:val="right" w:pos="9026" w:leader="dot"/>
            </w:tabs>
            <w:rPr/>
          </w:pPr>
          <w:hyperlink w:anchor="__RefHeading___Toc4328108_3804643083">
            <w:r>
              <w:rPr>
                <w:webHidden/>
                <w:rStyle w:val="IndexLink"/>
                <w:rtl w:val="true"/>
              </w:rPr>
              <w:t>المناهی العامّة</w:t>
            </w:r>
            <w:r>
              <w:rPr>
                <w:rStyle w:val="IndexLink"/>
                <w:rtl w:val="true"/>
              </w:rPr>
              <w:tab/>
            </w:r>
            <w:r>
              <w:rPr>
                <w:rStyle w:val="IndexLink"/>
              </w:rPr>
              <w:t>354</w:t>
            </w:r>
          </w:hyperlink>
        </w:p>
        <w:p>
          <w:pPr>
            <w:pStyle w:val="Contents3"/>
            <w:tabs>
              <w:tab w:val="clear" w:pos="8459"/>
              <w:tab w:val="right" w:pos="9026" w:leader="dot"/>
            </w:tabs>
            <w:rPr/>
          </w:pPr>
          <w:hyperlink w:anchor="__RefHeading___Toc4328110_3804643083">
            <w:r>
              <w:rPr>
                <w:webHidden/>
                <w:rStyle w:val="IndexLink"/>
                <w:rtl w:val="true"/>
              </w:rPr>
              <w:t>الأجرة بإزاء العبادات</w:t>
            </w:r>
            <w:r>
              <w:rPr>
                <w:rStyle w:val="IndexLink"/>
                <w:rtl w:val="true"/>
              </w:rPr>
              <w:tab/>
            </w:r>
            <w:r>
              <w:rPr>
                <w:rStyle w:val="IndexLink"/>
              </w:rPr>
              <w:t>356</w:t>
            </w:r>
          </w:hyperlink>
        </w:p>
        <w:p>
          <w:pPr>
            <w:pStyle w:val="Contents2"/>
            <w:tabs>
              <w:tab w:val="clear" w:pos="8743"/>
              <w:tab w:val="right" w:pos="9026" w:leader="dot"/>
            </w:tabs>
            <w:rPr/>
          </w:pPr>
          <w:hyperlink w:anchor="__RefHeading___Toc4328112_3804643083">
            <w:r>
              <w:rPr>
                <w:webHidden/>
                <w:rStyle w:val="IndexLink"/>
                <w:rtl w:val="true"/>
              </w:rPr>
              <w:t>رسالة فی أصالة الصحّة و الفساد فی المعاملات</w:t>
            </w:r>
            <w:r>
              <w:rPr>
                <w:rStyle w:val="IndexLink"/>
                <w:rtl w:val="true"/>
              </w:rPr>
              <w:tab/>
            </w:r>
            <w:r>
              <w:rPr>
                <w:rStyle w:val="IndexLink"/>
              </w:rPr>
              <w:t>359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26_25207"/>
      <w:bookmarkStart w:id="1" w:name="pg2526_25207"/>
      <w:bookmarkEnd w:id="1"/>
    </w:p>
    <w:p>
      <w:pPr>
        <w:pStyle w:val="Heading2"/>
        <w:numPr>
          <w:ilvl w:val="1"/>
          <w:numId w:val="1"/>
        </w:numPr>
        <w:rPr/>
      </w:pPr>
      <w:bookmarkStart w:id="2" w:name="pg2526_25207"/>
      <w:bookmarkStart w:id="3" w:name="__RefHeading___Toc4327852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الفقهیة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و قواعد فقهی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محمد باقر بن محمد اکمل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الفقهیه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العلامه محمدباقر الوحیدالبهبهانی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العلامه المجدد الوحید البهبهانی،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موسسه العلامه المجدد الوحید البهبهانی رحمه الله؛</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۲۱۲۹۹۸۰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27854_3804643083"/>
      <w:bookmarkStart w:id="6" w:name="_Toc2"/>
      <w:bookmarkEnd w:id="5"/>
      <w:r>
        <w:rPr>
          <w:rtl w:val="true"/>
        </w:rPr>
        <w:t>اشارة</w:t>
      </w:r>
      <w:bookmarkStart w:id="7" w:name="pg2526_25211"/>
      <w:bookmarkEnd w:id="6"/>
    </w:p>
    <w:p>
      <w:pPr>
        <w:pStyle w:val="Heading2"/>
        <w:numPr>
          <w:ilvl w:val="1"/>
          <w:numId w:val="1"/>
        </w:numPr>
        <w:rPr/>
      </w:pPr>
      <w:bookmarkStart w:id="8" w:name="__RefHeading___Toc4327856_3804643083"/>
      <w:bookmarkStart w:id="9" w:name="_Toc3"/>
      <w:bookmarkEnd w:id="7"/>
      <w:bookmarkEnd w:id="8"/>
      <w:r>
        <w:rPr>
          <w:rtl w:val="true"/>
        </w:rPr>
        <w:t>[</w:t>
      </w:r>
      <w:r>
        <w:rPr>
          <w:rtl w:val="true"/>
        </w:rPr>
        <w:t>مقدمة التحقیق</w:t>
      </w:r>
      <w:r>
        <w:rPr>
          <w:rtl w:val="true"/>
        </w:rPr>
        <w:t>]</w:t>
      </w:r>
      <w:bookmarkEnd w:id="9"/>
    </w:p>
    <w:p>
      <w:pPr>
        <w:pStyle w:val="Heading3"/>
        <w:numPr>
          <w:ilvl w:val="2"/>
          <w:numId w:val="1"/>
        </w:numPr>
        <w:rPr/>
      </w:pPr>
      <w:bookmarkStart w:id="10" w:name="__RefHeading___Toc4327858_380464308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آله المنتجبین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 یغنینا عن الحدیث و بأسهاب حول ما للفقه من ضرورة و عظمة هو المنطق الإلهی و الوحی الربانی الغارس جذور الوجوب الکفائی لعلم الفقه، حیث یقول عزّ من قائل وَ مٰا کٰانَ الْمُؤْمِنُونَ لِیَنْفِرُوا کَافَّةً فَلَوْ لٰا نَفَرَ مِنْ کُلِّ فِرْقَةٍ مِنْهُمْ طٰائِفَةٌ لِیَتَفَقَّهُوا فِی الدِّینِ وَ لِیُنْذِرُوا قَوْمَهُمْ إِذٰا رَجَعُوا إِلَیْهِمْ لَعَلَّهُمْ یَحْذَرُونَ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نحن إذ نجد کلمة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غضّ النظر عن المعنی اللغوی لمفهومها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 فی معنی فهم جمیع أحکام الدین أعمّ من الأمور الاعتقادیة، أو الأحکام العملیّة، و هذا بدیهی لا نری ضرورة للاستدلال لذلک، إذ أنّ القوم کانوا یصدّرون کتبهم الفقهیة بمباحث اعتقادیة و مطالب کلامیة، و مع هذا تدرج مؤلّفاتهم ضمن المجامیع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لیست خاصة بأصحابنا رضوان اللّه علیهم، و من هنا نجد أمثال أبی حنیفة یعطی لکتابة الاعتقادی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یوحی شمولیّة هذا الاسم للأعم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أنّا عند ما نواکب السیر مع هذه اللفظة نجدها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کأکثر المصطلحات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تلبست تدریجا بلباس أخص ممّا کانت علیه، فأصبحت تعطی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العلم بالأحکام العملیّة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کانت تحمل معنا بسیطا و واضحا و سهل التناول إبّان صدورها عند إطلاقها، کما تراها فی قوله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أفقه الناس إذا عرفتم معانی کلامنا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ممّا کان یمنح الراوی عند درکه لمضمون کلام المعصوم علیه السّلام عنوان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الیوم تطلق علی من یغوص فی بحار العلوم النقلیّة، و یسلک سبیل الاجتهاد الّذی أخذ فیه الجدّ و العناء، حتّی أنّه ینقل عن المحقّق العراقی رحمه اللّه أنّه قد عدّ الاجتهاد فی الفقه بمثابة قلع الجبال بالابر و المسامیر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 الفقه و التفقّه فی الدّین حاز مقام رفیع إلهی و عنایة ربانیة ألبسه الشارع المقدّس لباس الوجوب، و أسبغ علیه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ببیانه الرائع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أخلاقی رفیع،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السیاط علی رؤوس أصحابی حتّی یتفقّهوا فی الحلال و الحرام</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عدّ الکمال الإنسانی فی الفقاهة و الفهم، إذ قال 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الکمال کلّ الکمال التفقّه فی الدین </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أنّ الوصول إلی ذاک المقام الرفیع عدّ علامة العنایة الخاصة الإلهیة لمن یتلبس بها، إذ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أراد اللّه بعبد خیرا فقّهه فی الدین</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بذا استحق عند فقده أن تندبه ملائکة السماء و سکّان الأرض، إذ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المؤمن بکت علیه الملائکة، و بقاع الأرض الّتی کان یعبد اللّه تعالی علیها، و أبواب السماء الّتی کان یصعد فیها بأعماله، و ثلم فی الإسلام ثلمة لا یسدّها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المؤمنین الفقهاء حصون</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خفی أنّ الحدیث عن ضرورة هذا العلم و تقییمه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لسالکه من 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خصّته السماء من تکریم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ممّا ینوء عن ذکره سیرنا فی مقدمة هذا الکتاب، و ما کان قصدنا ممّا أدرجناه إلّا التبرّک بذکر جملة من الآیات و الروایات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ما تحمّله فقهاؤنا العظام رضوان اللّه تعالی علیهم علی مدّ التاریخ من مشاقّ و صعوبات کانت تحیط بهم و تحاصرهم سواء ما کان منها شخصیا أو نوعیا، کلّ ذلک لحفظ هذه الأمانة الإلهیة الّتی تنوء عن حملها الجبال الرواسی، فهم کشیخ الطائفة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مبعّد عن وطنه متحملا لأنواع البلاء حارما نفسه من متع الدنیا و لذّاتها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یسوقه هذا الهدف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کأمثال الشهیدین 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منصّة الإعدام، کی تکون دمائهم الطاهرة منارا علی مدّ التاریخ حفظا لهذه الودیعة الإلهیة، فکان أن تلقفتها الأیدی الطاهرة إلی الصدور المطهّرة نسلا بعد نسل، حتّی وصلت فی أواخر القرن الثانی عشر فألقیت علی عاتق العلّامة المجدد الوحید البهبهانی رحمه اللّه، إذ قام هذا الرجل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هذه الرسالة الخطیرة بعد أن جلّاها عمّا حاول أن یعلق بها من دنس و زیغ، و طهّرها ممّا کاد یعلق بها ما یمحو جوهر الأحکام الإلهیّة منها، فهو بعد أن ألبسها حلّتها الرائعة بما لها من عمق و 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لهذه الرسالة من ادّعاء أمام الموج الکاسح للقوانین الوضعیة المعاصرة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ولید هذه المساعی الحمیدة من هذه العطیّة الإلهیّة علی الشیعة الاثنی عشریة أن صنّف لهم رسائل فقهیّة فی مواضع متفرّقة أملتها الظروف الحاکمة و الحاجة الملحّة الّتی کان یلمسها شیخنا العظیم خلال مواجهته مع الأحداث ممّا کان یملی علیه، مع حرصه علی تنزیه المبانی الأصیلة من القشریّة و السطحیة مع ما أسبغ علیها من مسلکه الّذی عرف به من العمق و التتبع فی الأدلّة الشرعیّة لغرس روح</w:t>
      </w:r>
    </w:p>
    <w:p>
      <w:pPr>
        <w:pStyle w:val="BookText"/>
        <w:rPr/>
      </w:pPr>
      <w:r>
        <w:rPr>
          <w:rFonts w:ascii="IRNazanin" w:hAnsi="IRNazanin" w:eastAsia="IRNazanin"/>
          <w:color w:val="111111"/>
          <w:sz w:val="28"/>
          <w:sz w:val="28"/>
          <w:szCs w:val="28"/>
          <w:rtl w:val="true"/>
          <w:lang w:bidi="fa-IR"/>
        </w:rPr>
        <w:t>الاجتهاد الحقیقی الّذی کان علیه الفقهاء الإمامیّة خلال العصور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الملاحظ علی هذه الرسائل الإحدی عشرة أنّها تعطی بوضوح ما أشرنا إلیه سلفا من اهتمام هذا الفقیه العظیم بالمسائل الحیویّة و الحیاتیة الّتی کان یفتقر إلیها عصره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فی رسالته الأولی الّتی خصّها بما یرجع إلی تقلید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حقّقها بشکل دقیق، و وقف أمام أعلام العامّة بإثبات عدم جواز تقلید المیّت، و حصر الحجیّة بالمجتهد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نراه عند مواجهة القائلین بجواز تقلید المیّت مستدلّین ببرهان النقض بعدم وجود مجتهد فی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تقولون فی الوقائع الخاصّة و الحوادث الجزئیّة السانحة الّتی لیست مذکورة فی کتب الفقهاء بخصوصها، و غالب ما یحتاج الناس إلیه من هذا القبیل؟</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یقول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أیضا حال فروع الدین لیس بأشدّ من حال أصول الدین، فما تقولون فی حال الأقطار و الأمکنة الّتی لیس فیها من یعلم أصول الدین مثل البوادی و القری و الجبال؟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یستنتج من ذا و ذاک بحکم البرهان أنّه کما یلزم الاجتهاد و البحث فی کلّ عصر، کذا یلزم تقلید المجتهد الحیّ بلا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أمثاله یوصلنا إلی ضرورة وجود الفقیه فیما لو أرید للمجتمع الإسلامی مواکبة مستجدات العصر، و بقاؤه غضّا نضرا یعطی أکله کلّ حین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فی المسألة الأخری المتعارفة آنذاک، أعنی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متعة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بعد أن نقّح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بشکل دقیق للموضوع و أدلّته و محتملاته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ظهر بما</w:t>
      </w:r>
    </w:p>
    <w:p>
      <w:pPr>
        <w:pStyle w:val="BookText"/>
        <w:rPr/>
      </w:pPr>
      <w:r>
        <w:rPr>
          <w:rFonts w:ascii="IRNazanin" w:hAnsi="IRNazanin" w:eastAsia="IRNazanin"/>
          <w:color w:val="111111"/>
          <w:sz w:val="28"/>
          <w:sz w:val="28"/>
          <w:szCs w:val="28"/>
          <w:rtl w:val="true"/>
          <w:lang w:bidi="fa-IR"/>
        </w:rPr>
        <w:t>ذکرناه أنّ الحکم بصحّة هذا العقد مشکل، بل الحکم بالفساد أولی</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إننا إمّا أن نقول بأنّ مصلحة الصغیرة دخیلة فی صحّة النکاح أو لا؟ و علی القول بلزوم رعایة شرط المصلحة فالحکم واضح، و علی القول بعدمه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بالصحّة مشکل أیضا لأنّ الصحّة حکم شرعی یتوقّف علی دلیل شرعی و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توهّم کونه دلیلا ستعرف فساده</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بدء بسبر الوجوه المحتملة و ذکر الأدلّة المناسبة و ما یرد علیها من إشکالات علمیّة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ظاهر قوله تعالی فَمَا اسْتَمْتَعْتُمْ بِهِ مِنْهُنَّ</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الآیة اعتبار الاستمتاع منها و لا أقلّ بتمکینها من الاستمتاع منها، لأنّ القاعدة المقررة فی الشرع فی أمثال هذه العقود بأنّ فی الوفاء بإعطاء العوض یکفی التمکین و التسلیم و أنّ ظاهرها فعلیّة الاستمتاع لأنّ الشارع جعل حکم ذلک حکم الفعلیّة </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یسلک هذه الکیفیة فی مواجهة المبانی الشرعیّة نجده قدس سره یقف موقف الرفض فی کثیر من الموارد الّتی أستعین بها بالحیل الشرعیّة لتغییر بعض الأحکام الإلهیّة، کما فی باب الربا،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اعلم، أنّ الحیلة الشرعیّة إنّما هو متحقق بالنسبة إلی موضوعات الأحکام لا نفس الأحکام، لأنّها علی حسب ما حکم به الشارع، فأیّ حیلة لنا فیها؟ </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 بعد نقضه بما استدلّ به فی المقام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الربا أمر معنوی لا أنّه لفظ و عبارة و عرفت ظهورها فی حرمة</w:t>
      </w:r>
    </w:p>
    <w:p>
      <w:pPr>
        <w:pStyle w:val="BookText"/>
        <w:rPr/>
      </w:pPr>
      <w:r>
        <w:rPr>
          <w:rFonts w:ascii="IRNazanin" w:hAnsi="IRNazanin" w:eastAsia="IRNazanin"/>
          <w:color w:val="111111"/>
          <w:sz w:val="28"/>
          <w:sz w:val="28"/>
          <w:szCs w:val="28"/>
          <w:rtl w:val="true"/>
          <w:lang w:bidi="fa-IR"/>
        </w:rPr>
        <w:t xml:space="preserve">کلّ منفعة مشروطة کما کان دأب الفقهاء و اللغة و العرف و عند آکلی الربا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مع ما کان علیه شیخنا المحقّق الوحید رحمه اللّه من الدقّة فی أمثال هذه الموارد ممّا یسوقه إلی الالتزام بالتأمّل و الاحتیاط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یتخذ موقفا حازما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 شجاعة مع مراعاة الدقّة 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بعض المسائل الأخر الّتی لا یری ثمّة مساغا للاحتیاط فیها أو التردید فی مقام الإفتاء، کما هو حاله فی مسألة جواز الجمع بین الفاطمیتین، إذ ذهب إلی القول بالجواز بعد استیعابه للأدلّة و فحصها و مناقشتها و ختمها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فرق عنده بین الحدیث الّذی دلّ علی حرمة الجمع بین فاطمیتین و الّذی دلّ علی حرمة ترکها عانتها أزید من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فاستدلاله بالثانی علی حرمة ترک العانة علیها أولی ثمَّ أولی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نودّ أن نطیل فی بیان ما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العمق و التتبّع و الدّقة و الظرافة فی الاستدلال الّتی هی من الخصوصیات البارزة لشیخنا المصنّف الوحید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نوکل ذلک إلی ذهن القارئ الفطن، و المحقق البارع، و لنا عودة اخری علی مصنّفات الشیخ الوحید الفقیه رحمه اللّه للحدیث عن بعض ممیزاته العلمیّة، و ما بناه من أسس استدلالیّة مستحکمة قدّر لها أن تمنحه و سام التجدید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یکون ذلک خالدا له إلی یومنا هذا،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علمائنا الأطهار حماة الدین، و سدنة الشریعة، و سادة الخلیقة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یوم ولدوا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ماتوا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یبعثون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وفّقنا اللّه للسیر علی خطاهم، و العمل بسیرتهم، و الحظوة بشفاعتهم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bookmarkStart w:id="12" w:name="pg2526_25224"/>
    </w:p>
    <w:p>
      <w:pPr>
        <w:pStyle w:val="Heading3"/>
        <w:numPr>
          <w:ilvl w:val="2"/>
          <w:numId w:val="1"/>
        </w:numPr>
        <w:rPr/>
      </w:pPr>
      <w:bookmarkStart w:id="13" w:name="__RefHeading___Toc4327860_3804643083"/>
      <w:bookmarkStart w:id="14" w:name="_Toc5"/>
      <w:bookmarkEnd w:id="12"/>
      <w:bookmarkEnd w:id="13"/>
      <w:r>
        <w:rPr>
          <w:rtl w:val="true"/>
        </w:rPr>
        <w:t>لمحة من حیاة العلّامة الوحید البهبهانی طاب ثراه</w:t>
      </w:r>
      <w:bookmarkEnd w:id="14"/>
    </w:p>
    <w:p>
      <w:pPr>
        <w:pStyle w:val="Heading4"/>
        <w:numPr>
          <w:ilvl w:val="3"/>
          <w:numId w:val="1"/>
        </w:numPr>
        <w:rPr/>
      </w:pPr>
      <w:bookmarkStart w:id="15" w:name="__RefHeading___Toc4327862_3804643083"/>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 xml:space="preserve">مؤلّفنا العظیم، استاد الکلّ، العلّامة المجدّد الآقا محمّد باقر بن محمّد أکمل ولد سنة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أصفهان، کما نقل لنا حفیده العالم آقا أحمد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4327864_3804643083"/>
      <w:bookmarkStart w:id="18" w:name="_Toc7"/>
      <w:bookmarkEnd w:id="17"/>
      <w:r>
        <w:rPr>
          <w:rtl w:val="true"/>
        </w:rPr>
        <w:t>نسبه</w:t>
      </w:r>
      <w:r>
        <w:rPr>
          <w:rtl w:val="true"/>
        </w:rPr>
        <w:t>:</w:t>
      </w:r>
      <w:bookmarkEnd w:id="18"/>
    </w:p>
    <w:p>
      <w:pPr>
        <w:pStyle w:val="BookText"/>
        <w:rPr/>
      </w:pPr>
      <w:r>
        <w:rPr>
          <w:rFonts w:ascii="IRNazanin" w:hAnsi="IRNazanin" w:eastAsia="IRNazanin"/>
          <w:color w:val="111111"/>
          <w:sz w:val="28"/>
          <w:sz w:val="28"/>
          <w:szCs w:val="28"/>
          <w:rtl w:val="true"/>
          <w:lang w:bidi="fa-IR"/>
        </w:rPr>
        <w:t>ینتهی نسب شیخنا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نقله لنا سیّد الأعیان، و شیخنا الطهرانی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عشرة واسطة من طرف أبیه إلی الشیخ الأعظم محمّد بن محمّد بن النعمان المفید قدس سرّه، و من جهة أمّه بثلاث وسائط إلی المحدّث الکبیر و العالم الربّانی المجلسی الأوّل، و من هنا نراه قد عبّر فی تآلیفه عن المجلسی الأوّل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المجلسی الثانی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و أنّ فی ضمن حلقاته السببیّة نجد أمثال العالم الصالح العلّامة ملّا صالح المازندرانی طاب رمسه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فمترجمنا ولد و ترعرع و شبّ و شاب و انحدر من أبرز و أعرق البیوتات العلمیّة فی الطائفة الإمامیّة</w:t>
      </w:r>
      <w:r>
        <w:rPr>
          <w:rFonts w:eastAsia="IRNazanin" w:cs="IRNazanin"/>
          <w:color w:val="111111"/>
          <w:sz w:val="28"/>
          <w:szCs w:val="28"/>
          <w:rtl w:val="true"/>
          <w:lang w:bidi="fa-IR"/>
        </w:rPr>
        <w:t>.</w:t>
      </w:r>
    </w:p>
    <w:p>
      <w:pPr>
        <w:pStyle w:val="Heading4"/>
        <w:numPr>
          <w:ilvl w:val="3"/>
          <w:numId w:val="1"/>
        </w:numPr>
        <w:rPr/>
      </w:pPr>
      <w:bookmarkStart w:id="19" w:name="__RefHeading___Toc4327866_3804643083"/>
      <w:bookmarkStart w:id="20" w:name="_Toc8"/>
      <w:bookmarkEnd w:id="19"/>
      <w:r>
        <w:rPr>
          <w:rtl w:val="true"/>
        </w:rPr>
        <w:t>أبوه</w:t>
      </w:r>
      <w:r>
        <w:rPr>
          <w:rtl w:val="true"/>
        </w:rPr>
        <w:t>:</w:t>
      </w:r>
      <w:bookmarkEnd w:id="2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 الفاضل الکامل الماهر المحقّق المدقّق الباذل، بل الأعلم الأفضل الأکمل</w:t>
      </w:r>
      <w:bookmarkStart w:id="21" w:name="pg2526_25226"/>
    </w:p>
    <w:p>
      <w:pPr>
        <w:pStyle w:val="BookText"/>
        <w:rPr/>
      </w:pPr>
      <w:bookmarkEnd w:id="21"/>
      <w:r>
        <w:rPr>
          <w:rFonts w:ascii="IRNazanin" w:hAnsi="IRNazanin" w:eastAsia="IRNazanin"/>
          <w:color w:val="111111"/>
          <w:sz w:val="28"/>
          <w:sz w:val="28"/>
          <w:szCs w:val="28"/>
          <w:rtl w:val="true"/>
          <w:lang w:bidi="fa-IR"/>
        </w:rPr>
        <w:t>أستاد الأساتید و الفضیلة، و شیخ مشایخ الفقهاء الآقا محمّد أکمل بن محمّد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عبّر مصنّفنا الوحید قدّس سرّه عن أبیه فی إجازته المختصرة الّتی منحها للسید بحر العلوم، و هی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یستشهد به لإثبات و تثبیت مراتبه العلمیّة و العملیّة</w:t>
      </w:r>
      <w:r>
        <w:rPr>
          <w:rFonts w:eastAsia="IRNazanin" w:cs="IRNazanin"/>
          <w:color w:val="111111"/>
          <w:sz w:val="28"/>
          <w:szCs w:val="28"/>
          <w:rtl w:val="true"/>
          <w:lang w:bidi="fa-IR"/>
        </w:rPr>
        <w:t>.</w:t>
      </w:r>
    </w:p>
    <w:p>
      <w:pPr>
        <w:pStyle w:val="Heading4"/>
        <w:numPr>
          <w:ilvl w:val="3"/>
          <w:numId w:val="1"/>
        </w:numPr>
        <w:rPr/>
      </w:pPr>
      <w:bookmarkStart w:id="22" w:name="__RefHeading___Toc4327868_3804643083"/>
      <w:bookmarkStart w:id="23" w:name="_Toc9"/>
      <w:bookmarkEnd w:id="22"/>
      <w:r>
        <w:rPr>
          <w:rtl w:val="true"/>
        </w:rPr>
        <w:t>صباه</w:t>
      </w:r>
      <w:r>
        <w:rPr>
          <w:rtl w:val="true"/>
        </w:rPr>
        <w:t>:</w:t>
      </w:r>
      <w:bookmarkEnd w:id="23"/>
    </w:p>
    <w:p>
      <w:pPr>
        <w:pStyle w:val="BookText"/>
        <w:rPr/>
      </w:pPr>
      <w:r>
        <w:rPr>
          <w:rFonts w:ascii="IRNazanin" w:hAnsi="IRNazanin" w:eastAsia="IRNazanin"/>
          <w:color w:val="111111"/>
          <w:sz w:val="28"/>
          <w:sz w:val="28"/>
          <w:szCs w:val="28"/>
          <w:rtl w:val="true"/>
          <w:lang w:bidi="fa-IR"/>
        </w:rPr>
        <w:t>مرّت مراحل صبا مترجمنا و شبابه فی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حکاه لنا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إحضان والده العظیم و رعایته بتعلّم مبادی العربیّة و العلوم العقلیّة و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أن حرم من والده العظیم و اکتسحت أصفهان موجة من الاضطرابات ألجأت شیخنا إلی الهجرة إلی النجف الأشرف، و تهیّأت له الأسباب هناک لتحصیل و تکمیل ما تعلّمه من العلوم العقلیّة و النقلیّة عند العالمین العلمین السیّد محمّد الطباطبائی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السیّد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صدر الدین القمّی المشهور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وافیة الأصول</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4327870_3804643083"/>
      <w:bookmarkStart w:id="25" w:name="_Toc10"/>
      <w:bookmarkEnd w:id="24"/>
      <w:r>
        <w:rPr>
          <w:rtl w:val="true"/>
        </w:rPr>
        <w:t>أساتذته</w:t>
      </w:r>
      <w:r>
        <w:rPr>
          <w:rtl w:val="true"/>
        </w:rPr>
        <w:t>:</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من تعرض إلی حیاة شیخنا الأعظم ذکر بالاتّفاق فی عداد أساتذته المولی محمّد أکمل و السیّد محمّد الطباطبائی، و السیّد صدر الدین القمّی إلّا أنّا نجده طاب ثراه قد أشار فی إجازته الّتی منحها للسیّد بحر العلوم و الأخری الّتی شرّف بها ملّا محمد باقر الأسترابادی إلی جمع آخر من مشایخه، الذین عبّر عنهم ب</w:t>
      </w:r>
      <w:r>
        <w:rPr>
          <w:rFonts w:eastAsia="IRNazanin" w:cs="IRNazanin"/>
          <w:color w:val="111111"/>
          <w:sz w:val="28"/>
          <w:szCs w:val="28"/>
          <w:rtl w:val="true"/>
          <w:lang w:bidi="fa-IR"/>
        </w:rPr>
        <w:t>:</w:t>
      </w:r>
      <w:bookmarkStart w:id="26" w:name="pg2526_25228"/>
    </w:p>
    <w:p>
      <w:pPr>
        <w:pStyle w:val="BookText"/>
        <w:rPr/>
      </w:pPr>
      <w:bookmarkEnd w:id="26"/>
      <w:r>
        <w:rPr>
          <w:rFonts w:ascii="IRNazanin" w:hAnsi="IRNazanin" w:eastAsia="IRNazanin"/>
          <w:color w:val="111111"/>
          <w:sz w:val="28"/>
          <w:sz w:val="28"/>
          <w:szCs w:val="28"/>
          <w:rtl w:val="true"/>
          <w:lang w:bidi="fa-IR"/>
        </w:rPr>
        <w:t>أستادنا و من هو فی العلوم العقلیّة و النقلیّة استنادنا، العالم الکامل الفاضل، المحقّق المدقّق، الأوحد المؤیّد، الحاج الشیخ محمّد بن الحاج محمّد زمان القاسانی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العالم الفاضل الجلیل، الفقیه المتفقّه النبیل، الآمیرزا إبراهیم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الإسلام و معاذ المسلمین، الأمیر محمّد حسین ابن العلّامة الأمیر محمّد صالح الأصبهانی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الحسیب، ذی المناقب و المفاخر، الآمیرزا محمّد باقر بن السیّد المحقّق الآمیرزا علاء الدین گلستانه،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الأخ الأفخم، و الأستاد الأعظم، سمیّ خاتم الأولیاء، السیّد محمّد مهدی عن الوالد المسدّد و الحبر المؤیّد </w:t>
      </w:r>
      <w:r>
        <w:rPr>
          <w:rFonts w:eastAsia="IRNazanin" w:cs="IRNazanin"/>
          <w:color w:val="111111"/>
          <w:sz w:val="28"/>
          <w:szCs w:val="28"/>
          <w:rtl w:val="true"/>
          <w:lang w:bidi="fa-IR"/>
        </w:rPr>
        <w:t>..</w:t>
      </w:r>
    </w:p>
    <w:p>
      <w:pPr>
        <w:pStyle w:val="Heading4"/>
        <w:numPr>
          <w:ilvl w:val="3"/>
          <w:numId w:val="1"/>
        </w:numPr>
        <w:rPr/>
      </w:pPr>
      <w:bookmarkStart w:id="27" w:name="__RefHeading___Toc4327872_3804643083"/>
      <w:bookmarkStart w:id="28" w:name="_Toc11"/>
      <w:bookmarkEnd w:id="27"/>
      <w:r>
        <w:rPr>
          <w:rtl w:val="true"/>
        </w:rPr>
        <w:t>مشایخ إجازاته</w:t>
      </w:r>
      <w:r>
        <w:rPr>
          <w:rtl w:val="true"/>
        </w:rPr>
        <w:t>:</w:t>
      </w:r>
      <w:bookmarkEnd w:id="28"/>
    </w:p>
    <w:p>
      <w:pPr>
        <w:pStyle w:val="BookText"/>
        <w:rPr/>
      </w:pPr>
      <w:r>
        <w:rPr>
          <w:rFonts w:ascii="IRNazanin" w:hAnsi="IRNazanin" w:eastAsia="IRNazanin"/>
          <w:color w:val="111111"/>
          <w:sz w:val="28"/>
          <w:sz w:val="28"/>
          <w:szCs w:val="28"/>
          <w:rtl w:val="true"/>
          <w:lang w:bidi="fa-IR"/>
        </w:rPr>
        <w:t>الّذی یظهر من مجموع إجازات الوحید قدس سرّه لمن أجازهم، أنّ مشایخه فی الإجازة من أساتذته و غیرهم هم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المتفقّه النبیل الآمیرزا إبراهیم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الآمیرزا محمّد باقر بن السیّد المحقّق الآمیرزا علاء الدین 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بن الحاج محمّد زمان القاسانی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الأمیر محمّد حسین بن العلّامة الأمیر محمّد صالح الأصبهانی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رأسهم والده المعظّم طاب ثراه کما قد سلف</w:t>
      </w:r>
      <w:r>
        <w:rPr>
          <w:rFonts w:eastAsia="IRNazanin" w:cs="IRNazanin"/>
          <w:color w:val="111111"/>
          <w:sz w:val="28"/>
          <w:szCs w:val="28"/>
          <w:rtl w:val="true"/>
          <w:lang w:bidi="fa-IR"/>
        </w:rPr>
        <w:t>.</w:t>
      </w:r>
    </w:p>
    <w:p>
      <w:pPr>
        <w:pStyle w:val="Heading4"/>
        <w:numPr>
          <w:ilvl w:val="3"/>
          <w:numId w:val="1"/>
        </w:numPr>
        <w:rPr/>
      </w:pPr>
      <w:bookmarkStart w:id="29" w:name="__RefHeading___Toc4327874_3804643083"/>
      <w:bookmarkStart w:id="30" w:name="_Toc12"/>
      <w:bookmarkEnd w:id="29"/>
      <w:r>
        <w:rPr>
          <w:rtl w:val="true"/>
        </w:rPr>
        <w:t>الّذین أجازهم</w:t>
      </w:r>
      <w:r>
        <w:rPr>
          <w:rtl w:val="true"/>
        </w:rPr>
        <w:t>:</w:t>
      </w:r>
      <w:bookmarkEnd w:id="3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منح شیخنا الوحید طاب ثراه جمعا من الأعلام ممّن استجازه فأجازه،</w:t>
      </w:r>
      <w:bookmarkStart w:id="31" w:name="pg2526_25230"/>
    </w:p>
    <w:p>
      <w:pPr>
        <w:pStyle w:val="BookText"/>
        <w:rPr/>
      </w:pPr>
      <w:bookmarkEnd w:id="31"/>
      <w:r>
        <w:rPr>
          <w:rFonts w:ascii="IRNazanin" w:hAnsi="IRNazanin" w:eastAsia="IRNazanin"/>
          <w:color w:val="111111"/>
          <w:sz w:val="28"/>
          <w:sz w:val="28"/>
          <w:szCs w:val="28"/>
          <w:rtl w:val="true"/>
          <w:lang w:bidi="fa-IR"/>
        </w:rPr>
        <w:t>و الّذی وصل إلینا منهم ندرجه ذیلا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إجازة للشیخ أبی علی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إجازة للسیّد علی بن محمّد علی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إجازة لحسین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إجازة لسعید بن محمّد یوسف القراچه داغی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إجازة لعلیّ بن کاظم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إجازة لمحمّد بن یوسف بن عماد میر فتّاح الحسنیّ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إجازة للسیّد محمّد مهدی 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سنعرض لک نماذجا من تلک الإجازات الّتی وصلنا بعضها بخطّه طاب ثراه فی آخر هذه الترجمة</w:t>
      </w:r>
      <w:r>
        <w:rPr>
          <w:rFonts w:eastAsia="IRNazanin" w:cs="IRNazanin"/>
          <w:color w:val="111111"/>
          <w:sz w:val="28"/>
          <w:szCs w:val="28"/>
          <w:rtl w:val="true"/>
          <w:lang w:bidi="fa-IR"/>
        </w:rPr>
        <w:t>.</w:t>
      </w:r>
    </w:p>
    <w:p>
      <w:pPr>
        <w:pStyle w:val="Heading4"/>
        <w:numPr>
          <w:ilvl w:val="3"/>
          <w:numId w:val="1"/>
        </w:numPr>
        <w:rPr/>
      </w:pPr>
      <w:bookmarkStart w:id="32" w:name="__RefHeading___Toc4327876_3804643083"/>
      <w:bookmarkStart w:id="33" w:name="_Toc13"/>
      <w:bookmarkEnd w:id="32"/>
      <w:r>
        <w:rPr>
          <w:rtl w:val="true"/>
        </w:rPr>
        <w:t>عصره</w:t>
      </w:r>
      <w:r>
        <w:rPr>
          <w:rtl w:val="true"/>
        </w:rPr>
        <w:t>:</w:t>
      </w:r>
      <w:bookmarkEnd w:id="33"/>
    </w:p>
    <w:p>
      <w:pPr>
        <w:pStyle w:val="BookText"/>
        <w:rPr/>
      </w:pPr>
      <w:r>
        <w:rPr>
          <w:rFonts w:ascii="IRNazanin" w:hAnsi="IRNazanin" w:eastAsia="IRNazanin"/>
          <w:color w:val="111111"/>
          <w:sz w:val="28"/>
          <w:sz w:val="28"/>
          <w:szCs w:val="28"/>
          <w:rtl w:val="true"/>
          <w:lang w:bidi="fa-IR"/>
        </w:rPr>
        <w:t>تمتاز الفترة الزمنیّة الّتی عاصرها شیخنا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بکونها ملیئة بالحوادث المرّة المؤلمة، فنجد التهاجم الروسی و الترکی و الأفغانی علی بلاد إیران و حاکمیّة محمود أفغان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و استئصال الشیعة و محاولة إبادتهم بواسطة التهاجم من أبناء العامّة علیهم آنذاک، و بعدها سلطنة نادر شاه و تحمیل معاهدة دشت مغان لتضعیف المذهب الشیعی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رواج المذهب الأخباری مع تموّج الهجرة و التعصّب و الانزواء من أعلام علماء الشیعة و مفکّریهم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رشد و انتشار التصوّف و اللادینیّة باسم الدین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غیره من الزوابع الّتی ینتظر من فقیدنا الوحید طاب ثراه أن یقف أمامها کی یحیی شریعة سیّد الرسل صلّی اللّه علیه و آله و سلّم، و من ثمَّ أن یجد الحلّ المناسب مع ما تملیه</w:t>
      </w:r>
    </w:p>
    <w:p>
      <w:pPr>
        <w:pStyle w:val="BookText"/>
        <w:rPr/>
      </w:pPr>
      <w:r>
        <w:rPr>
          <w:rFonts w:ascii="IRNazanin" w:hAnsi="IRNazanin" w:eastAsia="IRNazanin"/>
          <w:color w:val="111111"/>
          <w:sz w:val="28"/>
          <w:sz w:val="28"/>
          <w:szCs w:val="28"/>
          <w:rtl w:val="true"/>
          <w:lang w:bidi="fa-IR"/>
        </w:rPr>
        <w:t>علیه وظیفته الشرعیّة من الطرق العلاجیّة لأمثال هذه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أوّل قدم رفعها فی هذا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یحدّثنا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غادر مسقط رأسه، بعد أن فقد عماده و والده المعظّم، کی یترک آنذاک المحیط المشوب بالفتن و الاضطرابات، و لیستغلّ هجرته لکی یعطی المجتمع الشیعی جملة من مؤلّفاته و رسائله فی باب الإمامة و غیره، و لیربّی ثلّة طاهرة من الأعلام یبثّهم فی بلاد الإسلام، کی یحفظوا المعتقدات الشیعیّة، و یسعوا فی حمایة مبادی الدین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یجد مترجمنا طاب ثراه الأرضیّة المساعدة للعودة إلی بلده إیران یتوجّه إلی بلدة 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تعدّ آنذاک معقلا مهمّا للأخباریین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یلبث هناک ثلاثین سنة یسبغ فیها رعایته و عنایته العلمیّة، و یدفع خلالها الخطر الکبیر المتوجّه إلی العالم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تفریغ المذهب من القدرة العقلیّة و التفکّر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حکّ تهمة الجمود و التحجّر اللتین و سمت بهما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ذاک یهاجر مجدّدنا مجدّدا إلی کربلاء کی یرعی و یحنو علی حوزتها العلمیّة، لیبدأ جهادا جدیدا و بشکل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یغفل شیخنا طاب ثراه عن خطر رسوخ فکرة التصوّف و استغلال وساطة بعض جهّال الطائفة من قبل هذه الفرقة، ممّا حدی به إلی إرسال ولده الأرشد العالم المجتهد الآقا محمّد علی لإطفاء هذه الغائلة الّتی تمرکزت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کرمانشاه و حوالیها، فکان ذلک الشبل جدیرا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 کفاءة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بالقیام بهذه المهمّة الصعبة، و لا غرابة، إذ تربّی فی ذلک الحضن الطاهر، و رعی من ذلک الأب الکبیر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سنرجع للحدیث عنه و ما قام به من خدمات و مساعی جمیلة فی هذا الباب فی مقدّماتنا لکتبه إن شاء اللّه تعالی</w:t>
      </w:r>
      <w:r>
        <w:rPr>
          <w:rFonts w:eastAsia="IRNazanin" w:cs="IRNazanin"/>
          <w:color w:val="111111"/>
          <w:sz w:val="28"/>
          <w:szCs w:val="28"/>
          <w:rtl w:val="true"/>
          <w:lang w:bidi="fa-IR"/>
        </w:rPr>
        <w:t>.</w:t>
      </w:r>
      <w:bookmarkStart w:id="34" w:name="pg2526_25233"/>
    </w:p>
    <w:p>
      <w:pPr>
        <w:pStyle w:val="Heading4"/>
        <w:numPr>
          <w:ilvl w:val="3"/>
          <w:numId w:val="1"/>
        </w:numPr>
        <w:rPr/>
      </w:pPr>
      <w:bookmarkStart w:id="35" w:name="__RefHeading___Toc4327878_3804643083"/>
      <w:bookmarkStart w:id="36" w:name="_Toc14"/>
      <w:bookmarkEnd w:id="34"/>
      <w:bookmarkEnd w:id="35"/>
      <w:r>
        <w:rPr>
          <w:rtl w:val="true"/>
        </w:rPr>
        <w:t>نزوله بلدة بهبهان</w:t>
      </w:r>
      <w:bookmarkEnd w:id="36"/>
    </w:p>
    <w:p>
      <w:pPr>
        <w:pStyle w:val="BookText"/>
        <w:rPr/>
      </w:pPr>
      <w:r>
        <w:rPr>
          <w:rFonts w:ascii="IRNazanin" w:hAnsi="IRNazanin" w:eastAsia="IRNazanin"/>
          <w:color w:val="111111"/>
          <w:sz w:val="28"/>
          <w:sz w:val="28"/>
          <w:szCs w:val="28"/>
          <w:rtl w:val="true"/>
          <w:lang w:bidi="fa-IR"/>
        </w:rPr>
        <w:t xml:space="preserve">الّذی یظهر ممّا أفاده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شیخنا طاب ثراه بعد أن هاجر من أصفهان إلی النجف الأشرف، و تزوّد من معین تلک الحوزة الطاهرة علما و عملا، و استفاد من محضر أساتذة الفن آنذاک، و صاهر أستاذه السیّد محمّد الطباطبائی علی ابنته، کرّ راجعا إلی 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لبث هناک ما یزید علی ثلاثین سنة، و من هنا اکتسب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البهبهانی و اشتهر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القول، أنّ مبدأ ذیاع صیته العلمی و مقامه الفقهی إلی الأطراف و الأکناف کان خلال توقّفه فی هذه البلدة الّتی أقام فیها، بالإضافة إلی دوره التربوی فی إرشاد العوام و تربیة الطّلاب، مع مساعیه الحثیثة و الجادّة فی التألیف و التصنیف، إلّا أنّ روحه العالیة و صدره الموّاج بالعلوم و الفنون لم یسمحا له بالبقاء أکثر من ذلک فی تلک البلدة، لذا کرّ راجعا إلی بلدة کربلاء المقدّسة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4327880_3804643083"/>
      <w:bookmarkStart w:id="38" w:name="_Toc15"/>
      <w:bookmarkEnd w:id="37"/>
      <w:r>
        <w:rPr>
          <w:rtl w:val="true"/>
        </w:rPr>
        <w:t>هجرته إلی کربلاء</w:t>
      </w:r>
      <w:bookmarkEnd w:id="38"/>
    </w:p>
    <w:p>
      <w:pPr>
        <w:pStyle w:val="BookText"/>
        <w:rPr/>
      </w:pPr>
      <w:r>
        <w:rPr>
          <w:rFonts w:ascii="IRNazanin" w:hAnsi="IRNazanin" w:eastAsia="IRNazanin"/>
          <w:color w:val="111111"/>
          <w:sz w:val="28"/>
          <w:sz w:val="28"/>
          <w:szCs w:val="28"/>
          <w:rtl w:val="true"/>
          <w:lang w:bidi="fa-IR"/>
        </w:rPr>
        <w:t xml:space="preserve">یحدّثنا المرحوم العلّامة المامقانی فی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المصنّف، فیقول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قطن مدّة بهبهان، فلمّا استکمل علی ید والده انتقل إلی العراق فورد النجف الأشرف و حضر مجلس بحث مدرّس ذلک الوقت فلم یجده کاملا، فانتقل إلی کربلاء المشرّفة، و هی یومئذ مجمع الأخباریّین، و رئیسهم یومئذ الشیخ یوسف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فحضر بحثه أیّاما، ثمَّ وقف یوما فی الصحن الشریف و نادی بأعلی</w:t>
      </w:r>
    </w:p>
    <w:p>
      <w:pPr>
        <w:pStyle w:val="BookText"/>
        <w:rPr/>
      </w:pPr>
      <w:r>
        <w:rPr>
          <w:rFonts w:ascii="IRNazanin" w:hAnsi="IRNazanin" w:eastAsia="IRNazanin"/>
          <w:color w:val="111111"/>
          <w:sz w:val="28"/>
          <w:sz w:val="28"/>
          <w:szCs w:val="28"/>
          <w:rtl w:val="true"/>
          <w:lang w:bidi="fa-IR"/>
        </w:rPr>
        <w:t>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حجّة اللّه علیکم، فاجتمعوا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أنّ الشیخ یوسف یمکّننی من منبره و یأمر تلامذته أن یحضروا تحت منبری، فأخبروا الشیخ یوسف بذلک، و حیث أنّه یومئذ کان عادلا عن مذهب الأخباریّة خائفا من إظهار ذلک من جهّالهم طابت نفسه بالإجابة </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یعدّ هذا مبدأ تحوّل عظیم فی تأریخ التشیّع، إذا اتّفق الجلّ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نقل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لو لا هذه الحرکة المبارکة و الهجرة العلمیّة لکان الیوم مسیر الفقه الشیعی و تأریخ الاجتهاد و الاستنباط بشکل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یحدّثنا تلمیذ المترجم المولی الحائری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الهجرة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یخطر بخاطره الشریف الارتحال منها إلی بعض البلدان تغیّر الدهر و تنکّد الزمان، فرأی الإمام علیه السّلام فی المنام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أرضی لک أن تخرج من بلدی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فجزم العزم علی الإقامة بذلک النادی، و قد کانت بلدان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المشهدین الشریفین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مملوءة قبل قدومه من معاشر الأخباریّین، بل و من جاهلیهم و القاصرین، حتّی أنّ الرجل منهم کان إذا أراد حمل کتاب من کتب فقهائنا رضی اللّه عنهم حمله مع مندیل، و قد أخلی اللّه البلاد منهم ببرکة قدومه و اهتدی المتحیّرة فی الأحکام بأنوار 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کلّ من عاصره من المجتهدین، فإنّما أخذ من فوائده و استفاد من فرائده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تعدّ هذه الهجرة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لخدمات کبیرة و آثار عظیمة فی عالم الإسلام</w:t>
      </w:r>
      <w:r>
        <w:rPr>
          <w:rFonts w:eastAsia="IRNazanin" w:cs="IRNazanin"/>
          <w:color w:val="111111"/>
          <w:sz w:val="28"/>
          <w:szCs w:val="28"/>
          <w:rtl w:val="true"/>
          <w:lang w:bidi="fa-IR"/>
        </w:rPr>
        <w:t>.</w:t>
      </w:r>
      <w:bookmarkStart w:id="39" w:name="pg2526_25237"/>
    </w:p>
    <w:p>
      <w:pPr>
        <w:pStyle w:val="Heading4"/>
        <w:numPr>
          <w:ilvl w:val="3"/>
          <w:numId w:val="1"/>
        </w:numPr>
        <w:rPr/>
      </w:pPr>
      <w:bookmarkStart w:id="40" w:name="__RefHeading___Toc4327882_3804643083"/>
      <w:bookmarkStart w:id="41" w:name="_Toc16"/>
      <w:bookmarkEnd w:id="39"/>
      <w:bookmarkEnd w:id="40"/>
      <w:r>
        <w:rPr>
          <w:rtl w:val="true"/>
        </w:rPr>
        <w:t>أیادیه فی کربلاء</w:t>
      </w:r>
      <w:r>
        <w:rPr>
          <w:rtl w:val="true"/>
        </w:rPr>
        <w:t>:</w:t>
      </w:r>
      <w:bookmarkEnd w:id="41"/>
    </w:p>
    <w:p>
      <w:pPr>
        <w:pStyle w:val="BookText"/>
        <w:rPr/>
      </w:pPr>
      <w:r>
        <w:rPr>
          <w:rFonts w:ascii="IRNazanin" w:hAnsi="IRNazanin" w:eastAsia="IRNazanin"/>
          <w:color w:val="111111"/>
          <w:sz w:val="28"/>
          <w:sz w:val="28"/>
          <w:szCs w:val="28"/>
          <w:rtl w:val="true"/>
          <w:lang w:bidi="fa-IR"/>
        </w:rPr>
        <w:t xml:space="preserve">لعلّ أکبر خدمة و أنفس موقف یمکن أن یختصّ به وحیدنا الوحید رحمه اللّه فی کربلاء هو تطهیره الفقه الشیعی و السیر الاجتهادی من براثن التحجّر و الجمود، و إنقاذ المذهب من الانحراف و الاعوجاج الفکری الّذی أولده بعض الأخباریین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یمکن أن تعدّ هذه العطیّة الإلهیّة و المنحة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وجود شیخنا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منحصرة بأیّام حیاته طاب ثراه، إذ أنّ دوره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باعتراف جمیع المؤرّخین و أصحاب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استغلّ من قبل کلّ من عاصره و لحق به علی مدّ التاریخ متنعّما بما بسطه علی موائده العلمیّة من علوم عقلیّة و 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 أعاظم مشایخ علماء الدین المبین، و کبار الفقهاء و المحدّثین، تنتهی سلسلة أسانید أکثر العلماء ممّن جاء من بعده و إلی الآن به، بل سلسلة تتلمذ جمیع المشاهیر إلیه، و لذا لقّب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 الکلّ فی الکلّ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إلی ذلک فقد وفّق شیخنا المترجم إلی تربیة باقة من المجتهدین، کلّ واحد منهم یعدّ آیة و نجما یتلألأ فی أفق تأریخ الفقاهة و یفیض فی ساحته، کما و قد وفّق إلی تألیف رسائل و کتب تعدّ 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نقل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ما کتب فی ذلک الفنّ فی تلک البرهة، و سنأتی لعدّها و تعدادها قریبا</w:t>
      </w:r>
      <w:r>
        <w:rPr>
          <w:rFonts w:eastAsia="IRNazanin" w:cs="IRNazanin"/>
          <w:color w:val="111111"/>
          <w:sz w:val="28"/>
          <w:szCs w:val="28"/>
          <w:rtl w:val="true"/>
          <w:lang w:bidi="fa-IR"/>
        </w:rPr>
        <w:t>.</w:t>
      </w:r>
      <w:bookmarkStart w:id="42" w:name="pg2526_25239"/>
    </w:p>
    <w:p>
      <w:pPr>
        <w:pStyle w:val="Heading4"/>
        <w:numPr>
          <w:ilvl w:val="3"/>
          <w:numId w:val="1"/>
        </w:numPr>
        <w:rPr/>
      </w:pPr>
      <w:bookmarkStart w:id="43" w:name="__RefHeading___Toc4327884_3804643083"/>
      <w:bookmarkStart w:id="44" w:name="_Toc17"/>
      <w:bookmarkEnd w:id="42"/>
      <w:bookmarkEnd w:id="43"/>
      <w:r>
        <w:rPr>
          <w:rtl w:val="true"/>
        </w:rPr>
        <w:t>ما قیل فیه</w:t>
      </w:r>
      <w:r>
        <w:rPr>
          <w:rtl w:val="true"/>
        </w:rPr>
        <w:t>:</w:t>
      </w:r>
      <w:bookmarkEnd w:id="44"/>
    </w:p>
    <w:p>
      <w:pPr>
        <w:pStyle w:val="BookText"/>
        <w:rPr/>
      </w:pPr>
      <w:r>
        <w:rPr>
          <w:rFonts w:ascii="IRNazanin" w:hAnsi="IRNazanin" w:eastAsia="IRNazanin"/>
          <w:color w:val="111111"/>
          <w:sz w:val="28"/>
          <w:sz w:val="28"/>
          <w:szCs w:val="28"/>
          <w:rtl w:val="true"/>
          <w:lang w:bidi="fa-IR"/>
        </w:rPr>
        <w:t>لعلّنا لا نغالی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قلّ بین علماء و أعاظم الشیعة من وفّق لأن تتّفق علیه أنظار معاصریه فی جمیع أبعاده العلمیّة و العلمیّة، و توفیقاته الوافرة فی ترویج الدین الحنیف و تحکیم مبانی الشرع المنیف، و لنذکر لک نزرا یسیرا ممّا قیل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المحقّق الشیخ عبد النبی القزوینی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ممّن عاصر المصنّف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محمّد باقر بن أکمل الدین محمّد الأصبهانی البهبهانی الحائری، فقیه العصر، فرید الدهر، وحید الزمان، صدر فضلاء الزمان، صاحب الفکر العمیق و الذهن الدقیق، صرف عمره فی اقتناء العلوم و اکتساب المعارف و الدقائق و تکمیل النفس بالعلم بالحقائق، فحباه اللّه باستعداده علوما لم یسبقه أحد فیها من المتقدّمین و لا یلحقه أحد من المتأخّرین إلّا بالأخذ منه، و رزقه من العلوم ما لا عین رأت و لا اذن سمعت، لدقّتها و رقّتها و وقوعها موقعها، فصار الیوم إماما فی العلم، و رکنا للدین، و شمسا لإزالة ظلم الجهالة، و بدرا لإزاحة دیاجیر البطالة، فاستنارت الطلبة بعلومه، و استضاء الطالبون بفهومه، و استطارت فتاواه کشعاع الشمس فی الإشراق، مدّ اللّه ظلاله علی العالمین، و أمدّهم بجود وجوده إلی یوم الدین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زهده فی الدنیا أنّه دام ظلّه اختار السدد السنیّة و الأعتاب العلیّة، فجعل مجاورتها له أقرّ من رقدة الوسنان، و أثلج من شربة الظمآن، و أذهب للجوع من رغفة الجوعان، فصیّر ترابها ذرورا لباصرته، و ماءها المملّح الزعاق أحلی من السکّر لذائقته، و همهمة الزوّار مقویّة لسامعته، و رمالها و جنادلها مفرشا لیّنا للامسته، و ریاح أعراق الزائرین غالیة لشامّته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أراد عراق العجم و خراسان، و شیراز و أصبهان، لحملوه إلیهم بأجفان العیون، و جعلوه إماما یرکنون</w:t>
      </w:r>
    </w:p>
    <w:p>
      <w:pPr>
        <w:pStyle w:val="BookText"/>
        <w:rPr/>
      </w:pPr>
      <w:r>
        <w:rPr>
          <w:rFonts w:ascii="IRNazanin" w:hAnsi="IRNazanin" w:eastAsia="IRNazanin"/>
          <w:color w:val="111111"/>
          <w:sz w:val="28"/>
          <w:sz w:val="28"/>
          <w:szCs w:val="28"/>
          <w:rtl w:val="true"/>
          <w:lang w:bidi="fa-IR"/>
        </w:rPr>
        <w:t xml:space="preserve">إلیه و إلیه یوفضون، یصرفون له نقودهم و جواهرهم و یجعلون أنفسهم فداء له ظاهرهم و باطنهم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یحدّثنا تلمیذه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عنه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أستادنا العالم العلّامة، و شیخنا الفاضل الفهّامة، دام علاه، و مدّ فی بقاه، علّامة الزمان، و نادرة الدوران، عالم عرّیف، و فاضل غطریف، ثقة و أیّ ثقة، رکن الطائفة و عمادها، و أورع نسّاکها و عبّادها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ملّة سیّد البشر فی رأس المائة الثانیة عشر، باقر العلم و نحریره، و الشاهد علیه تحقیقه و تحبیره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فنون الفضل فانعقدت علیه الخناصر، و حوی صنوف العلم فانقاد له المعاصر، و الحریّ أن لا یمدحه مثلی و یصف، فلعمری تفنی فی نعته القراطیس و الصحف، لأنّه المولی الّذی لم یکتحل عین الزمان له بنظیر، کما یشهد له من شهد فضائله، و لا ینبّئک مثل خبیر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تلمیذه السیّد محمّد مهدی بحر العلوم فی بعض إجازاته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شیخنا العالم العامل العلّامة، و استاذنا الحبر الفاضل الفهّامة، المحقّق النحریر، و الفقیه العدیم النظیر، بقیّة العلماء، و نادرة الفضلاء، مجدّد ما اندرس من طریقة الفقهاء، و معید ما انمحی من آثار القدماء، البحر الزاخر، و الإمام الباهر، الشیخ محمّد باقر ابن الشیخ الأجلّ الأکمل و المولی الأعظم الأبجل المولی محمّد أکمل أعزّه اللّه تعالی برحمته الکاملة و ألطافه السابغة الشاملة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عنه تلمیذه الشیخ أسد اللّه الکاظمی الدزفولی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الأستاذ الأعظم، شیخنا العظیم الشأن، الساطع البرهان، کشّاف قواعد</w:t>
      </w:r>
    </w:p>
    <w:p>
      <w:pPr>
        <w:pStyle w:val="BookText"/>
        <w:rPr/>
      </w:pPr>
      <w:r>
        <w:rPr>
          <w:rFonts w:ascii="IRNazanin" w:hAnsi="IRNazanin" w:eastAsia="IRNazanin"/>
          <w:color w:val="111111"/>
          <w:sz w:val="28"/>
          <w:sz w:val="28"/>
          <w:szCs w:val="28"/>
          <w:rtl w:val="true"/>
          <w:lang w:bidi="fa-IR"/>
        </w:rPr>
        <w:t xml:space="preserve">الإسلام، حلّال معاقد الأحکام، مهذّب قوانین الشریعة ببدائع أفکاره الباهرة، مقرّب أفانین الملّة المنیعة بفرائد إنظاره الزاهرة، مبیّن طوائف العلوم الدینیّة بعوالی تحقیقاته الرائقة، مزین صحائف رسوم الشریعة بلئالی تدقیقاته الفائقة، فرید الخلائق، واحد الآفاق فی محاسن الفضائل و مکارم الأخلاق، مبید شبهات اولی الزیغ و اللجاج و الشقاق علی الإطلاق، بمقالید تبیانه الفاتحة للأغلاق، الخالیة عن الإغلاق، الفائز بالسباق، الفائت عن اللحاق، شیخی و أستاذی فی مبادی تحصیلی، و شیخ مشایخی، المحقّق الثالث و العلّامة الثانی، الزاهد العابد، الأتقی الأورع، العالم العلم الربّانی، مولانا آقا محمّد باقر بن محمّد أکمل الأصفهانی الحائری، الشهیر بالبهبهانی قدّس اللّه نفسه الزکیّة، و أحلّه فی الفردوس فی المنازل العلیّة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الدربندی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العلّامة مجدّد رسوم المذهب علی رأس المائة الثانیة عشر، و کان أتقی الناس فی زمانه، و فی هذه الأزمنة، و أورعهم و أزهدهم، و بالجملة، کان فی الحقیقة عالما عاملا بعلمه، متأسّیا مقتدیا بالأئمّة الهداة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فلأجل خلوص نیّته و صفاء عزیمته وصل کلّ من تلمذ عنده مرتبة الاجتهاد، و صاروا أعلاما فی الدین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المقال</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جلالة الشیخ الوحید واضحة علی کلّ أحد، و یکفی فی تبحّره و فضله فی أغلب العلوم تألیفه و تلمیذه، إذ الأوّل مصدر التألیف لکلّ من تأخّر، و الثانی منتشر فی البلاد و صار کلّ من تلامیذه من أساطین العلماء و جهابذة الفضلاء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رأس المائة الثالثة عشرة من الهجرة المقدّسة المطهّرة کما أنّ سمیّه المتقدّم </w:t>
      </w:r>
      <w:r>
        <w:rPr>
          <w:rStyle w:val="FootnoteAnchor"/>
          <w:rtl w:val="true"/>
        </w:rPr>
        <w:footnoteReference w:id="30"/>
      </w:r>
      <w:r>
        <w:rPr>
          <w:rFonts w:ascii="IRNazanin" w:hAnsi="IRNazanin" w:eastAsia="IRNazanin"/>
          <w:color w:val="111111"/>
          <w:sz w:val="28"/>
          <w:sz w:val="28"/>
          <w:szCs w:val="28"/>
          <w:rtl w:val="true"/>
          <w:lang w:bidi="fa-IR"/>
        </w:rPr>
        <w:t xml:space="preserve">کان مروّجا علی رأس المائة قبلها، و قد بقی إلی الثامنة من الثالثة کما قد بقی الأوّل إلی العاشرة من الثانیة، و کذلک ارتفعت بمیامن تأییداته المتینة أغبرة آراء الأخباریّة المندرجة فی أهواء الجاهلیّة الأخری من ذلک البین، کما انطمست آثار البدع الالوفیة المنتشرة من جماعة الملاحدة و الغلاة و الصوفیّة ببرکات انتصار المتقدّم منهما لأخبار المصطفین علیهم السّلام، و قد سمّی کلاهما أیضا بآیة اللّه تعالی من غایة الکرامة غبّ ما سمّی بهذه المنقبة إمامنا العلّامة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 علینا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الآقا محمّد باقر بن ملّا محمّد أکمل البهبهانی، علّامة الدهر و نادرة الزمان، فاضل بلا ثانی، مشیّد الأصول و الفروع و المبانی، عالم صمدانی، و عیلم ربّانی، سائر مسالک الألفاظ و المعانی، مقتدی الأقاصی و الأعالی و الأدانی، صاحب الکرامات الباهرة، و المؤسّس فی الأصول و الفروع و الرجال، محطّ رحال الرجال، الوحید الفرید فی التحقیق و التدقیق و التفریع و الاستدلال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عرّف لنا جمع من تلامذة العلّامة الوحید و تبحّرهم فی بعض الفنون، ما ترجمته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یستکشف ممّا ذکرنا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ذو فنون عدیدة، له ید فی کلّ واحد منها، ممّا سبّب أن یکون تلامذته مظهرا لواحد أو أکثر من تلک الفنون،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تأسیسه للقواعد الکلیّة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کثرة إجراء الأدلّة</w:t>
      </w:r>
    </w:p>
    <w:p>
      <w:pPr>
        <w:pStyle w:val="BookText"/>
        <w:rPr/>
      </w:pPr>
      <w:r>
        <w:rPr>
          <w:rFonts w:ascii="IRNazanin" w:hAnsi="IRNazanin" w:eastAsia="IRNazanin"/>
          <w:color w:val="111111"/>
          <w:sz w:val="28"/>
          <w:sz w:val="28"/>
          <w:szCs w:val="28"/>
          <w:rtl w:val="true"/>
          <w:lang w:bidi="fa-IR"/>
        </w:rPr>
        <w:t xml:space="preserve">فی المسائل حتّی تصبح المسألة بدیهیّة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تفریعه الفروع و إحاطته الفقهیّة بطل صندید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الوحید و الرجالی الکبیر المولی علی بن عبد اللّه العلیاری التبریزی بعد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البهبهانی معلم البشر محمّد باقر بن محمّد أکمل، کان هذا العالم الربّانی، و العلم العامل الصمدانی، و القمر الطالع الشعشعانی، مروّج المذهب و الدین، و معلّم الفقهاء المجتهدین، أصفهانی الأصل، ثمَّ الفارسی البهبهانی قدّس اللّه نفسه و طیّب رمسه، روّج فی رأس العام الثانی عشر بناء علی ما روی الفاضل النیسابوری </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العلّامة النوری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 و أجلّهم و أکملهم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الأکبر مروّج الدین فی رأس المائة الثالثة عشر المولی محمّد باقر الأصبهانی البهبهانی الحائری، قال الشیخ عبد النبی القزوینی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الترجمة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العصر إلی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و لا یصل إلیه مکثنا و قدرتنا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من العجز عن شرح فضله هو الکلام الفصل اللائق بحاله، و المیرزا محمّد الأخباری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هو علیه من العداوة و البغضاء 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رجاله بکلام تکاد ترجف منه السماوات و تهتزّ منه الأرض، عدّه فی الفائدة الحادیة عشر من الباب الرابع عشر من کتابه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دوائر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الّذین رأوا القائم الحجّة عجّل اللّه تعالی فرجه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آغا بزرک الطهرانی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أیّ، فإنّ المترجم لمّا ورد کربلاء المشرّفة قام بأعباء الخلافة، و نهض بتکالیف الزعامة و الإمامة، و نشر العلم بها، و اشتهر تحقیقه و تدقیقه، و بانت للملإ مکانته السامیة، و علمه الکثیر، فانتهت إلیه زعامة الشیعة و رئاسة المذهب الإمامی فی سائر الأقطار، و خضع له جمیع علماء عصره، و شهدوا له بالتفوّق و العظمة و الجلالة، و لذا اعتبر مجدّدا للمذهب علی رأس هذه المائة، و قد ثنیت له الوسادة زمنا، استطاع خلاله أن یعمل و یفید، و قد کانت فی أیّامه للأخباریّة صولة، و کانت لجهّالهم جولة، و فلتأت و جسارات و تظاهرات أشیر إلی بعضها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المترجم آنذاک موقفا جلیلا کسر به شوکتهم، فهو الوحید من شیوخ الشیعة الأعاظم الناهضین بنشر العلم و المعارف، و له فی التاریخ صحیفة بیضاء یقف علیها المتتبّع فی غصون کتب السیر و معاجم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أنّا و إن أطنبنا فی ذکره و أشدنا به، فلا شکّ أنّا غیر واصفیه علی حقیقته، و قد أحسن و أنصف الشیخ عبد النبیّ القزوینی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اعترف بالعجز عن توصیفه و تعریفه، فکیف یوصف، و بأیّ مدح یمدح من خرج من معهد درسه جمع من أعلام الدین، و عباقرة الأمّة، و شیوخ الطائفة، و نوامیس الملّة، کالمولی مهدی النراقی، و المیرزا أبی القاسم القمّی، و المیرزا مهدی الشهرستانی، و السیّد محسن الأعرجی، و الشیخ أبی علی الحائری، و الشیخ الأکبر جعفر کاشف الغطاء، و السیّد مهدی بحر العلوم، و الشیخ أسد اللّه الدزفولی، و السیّد أحمد الطالقانی النجفی، و السیّد محمّد باقر حجّة الإسلام الأصفهانی، و غیرهم من مشیّدی دعائم الدین، و مقوّمی أرکان المذهب أعلی اللّه درجاتهم جمیعا </w:t>
      </w:r>
      <w:r>
        <w:rPr>
          <w:rStyle w:val="FootnoteAnchor"/>
          <w:rtl w:val="true"/>
        </w:rPr>
        <w:footnoteReference w:id="3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45" w:name="pg2526_25253"/>
    </w:p>
    <w:p>
      <w:pPr>
        <w:pStyle w:val="Heading4"/>
        <w:numPr>
          <w:ilvl w:val="3"/>
          <w:numId w:val="1"/>
        </w:numPr>
        <w:rPr/>
      </w:pPr>
      <w:bookmarkStart w:id="46" w:name="__RefHeading___Toc4327886_3804643083"/>
      <w:bookmarkStart w:id="47" w:name="_Toc18"/>
      <w:bookmarkEnd w:id="45"/>
      <w:bookmarkEnd w:id="46"/>
      <w:r>
        <w:rPr>
          <w:rtl w:val="true"/>
        </w:rPr>
        <w:t>اهتمام معاصریه و تلامذته و من تأخّر عنه بنظریّاته طاب ثراه</w:t>
      </w:r>
      <w:r>
        <w:rPr>
          <w:rtl w:val="true"/>
        </w:rPr>
        <w:t>:</w:t>
      </w:r>
      <w:bookmarkEnd w:id="47"/>
    </w:p>
    <w:p>
      <w:pPr>
        <w:pStyle w:val="BookText"/>
        <w:rPr/>
      </w:pPr>
      <w:r>
        <w:rPr>
          <w:rFonts w:ascii="IRNazanin" w:hAnsi="IRNazanin" w:eastAsia="IRNazanin"/>
          <w:color w:val="111111"/>
          <w:sz w:val="28"/>
          <w:sz w:val="28"/>
          <w:szCs w:val="28"/>
          <w:rtl w:val="true"/>
          <w:lang w:bidi="fa-IR"/>
        </w:rPr>
        <w:t>لقد سلف أن ذکرنا کلام المرحوم الشیخ عبد النبی القزوینی فی حقّ المؤلّف،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فحباه اللّه باستعداده علوما لم یسبقه أحد فیها من المتقدّمین و لا یلحقه أحد من المتأخّرین إلّا بالأخذ منه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علی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فنون الفضل، فانعقدت علیه الخناصر، و حوی صنوف العلم فانقاد له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نبّه علی فوائد و تحقیقات لم یتفطّن بها المتقدّمون، و لم یعثر علیها المتأخّرون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شیخنا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خضع له جمیع علماء عصره، و شهدوا له بالتفوّق و العظمة و الجلالة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تآلیفه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التألیف لکلّ من تأخّر، 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فی البلاد، و صار کلّ من تلامیذه من أساطین العلماء، و جهابذة الفضلاء، قد سلّط کلّ فی أحد علومه، و أعلی منهم المولی الفرید بحر العلوم، فإنّه قد خاض فی الجمیع، و لذا سمّی بهذا اللقب قدّس اللّه أرواحهم الشریفة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غیرهم فی غیرها، و لا یسعنا عدّها و تعدادها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أطلق جمع من أعلامنا رضوان اللّه علیهم علی شیخنا المترجم طاب</w:t>
      </w:r>
    </w:p>
    <w:p>
      <w:pPr>
        <w:pStyle w:val="BookText"/>
        <w:rPr/>
      </w:pPr>
      <w:r>
        <w:rPr>
          <w:rFonts w:ascii="IRNazanin" w:hAnsi="IRNazanin" w:eastAsia="IRNazanin"/>
          <w:color w:val="111111"/>
          <w:sz w:val="28"/>
          <w:sz w:val="28"/>
          <w:szCs w:val="28"/>
          <w:rtl w:val="true"/>
          <w:lang w:bidi="fa-IR"/>
        </w:rPr>
        <w:t xml:space="preserve">رمسه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علی الحائری </w:t>
      </w:r>
      <w:r>
        <w:rPr>
          <w:rStyle w:val="FootnoteAnchor"/>
          <w:rtl w:val="true"/>
        </w:rPr>
        <w:footnoteReference w:id="42"/>
      </w:r>
      <w:r>
        <w:rPr>
          <w:rFonts w:ascii="IRNazanin" w:hAnsi="IRNazanin" w:eastAsia="IRNazanin"/>
          <w:color w:val="111111"/>
          <w:sz w:val="28"/>
          <w:sz w:val="28"/>
          <w:szCs w:val="28"/>
          <w:rtl w:val="true"/>
          <w:lang w:bidi="fa-IR"/>
        </w:rPr>
        <w:t xml:space="preserve">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أرجوزته الرجالیّة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الدربندی طاب ثراه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الخوانساری،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روضاته</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المیرزا حسین النوری </w:t>
      </w:r>
      <w:r>
        <w:rPr>
          <w:rStyle w:val="FootnoteAnchor"/>
          <w:rtl w:val="true"/>
        </w:rPr>
        <w:footnoteReference w:id="46"/>
      </w:r>
      <w:r>
        <w:rPr>
          <w:rFonts w:ascii="IRNazanin" w:hAnsi="IRNazanin" w:eastAsia="IRNazanin"/>
          <w:color w:val="111111"/>
          <w:sz w:val="28"/>
          <w:sz w:val="28"/>
          <w:szCs w:val="28"/>
          <w:rtl w:val="true"/>
          <w:lang w:bidi="fa-IR"/>
        </w:rPr>
        <w:t xml:space="preserve">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bookmarkStart w:id="48" w:name="pg2526_25257"/>
    </w:p>
    <w:p>
      <w:pPr>
        <w:pStyle w:val="BookText"/>
        <w:rPr/>
      </w:pPr>
      <w:bookmarkEnd w:id="48"/>
      <w:r>
        <w:rPr>
          <w:rFonts w:ascii="IRNazanin" w:hAnsi="IRNazanin" w:eastAsia="IRNazanin"/>
          <w:color w:val="111111"/>
          <w:sz w:val="28"/>
          <w:sz w:val="28"/>
          <w:szCs w:val="28"/>
          <w:rtl w:val="true"/>
          <w:lang w:bidi="fa-IR"/>
        </w:rPr>
        <w:t xml:space="preserve">العلّامة العلیاری،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المامقانی،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تنقیحه</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المحدّث القمّی،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فوائده</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الطهرانی،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غیرهم فی غیرها</w:t>
      </w:r>
      <w:r>
        <w:rPr>
          <w:rFonts w:eastAsia="IRNazanin" w:cs="IRNazanin"/>
          <w:color w:val="111111"/>
          <w:sz w:val="28"/>
          <w:szCs w:val="28"/>
          <w:rtl w:val="true"/>
          <w:lang w:bidi="fa-IR"/>
        </w:rPr>
        <w:t>.</w:t>
      </w:r>
    </w:p>
    <w:p>
      <w:pPr>
        <w:pStyle w:val="Heading4"/>
        <w:numPr>
          <w:ilvl w:val="3"/>
          <w:numId w:val="1"/>
        </w:numPr>
        <w:rPr/>
      </w:pPr>
      <w:bookmarkStart w:id="49" w:name="__RefHeading___Toc4327888_3804643083"/>
      <w:bookmarkStart w:id="50" w:name="_Toc19"/>
      <w:bookmarkEnd w:id="49"/>
      <w:r>
        <w:rPr>
          <w:rtl w:val="true"/>
        </w:rPr>
        <w:t>فضائله الأخلاقیّة و ملکاته النفسیّة</w:t>
      </w:r>
      <w:r>
        <w:rPr>
          <w:rtl w:val="true"/>
        </w:rPr>
        <w:t>:</w:t>
      </w:r>
      <w:bookmarkEnd w:id="50"/>
    </w:p>
    <w:p>
      <w:pPr>
        <w:pStyle w:val="BookText"/>
        <w:rPr/>
      </w:pPr>
      <w:r>
        <w:rPr>
          <w:rFonts w:ascii="IRNazanin" w:hAnsi="IRNazanin" w:eastAsia="IRNazanin"/>
          <w:color w:val="111111"/>
          <w:sz w:val="28"/>
          <w:sz w:val="28"/>
          <w:szCs w:val="28"/>
          <w:rtl w:val="true"/>
          <w:lang w:bidi="fa-IR"/>
        </w:rPr>
        <w:t>إنّ من حظی بلقیا شیخنا المصنّف طاب رمسه انبهر بما امتاز به من سلوکیّة رائعة، و خلوص تام و طهارة بیّنة، نلمسها ممّا کتبوه عنه، فهاک العلّامة الدربندی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أتقی الناس فی زمانه و فی هذه الأزمنة، و أورعهم و أزهدهم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کان فی الحقیقة عالما عاملا بعلمه، متأسّیا مقتدیا بالأئمّة الهداة صلوات اللّه علیهم، فلأجل خلوص نیّته و صفاء عزیمته، وصل کلّ من تلمّذ عنده مرتبة الاجتهاد، و صاروا أعلاما فی الدین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کلّ ما امتاز به من عظمة و غور علمی و فکری، نجده أمام النصّ و أئمة الهدی سلام اللّه علیهم ذلیلا خاضعا، کما قال لنا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یراعی فی أواخر عمرة ما کانت عادته علیه من زیارة قبر الحسین علیه السّلام، و إحراز غایة الآداب، و نهایة الخضوع و الخشوع، حتّی أنّه کان یسقط علی وجهه فی مخلع النعال،</w:t>
      </w:r>
    </w:p>
    <w:p>
      <w:pPr>
        <w:pStyle w:val="BookText"/>
        <w:rPr/>
      </w:pPr>
      <w:r>
        <w:rPr>
          <w:rFonts w:ascii="IRNazanin" w:hAnsi="IRNazanin" w:eastAsia="IRNazanin"/>
          <w:color w:val="111111"/>
          <w:sz w:val="28"/>
          <w:sz w:val="28"/>
          <w:szCs w:val="28"/>
          <w:rtl w:val="true"/>
          <w:lang w:bidi="fa-IR"/>
        </w:rPr>
        <w:t xml:space="preserve">و تقبیل الأرض الطاهرة، و یسقط فی أبواب الحرم الحسینی الشریف علی وجهه و یقبّلها و یدخل الحرم، و کان أیضا یراعی تلک الآداب و یفعل هذه الأفعال عند زیارة أبی الفضل العبّاس علیه السّلام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ینقل لنا نظیر هذه الواقعة التنکابنی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خضوعه و خشوعه فی حریم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الطریف أنّه مع کلّ تذلّله و خضوعه بین یدی ربّه و أولیائه، نراه أبیّ النفس إمام أصحاب القدرة و السلطان، غنیّا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اهدی له طاب ثراه من حاکم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 محمّد خان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قرآنا نفیسا بخطّ المیرزا النیریزی، مرصّعا بالیاقوت و الألماس و الزبرجد و غیرها من الأحجار الکریمة، فما کان من شیخنا إلّا أن صدّ رسل السلطان و أنّبهم علی ترصیعهم و تذهیبهم للقرآن الکریم، و أمر ببیع هذه الجواهر و الأحجار الکریمة و توزیع ثمنها بین الطّلاب و المساکین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طاب ثراه یجلّ نفسه عن موائد السلاطین و لا یعتنی بصولتهم الظاهریّة، مع ما تراه خاضعا فی ساحة أئمّة الهدی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فحسب، بل یعدّ سرّ توفیقه و علّة ترقّیه من جهة تجلیله و تبجیله للعلماء، 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کتب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سئل عن سرّ وصوله إلی هذه المرتبة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من نفسی شیئا أستحقّ به ذلک، إلّا أنّی لم أکن أحسب نفسی شیئا أبدا، و لا أجعلها فی عداد الموجودین، و لم آل جهدا فی تعظیم العلماء و المحمدة علی أسمائهم، و لم أترک الاشتغال بتحصیل العلم مهما استطعت، و قدّمته علی کلّ مرحلة دائما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بحقّ نزیها منزّها من جمیع التعلّقات الظاهریّة و الزخارف الدنیویّة، یقول لنا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الأحوال</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یصرف همّته العالیة طوال عمره الشریف لجمع الزخارف الدنیویّة الّتی کان یسع أقلّ تلامذته تحصیلها، بل لم یکن أصلا عارفا بأنواع المسکوکات المختلفة من دراهم و دنانیر و الفرق بینها، بل استولی علیه الابتعاد عن أصحاب المقامات الدنیویّة، و أبعد نفسه الشریفة عن معاشرة أولئک إلی مصاحبة الفقراء و المساکین، حیث کان یلتذّ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سنة من السنین خاطت له زوجته جبّة فی أیّام الشتاء فلبسها طاب ثراه، و لمّا حان وقت المغرب ذهب إلی المسجد، فبادر أحد الأراذل إلی تعریة رأسه و مشی حافیا إلی الشیخ رحمه اللّه و عرض له حاله و عریته و برودة الهواء، و طلب منه أن یفکّر له بتغطیة رأسه، فسأله الشیخ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معک سکّین؟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فأخذ السکّین منه و قصّ أحد کمّیه و أعطاه إیّاه،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الکمّ وضعه علی رأسک هذه اللیلة کی أجد لک حلّا غدا، و عند عودته إلی البیت رأت زوجته أنّ جبّته بدون الکمّ، فتأثّرت منه، حیث أنّها قضت مدّة طویلة لتهیئة هذه الجبّة فأنقصها بقطع کمّها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 نتیجة هذا النوع من الورع و التقوی و التنزّه عن المادّیات کان له الأثر فی تقویته الروحیّة و تعالیه فی الکمالات المعنویّة، بحیث أنّ المیرزا محمّد الأخباری عدّه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دوائر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عداد من حظی بلقیا إمام العصر و الزمان أرواحنا فداه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مطّلعا علی ما فی ضمائر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لنا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العالم الثقة السیّد عبد الکریم بن السیّد زین العابدین اللاهیجی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حین تحصیلنا للعلوم الدینیّة فی العتبات المقدّسة فی أواخر زمان المرحوم البهبهانی رحمه اللّه،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شیخوخته و کبر سنّه قد استعفی من التدریس لما کان ینتابه من الفتور و الضعف، فکان تلامذته یدرسون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درس یدرّس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السطوح، و کنا عدّة أشخاص نتشرّف، تیمّنا و تبرّکا بحضور درسه، و صادف أن احتلمت فی المنام یوما ممّا سبّب أن تفوتنی صلاة الصبح، فحلّ وقت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أبادر بحضور الدرس کی لا یفوتنی ثمَّ أذهب للاغتسال فی الحمّام، فحضرت مجلس الدرس قبل أن یشرّفه شیخنا الأستاد، و بعد أن حلّ فیه نظر ببشر و ابتهاج إلی أطراف المجلس، و فجأة ظهرت علیه آثار الهمّ و الغمّ و تغیّر وجهه الشریف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قد عطّل الدرس اذهبوا إلی بیوتکم، فقام التلامیذ واحدا واحدا و غادروا مجلس الدرس، و عندما أردت القیام 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و حیث فرغ المجلس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تحت البساط الّذی أنت جالس علیه مقدارا من المال خذه و اذهب و اغتسل و لا تحضر بعد هذا فی أمثال هذه المجالس و أنت مجنب، فأخذت المال متعجّبا و ذهبت إلی الحمّام و اغتسلت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أنّ أمثال هذه التوفیقات لا تتأتّی هیّنا، و لا تحصل لأحد جزافا، إذ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أحسب نفسی شیئا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الّذی یثبت هذه الدعوی ترکه لمنصب التدریس و الإفتاء فی أواخر عمره و إیکاله إلی تلامذته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المعروف، أنّه کان یتقبّل أحیانا الأجرة علی العبادات کالصلاة و الصوم، و یؤدّیها و یدفع الأجرة إلی بعض تلامذته، لیدفع عنهم العسرة و یفرّغهم للدراسة و التسلّح بسلاح العلم للدفاع عن حیاض الدین</w:t>
      </w:r>
      <w:r>
        <w:rPr>
          <w:rFonts w:eastAsia="IRNazanin" w:cs="IRNazanin"/>
          <w:color w:val="111111"/>
          <w:sz w:val="28"/>
          <w:szCs w:val="28"/>
          <w:rtl w:val="true"/>
          <w:lang w:bidi="fa-IR"/>
        </w:rPr>
        <w:t>.</w:t>
      </w:r>
      <w:bookmarkStart w:id="51" w:name="pg2526_25265"/>
    </w:p>
    <w:p>
      <w:pPr>
        <w:pStyle w:val="Heading4"/>
        <w:numPr>
          <w:ilvl w:val="3"/>
          <w:numId w:val="1"/>
        </w:numPr>
        <w:rPr/>
      </w:pPr>
      <w:bookmarkStart w:id="52" w:name="__RefHeading___Toc4327890_3804643083"/>
      <w:bookmarkStart w:id="53" w:name="_Toc20"/>
      <w:bookmarkEnd w:id="51"/>
      <w:bookmarkEnd w:id="52"/>
      <w:r>
        <w:rPr>
          <w:rtl w:val="true"/>
        </w:rPr>
        <w:t>معاصروه</w:t>
      </w:r>
      <w:r>
        <w:rPr>
          <w:rtl w:val="true"/>
        </w:rPr>
        <w:t>:</w:t>
      </w:r>
      <w:bookmarkEnd w:id="53"/>
    </w:p>
    <w:p>
      <w:pPr>
        <w:pStyle w:val="BookText"/>
        <w:rPr/>
      </w:pPr>
      <w:r>
        <w:rPr>
          <w:rFonts w:ascii="IRNazanin" w:hAnsi="IRNazanin" w:eastAsia="IRNazanin"/>
          <w:color w:val="111111"/>
          <w:sz w:val="28"/>
          <w:sz w:val="28"/>
          <w:szCs w:val="28"/>
          <w:rtl w:val="true"/>
          <w:lang w:bidi="fa-IR"/>
        </w:rPr>
        <w:t>لا بأس بالتعرّض إلی جمع من مفاخر أعلامنا الّذین عاصروا المرحوم الوحید، نذکر بعض المشاهیر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الآقا محمّد باقر الهزارجریبی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عبد النبی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جعفر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الآقا السیّد حسین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 مهدی الفتونی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یوسف البحرانی،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الآقا السیّد حسین الخوانساری،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الشموس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تقی الدورقی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محمّد باقر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عبد الباقی الخاتون‌آبادی الأصفهانی</w:t>
      </w:r>
      <w:r>
        <w:rPr>
          <w:rFonts w:eastAsia="IRNazanin" w:cs="IRNazanin"/>
          <w:color w:val="111111"/>
          <w:sz w:val="28"/>
          <w:szCs w:val="28"/>
          <w:rtl w:val="true"/>
          <w:lang w:bidi="fa-IR"/>
        </w:rPr>
        <w:t>.</w:t>
      </w:r>
    </w:p>
    <w:p>
      <w:pPr>
        <w:pStyle w:val="Heading4"/>
        <w:numPr>
          <w:ilvl w:val="3"/>
          <w:numId w:val="1"/>
        </w:numPr>
        <w:rPr/>
      </w:pPr>
      <w:bookmarkStart w:id="54" w:name="__RefHeading___Toc4327892_3804643083"/>
      <w:bookmarkStart w:id="55" w:name="_Toc21"/>
      <w:bookmarkEnd w:id="54"/>
      <w:r>
        <w:rPr>
          <w:rtl w:val="true"/>
        </w:rPr>
        <w:t>تلامذته</w:t>
      </w:r>
      <w:r>
        <w:rPr>
          <w:rtl w:val="true"/>
        </w:rPr>
        <w:t>:</w:t>
      </w:r>
      <w:bookmarkEnd w:id="55"/>
    </w:p>
    <w:p>
      <w:pPr>
        <w:pStyle w:val="BookText"/>
        <w:rPr/>
      </w:pPr>
      <w:r>
        <w:rPr>
          <w:rFonts w:ascii="IRNazanin" w:hAnsi="IRNazanin" w:eastAsia="IRNazanin"/>
          <w:color w:val="111111"/>
          <w:sz w:val="28"/>
          <w:sz w:val="28"/>
          <w:szCs w:val="28"/>
          <w:rtl w:val="true"/>
          <w:lang w:bidi="fa-IR"/>
        </w:rPr>
        <w:t>تربّی فی مدرسة هذا الرجل العظیم مفاخر قلّ نظیرهم فی العصور المتأخّرة، یعدّ کلّ واحد منهم نجما لا معا فی سماء العلم و الفکر، یمثّل جانبا من ذاک البحر الموّاج الّذی کان یتمتّع به الأستاد، حیث تری أحدهم فقیها فطحلا، و ذاک أصولیّا فحلا أو رجالیّا فردا، منهم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شفیع الشوشتری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أحمد الطالقانی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المولی مهدی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مهدی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علی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أبو علی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أحمد العطّار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عبد الصمد الهمدانی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الآقا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الأکبر للوحید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عبّر عنه أبوه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شیخ البهائی عصرنا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المولی محمّد کاظم الهزارجریبی، الشهید فی حملة الوهّابیّین علی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المیرزا محمّد هادی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المیرزا مهدی بن هدایة اللّه بن طاهر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میرزا محمّد تقی القاضی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جواد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المیرزا أبو القاسم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محسن الأعرجی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محمّد حسین بن المیر عبد الباقی خاتون‌آبادی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أسد اللّه التستری الدزفولی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دلدار علی نصیرآبادی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الآقا عبد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الثانی للوحید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w:t>
      </w:r>
      <w:bookmarkStart w:id="56" w:name="pg2526_25270"/>
    </w:p>
    <w:p>
      <w:pPr>
        <w:pStyle w:val="BookText"/>
        <w:rPr/>
      </w:pPr>
      <w:bookmarkEnd w:id="56"/>
      <w:r>
        <w:rPr>
          <w:rFonts w:ascii="IRNazanin" w:hAnsi="IRNazanin" w:eastAsia="IRNazanin"/>
          <w:color w:val="111111"/>
          <w:sz w:val="28"/>
          <w:sz w:val="28"/>
          <w:szCs w:val="28"/>
          <w:rtl w:val="true"/>
          <w:lang w:bidi="fa-IR"/>
        </w:rPr>
        <w:t xml:space="preserve">السیّد میرزا یوسف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المولی أحمد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حسن الزنوزی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بن جمال الدین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 تقی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القصیر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الحاج محمّد إبراهیم الکلباسی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أحمد حسن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المولی عبد الجلیل الکرمانشاهی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حسین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 ملّا محمّد رضا الأسترآبادی</w:t>
      </w:r>
      <w:r>
        <w:rPr>
          <w:rFonts w:eastAsia="IRNazanin" w:cs="IRNazanin"/>
          <w:color w:val="111111"/>
          <w:sz w:val="28"/>
          <w:szCs w:val="28"/>
          <w:rtl w:val="true"/>
          <w:lang w:bidi="fa-IR"/>
        </w:rPr>
        <w:t>.</w:t>
      </w:r>
    </w:p>
    <w:p>
      <w:pPr>
        <w:pStyle w:val="Heading4"/>
        <w:numPr>
          <w:ilvl w:val="3"/>
          <w:numId w:val="1"/>
        </w:numPr>
        <w:rPr/>
      </w:pPr>
      <w:bookmarkStart w:id="57" w:name="__RefHeading___Toc4327894_3804643083"/>
      <w:bookmarkStart w:id="58" w:name="_Toc22"/>
      <w:bookmarkEnd w:id="57"/>
      <w:r>
        <w:rPr>
          <w:rtl w:val="true"/>
        </w:rPr>
        <w:t>تآلیفه القیّمة</w:t>
      </w:r>
      <w:r>
        <w:rPr>
          <w:rtl w:val="true"/>
        </w:rPr>
        <w:t>:</w:t>
      </w:r>
      <w:bookmarkEnd w:id="58"/>
    </w:p>
    <w:p>
      <w:pPr>
        <w:pStyle w:val="BookText"/>
        <w:rPr/>
      </w:pPr>
      <w:r>
        <w:rPr>
          <w:rFonts w:ascii="IRNazanin" w:hAnsi="IRNazanin" w:eastAsia="IRNazanin"/>
          <w:color w:val="111111"/>
          <w:sz w:val="28"/>
          <w:sz w:val="28"/>
          <w:szCs w:val="28"/>
          <w:rtl w:val="true"/>
          <w:lang w:bidi="fa-IR"/>
        </w:rPr>
        <w:t>تضاهی مؤلّفاته طاب ثراه المائة و ثلاثة، ما بین رسائل مختصرة و کتب مفصّلة، ندرجها مجملا معجمیا،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إبطال القیاس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إثبات التحسین و التقبیح العقلیّین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إجازات الوحید البهبهانی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الاجتهاد و الأخبار الاجتهاد و 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إجماع الضروری و النظری و حجیّة الشهرة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استحالة رؤیة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استحباب صلاة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أصول الإسلام و الإیمان و حکم الناصب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أجوبة المسائل الفقهیّة الخراسانیّة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أجوبة المسائل المتفرّقة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أصالة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أصالة الصحّة فی 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أصالة الصحّة و الفساد فی المعاملات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أصالة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الإفادة الجمالیّة العبادات المکروهة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بطلان عبادة الجاهل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تحریم الغناء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التحفة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عملیّة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التحفة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عملیّة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تعلیقة علی رجال المیرزا محمّد الأسترآبادی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تعلیقة علی منهج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تعلیقة علی نقد الرجال للتفریشی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التقریرات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تسمیة أولاد الأئمّة باسم الجائرین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الجبر و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الجمع بین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الجمع بین الفاطمیّتین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المعالم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المعالم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المعالم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الوجیزة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الحاشیة علی الحاشیة الخفریة علی شرح التجرید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الحاشیة علی الذخیرة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الحاشیة علی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الحاشیة علی تهذیب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الحاشیة علی حاشیة الملّا میرزا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الحاشیة علی دیباجة مفاتیح الشرائع الردّ علی مقدّمات مفاتیح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الحاشیة علی شرح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الحاشیة علی شرح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الحاشیة علی قوانین الأصول الحاشیة علی کفایة المقتصد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الحاشیة علی مجمع الفائدة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الحاشیة علی مدارک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الحاشیة علی مسالک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الحاشیة علی مقدّمة المعالم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الحاشیة علی منتهی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حجیّة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حجیّة الأدلّة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حجیّة الشهرة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حجیّة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حجیّة المفهوم بالأولویّة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حجیّة 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حجیّة ظواهر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الحقیقة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 الشرعی و تحدیده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العصیر العنبی و التمری و الزبیبی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خطاب المشافهة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الخمس و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الخمس و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الدماء المعفوّة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الردّ علی شبهات الأخباریّین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الفوائد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الوافی الحاشیة علی الوافی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تحریر مسائل مصابیح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یعرف الناجی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الصحیح 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صلاة الجمعة، استحبابها و نفی الوجوب العینی عنها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صیغ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الطهارة و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اعتداد رؤیة الهلال قبل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توقیفیّة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جواز العقد علی البنت الصغیرة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جواز تقلید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الأصولیّة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الفوائد الحائریّة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الفوائد الحائریّة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الرجالیّة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الفقهیّة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قاعدة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القرض بشرط المعاملة المحاباتیّة حیل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 و مقداره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کفر النواصب و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bookmarkStart w:id="59" w:name="pg2526_25280"/>
    </w:p>
    <w:p>
      <w:pPr>
        <w:pStyle w:val="BookText"/>
        <w:rPr/>
      </w:pPr>
      <w:bookmarkEnd w:id="59"/>
      <w:r>
        <w:rPr>
          <w:rFonts w:ascii="Amiri" w:hAnsi="Amiri" w:eastAsia="Amiri" w:cs="Amiri"/>
          <w:color w:val="111111"/>
          <w:sz w:val="28"/>
          <w:sz w:val="28"/>
          <w:szCs w:val="28"/>
          <w:rtl w:val="true"/>
          <w:lang w:bidi="ar-SA"/>
        </w:rPr>
        <w:t xml:space="preserve">المتاجر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مصابیح الظلام شرح مفاتیح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النقد و الانتخاب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النقض و الإبرام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p>
    <w:p>
      <w:pPr>
        <w:pStyle w:val="Heading4"/>
        <w:numPr>
          <w:ilvl w:val="3"/>
          <w:numId w:val="1"/>
        </w:numPr>
        <w:rPr/>
      </w:pPr>
      <w:bookmarkStart w:id="60" w:name="__RefHeading___Toc4327896_3804643083"/>
      <w:bookmarkStart w:id="61" w:name="_Toc23"/>
      <w:bookmarkEnd w:id="60"/>
      <w:r>
        <w:rPr>
          <w:rtl w:val="true"/>
        </w:rPr>
        <w:t>وفاته</w:t>
      </w:r>
      <w:r>
        <w:rPr>
          <w:rtl w:val="true"/>
        </w:rPr>
        <w:t>:</w:t>
      </w:r>
      <w:bookmarkEnd w:id="61"/>
    </w:p>
    <w:p>
      <w:pPr>
        <w:pStyle w:val="BookText"/>
        <w:rPr/>
      </w:pPr>
      <w:r>
        <w:rPr>
          <w:rFonts w:ascii="IRNazanin" w:hAnsi="IRNazanin" w:eastAsia="IRNazanin"/>
          <w:color w:val="111111"/>
          <w:sz w:val="28"/>
          <w:sz w:val="28"/>
          <w:szCs w:val="28"/>
          <w:rtl w:val="true"/>
          <w:lang w:bidi="fa-IR"/>
        </w:rPr>
        <w:t xml:space="preserve">یحدّثنا حفید العلّامة الوحید قدّس سرّه الآقا أحمد الکرمانشاهی عن تأریخ وفاة جدّه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عندما بلغ عمره الشریف التسعین، فی یوم التاسع و العشرین من شهر شوّال سنة ألف و مائتین و خمس من الهجرة النبویّة، حلّقت روحه الطاهرة إلی الجوار الربوبی، و تشرّف بالدفن علی أعتاب أقدام شهداء الطفّ، اللهمّ احشره و إیّانا معهم بمحمّد و آله صلوات اللّه علیهم أجمعین، و بسبب الإصلاحات و التعمیر الّذی حدث فی الروضة الحسینیّة المبارکة تشرّف بأن اتّفق دخول قبره الشریف داخل حرم سیّد الشهداء علیه السّلام، و نصبت علی جدار الرواق صخرة علامة لمرقده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الوالد</w:t>
      </w:r>
    </w:p>
    <w:p>
      <w:pPr>
        <w:pStyle w:val="BookText"/>
        <w:rPr/>
      </w:pPr>
      <w:r>
        <w:rPr>
          <w:rFonts w:ascii="IRNazanin" w:hAnsi="IRNazanin" w:eastAsia="IRNazanin"/>
          <w:color w:val="111111"/>
          <w:sz w:val="28"/>
          <w:sz w:val="28"/>
          <w:szCs w:val="28"/>
          <w:rtl w:val="true"/>
          <w:lang w:bidi="fa-IR"/>
        </w:rPr>
        <w:t xml:space="preserve">الماجد طاب ثراه </w:t>
      </w:r>
      <w:r>
        <w:rPr>
          <w:rStyle w:val="FootnoteAnchor"/>
          <w:rtl w:val="true"/>
        </w:rPr>
        <w:footnoteReference w:id="58"/>
      </w:r>
      <w:r>
        <w:rPr>
          <w:rFonts w:ascii="IRNazanin" w:hAnsi="IRNazanin" w:eastAsia="IRNazanin"/>
          <w:color w:val="111111"/>
          <w:sz w:val="28"/>
          <w:sz w:val="28"/>
          <w:szCs w:val="28"/>
          <w:rtl w:val="true"/>
          <w:lang w:bidi="fa-IR"/>
        </w:rPr>
        <w:t>فی تأریخ وفاته طاب رمسه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رفتی ز دنیا باقر علم</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یقول العلّامة المامقانی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عمّر و جاوز التسعین، و استولی علیه الضعف أخیرا، و ترک البحث و أمر بحر العلوم بالانتقال إلی النجف الأشرف و الاشتغال بالتدریس فیه، و أمر صهره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بالتدریس فی کربلاء المشرّفة، و توفّی فی کربلاء المشرّفة سنة ثمان و مائتین بعد الألف،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ستّ عشرة بعد الألف و مائتین، و دفن فی الرواق الشرقی المطهّر قریبا ممّا یلی أرجل الشهداء رضوان اللّه علیهم أجمعین </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یظهر من مجموع العبارتین المذکورتین قریبا أنّ الأقوال فی وفاته طاب رمسه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 کما نقلناه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نقله المرحوم المامقانی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 کما حدّثنا به المرحوم المحدّث القمّی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بخطّ السیّد صدر الدین العاملی و السیّد محمّد باقر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کلاهما تلمیذا الوحید البهبهانی رحمه اللّه أنّ وفاة ذلک العظیم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مائتین و ثمان کما نقله العلّامة النوری رحمه اللّه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أصحّ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حفیده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سنة</w:t>
      </w:r>
    </w:p>
    <w:p>
      <w:pPr>
        <w:pStyle w:val="BookText"/>
        <w:rPr/>
      </w:pP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أهل الدار أدری بما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 فقد أجاب الوحید رحمه اللّه دعوة ربّه فی کربلاء، ممّا أقرح جفون أولیائه، و أجری دموع أحبّائه، فرثاه جمع من تلامذته و أعزّائه، منهم ما حکاه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جفون لا تجفّ من الدموع و لم تعلق بها سنة الهجوع</w:t>
      </w:r>
    </w:p>
    <w:p>
      <w:pPr>
        <w:pStyle w:val="BookText"/>
        <w:rPr/>
      </w:pPr>
      <w:r>
        <w:rPr>
          <w:rFonts w:ascii="IRNazanin" w:hAnsi="IRNazanin" w:eastAsia="IRNazanin"/>
          <w:color w:val="111111"/>
          <w:sz w:val="28"/>
          <w:sz w:val="28"/>
          <w:szCs w:val="28"/>
          <w:rtl w:val="true"/>
          <w:lang w:bidi="fa-IR"/>
        </w:rPr>
        <w:t>لرزء شبّ فی الأحشاء نارا توقّد بین أحناء الضلوع</w:t>
      </w:r>
    </w:p>
    <w:p>
      <w:pPr>
        <w:pStyle w:val="BookText"/>
        <w:rPr/>
      </w:pPr>
      <w:r>
        <w:rPr>
          <w:rFonts w:ascii="IRNazanin" w:hAnsi="IRNazanin" w:eastAsia="IRNazanin"/>
          <w:color w:val="111111"/>
          <w:sz w:val="28"/>
          <w:sz w:val="28"/>
          <w:szCs w:val="28"/>
          <w:rtl w:val="true"/>
          <w:lang w:bidi="fa-IR"/>
        </w:rPr>
        <w:t>یکلّفنی الخلیّ له عزاء و ما أنا للعزا بالمستطیع</w:t>
      </w:r>
    </w:p>
    <w:p>
      <w:pPr>
        <w:pStyle w:val="BookText"/>
        <w:rPr/>
      </w:pPr>
      <w:r>
        <w:rPr>
          <w:rFonts w:ascii="IRNazanin" w:hAnsi="IRNazanin" w:eastAsia="IRNazanin"/>
          <w:color w:val="111111"/>
          <w:sz w:val="28"/>
          <w:sz w:val="28"/>
          <w:szCs w:val="28"/>
          <w:rtl w:val="true"/>
          <w:lang w:bidi="fa-IR"/>
        </w:rPr>
        <w:t>قضی من کان للإسلام سورا فهدّم جانب السور المنیع</w:t>
      </w:r>
    </w:p>
    <w:p>
      <w:pPr>
        <w:pStyle w:val="BookText"/>
        <w:rPr/>
      </w:pPr>
      <w:r>
        <w:rPr>
          <w:rFonts w:ascii="IRNazanin" w:hAnsi="IRNazanin" w:eastAsia="IRNazanin"/>
          <w:color w:val="111111"/>
          <w:sz w:val="28"/>
          <w:sz w:val="28"/>
          <w:szCs w:val="28"/>
          <w:rtl w:val="true"/>
          <w:lang w:bidi="fa-IR"/>
        </w:rPr>
        <w:t>و شیخ الکلّ مرجعهم جمیعا إلیه فی الأصول و فی الفروع</w:t>
      </w:r>
    </w:p>
    <w:p>
      <w:pPr>
        <w:pStyle w:val="BookText"/>
        <w:rPr/>
      </w:pPr>
      <w:r>
        <w:rPr>
          <w:rFonts w:ascii="IRNazanin" w:hAnsi="IRNazanin" w:eastAsia="IRNazanin"/>
          <w:color w:val="111111"/>
          <w:sz w:val="28"/>
          <w:sz w:val="28"/>
          <w:szCs w:val="28"/>
          <w:rtl w:val="true"/>
          <w:lang w:bidi="fa-IR"/>
        </w:rPr>
        <w:t>خلت منه ربوع العلم حتّی بکته عین هاتیک الربوع</w:t>
      </w:r>
    </w:p>
    <w:p>
      <w:pPr>
        <w:pStyle w:val="BookText"/>
        <w:rPr/>
      </w:pPr>
      <w:r>
        <w:rPr>
          <w:rFonts w:ascii="IRNazanin" w:hAnsi="IRNazanin" w:eastAsia="IRNazanin"/>
          <w:color w:val="111111"/>
          <w:sz w:val="28"/>
          <w:sz w:val="28"/>
          <w:szCs w:val="28"/>
          <w:rtl w:val="true"/>
          <w:lang w:bidi="fa-IR"/>
        </w:rPr>
        <w:t>بکاء کلّ تلمیذ و حبر من العلماء ذی شرف رفیع</w:t>
      </w:r>
    </w:p>
    <w:p>
      <w:pPr>
        <w:pStyle w:val="BookText"/>
        <w:rPr/>
      </w:pPr>
      <w:r>
        <w:rPr>
          <w:rFonts w:ascii="IRNazanin" w:hAnsi="IRNazanin" w:eastAsia="IRNazanin"/>
          <w:color w:val="111111"/>
          <w:sz w:val="28"/>
          <w:sz w:val="28"/>
          <w:szCs w:val="28"/>
          <w:rtl w:val="true"/>
          <w:lang w:bidi="fa-IR"/>
        </w:rPr>
        <w:t>بکوا أستاذهم طرّا، فأرّخ 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فات استاد الجمیع</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bookmarkStart w:id="62" w:name="pg2526_25286"/>
    </w:p>
    <w:p>
      <w:pPr>
        <w:pStyle w:val="Heading3"/>
        <w:numPr>
          <w:ilvl w:val="2"/>
          <w:numId w:val="1"/>
        </w:numPr>
        <w:rPr/>
      </w:pPr>
      <w:bookmarkStart w:id="63" w:name="__RefHeading___Toc4327898_3804643083"/>
      <w:bookmarkStart w:id="64" w:name="_Toc24"/>
      <w:bookmarkEnd w:id="62"/>
      <w:bookmarkEnd w:id="63"/>
      <w:r>
        <w:rPr>
          <w:rtl w:val="true"/>
        </w:rPr>
        <w:t>بین یدی الکتاب</w:t>
      </w:r>
      <w:bookmarkEnd w:id="64"/>
    </w:p>
    <w:p>
      <w:pPr>
        <w:pStyle w:val="Heading4"/>
        <w:numPr>
          <w:ilvl w:val="3"/>
          <w:numId w:val="1"/>
        </w:numPr>
        <w:rPr/>
      </w:pPr>
      <w:bookmarkStart w:id="65" w:name="__RefHeading___Toc4327900_3804643083"/>
      <w:bookmarkStart w:id="66" w:name="_Toc25"/>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یضمّ کتابنا الحاضر مجموعة من الرسائل الفقهیّة لعلّامتنا الوحید البهبهانی رحمه اللّه، و قد حقّقتها مؤسّستنا الّتی تنسب إلی العلّامة المجدّد قدّس سرّه، و الّتی تتبنّی تحقیق و نشر تراثه و إحیاء آثاره هو و من ینتسب إلیه من ذریّته، و ندرج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الرسائل الّتی أوردناها، مرتّبین لها علی ما هو متداول بین الفقهاء فی تبویب رسائلهم الفقهیة و کتبهم الفتوائیّة،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التقلید و الطهارة و الصلاة و </w:t>
      </w:r>
      <w:r>
        <w:rPr>
          <w:rFonts w:eastAsia="IRNazanin" w:cs="IRNazanin"/>
          <w:color w:val="111111"/>
          <w:sz w:val="28"/>
          <w:szCs w:val="28"/>
          <w:rtl w:val="true"/>
          <w:lang w:bidi="fa-IR"/>
        </w:rPr>
        <w:t>..</w:t>
      </w:r>
    </w:p>
    <w:p>
      <w:pPr>
        <w:pStyle w:val="Heading4"/>
        <w:numPr>
          <w:ilvl w:val="3"/>
          <w:numId w:val="1"/>
        </w:numPr>
        <w:rPr/>
      </w:pPr>
      <w:bookmarkStart w:id="67" w:name="__RefHeading___Toc4327902_3804643083"/>
      <w:bookmarkStart w:id="68" w:name="_Toc26"/>
      <w:bookmarkEnd w:id="67"/>
      <w:r>
        <w:rPr>
          <w:rtl w:val="true"/>
        </w:rPr>
        <w:t>أمّا النسخ الّتی اعتمدت فی تحقیق هذه الرسائل</w:t>
      </w:r>
      <w:r>
        <w:rPr>
          <w:rtl w:val="true"/>
        </w:rPr>
        <w:t xml:space="preserve">- </w:t>
      </w:r>
      <w:r>
        <w:rPr>
          <w:rtl w:val="true"/>
        </w:rPr>
        <w:t>حیث کانت متابعتنا لها إمّا مشافهة أو اعتمادا علی الفهارس</w:t>
      </w:r>
      <w:r>
        <w:rPr>
          <w:rtl w:val="true"/>
        </w:rPr>
        <w:t xml:space="preserve">- </w:t>
      </w:r>
      <w:r>
        <w:rPr>
          <w:rtl w:val="true"/>
        </w:rPr>
        <w:t>فهی</w:t>
      </w:r>
      <w:r>
        <w:rPr>
          <w:rtl w:val="true"/>
        </w:rPr>
        <w:t>:</w:t>
      </w:r>
      <w:bookmarkEnd w:id="68"/>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عدم جواز تقلید المیّت بلغ ما أحصینا من النسخ الخطیّة لها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فی المکتبات المختلفة، أو خلال الفهارس المطبوعة، و قد اخترنا منها أربع نسخ،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المکتبة الرضویّة فی مشهد تحت رقم </w:t>
      </w:r>
      <w:r>
        <w:rPr>
          <w:rFonts w:eastAsia="IRNazanin" w:cs="IRNazanin"/>
          <w:color w:val="111111"/>
          <w:sz w:val="28"/>
          <w:szCs w:val="28"/>
          <w:rtl w:val="true"/>
          <w:lang w:bidi="fa-IR"/>
        </w:rPr>
        <w:t>(</w:t>
      </w:r>
      <w:r>
        <w:rPr>
          <w:rFonts w:eastAsia="IRNazanin" w:cs="IRNazanin"/>
          <w:color w:val="111111"/>
          <w:sz w:val="28"/>
          <w:szCs w:val="28"/>
          <w:lang w:bidi="fa-IR"/>
        </w:rPr>
        <w:t>737610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فرج اللّه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المکتبة الرضویّة فی مشهد أیضا تحت رقم </w:t>
      </w:r>
      <w:r>
        <w:rPr>
          <w:rFonts w:eastAsia="IRNazanin" w:cs="IRNazanin"/>
          <w:color w:val="111111"/>
          <w:sz w:val="28"/>
          <w:szCs w:val="28"/>
          <w:rtl w:val="true"/>
          <w:lang w:bidi="fa-IR"/>
        </w:rPr>
        <w:t>(</w:t>
      </w:r>
      <w:r>
        <w:rPr>
          <w:rFonts w:eastAsia="IRNazanin" w:cs="IRNazanin"/>
          <w:color w:val="111111"/>
          <w:sz w:val="28"/>
          <w:szCs w:val="28"/>
          <w:lang w:bidi="fa-IR"/>
        </w:rPr>
        <w:t>9298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المکتبة العامّة فی بلدة ساری فی إیران تحت 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 فی 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مکتبة مدرسة الشهید مطهّری فی طهران تحت رقم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باقر الگلپایگانی سنة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حکم عبادة الجاهل بلغ ما أحصینا من النسخ الخطّیة لها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فی المکتبات المختلفة، و قد اخترنا منها أربع نسخ،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مکتبة آیة اللّه المامقانی، بخطّ محمّد إسماعیل بن محمّد زمان سنة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مکتبة جامعة طهران، تحت رقم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7707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المکتبة الرضویّة فی مشهد، تحت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فرج اللّه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المکتبة الرضویّة فی مشهد أیضا تحت رقم </w:t>
      </w:r>
      <w:r>
        <w:rPr>
          <w:rFonts w:eastAsia="IRNazanin" w:cs="IRNazanin"/>
          <w:color w:val="111111"/>
          <w:sz w:val="28"/>
          <w:szCs w:val="28"/>
          <w:rtl w:val="true"/>
          <w:lang w:bidi="fa-IR"/>
        </w:rPr>
        <w:t>(</w:t>
      </w:r>
      <w:r>
        <w:rPr>
          <w:rFonts w:eastAsia="IRNazanin" w:cs="IRNazanin"/>
          <w:color w:val="111111"/>
          <w:sz w:val="28"/>
          <w:szCs w:val="28"/>
          <w:lang w:bidi="fa-IR"/>
        </w:rPr>
        <w:t>7328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سعید رضوی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أصالة طهارة الأشیاء بلغ ما أحصینا من النسخ الخطّیة لها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و قد اخترنا منها خمس نسخ،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مکتبة آیة اللّه المامقانی بخطّ محمّد إسماعیل بن محمّد زمان سنة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مکتبة ملک فی طهران تحت 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المکتبة الرضویّة فی مشهد تحت رقم </w:t>
      </w:r>
      <w:r>
        <w:rPr>
          <w:rFonts w:eastAsia="IRNazanin" w:cs="IRNazanin"/>
          <w:color w:val="111111"/>
          <w:sz w:val="28"/>
          <w:szCs w:val="28"/>
          <w:rtl w:val="true"/>
          <w:lang w:bidi="fa-IR"/>
        </w:rPr>
        <w:t>(</w:t>
      </w:r>
      <w:r>
        <w:rPr>
          <w:rFonts w:eastAsia="IRNazanin" w:cs="IRNazanin"/>
          <w:color w:val="111111"/>
          <w:sz w:val="28"/>
          <w:szCs w:val="28"/>
          <w:lang w:bidi="fa-IR"/>
        </w:rPr>
        <w:t>9298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المکتبة الرضویّة فی مشهد أیضا تحت رقم </w:t>
      </w:r>
      <w:r>
        <w:rPr>
          <w:rFonts w:eastAsia="IRNazanin" w:cs="IRNazanin"/>
          <w:color w:val="111111"/>
          <w:sz w:val="28"/>
          <w:szCs w:val="28"/>
          <w:rtl w:val="true"/>
          <w:lang w:bidi="fa-IR"/>
        </w:rPr>
        <w:t>(</w:t>
      </w:r>
      <w:r>
        <w:rPr>
          <w:rFonts w:eastAsia="IRNazanin" w:cs="IRNazanin"/>
          <w:color w:val="111111"/>
          <w:sz w:val="28"/>
          <w:szCs w:val="28"/>
          <w:lang w:bidi="fa-IR"/>
        </w:rPr>
        <w:t>7195</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مکتبة الإلهیات مشهد تحت رقم </w:t>
      </w:r>
      <w:r>
        <w:rPr>
          <w:rFonts w:eastAsia="IRNazanin" w:cs="IRNazanin"/>
          <w:color w:val="111111"/>
          <w:sz w:val="28"/>
          <w:szCs w:val="28"/>
          <w:rtl w:val="true"/>
          <w:lang w:bidi="fa-IR"/>
        </w:rPr>
        <w:t>(</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علی المقصودی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حکم العصیر التمری و الزبیبی و قد حصلنا علی نسختین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مکتبة الإلهیات مشهد تحت رقم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المکتبة الرضویّة فی مشهد تحت رقم </w:t>
      </w:r>
      <w:r>
        <w:rPr>
          <w:rFonts w:eastAsia="IRNazanin" w:cs="IRNazanin"/>
          <w:color w:val="111111"/>
          <w:sz w:val="28"/>
          <w:szCs w:val="28"/>
          <w:rtl w:val="true"/>
          <w:lang w:bidi="fa-IR"/>
        </w:rPr>
        <w:t>(</w:t>
      </w:r>
      <w:r>
        <w:rPr>
          <w:rFonts w:eastAsia="IRNazanin" w:cs="IRNazanin"/>
          <w:color w:val="111111"/>
          <w:sz w:val="28"/>
          <w:szCs w:val="28"/>
          <w:lang w:bidi="fa-IR"/>
        </w:rPr>
        <w:t>7220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هاتین النسختین متشابهتان جدّا، و أکثر الظنّ أنّ إحداهما کانت أصلا و قد استنسخت الثانیة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رؤیة الهلال بلغ ما أحصینا من النسخ الخطّیة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فی ما وصلنا من فهارس المکتبات، و هذه النسخ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المکتبة الرضویّة فی مشهد تحت رقم </w:t>
      </w:r>
      <w:r>
        <w:rPr>
          <w:rFonts w:eastAsia="IRNazanin" w:cs="IRNazanin"/>
          <w:color w:val="111111"/>
          <w:sz w:val="28"/>
          <w:szCs w:val="28"/>
          <w:rtl w:val="true"/>
          <w:lang w:bidi="fa-IR"/>
        </w:rPr>
        <w:t>(</w:t>
      </w:r>
      <w:r>
        <w:rPr>
          <w:rFonts w:eastAsia="IRNazanin" w:cs="IRNazanin"/>
          <w:color w:val="111111"/>
          <w:sz w:val="28"/>
          <w:szCs w:val="28"/>
          <w:lang w:bidi="fa-IR"/>
        </w:rPr>
        <w:t>7219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مکتبة آیة اللّه المامقانی بخطّ محمّد إسماعیل بن محمّد زمان سنة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مکتبة آیة اللّه المامقانی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الإفادة الإجمالیة و لم نجد من هذه الرسالة فی المکتبات المختلفة إلّا نسخة واحدة، و هی الموجودة فی مکتبة مجلس الشوری الإسلامی فی طهران تحت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4097</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الجمع بین الفاطمیّتین و قد حصلنا من هذه الرسالة علی النسختین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المکتبة الرضویّة فی مشهد تحت رقم </w:t>
      </w:r>
      <w:r>
        <w:rPr>
          <w:rFonts w:eastAsia="IRNazanin" w:cs="IRNazanin"/>
          <w:color w:val="111111"/>
          <w:sz w:val="28"/>
          <w:szCs w:val="28"/>
          <w:rtl w:val="true"/>
          <w:lang w:bidi="fa-IR"/>
        </w:rPr>
        <w:t>(</w:t>
      </w:r>
      <w:r>
        <w:rPr>
          <w:rFonts w:eastAsia="IRNazanin" w:cs="IRNazanin"/>
          <w:color w:val="111111"/>
          <w:sz w:val="28"/>
          <w:szCs w:val="28"/>
          <w:lang w:bidi="fa-IR"/>
        </w:rPr>
        <w:t>7218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مکتبة الإلهیات فی مشهد تحت رقم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متعة الصغیرة بلغ ما أحصیناه لها من النسخ الخطّیة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فهارس المکتبات، و قد اخترنا منها أربع نسخ،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مکتبة المسجد الأعظم فی قم المقدّسة تحت رقم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حسن النوری، نسخت فی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مکتبة آیة اللّه المرعشی رحمه اللّه تحت رقم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3884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مکتبة الإلهیات طهران تحت رقم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الغنیّ بن عبد الصمد، سنة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مکتبة المسجد الأعظم فی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القرض بشرط المعاملة المحاباتیّة بلغ ما أحصینا من النسخ الخطّیة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لهذه الرسالة فی فهارس المکتبات، و قد اخترنا منها ثلاث نسخ،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مکتبة آیة اللّه المرعشی رحمه اللّه تحت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 فی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مکتبة آیة اللّه زنجانی فی قم المقدّسة تحت رقم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مهدی بن محمّد الکاشانی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المکتبة الرضویّة فی مشهد تحت رقم </w:t>
      </w:r>
      <w:r>
        <w:rPr>
          <w:rFonts w:eastAsia="IRNazanin" w:cs="IRNazanin"/>
          <w:color w:val="111111"/>
          <w:sz w:val="28"/>
          <w:szCs w:val="28"/>
          <w:rtl w:val="true"/>
          <w:lang w:bidi="fa-IR"/>
        </w:rPr>
        <w:t>(</w:t>
      </w:r>
      <w:r>
        <w:rPr>
          <w:rFonts w:eastAsia="IRNazanin" w:cs="IRNazanin"/>
          <w:color w:val="111111"/>
          <w:sz w:val="28"/>
          <w:szCs w:val="28"/>
          <w:lang w:bidi="fa-IR"/>
        </w:rPr>
        <w:t>7197</w:t>
      </w:r>
      <w:r>
        <w:rPr>
          <w:rFonts w:eastAsia="IRNazanin" w:cs="IRNazanin"/>
          <w:color w:val="111111"/>
          <w:sz w:val="28"/>
          <w:szCs w:val="28"/>
          <w:rtl w:val="true"/>
          <w:lang w:bidi="fa-IR"/>
        </w:rPr>
        <w:t>).</w:t>
      </w:r>
      <w:bookmarkStart w:id="69" w:name="pg2526_25295"/>
    </w:p>
    <w:p>
      <w:pPr>
        <w:pStyle w:val="BookText"/>
        <w:rPr/>
      </w:pPr>
      <w:bookmarkEnd w:id="69"/>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عدم صحّة المعاملات بلغ ما أحصینا من النسخ الخطیّة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قد اخترنا منها ثلاث،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مکتبة آیة اللّه المامقانی بخطّ محمّد إسماعیل بن محمّد زمان، سنة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المکتبة الرضویّة فی مشهد تحت رقم </w:t>
      </w:r>
      <w:r>
        <w:rPr>
          <w:rFonts w:eastAsia="IRNazanin" w:cs="IRNazanin"/>
          <w:color w:val="111111"/>
          <w:sz w:val="28"/>
          <w:szCs w:val="28"/>
          <w:rtl w:val="true"/>
          <w:lang w:bidi="fa-IR"/>
        </w:rPr>
        <w:t>(</w:t>
      </w:r>
      <w:r>
        <w:rPr>
          <w:rFonts w:eastAsia="IRNazanin" w:cs="IRNazanin"/>
          <w:color w:val="111111"/>
          <w:sz w:val="28"/>
          <w:szCs w:val="28"/>
          <w:lang w:bidi="fa-IR"/>
        </w:rPr>
        <w:t>9298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مکتبة المسجد الأعظم فی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الصحّة و الفساد فی المعاملات بلغ ما أحصینا من النسخ الخطّیة لها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اخترنا منها أربع نسخ،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مکتبة المسجد الأعظم فی قم المقدّسة تحت رقم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 فی سنة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مکتبة غرب همدان تحت 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 فی 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المکتبة الرضویّة فی مشهد تحت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فرج اللّه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مکتبة مدرسة الشهید مطهّری فی طهران تحت رقم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باقر الگلپایگانی سنة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70" w:name="__RefHeading___Toc4327904_3804643083"/>
      <w:bookmarkStart w:id="71" w:name="_Toc27"/>
      <w:bookmarkEnd w:id="70"/>
      <w:r>
        <w:rPr>
          <w:rtl w:val="true"/>
        </w:rPr>
        <w:t>منهجنا فی التحقیق</w:t>
      </w:r>
      <w:bookmarkEnd w:id="7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اعتمدنا فی تحقیق هذه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خطّة المؤسّسة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العمل الجماعی، و قد مرّت مراحل العمل بما یلی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أنیطت هذه المهمّة بکلّ من حجج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اللّه المحمّدی، و الشیخ رعد الجمیلی، و الشیخ مهدی هوشمند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مقابلة النسخ الخطّیة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تشکلّت لجنة للقیام بهذا العمل، و تألّفت من حجج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آیة اللهی، و الشیخ أحمد فراهی، و السیّد محمّد مهدی إمام، و السیّد محسن باقری، و السیّد محمّد باقری، و السیّد رحیم الحسینی، و السیّد محمّد الحسینی، و السیّد أحمد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الأحادیث و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توزّع العمل بهذه المهمّة بحسب الرسائل، و قام بذلک کلّ من حجج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النّجفی، و الشیخ علی آیة اللهی، و الشیخ محمّد علی أصفیائی، و الشیخ یوسف تقی زاده، و السیّد أحمد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المراجعة الأوّلیة و کشف المجاهیل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اعتمدنا فی هذه المرحلة علی کلّ من حجج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تقی الحسینی گرگانی، و السیّد حسن اللطیفی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بهذه المهمّة کلّ من حجج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علی أصفیائی، و الشیخ رعد الجمیلی، و الأخ الفاضل محمّد حسین رحیمیان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المراجعة النهائیّة و تقویم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آخر مرحلة من مراحل العمل فی تحقیق هذه المجموعة من الرسائل، و قد اوکلت المراجعة النهائیّة للنسخ المحقّقة لحجج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بهره‌مند، و السیّد تقی الحسینی گرگانی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الإشراف علی تحقیق هذه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مراحله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لحجة الإسلام الشیخ عبد اللّه المحمّدی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درّهم و علیه أجرهم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إذ نشکر اللّه سبحانه و تعالی أن وفّقنا و العاملین لإخراج هذه الرسائل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حدّ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حلقة مفقودة فی سلسلة الدراسات الفقهیّة، لما تبرزه من عمق و تطوّر فی الفکر الفقهی لفقیدنا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تتشرّف المؤسّسة بالانتساب إلیه، و یعدّ سفرنا هذا باکورة ما أصدرنا له قدّس سرّه من الکتب الفقهیّة، بعد أن نشرنا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مجمع الفائدة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مذعنین سلفا بوجود نواقص و زلّات، آملین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یسعفونا أبناء الفضیلة العلماء الأعلام بإرشاداتهم و ملاحظاتهم، شاکرین لهم و للإخوة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منتسبین أو مرشدین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قدّموه لإخراج هذه الرسائل بهذه الحلّة القشیبة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الموفّق لما فیه خیر الدارین، و هو یهدی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المقدّسة عید الغدیر، ذی حجة الحرام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المیر السیّد محمّد الیثربی الکاشانی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bookmarkStart w:id="72" w:name="pg2526_25305"/>
    </w:p>
    <w:p>
      <w:pPr>
        <w:pStyle w:val="BookText"/>
        <w:rPr/>
      </w:pPr>
      <w:bookmarkEnd w:id="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 w:name="__RefHeading___Toc4327906_3804643083"/>
      <w:bookmarkStart w:id="74" w:name="_Toc28"/>
      <w:bookmarkEnd w:id="73"/>
      <w:r>
        <w:rPr>
          <w:rtl w:val="true"/>
        </w:rPr>
        <w:t>رسالة فی عدم جواز تقلید المیّت</w:t>
      </w:r>
      <w:bookmarkEnd w:id="7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به نستعین الحمد للّه ربّ العالمین، حمدا یرضی ربّنا منّا، و صلّی اللّه علی محمّد و آله الطاهرین، صلاة ترضیهم عنّا، و کلّ من ظلمنا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لا قول للمیتین، و إن لم یأتوا بشی‌ء مبین</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الأذلّ الأقلّ محمّد باقر بن محمّد أکمل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عدم القول للمجتهد المیّت، أنّ قوله لیس بحجّة، و قد ثبت فی علم أصول الدین أنّه لا حجّة إلّا قول اللّه تعالی و حججه المعصومین علیهم السّلام، و لذا اشترطنا العصمة فی الحجج، و ما جوّزنا حجّیة قول من لا یؤمن من الخطأ، و کون ذلک شعارا فی مذهبنا أظهر من الشمس، و أشهر من أن یخفی علی مخالفینا فی المذهب، فضلا عن الموافق</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أدلّتنا من العقل، و النقل </w:t>
      </w:r>
      <w:r>
        <w:rPr>
          <w:rStyle w:val="FootnoteAnchor"/>
          <w:rtl w:val="true"/>
        </w:rPr>
        <w:footnoteReference w:id="64"/>
      </w:r>
      <w:r>
        <w:rPr>
          <w:rFonts w:ascii="IRNazanin" w:hAnsi="IRNazanin" w:eastAsia="IRNazanin"/>
          <w:color w:val="111111"/>
          <w:sz w:val="28"/>
          <w:sz w:val="28"/>
          <w:szCs w:val="28"/>
          <w:rtl w:val="true"/>
          <w:lang w:bidi="fa-IR"/>
        </w:rPr>
        <w:t>علی ذلک متراکمة متظافرة، و من غایة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الظهور وافقنا جماعة من العامّة، سیّما الأشاعرة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قدیم الأیّام إلی حدیثه امتلأت الطوامیر، و توافرت الأساطیر من التشاجر بیننا و بین من خالفنا، حتّی أنّ أصحاب الأئمّة علیهم السّلام شغلهم و دیدنهم کان المخاصمة مع خصمهم فی ذلک، فی حضور الأئمّة علیهم السّلام و غیبتهم </w:t>
      </w:r>
      <w:r>
        <w:rPr>
          <w:rStyle w:val="FootnoteAnchor"/>
          <w:rtl w:val="true"/>
        </w:rPr>
        <w:footnoteReference w:id="66"/>
      </w:r>
      <w:r>
        <w:rPr>
          <w:rFonts w:ascii="IRNazanin" w:hAnsi="IRNazanin" w:eastAsia="IRNazanin"/>
          <w:color w:val="111111"/>
          <w:sz w:val="28"/>
          <w:sz w:val="28"/>
          <w:szCs w:val="28"/>
          <w:rtl w:val="true"/>
          <w:lang w:bidi="fa-IR"/>
        </w:rPr>
        <w:t xml:space="preserve">فی الأعصار و الأمصار، بل الأئمّة علیهم السّلام بأنفسهم کانوا یباحثون مع خصمهم </w:t>
      </w:r>
      <w:r>
        <w:rPr>
          <w:rStyle w:val="FootnoteAnchor"/>
          <w:rtl w:val="true"/>
        </w:rPr>
        <w:footnoteReference w:id="67"/>
      </w:r>
      <w:r>
        <w:rPr>
          <w:rFonts w:ascii="IRNazanin" w:hAnsi="IRNazanin" w:eastAsia="IRNazanin"/>
          <w:color w:val="111111"/>
          <w:sz w:val="28"/>
          <w:sz w:val="28"/>
          <w:szCs w:val="28"/>
          <w:rtl w:val="true"/>
          <w:lang w:bidi="fa-IR"/>
        </w:rPr>
        <w:t xml:space="preserve">، و یلقّنون الشیعة هذه المخاصمة، و یعجبهم مخاصمتهم فی ذلک </w:t>
      </w:r>
      <w:r>
        <w:rPr>
          <w:rStyle w:val="FootnoteAnchor"/>
          <w:rtl w:val="true"/>
        </w:rPr>
        <w:footnoteReference w:id="68"/>
      </w:r>
      <w:r>
        <w:rPr>
          <w:rFonts w:ascii="IRNazanin" w:hAnsi="IRNazanin" w:eastAsia="IRNazanin"/>
          <w:color w:val="111111"/>
          <w:sz w:val="28"/>
          <w:sz w:val="28"/>
          <w:szCs w:val="28"/>
          <w:rtl w:val="true"/>
          <w:lang w:bidi="fa-IR"/>
        </w:rPr>
        <w:t>، بل ربّما یظهر أنّ ذلک عمدة السبب فی الاحتیاج إلی الحجّة فی 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مضافا إلی ما ورد فی الکتاب و السنّة متواترا من النهی عن العمل بغیر العلم </w:t>
      </w:r>
      <w:r>
        <w:rPr>
          <w:rStyle w:val="FootnoteAnchor"/>
          <w:rtl w:val="true"/>
        </w:rPr>
        <w:footnoteReference w:id="69"/>
      </w:r>
      <w:r>
        <w:rPr>
          <w:rFonts w:ascii="IRNazanin" w:hAnsi="IRNazanin" w:eastAsia="IRNazanin"/>
          <w:color w:val="111111"/>
          <w:sz w:val="28"/>
          <w:sz w:val="28"/>
          <w:szCs w:val="28"/>
          <w:rtl w:val="true"/>
          <w:lang w:bidi="fa-IR"/>
        </w:rPr>
        <w:t xml:space="preserve">، و العمل بالظنّ </w:t>
      </w:r>
      <w:r>
        <w:rPr>
          <w:rStyle w:val="FootnoteAnchor"/>
          <w:rtl w:val="true"/>
        </w:rPr>
        <w:footnoteReference w:id="70"/>
      </w:r>
      <w:r>
        <w:rPr>
          <w:rFonts w:ascii="IRNazanin" w:hAnsi="IRNazanin" w:eastAsia="IRNazanin"/>
          <w:color w:val="111111"/>
          <w:sz w:val="28"/>
          <w:sz w:val="28"/>
          <w:szCs w:val="28"/>
          <w:rtl w:val="true"/>
          <w:lang w:bidi="fa-IR"/>
        </w:rPr>
        <w:t xml:space="preserve">و التقلید </w:t>
      </w:r>
      <w:r>
        <w:rPr>
          <w:rStyle w:val="FootnoteAnchor"/>
          <w:rtl w:val="true"/>
        </w:rPr>
        <w:footnoteReference w:id="71"/>
      </w:r>
      <w:r>
        <w:rPr>
          <w:rFonts w:ascii="IRNazanin" w:hAnsi="IRNazanin" w:eastAsia="IRNazanin"/>
          <w:color w:val="111111"/>
          <w:sz w:val="28"/>
          <w:sz w:val="28"/>
          <w:szCs w:val="28"/>
          <w:rtl w:val="true"/>
          <w:lang w:bidi="fa-IR"/>
        </w:rPr>
        <w:t>، و لا شکّ أنّ قول المجتهد داخل فی الکلّ، مع أنّ الأصل عدم حجّیة غیر العلم، سیّما فی الأحکام الشرعیّة، لما فیها من الخطر العظیم، و الضرر الجسیم، و لذا شدّدوا الأمر فیها غایة التشدید، و أکّدوا نهایة التأکید، کما لا یخفی علی المطّلع</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هذا الأصل مسلّم عند الأخباریّین و المجتهدین، حتّی عند العامّة أیضا </w:t>
      </w:r>
      <w:r>
        <w:rPr>
          <w:rStyle w:val="FootnoteAnchor"/>
          <w:rtl w:val="true"/>
        </w:rPr>
        <w:footnoteReference w:id="72"/>
      </w:r>
      <w:r>
        <w:rPr>
          <w:rFonts w:ascii="IRNazanin" w:hAnsi="IRNazanin" w:eastAsia="IRNazanin"/>
          <w:color w:val="111111"/>
          <w:sz w:val="28"/>
          <w:sz w:val="28"/>
          <w:szCs w:val="28"/>
          <w:rtl w:val="true"/>
          <w:lang w:bidi="fa-IR"/>
        </w:rPr>
        <w:t>، و لذا فی أصول الفقه فی کلّ موضع یتمسّکون بظنّ یطالبون بدلیل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حجّیته، و لذا لا یرضون بثبوت حجّیة الإجماع من الظواهر من الکتاب و السنّة، قائلین بأنّ الظواهر لیست بحجّة ظاهرا إلّا بدلیل، و لا دلیل سوی الإجماع فیلزم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لا یخفی علی الماهر فی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الحکم الشرعی لیس إلّا ما صدر من الشرع، و حکم المجتهد صادر عن المجتهد، و هو لیس بشرع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ظنّه أنّه من الشرع و الظنّ لا یغنی من الحقّ شیئا </w:t>
      </w:r>
      <w:r>
        <w:rPr>
          <w:rStyle w:val="FootnoteAnchor"/>
          <w:rtl w:val="true"/>
        </w:rPr>
        <w:footnoteReference w:id="73"/>
      </w:r>
      <w:r>
        <w:rPr>
          <w:rFonts w:ascii="IRNazanin" w:hAnsi="IRNazanin" w:eastAsia="IRNazanin"/>
          <w:color w:val="111111"/>
          <w:sz w:val="28"/>
          <w:sz w:val="28"/>
          <w:szCs w:val="28"/>
          <w:rtl w:val="true"/>
          <w:lang w:bidi="fa-IR"/>
        </w:rPr>
        <w:t>، مع أنّ أحکامهم فی الغالب متغایرة، بل متضادّة، فلا یکون المجموع مظنونا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حکم الشرع لیس إلّا منه </w:t>
      </w:r>
      <w:r>
        <w:rPr>
          <w:rStyle w:val="FootnoteAnchor"/>
          <w:rtl w:val="true"/>
        </w:rPr>
        <w:footnoteReference w:id="74"/>
      </w:r>
      <w:r>
        <w:rPr>
          <w:rFonts w:ascii="IRNazanin" w:hAnsi="IRNazanin" w:eastAsia="IRNazanin"/>
          <w:color w:val="111111"/>
          <w:sz w:val="28"/>
          <w:sz w:val="28"/>
          <w:szCs w:val="28"/>
          <w:rtl w:val="true"/>
          <w:lang w:bidi="fa-IR"/>
        </w:rPr>
        <w:t>، و ظنّ المجتهد لیس إلّا من المجتهد، مع کونه 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 أحدهما عین الآخر فاسد جزما، و کونه بحسب مکان الآخر شرعا و یکفی عوضا له یتوقّف علی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لا الدلیل علی کون ظنّ المجتهد حجّة للعامّی لکان مثل الظنّ الحاصل من الرمل و الأسطرلاب و قول الفاسق الجاهل و قول النساء، ألا تری أنّ النساء ربّما یحصل لهنّ ظنّ من قول النساء أقوی من الحاصل من قول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الرستاقی </w:t>
      </w:r>
      <w:r>
        <w:rPr>
          <w:rStyle w:val="FootnoteAnchor"/>
          <w:rtl w:val="true"/>
        </w:rPr>
        <w:footnoteReference w:id="75"/>
      </w:r>
      <w:r>
        <w:rPr>
          <w:rFonts w:ascii="IRNazanin" w:hAnsi="IRNazanin" w:eastAsia="IRNazanin"/>
          <w:color w:val="111111"/>
          <w:sz w:val="28"/>
          <w:sz w:val="28"/>
          <w:szCs w:val="28"/>
          <w:rtl w:val="true"/>
          <w:lang w:bidi="fa-IR"/>
        </w:rPr>
        <w:t>من قول الرستاقی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کما قال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لا قول له، فإن کان قوله حجّة فقوله لیس بحجّة، بل هو و سائر المجتهدین اتّفقوا فی ذلک، حتّی أنّهم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ادّعوا إجماع الشیعة علی ذلک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ضروریّات مذهب الشیعة </w:t>
      </w:r>
      <w:r>
        <w:rPr>
          <w:rStyle w:val="FootnoteAnchor"/>
          <w:rtl w:val="true"/>
        </w:rPr>
        <w:footnoteReference w:id="77"/>
      </w:r>
      <w:r>
        <w:rPr>
          <w:rFonts w:ascii="IRNazanin" w:hAnsi="IRNazanin" w:eastAsia="IRNazanin"/>
          <w:color w:val="111111"/>
          <w:sz w:val="28"/>
          <w:sz w:val="28"/>
          <w:szCs w:val="28"/>
          <w:rtl w:val="true"/>
          <w:lang w:bidi="fa-IR"/>
        </w:rPr>
        <w:t xml:space="preserve">، مثل حرمة العمل بالقیاس، بل و ربّما صار ذلک من خصائص الشیعة، لأنّ جمهور العامّة علی خلاف ذلک </w:t>
      </w:r>
      <w:r>
        <w:rPr>
          <w:rStyle w:val="FootnoteAnchor"/>
          <w:rtl w:val="true"/>
        </w:rPr>
        <w:footnoteReference w:id="78"/>
      </w:r>
      <w:r>
        <w:rPr>
          <w:rFonts w:ascii="IRNazanin" w:hAnsi="IRNazanin" w:eastAsia="IRNazanin"/>
          <w:color w:val="111111"/>
          <w:sz w:val="28"/>
          <w:sz w:val="28"/>
          <w:szCs w:val="28"/>
          <w:rtl w:val="true"/>
          <w:lang w:bidi="fa-IR"/>
        </w:rPr>
        <w:t>، من جهة قولهم بحلیّة القیاس و قیاسهم بین المیّت و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إذا حصل الظنّ من قول میّت فی نفس الحکم، حصل من قوله فی عدم حجیّة قوله جزما، بل بطریق أولی بمراتب شتّی، لو لم نقل بحصول الیقین 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فرض أنّ شاذّا من المتأخّرین منّا وافق العامّة، إذ لو لم یصر منشأ لزیادة اطمئنانهم بقول المعظم لم یصر منشأ للوهن </w:t>
      </w:r>
      <w:r>
        <w:rPr>
          <w:rStyle w:val="FootnoteAnchor"/>
          <w:rtl w:val="true"/>
        </w:rPr>
        <w:footnoteReference w:id="79"/>
      </w:r>
      <w:r>
        <w:rPr>
          <w:rFonts w:ascii="IRNazanin" w:hAnsi="IRNazanin" w:eastAsia="IRNazanin"/>
          <w:color w:val="111111"/>
          <w:sz w:val="28"/>
          <w:sz w:val="28"/>
          <w:szCs w:val="28"/>
          <w:rtl w:val="true"/>
          <w:lang w:bidi="fa-IR"/>
        </w:rPr>
        <w:t>أصلا، و علی فرض الوهن فالظنّ لا أقلّ منه، و علی فرض ارتفاع الظنّ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فی غایة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لا أقلّ منه، فمع الشّک و التردّد کیف یقلّد بغیر منشأ و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یرجّح قول الشاذّ البعید العهد المطابق للعامّة علی قول معظم القرباء العهد من صاحب الشرع </w:t>
      </w:r>
      <w:r>
        <w:rPr>
          <w:rStyle w:val="FootnoteAnchor"/>
          <w:rtl w:val="true"/>
        </w:rPr>
        <w:footnoteReference w:id="8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کلّه إذا کان الشاذّ حیّا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 أمّا إذا کان میّتا، فنزید علی جمیع ما ذکرنا، أنّ الاستناد إلی قوله مع کونه میّتا یتضمّن دورا محالا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المصنّف لعلّه بالنسبة إلی العامّی الجاهل الغافل الغیر المطّلع بأقوال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 من العلماء ما ذکرناه اشتهار الشمس، فاطّلاع العامّی علی فتوی المجتهد المیّت مع عدم اطّلاعه علی ما ذکرنا ممّا لا یکاد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لکن هذا ظنّ خطأ، من جهة عدم اطّلاعه بحقیقة الحال، فلو کان مثل هذا حجّة للعامیّ لکان الظنّ الحاصل له بخلاف فتوی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بضدّها و نقیضها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جهله و غفلته و خطئه یکون حجّة له، یجب علیه العمل به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تجویز هذا و فتح هذا الباب، لا وجه لذکر المجتهد، و لا لاعتبار قوله حیّا کان أو میّتا، بل یکون المدار علی أیّ ظنّ و خیال حصل للعامیّ من أیّ جهة من الجهات، و إن کان من محض هوی النفس، أو تقلید المخالف أو الکافر، أو الرمل و الأسطرلاب، أو غیر ذلک، و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الظنّ للمجتهد إنّما هو ما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و إلّا فبعد الموت لا ظنّ، و الظنّ فی وقت لا یکفی لحین زواله </w:t>
      </w:r>
      <w:r>
        <w:rPr>
          <w:rStyle w:val="FootnoteAnchor"/>
          <w:rtl w:val="true"/>
        </w:rPr>
        <w:footnoteReference w:id="82"/>
      </w:r>
      <w:r>
        <w:rPr>
          <w:rFonts w:ascii="IRNazanin" w:hAnsi="IRNazanin" w:eastAsia="IRNazanin"/>
          <w:color w:val="111111"/>
          <w:sz w:val="28"/>
          <w:sz w:val="28"/>
          <w:szCs w:val="28"/>
          <w:rtl w:val="true"/>
          <w:lang w:bidi="fa-IR"/>
        </w:rPr>
        <w:t>، و لذا لو ظنّ سابقا و انعدم ظنّه فی وقت لا حق، و یحصل له التردّد و التوقّف لا یجوز له العمل بظنّه السابق، و لا لمقلّده بعد اطّلاعه علی توقّفه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قبل الاطّلاع یکفی، لما سیجی‌ء</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الحجّة إنّما هو حکم الشارع لا حکم المجتهد، و حکم المجتهد لو کان حجّة و محسوبا مکان حکم الشارع، إنّما یکون لظنّه أنّ حکمه حکم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الشارع، فإذا انعدم الظنّ مع وجوده، أو انعدم هو، فلا یبقی ظنّه قطعا، لأنّ بانعدامه انقطع العلاقة بینه و بین حکم الشارع، فبأیّ سبب یکون حجّة و محسوبا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استصحاب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القول بحجّیة الاستصحاب ربّما لا یقولون بحجّیة مثله، مع أنّ الاستصحاب حجّة إذا لم ینعدم موضع الحکم، و هنا انعدم، کما هو الحال فی الاستحالة و الانقلاب، و انعدامه من جهة أنّ الظنّ فی الدماغ، و الظنون صورة حاصلة فیه بالبدیهة و بالوجدان، و هو 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مطابق المظنون، لأنّه محتمل لیس إلّا، بل رجحانه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الأصل عدم تحقّق ظنّ غیر ما ذکر، و هو أقوی من ذلک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علی تقدیر أن یکون للنفس ظنّ، فهو غیر هذا الظنّ، و هذا انعدم یقینا، و کونه غیره یجی‌ء مقامه خلاف الأصل أیضا، مع أنّ نفس الناطقة بعد الموت یحصل له الیقین أو لا یحصل، لا أنّه یحصل له الظنّ، لأنّه خلاف المعقول و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عرفت ممّا تقدّم أنّ قول غیر المعصوم علیه السّلام لیس بحجّة أصلا، و لا شکّ أنّ المجتهد لیس بمعصوم، فلا یکون قوله حجّة جزما، و لذا قال الأخباریّون بعدم حجّیة قول غیر المعصوم علیه السّلام </w:t>
      </w:r>
      <w:r>
        <w:rPr>
          <w:rStyle w:val="FootnoteAnchor"/>
          <w:rtl w:val="true"/>
        </w:rPr>
        <w:footnoteReference w:id="83"/>
      </w:r>
      <w:r>
        <w:rPr>
          <w:rFonts w:ascii="IRNazanin" w:hAnsi="IRNazanin" w:eastAsia="IRNazanin"/>
          <w:color w:val="111111"/>
          <w:sz w:val="28"/>
          <w:sz w:val="28"/>
          <w:szCs w:val="28"/>
          <w:rtl w:val="true"/>
          <w:lang w:bidi="fa-IR"/>
        </w:rPr>
        <w:t xml:space="preserve">، و فقهاء حلب أوجبوا الاجتهاد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المجتهدون، فهم و إن قالوا بحجّیة قول غیر المعصوم علیه السّلام فی الجملة،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لکن عنوا کون القائل مستجمعا لشرائط الاجتهاد و یکون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حجّة علی العامّی، و من لم یبلغ رتبة الاجتهاد فقط، لا علی مجتهد آخر، و لا یقولون بحجّیة غیر ما ذکر، بل یحرّمونه و یدخلونه تحت المناهی و ما لیس بحجّة و لو لم یدلّهم دلیل علی حجّیة القدر الّذی قالوا بحجّیته لکانوا یحرّمون ذلک أیضا، و یجعلونه مثل ظنّ العامّی، و یدخلونه تحت الأصل و العمومات و الأدلّة الدالّة علی عدم حجیّة قول غیر المعصوم و حرمة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الحقیقة قول المجتهد لیس عندهم حجّة أصلا، بل الحجّة الأدلّة الدالّة علی حجّیة القدر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العدلین، لو لم یدلّ دلیل من الشارع علی اعتبارها فیما جعلها الشارع معتبرة فیه لکان حالها و حال الظنون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الظنّ الحاصل من الرمل و النجوم أو قول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بل ربّما یحصل من الأمور المزبورة ظنّ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المعلوم أنّ الحجّة هو حکم الشارع و دلیله، فإنّ الحکم الشرعیّ هو حکمه باعتبارها لا ما شهدوا به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ظهر لک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العامّی لا بدّ له أن یعتقد رضا الشرع بتقلید المجتهد، و جعل ظنّه محسوبا مکان شرعه الّذی هو الحقّ الیقینی، و بدیهیّ أنّ ذلک لا یحصل له من نفس تقلید المجتهد، لما فیه من الدور المحال الواضح، فمستنده لیس إلّا ما حصل له بالتظافر و التسامع المتعیّن بأنّ غیر الفقیه علیه أن یرجع إلی الفقیه فی حکم الشرع، کما هو الشأن فی جمیع العلوم و الصناعات الّتی یتوقّف علیها نظم المعاد و المعاش أنّ غیر أهل الخبرة یرجع إلی أهل الخبرة فیها بلا شبهة، و أنّ مدار المسلمین فی الأعصار و الأمصار کان علی ذلک بالبدیهة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 بالجملة، حصل له من التظافر و التسامع فی التقلید ما حصل له فی ضروریّات الدین و المذهب الّتی لیس فیها تقلید و اجتهاد بل المجتهد و المقلّد فیها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حصول البداهة للعامّی فی جواز تقلید المیّت بعد ما اشتهر ما نسب إلی الشیعة اشتهار الشمس، کما تری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ما ذکرنا، لم یخف علیک أنّ اللازم علی المصنّف کان المطالبة بدلیل حجّیة قول المجتهد الحیّ أیضا أو الإتیان به، لا المطالبة بدلیل عدم حجّیة قول المیّت الّذی هو غیر المعصوم، مع أنّ الأصل عدم 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أحد، لا حجّیة قول کلّ أحد، حتّی أنّه یطالب بما یطالب منه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أنّ ما دلّ علی حجّیة قول المجتهد یشمل حیّه و میّته، فلم أخرجوا قول المیّت، مع أنّه لیس لهم مخصّص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ما ذکرت خلاف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للعامّی الاحتجاج بعموم ما دلّ علی جواز التقلید علی تقدیر تسلیم العموم؟، و سیّما أن یستدلّ به علی بطلان ما نسب إلی الشیعة و ظهر منهم، و یطمئنّ به، و یقلّد شرعا، فإنّ الآیة و الأخبار الدالّة علی ذلک معرکة الآراء بین الفقهاء، و لذا أنکر جواز التقلید جماعة منهم، و المقرّون اتّفقوا علی عدم الجواز بالنسبة إلی المیّت، مع أنّ حجّیة خبر الواحد و ظاهر الآیة معرکة للآراء، و مع ذلک المراد ما ذا، أیضا معرکة، و مع ذلک ورد فی الآیات و الأخبار حرمة التقلید و ذمّه مطلقا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عموم دلّ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الآیة </w:t>
      </w:r>
      <w:r>
        <w:rPr>
          <w:rStyle w:val="FootnoteAnchor"/>
          <w:rtl w:val="true"/>
        </w:rPr>
        <w:footnoteReference w:id="87"/>
      </w:r>
      <w:r>
        <w:rPr>
          <w:rFonts w:ascii="IRNazanin" w:hAnsi="IRNazanin" w:eastAsia="IRNazanin"/>
          <w:color w:val="111111"/>
          <w:sz w:val="28"/>
          <w:sz w:val="28"/>
          <w:szCs w:val="28"/>
          <w:rtl w:val="true"/>
          <w:lang w:bidi="fa-IR"/>
        </w:rPr>
        <w:t xml:space="preserve">و الأخبار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فالقدر الّذی یفهم منها و یتبادر هو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أزید، فلا وثوق فی دلالتها علیه، لأنّ المتبادر منها أنّ ما أفتی به الفقیه و اعتقد أنّه حکم شرعی یجوز أخذه منه ما دام هو مفت به و معتقد، بل یجب أخذه منه، و مع ذلک المتبادر منها أنّ جواز الأخذ و وجوبه إنّما هو علی من عرف أنّه فقیه و حکمه من الشرع، لا من لم یعرف ذلک و لم یعتقد أنّه حاکم الشرع، فلذا لم یکن فتواه حجّة علی من لم یعرف ذلک و لم یعتقد، و کذا الظاهر أنّ فتواه حجّة علی من لم یعرف ذلک الحکم من الشرع، فلذا لم یکن حجّة علی فقیه آخر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فحیث عرف أنّ المتبادر منها هو القضیّة العرفیّة، کما هو مسلّم عند جمیع العلماء فی کلّ ما ماثله من القضایا، و لذا لو أظهر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أفتی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ظنّه و اعتقاده زال و حصل له التوقّف لم یکن ظنّه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علیه، فلا یکون حجّة علی من قلّده، بعد ما اطّلع علی ما قال من أنّ اعتقاده زال، مع أنّ من هذا القول لا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 من الظنّ، فما ظنّک بصورة حصول الیقین بأنّ ظنّه زال،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ظنّه السابق داخلا فی الآیة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المتبادر من لفظ الفقیه و الحاکم و أمثالهما هو الحی، و لذا تمسّک أهل السنّة بالقیاس، و ردّه الشیعة بأنّه قیاس مع الفارق و بسطوا الکلام فی ذلک، فتوهّم غیر المطّلع أنّ ما بسطوه إنّما هو دلیلهم و مستندهم و به حکموا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بالحرمة، کما یشیر إلیه کلام المصنّف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الإجماع، فقد نقل الإجماع علی منع حجّیة قول المیّت </w:t>
      </w:r>
      <w:r>
        <w:rPr>
          <w:rStyle w:val="FootnoteAnchor"/>
          <w:rtl w:val="true"/>
        </w:rPr>
        <w:footnoteReference w:id="90"/>
      </w:r>
      <w:r>
        <w:rPr>
          <w:rFonts w:ascii="IRNazanin" w:hAnsi="IRNazanin" w:eastAsia="IRNazanin"/>
          <w:color w:val="111111"/>
          <w:sz w:val="28"/>
          <w:sz w:val="28"/>
          <w:szCs w:val="28"/>
          <w:rtl w:val="true"/>
          <w:lang w:bidi="fa-IR"/>
        </w:rPr>
        <w:t xml:space="preserve">، و هذا هو الظاهر من فتاوی المعظم، و نسب ذلک إلی الشیعة، و عدّ من ضروریّات دینهم، کحرمة القیاس، نسبه إلی الشیعة من هو فی أعلی درجة الاطّلاع </w:t>
      </w:r>
      <w:r>
        <w:rPr>
          <w:rStyle w:val="FootnoteAnchor"/>
          <w:rtl w:val="true"/>
        </w:rPr>
        <w:footnoteReference w:id="91"/>
      </w:r>
      <w:r>
        <w:rPr>
          <w:rFonts w:ascii="IRNazanin" w:hAnsi="IRNazanin" w:eastAsia="IRNazanin"/>
          <w:color w:val="111111"/>
          <w:sz w:val="28"/>
          <w:sz w:val="28"/>
          <w:szCs w:val="28"/>
          <w:rtl w:val="true"/>
          <w:lang w:bidi="fa-IR"/>
        </w:rPr>
        <w:t>، فلو لم یثبت الإجماع علی المنع فکیف تثبت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المشهور عند العامّة حجّیة قول المیّت أیضا </w:t>
      </w:r>
      <w:r>
        <w:rPr>
          <w:rStyle w:val="FootnoteAnchor"/>
          <w:rtl w:val="true"/>
        </w:rPr>
        <w:footnoteReference w:id="92"/>
      </w:r>
      <w:r>
        <w:rPr>
          <w:rFonts w:ascii="IRNazanin" w:hAnsi="IRNazanin" w:eastAsia="IRNazanin"/>
          <w:color w:val="111111"/>
          <w:sz w:val="28"/>
          <w:sz w:val="28"/>
          <w:szCs w:val="28"/>
          <w:rtl w:val="true"/>
          <w:lang w:bidi="fa-IR"/>
        </w:rPr>
        <w:t>، قیاسا علی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بجامع مظنونیّة الإصابة،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قیاسا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 لما أشرنا إلیه من أنّ المیّت لا ظنّ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اعترض بأنّ المجتهد الغائب یجوز أن یکون رأیه تغیّر، فکذا المیّت، و لا یخفی أنّ هذا الاعتراض فی غایة السخافة، لأنّ المراد بالاعتراض إن کان قیاس المیّت بالغائب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القیاس عندنا حرام، و قد عرفت أنّ قول المجتهد من حیث إنّه قوله لیس بحجّة، حتّی یجوز أن یجعل جامعا، بل الحجّة هو ما دلّ علی اعتباره، فعلی أیّ قدر تتمّ الدلالة نقول به، و أمّا الزائد عنه فلا، لعدم الدلیل، و الغائب داخل فی الدلیل دون المیّت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اعتبر مجرّد احتمال تجدّد الرأی مانعا، لم یکد یتحقّق قول معتبر للمجتهد، إلّا ما شذّ، و حمل الأدلّة و الألفاظ علی الفروض النادرة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حراما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مع الفارق، لما عرفت، و لأنّ الغائب مظنون البقاء علی حاله، و مستصحب ظنّه حتّی یثبت خلافه، و هذا استصحاب فی موضع الحکم الشرعی، مسلّم عند الأخباریّین أیضا </w:t>
      </w:r>
      <w:r>
        <w:rPr>
          <w:rStyle w:val="FootnoteAnchor"/>
          <w:rtl w:val="true"/>
        </w:rPr>
        <w:footnoteReference w:id="93"/>
      </w:r>
      <w:r>
        <w:rPr>
          <w:rFonts w:ascii="IRNazanin" w:hAnsi="IRNazanin" w:eastAsia="IRNazanin"/>
          <w:color w:val="111111"/>
          <w:sz w:val="28"/>
          <w:sz w:val="28"/>
          <w:szCs w:val="28"/>
          <w:rtl w:val="true"/>
          <w:lang w:bidi="fa-IR"/>
        </w:rPr>
        <w:t>، بخلاف المیّت، فإنّ موضوع الاستصحاب انعدم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لا شکّ فی زوال الظنّ، و انحصر الاحتمال فی عدم حصول اعتقاد، أو حصول الیقین بالصواب أو الیقین بالخطإ، و الاستصحاب هو الحکم باستمرار ما علم ثبوته، حتّی تیقّن الانقطاع، و قد حصل الانقطاع، لأنّ ما علم وجوده لیس إلّا الظنّ، و هو لیس إلّا صورة حاصلة فی الذهن بالوجدان و البداهة، و مسلّم عند الکلّ، و بعد الموت تغیّر الذهن جمادا لا حسّ له، فکیف إذا صار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أنّه حصل للروح هذه الصورة، فباطل بالأدلّة العقلیّة، و مسلّم عند العارف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یحتمل عنده أن یکون بعد الموت تنکشف له الأمور، کما هی، و هو مخالف للأخبار و لا ینکشف له إلّا ما کشف اللّه له، و هو الموافق لها، و هو الحقّ عند من قال بأنّ الروح لیس من المجرّدات، و هذا هو المنسوب إلی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الانکشاف لیس إلّا العلم جزما، و العلم مغایر للظنّ بالبدیهة، فما علم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الیقین بزواله، و ما حدث بعده لا شبهة بأنّ الأصل عدمه حتّی یثبت، و قد عرفت أنّه إن کان یثبت فلا شکّ فی أنّه غیر ما علم وجوده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الاستصحاب لیس إلّا استمرار ما علم وجوده لا غیر، بالبدیهة، و الغیر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فرض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الموافقة لما ظنّه و المخالفة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الاحتمالان علی حدّ سواء بلا شبهة، و عدم ضرر الاحتمال إنّما هو من جهة الاستصحاب، و قد عرفت عدمه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 الانقطاع، فهل حدث أمر، أو ما حدث؟ و علی تقدیر الحدوث، یکون الحادث ما ذا، هو أمر آخر لا دخل له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المجتهد بالموت یخرج عن قابلیّة التکلیف، و المجتهد الخارج عنها لیس قوله حجّة أصلا، فلا یمکن القیاس من هذه الجهة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ظنّ المجتهد ما لم یکن حجّة علی نفسه لم یکن حجّة علی غیره، لأنّ کبری قیاسه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حصل به ظنّی فهو حجّة اللّه فی حقّی و حقّ مقلّدی، و لم یثبت حجیّة ظنّ منه سواه، و بالموت لا یکون حجّة علی نفسه، فکیف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القیاس من هذه الجهة أیضا، بل المتبادر من الأخبار لیس إلّا أنّ الفقیه هو الأصل و المقلّد فرعه، فکیف یزید الفرع علی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الأخبار و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الأدلّة الّتی استدلّوا بها علی حجّیة قول المجتهد، هو قضاء الضرورة </w:t>
      </w:r>
      <w:r>
        <w:rPr>
          <w:rStyle w:val="FootnoteAnchor"/>
          <w:rtl w:val="true"/>
        </w:rPr>
        <w:footnoteReference w:id="94"/>
      </w:r>
      <w:r>
        <w:rPr>
          <w:rFonts w:ascii="IRNazanin" w:hAnsi="IRNazanin" w:eastAsia="IRNazanin"/>
          <w:color w:val="111111"/>
          <w:sz w:val="28"/>
          <w:sz w:val="28"/>
          <w:szCs w:val="28"/>
          <w:rtl w:val="true"/>
          <w:lang w:bidi="fa-IR"/>
        </w:rPr>
        <w:t>، فلعلّه یشمل ما نحن فیه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دعوی قضاء الضرورة بعد الإحاطة بما ذکرنا بالنسبة إلی قول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أنّ قول المجتهد إذا کان موافقا لدلیل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أخذه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حجّة، لکونه حقّا و صوابا، و لا فرق فی ذلک بین حیّه و میّته،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کما أنّه إذا لم یکن مأخوذا من دلیل شرعیّ و مطابقا له لا یکون حجّة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کان أم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خلاف مقتضی عبارته، حیث أنکر المخالفة بین الحیّ و المیّت مطلقا، لا أنّه جعل المعیار الإصابة و عدمها علی حسب 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شکّ فی أنّ المجتهد إذا حکم بشی‌ء یکون فی اعتقاده أنّ حکمه ذلک مطابق للدلیل الشرعی، و مأخوذ منه، و إلّا لا یحکم به قطعا، إلّا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عدم کونه معصوما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خطأ ما اعتقده، و کذا الأدلّة لمّا کانت غالبها ظنّیا لا یؤمن فیها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أردت من الحقّیة و الصوابیّة بالنظر إلی الحکم الظاهری، فحکم المجتهد دائما حقّ و صواب، لأنّه بعد استفراغ الوسع و بذل الجهد حصل له العلم الّذی فهمه، و لٰا یُکَلِّفُ اللّٰهُ نَفْساً إِلّٰا وُسْعَهٰا </w:t>
      </w:r>
      <w:r>
        <w:rPr>
          <w:rStyle w:val="FootnoteAnchor"/>
          <w:rtl w:val="true"/>
        </w:rPr>
        <w:footnoteReference w:id="95"/>
      </w:r>
      <w:r>
        <w:rPr>
          <w:rFonts w:ascii="IRNazanin" w:hAnsi="IRNazanin" w:eastAsia="IRNazanin"/>
          <w:color w:val="111111"/>
          <w:sz w:val="28"/>
          <w:sz w:val="28"/>
          <w:szCs w:val="28"/>
          <w:rtl w:val="true"/>
          <w:lang w:bidi="fa-IR"/>
        </w:rPr>
        <w:t>، فإنّه استحصل جمیع شرائط الاجتهاد، الّتی هی شرائط أخذ الحکم الشرعی، من حیث إنّ کلّ شرط من تلک الشرائط له مدخلیّة فی أخذ الحکم فهمه و استیثاقه، و عدم الخطأ مهما أمکن، مدخلیّة واقعیّة أو احتمالیّة، فإنّه لو لم یستحصل شرطا من تلک الشرائط و تحقّق الخطأ فی أخذه لعلّه یکون مقصّرا غیر معذور، و أمّا بعد استحصال الجمیع لو تحقّق الخطأ لا شکّ فی کونه معذورا، إذا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لا یکون تحت اختیاره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بأنّه یترک حینئذ جمیع الأحکام الفقهیّة من حیث إنّه یجوز أن یکون خطأ فاسد قطعا، لأنّه مخالف لضروری الدین و ما ثبت من الأخبار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المتواترة من بقاء أحکام الشرع النبوی فی أمّته إلی یوم القیامة </w:t>
      </w:r>
      <w:r>
        <w:rPr>
          <w:rStyle w:val="FootnoteAnchor"/>
          <w:rtl w:val="true"/>
        </w:rPr>
        <w:footnoteReference w:id="96"/>
      </w:r>
      <w:r>
        <w:rPr>
          <w:rFonts w:ascii="IRNazanin" w:hAnsi="IRNazanin" w:eastAsia="IRNazanin"/>
          <w:color w:val="111111"/>
          <w:sz w:val="28"/>
          <w:sz w:val="28"/>
          <w:szCs w:val="28"/>
          <w:rtl w:val="true"/>
          <w:lang w:bidi="fa-IR"/>
        </w:rPr>
        <w:t>، مع أنّه یجوز أن یکون ترکه أیضا خطأ، فکیف یترک؟ سیّما و أنّ الراجح أنّه خطأ، بل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بأنّه یترک حینئذ ما ظهر لدیه أنّه حکم اللّه و یعمل بغیره و هو الّذی ظهر عنده أنّه لیس حکم اللّه، فساده أیضا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فتعیّن أن یکون حکم اللّه الظاهری فی حقّه هو الّذی فهمه، و ظهر لدیه أنّه هو، فیکون صوابا دائما و إن احتمل الخطأ بالنسبة إلی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أراد أوضح ممّا ذکرنا، و الشرح التام و البسط البالغ، فعلیه برسالتنا فی الاجتهاد و الأخبار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الاحتیاط، فالأمر علی ما ذکرت، و أمّا إذا أمکن، فعلیه الاحتیاط، لا الأخذ بما یترجّح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یتأتّی فیه الاحتیاط یحکمون فیه بالاحتیاط، إلّا أنّه ظهر لدیهم أنّ الاحتیاط لیس بواجب إلّا فی مواضع خاصّة، و أمّا فی غیرها فمستحبّ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حکموا بما ظهر لدیهم، لما ظهر عندهم من تحریم الحکم بخلاف حکم الشرع، و قد ظهر لهم أنّ حکم الشرع عدم الوجوب، فکیف یمکنهم الحکم بالوجوب و الإلزام بالالتزام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اتّفق المجتهدون و الأخباریّون علی وجوب الاحتیاط حینئذ، و الباقون علی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هذا أیضا نوع اجتهاد، و المسألة اجتهادیّة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أردت الحقیّة و الصوابیّة بالنظر إلی الحکم الواقعی، فهو عبارة أخری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عن اشتراط العصمة فی المجتهد، و عدم العمل بالأدلّة الظنّیة، و سدّ لباب الأحکام الفقهیّة، و مع ذلک ترجع إلی أنّ المجتهد قوله لیس بحجّة أصلا، لا أنّه حجّة مطلقا سواء کان حیّا أو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المعتبر علی ما ذکرت هو الدلیل الشرعی و المطابقة له، فالعامّی أیضا لو وافق قوله الدلیل یکون حجّة، بل الفاسق، بل الکافر، بل الذاهل، بل الهازل، بل النائم، بل السکران، بل المجنون، بل الّذی یقول بقول عنادا، أو ردّ قول اللّه و رسوله فاتّفق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 الاعتبار لو کان بالدلیل الشرعی و الموافقة له </w:t>
      </w:r>
      <w:r>
        <w:rPr>
          <w:rStyle w:val="FootnoteAnchor"/>
          <w:rtl w:val="true"/>
        </w:rPr>
        <w:footnoteReference w:id="98"/>
      </w:r>
      <w:r>
        <w:rPr>
          <w:rFonts w:ascii="IRNazanin" w:hAnsi="IRNazanin" w:eastAsia="IRNazanin"/>
          <w:color w:val="111111"/>
          <w:sz w:val="28"/>
          <w:sz w:val="28"/>
          <w:szCs w:val="28"/>
          <w:rtl w:val="true"/>
          <w:lang w:bidi="fa-IR"/>
        </w:rPr>
        <w:t>، فالأمر علی ما ذکره من عدم الفرق بین الحیّ و المیّت، لأنّ الدلیل الشرعی لا یموت أبدا، بل هو حجّة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القائل بالقول الموافق له أم لا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جعلت حجّیة قول المجتهد عبارة عن الموافقة للدلیل، فالأمر علی ما ذکرنا من عدم الفرق بین المجتهد و غیره ممّن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جعلت علّة الحجّیة هی نفس تلک الموافقة، لعدم جواز تخلّف المعلول عن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جعلت علّة الحجّیة کونه ظنّ المجتهد، أو جعلته جزء العلّة، فلا وجه للحکم ببقاء الحجّیة بسبب بقاء الدلیل الشرعی و حجّیته، إذ لا کلام و لا تأمّل لأحد فی بقاء الدلیل و بقاء الحجّیة، و قد أشرنا إلی أنّ موت المجتهد ینفی ظنّه، بل قد عرفت أنّ مع فرض بقاء ظنّه لا یکون حجّة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المراد بحجّیة قول المجتهد حجّیته علی نفسه و علی مقلّده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أمّا المجتهد الآخر و العامیّ الّذی لا یعتقده، فلا، لعدم ظهور اجتهاده عنده، و اعتقاده فسقه </w:t>
      </w:r>
      <w:r>
        <w:rPr>
          <w:rStyle w:val="FootnoteAnchor"/>
          <w:rtl w:val="true"/>
        </w:rPr>
        <w:footnoteReference w:id="99"/>
      </w:r>
      <w:r>
        <w:rPr>
          <w:rFonts w:ascii="IRNazanin" w:hAnsi="IRNazanin" w:eastAsia="IRNazanin"/>
          <w:color w:val="111111"/>
          <w:sz w:val="28"/>
          <w:sz w:val="28"/>
          <w:szCs w:val="28"/>
          <w:rtl w:val="true"/>
          <w:lang w:bidi="fa-IR"/>
        </w:rPr>
        <w:t>، أو غیر ذلک، و لم یقل أحد بکونه حجّة علی المجتهد الآخر و علی ذلک العامّی، بل لم یجوّزه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ذکرت لو تمَّ یقتضی حجّیته مطلقا، إذ لا معنی لأن یکون القول حقّا و صوابا و لا یکون حجّة، فکما أنّ الصوابیّة و الحقّیة تنافیان الخروج عن الحجّیة فی وقت من الأوقات، فکذا تنافیان الخروج عن الحجیّة بالنسبة إلی شخص من الأشخاص، إذ الحقّ حقّ و الصواب صواب،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العامّی من أین یعرف أنّ قول المجتهد مأخوذ من الأدلّة الشرعیّة و قول مجتهد آخر غیر مأخوذ من الأدلّة، حتّی یأخذ بالأوّل دائما و لا یأخذ بالآخر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المجتهد، فلیس قول المجتهد حجّة علیه أصلا، مع أنّه إذا عرف الموافقة للدلیل عرف الدلیل قطعا، فلا وجه للاحتجاج بقول الفقیه حینئذ، مع أنّک قد عرفت أنّ قول الفقیه فی نفسه لیس بحجّة، لأنّه غیر معصوم، و مجرّد الموافقة للدلیل لا یجعله دلیلا آخر، بل هو غیر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الحجّة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هذا سببا للحجّیة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العامّی و الفاسق و الکافر و غیرهم ممّا أشرنا حجّة أیضا، مع أنّه فی الحقیقة اجتهاد منه لا تقلید منه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للعامّی أن یستفصل حال مجتهد من مجتهد آخر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حینئذ یکون مقلّدا للمجتهد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یعرف أنّ المجتهد الآخر ما أخطأ؟ سیّما و أن یکون الأوّل أشهر و أعرف منه، و أمّا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إذا کان الآخر أشهر و أعرف، فلا ینفع أیضا، لأنّه لیس بمعصوم، و بناء الکلام علی الموافقة للأدلّة واقعا، حتّی یکون حیّا و حجّة دائما، علی حسب ما قد عرفت، و إلّا فعند العامّی أنّ المجتهد قوله مأخوذ من الأدلّة، فکیف یجعل تقلیده موقوفا علی الاستفصال؟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 العامّی أنّ قول المجتهد مأخوذ عن الأدلّة الشرعیّة، یعمل به و إن کان میّتا، إذ الموت و الحیاة لا مدخلیّة لهما فی المأخوذیّة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الکلام فی صحّة کلّ فعل للعامّی، بل فیما یصحّ للعامّی أن یفعله، و إلّا فالعامّی یقلّد العوام أیضا، حتّی النساء بزعمه أنّه عن الشرع و أنّه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بالنسبة إلی العامّی و المجتهد کما ذکرت، لکن العالم الفاضل الّذی لم یبلغ درجة الاجتهاد من جهة أنّه لم یستحصل جمیع شرائطه، یمکن له أن یعلم أنّ قول المجتهد موافق للدلیل و قول آخر غیر موافق له، فیقلّد الأوّل دائما و لا یقلّد الآخر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العالم إن کان معتقدا لعدم جواز الاجتهاد و الفتوی ما لم یجتمع شرائط الفتوی جمیعا، لا جرم یکون عارفا بأنّ اعتبار تلک الشرائط لیس إلّا لأجل صحّة الفهم و صوابیّته و الاحتراز عن الخطأ، و أنّ مع عدم تلک الشرائط و استجماعها لا اعتداد بذلک الفهم، و لا وثوق و لا اعتماد، و مع ذلک یکون الاعتماد علیه حراما البتّة، مع أنّه یعتقد أنّه غیر مستجمع لجمیع تلک الشرائط، و لأجل ذلک یقلّد و لا یجتهد، و مع ذلک یعتقد أنّ المجتهدین اللذین هو یصیر حکما بینهما کلیهما مستجمعان لجمیع تلک الشرائط</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جمیع ذلک کیف یتأتّی له أن یحکم بأنّ مجتهدا مصیب واقعا و مجتهدا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خاطئ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أن لا یجوّز الخطأ علی نفسه فی ذلک، مع اعترافه بعدم تحقّق ما هو شرط فی صحّة الفهم و صوابیّته و بالخطإ بالنسبة إلی المستجمع لشرائط الصحّة و الصوابیّة، أو یجوّز الخطأ علی نفسه لکن یحکم حکما تامّا بأنّه مکلّف بفهمه، مع اعترافه بعدم صحّة فهمه و حرمة العمل به، لعدم استحصاله لشرط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مسألة تقلید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المخالفة للمعروف المشهور بین الشیعة و الأدلّة القاطعة الواضحة الّتی أشرنا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یجترئ بالاجتهاد فی تجویزه مع اعترافه بعدم بلوغه درجة الاجتهاد، سیّما بالتفصیل الّذی لم یقل به أحد من فقهاء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من غفلات بعض الغافلین من المتأخّرین </w:t>
      </w:r>
      <w:r>
        <w:rPr>
          <w:rStyle w:val="FootnoteAnchor"/>
          <w:rtl w:val="true"/>
        </w:rPr>
        <w:footnoteReference w:id="100"/>
      </w:r>
      <w:r>
        <w:rPr>
          <w:rFonts w:ascii="IRNazanin" w:hAnsi="IRNazanin" w:eastAsia="IRNazanin"/>
          <w:color w:val="111111"/>
          <w:sz w:val="28"/>
          <w:sz w:val="28"/>
          <w:szCs w:val="28"/>
          <w:rtl w:val="true"/>
          <w:lang w:bidi="fa-IR"/>
        </w:rPr>
        <w:t>، صدر عنهم فی بادئ نظرهم من غیر تأمّل و تدبّر أصلا، إذ مفاسده لیست بحیث تخفی علی من له أدنی تأمّل و إن لم یکن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مثل هذا العالم غیر معتقد بشرائط الفتوی و الاجتهاد </w:t>
      </w:r>
      <w:r>
        <w:rPr>
          <w:rStyle w:val="FootnoteAnchor"/>
          <w:rtl w:val="true"/>
        </w:rPr>
        <w:footnoteReference w:id="101"/>
      </w:r>
      <w:r>
        <w:rPr>
          <w:rFonts w:ascii="IRNazanin" w:hAnsi="IRNazanin" w:eastAsia="IRNazanin"/>
          <w:color w:val="111111"/>
          <w:sz w:val="28"/>
          <w:sz w:val="28"/>
          <w:szCs w:val="28"/>
          <w:rtl w:val="true"/>
          <w:lang w:bidi="fa-IR"/>
        </w:rPr>
        <w:t>، لا جرم لا یکون من المجتهدین، و لا المقلّدین لهم فی ذلک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فإمّا أن یکون من الأخباریّین، فهم یحرّمون التقلید مطلقا، فکیف تقلید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إن لا یکون من المجتهدین و لا الأخباریّین، فمع ثبوت فساد مذهبه و طریقته و عقیدته ممّا ذکره المجتهدون فی موضعه و ما ذکره الأخباریّون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موضعه، فإنّ </w:t>
      </w:r>
      <w:r>
        <w:rPr>
          <w:rStyle w:val="FootnoteAnchor"/>
          <w:rtl w:val="true"/>
        </w:rPr>
        <w:footnoteReference w:id="102"/>
      </w:r>
      <w:r>
        <w:rPr>
          <w:rFonts w:ascii="IRNazanin" w:hAnsi="IRNazanin" w:eastAsia="IRNazanin"/>
          <w:color w:val="111111"/>
          <w:sz w:val="28"/>
          <w:sz w:val="28"/>
          <w:szCs w:val="28"/>
          <w:rtl w:val="true"/>
          <w:lang w:bidi="fa-IR"/>
        </w:rPr>
        <w:t xml:space="preserve">الکلّ یبرءون </w:t>
      </w:r>
      <w:r>
        <w:rPr>
          <w:rStyle w:val="FootnoteAnchor"/>
          <w:rtl w:val="true"/>
        </w:rPr>
        <w:footnoteReference w:id="103"/>
      </w:r>
      <w:r>
        <w:rPr>
          <w:rFonts w:ascii="IRNazanin" w:hAnsi="IRNazanin" w:eastAsia="IRNazanin"/>
          <w:color w:val="111111"/>
          <w:sz w:val="28"/>
          <w:sz w:val="28"/>
          <w:szCs w:val="28"/>
          <w:rtl w:val="true"/>
          <w:lang w:bidi="fa-IR"/>
        </w:rPr>
        <w:t>منه،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عرف الأدلّة و موافقة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الفتوی لها، فلا وجه حینئذ لتقلیده و رفع الید عن الأدلّة، بل حاله حینئذ حال المجتهد، فما قلنا فی المجتهد جار فیه أیضا، حتّی أنّه فی الحقیقة لیس تقلیدا للمیّت، بل عین الاجتهاد منه، لو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ظهر حال استفصال العامّی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أنّک قد عرفت أنّ التقلید فی نفسه حرام، خرج تقلید الحیّ بالنسبة إلی العامّی، و بقی تقلید المیّت و الحیّ بالنسبة إلی غیر العامّی داخلا فی المنع، فمثل هذا العالم لو لم یکن حاله حال العامّی لحرم علیه التقلید مطلقا، و عنده أنّه مجتهد یصحّ اعتماده علی فهمه و رأیه، فکیف یقلّد و من أیّ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الشأن فی صحّة معتقده و جواز بنائه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یکن عرف الأدلّة و الموافقة </w:t>
      </w:r>
      <w:r>
        <w:rPr>
          <w:rStyle w:val="FootnoteAnchor"/>
          <w:rtl w:val="true"/>
        </w:rPr>
        <w:footnoteReference w:id="104"/>
      </w:r>
      <w:r>
        <w:rPr>
          <w:rFonts w:ascii="IRNazanin" w:hAnsi="IRNazanin" w:eastAsia="IRNazanin"/>
          <w:color w:val="111111"/>
          <w:sz w:val="28"/>
          <w:sz w:val="28"/>
          <w:szCs w:val="28"/>
          <w:rtl w:val="true"/>
          <w:lang w:bidi="fa-IR"/>
        </w:rPr>
        <w:t>، فمن أین یعرف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حاله حال العامّی، و حکایة استفصاله من المجتهد قد مرّت من أوّلها إلی آخرها، إلّا ما استثناه من أنّ عند العامّی أنّ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إن لم یکن حاله حاله فی هذا، لکن مع صحّة رأیه عنده کیف یجوز تقلیده للمجتهد؟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یرخّص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علی رأیه فی مسألة تقلید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ما فیها ممّا أشرنا، إلّا أنّ تقلیده فیها أیضا، فیکون حینئذ تقلیدا بحتا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بعض الأخبار أمرهم علیهم السّلام بإیراث الکتب للأولاد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خفاء فی أنّ تلک الکتب کانت کتب الأخبار، و لا شکّ و لا نزاع فی أنّ الأخبار لا تموت بموت الراوی، بل هی حجّة دائما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لا نزاع و لا تأمّل فی أنّ کتب الفتاوی أیضا تنفع نفعا عظیما للفقهاء،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بل لا یکاد یمکن الاجتهاد إلّا بملاحظتها، بل لا یمکن واقعا فی الأزمنة الواقعة بعد غیبة الأئمّة علیهم السّلام، سیّما أن یکون بعد عهدها، فإنّ معرفة الخلاف و الوفاق، و کیفیّة فهم الفقهاء للأخبار و ترجیحاتهم و جمعهم، و معرفة الجرح و التعدیل، و التقیّة و خلاف التقیّة، و الشهرة بین الأصحاب، و الشاذّ النادر، و الاصطلاحات و غیر ذلک موقوفة علی ملاحظتها، بل تنفع کتبهم للمتعلّمین أیضا، إذ لولاها لم یمکنهم الدرس و التعلیم، شکر اللّه سعی الفقهاء، حیث ضبطوا و نقّحوا، و قرّبوا البعید، و أسّسوا و جمعوا و نظّموا و فهموا، حتّی أنّا من أنفسنا نجد بالبدیهة أنّ کتبهم لو لم تکن عندنا و لم نلاحظها و لم ندر ما قالوا، لم نتمکّن من الفتوی أصلا، و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فهو متوهّم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یجز تقلید المیّت و انحصر جواز التقلید فی الحیّ، لهلک الناس فی العصر الّذی لا یکون فیه مجتهد، و القطر </w:t>
      </w:r>
      <w:r>
        <w:rPr>
          <w:rStyle w:val="FootnoteAnchor"/>
          <w:rtl w:val="true"/>
        </w:rPr>
        <w:footnoteReference w:id="106"/>
      </w:r>
      <w:r>
        <w:rPr>
          <w:rFonts w:ascii="IRNazanin" w:hAnsi="IRNazanin" w:eastAsia="IRNazanin"/>
          <w:color w:val="111111"/>
          <w:sz w:val="28"/>
          <w:sz w:val="28"/>
          <w:szCs w:val="28"/>
          <w:rtl w:val="true"/>
          <w:lang w:bidi="fa-IR"/>
        </w:rPr>
        <w:t>الّذی لا تصل أیدیهم إلی المجتهد، و أنّهم حینئذ ما ذا یصنعون؟ فثبت أنّ عدم جواز تقلید المیّت باطل، لأنّ مستلزم الباطل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لو لم تکن کتب الفقهاء موجودة، أو کانت موجودة لکن لم یوجد من یفهم کتبهم؟ إذ فهم کتبهم علی وجه الصحّة و الإصابة لا یکاد یتحقّق للفضلاء، فضلا عن العوام، إذ تلاحظ الفاضل لا یصحّ فهمه کثیرا، علی أنّ الّذی یفهمها لا یکاد أن لا یعثر علی خلافاتهم،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الماء القلیل هل ینجس بالملاقاة، و أنّ الکر ما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إلی آخر کتبهم، إذ لا یکاد یتحقّق مسألة وفاقیّة لا تکون من ضروریّ الدین أو ضروریّ المذهب، و الضروری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اجتهاد فیه و لا تقلید، أو تکون من غیر الضروریّ لکن تنفع المقلّد من حیث عدم ارتباطها فی مقام العمل بالمسائل الخلافیّة، إذ جلّها لا یمکن </w:t>
      </w:r>
      <w:r>
        <w:rPr>
          <w:rStyle w:val="FootnoteAnchor"/>
          <w:rtl w:val="true"/>
        </w:rPr>
        <w:footnoteReference w:id="107"/>
      </w:r>
      <w:r>
        <w:rPr>
          <w:rFonts w:ascii="IRNazanin" w:hAnsi="IRNazanin" w:eastAsia="IRNazanin"/>
          <w:color w:val="111111"/>
          <w:sz w:val="28"/>
          <w:sz w:val="28"/>
          <w:szCs w:val="28"/>
          <w:rtl w:val="true"/>
          <w:lang w:bidi="fa-IR"/>
        </w:rPr>
        <w:t>العمل بها إلّا بضمیمة الخلافیّات، مع أنّ الأخباریّین یمنعون عن العمل بفتاوی المجتهدین مطلقا و المجتهدین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ما تقولون فی الوقائع الخاصّة، و الحوادث الجزئیّة السانحة الّتی لیست مذکورة فی کتب الفقهاء بخصوصها، و غالب ما یحتاج الناس إلیه من هذا القبیل، و لا یستنبط من الکتب، أو یستنبط لکن لا یقدر علی استنباطه کلّ أحد، بل ربّما لا یقدر علی استنباطه سوی المجتهد، سیّما إذا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بالمسائل المشکلة، مثل القصر و الإتمام، و الحیض و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المعضلات؟</w:t>
      </w:r>
    </w:p>
    <w:p>
      <w:pPr>
        <w:pStyle w:val="BookText"/>
        <w:rPr/>
      </w:pPr>
      <w:r>
        <w:rPr>
          <w:rFonts w:ascii="IRNazanin" w:hAnsi="IRNazanin" w:eastAsia="IRNazanin"/>
          <w:color w:val="111111"/>
          <w:sz w:val="28"/>
          <w:sz w:val="28"/>
          <w:szCs w:val="28"/>
          <w:rtl w:val="true"/>
          <w:lang w:bidi="fa-IR"/>
        </w:rPr>
        <w:t>و أیضا،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یحتاج إلیه فی غالب الأحوال فی المعاملات و الإیقاعات و العبادات، فلو لم یکن العادل موجودا، أو لم یکن من یعرف العدالة بأنّها هل هی الملکة أو حسن الظاهر أو عدم ظهور الفسق، و أنّها هل تتحقّق باجتناب الکبائر أو الصغائر أیضا، و أنّ من الکبائر الإصرار بالصغائر، و أنّ الإصرار بما ذا یتحقّق، و أنّه هل یعتبر فیها اجتناب المنافیات للمروءة أم لا یعتبر، و لو اعتبر المنافیات للمروءة، المنافیات ما هی، و أیّ شی‌ء هی، و أنّه لا بدّ من المعاشرة الباطنیّة أم تکفی الظاهریّة، و أنّ کلّا منهما ما ذا، و بأیّ قدر یتحقّق و یکفی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لو لم یکن العادل موجودا أو من یعرف العدالة أو العادل، ما ذا یصنعون؟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العدالة شرطا فی الشرع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معتبرا فیه، علی قیاس ما قلتم فی انحصار التقلید فی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بالنسبة إلی غیر العدالة من الأمور الّتی یحتاج إلیها شرعا، حتّی أنّه یلزم ممّا ذکرتم عدم الحاجة إلی وجود الإمام و الحجّة بعد الرسول صلّی اللّه علیه و آله، بل صحّ ما ذکره الثانی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و ما ذکره العامّة بقولهم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الروایات و الاجتهادات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و أین هذا من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الاجتهادات المکتوبة و کتب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أردأ ممّا قالوا، بل یلزم ممّا ذکرتم عدم الحاجة إلی الرسول صلّی اللّه علیه و آله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ما ذکرتم بعینه هی الشبهة الّتی یوردها العامّة علینا بسبب قولنا بأنّه لا بدّ فی کلّ عصر من وجود حجّة علی الناس </w:t>
      </w:r>
      <w:r>
        <w:rPr>
          <w:rStyle w:val="FootnoteAnchor"/>
          <w:rtl w:val="true"/>
        </w:rPr>
        <w:footnoteReference w:id="110"/>
      </w:r>
      <w:r>
        <w:rPr>
          <w:rFonts w:ascii="IRNazanin" w:hAnsi="IRNazanin" w:eastAsia="IRNazanin"/>
          <w:color w:val="111111"/>
          <w:sz w:val="28"/>
          <w:sz w:val="28"/>
          <w:szCs w:val="28"/>
          <w:rtl w:val="true"/>
          <w:lang w:bidi="fa-IR"/>
        </w:rPr>
        <w:t>، کما لا یخفی علی من تأمّل و أمعن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حال فروع الدین لیس بأشدّ من حال أصول الدین، فما تقولون فی حال الأقطار و الأمکنة الّتی لیس فیها من یعلم أصول الدین، مثل البوادی و القری و الجبال و الأمصار الواقعة فی بلاد الکفر أو الضلالة، فإنّ غالب الناس من الأعراب و الأتراک و الأکراد و الألوار و أهل القری و الدساکر، و کذا أهل السند و الهند و الروم، و غیرهم من سکنة بلاد الإسلام، لیس عندهم من یعلّمهم أصول الدین، فضلا عن بلاد الکفر و الضلالة؟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فهم من یعلم لکن لا یعلّم أیضا إمّا خوفا أو تملّقا أو مظنّة أنّهم لا یسمعون قوله، أو لعدم مبالاتهم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 بالجملة، الواجبات الکفائیّة الّتی بحیث یجب علی المکلّفین استحصالها لانتظام دینهم و دنیاهم فی غایة الکثرة، و أنّهم ربّما یهملون فی التحصیل، فیکونون مؤاخذین لتقصیرهم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فیهم من لیس بمقصّر، فلا یؤاخذ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أنّهم ما ذا یصنعون، فاللازم علیهم حینئذ بذل الجهد بحسب ما یمکنهم فی تحصیل الاحتیاط و العمل به، و لا یجوز لهم غیره، فعند تعدّد الأقوال </w:t>
      </w:r>
      <w:r>
        <w:rPr>
          <w:rStyle w:val="FootnoteAnchor"/>
          <w:rtl w:val="true"/>
        </w:rPr>
        <w:footnoteReference w:id="111"/>
      </w:r>
      <w:r>
        <w:rPr>
          <w:rFonts w:ascii="IRNazanin" w:hAnsi="IRNazanin" w:eastAsia="IRNazanin"/>
          <w:color w:val="111111"/>
          <w:sz w:val="28"/>
          <w:sz w:val="28"/>
          <w:szCs w:val="28"/>
          <w:rtl w:val="true"/>
          <w:lang w:bidi="fa-IR"/>
        </w:rPr>
        <w:t xml:space="preserve">للمیّتین یعمل بما هو أحوط، و إن لم یکن قول أحد منهم، لا أنّه یقلّد، إذا کان یتأتّی الاحتیاط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الأخذ بما هو أوثق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یتأتّ الاحتیاط فیه، أو یکون قول واحد لهم، أو لم یطّلع إلّا علی قول واحد، فاحتیاطه حینئذ منحصر فی العمل بقول المیّت بما هو أوثق عندهم، مثل أن یکون قول المعظم، فإنّ ما تراکم علیه أفهام أهل الخبرة أبعد عن الخطأ، أو یکون قول الأفقه عندهم و الأعلم و غیر ذلک من أسباب الأوثقیّة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العجز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لأنّه تعالی لا یکلّف ما لا یطاق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113"/>
      </w:r>
      <w:r>
        <w:rPr>
          <w:rFonts w:ascii="IRNazanin" w:hAnsi="IRNazanin" w:eastAsia="IRNazanin"/>
          <w:color w:val="111111"/>
          <w:sz w:val="28"/>
          <w:sz w:val="28"/>
          <w:szCs w:val="28"/>
          <w:rtl w:val="true"/>
          <w:lang w:bidi="fa-IR"/>
        </w:rPr>
        <w:t>، کما أنّه إذا لم یکن هناک قول الفقیه المیّت، بل یکون قول العامّی، و العمل بقولهم حینئذ لیس من باب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عمل المجتهد بقول غیره لا یکون تقلیدا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باب الاجتهاد، کأخذه بقول الموثّقین و الجارحین، و قول الرواة، و قول اللغویّین، و قول الفقیه فی بعض الأمکنة،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الاجتهاد و التقلید و الاحتیاط فرق واضح</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 و صلّی اللّه علی محمّد و آله الطاهرین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bookmarkStart w:id="75" w:name="pg2526_25360"/>
    </w:p>
    <w:p>
      <w:pPr>
        <w:pStyle w:val="BookText"/>
        <w:rPr/>
      </w:pPr>
      <w:bookmarkEnd w:id="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 w:name="__RefHeading___Toc4327908_3804643083"/>
      <w:bookmarkStart w:id="77" w:name="_Toc29"/>
      <w:bookmarkEnd w:id="76"/>
      <w:r>
        <w:rPr>
          <w:rtl w:val="true"/>
        </w:rPr>
        <w:t>رسالة فی حکم عبادة الجاهل</w:t>
      </w:r>
      <w:bookmarkEnd w:id="7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بسم اللّه الرحمن الرحیم و به ثقتی الحمد للّه ربّ العالمین، و صلّی اللّه علی أشرف الخلق محمّد و آله الطاهرین و نستعینه، فإنّه خیر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فیقول الأقلّ الأذلّ، محمّد باقر بن محمّد أکمل، عفی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یقول بصحّة عبادة الجاهل إن کان یقول إنّه مکلّف بما حصل به ظنّه بأیّ وجه حصل و هذا هو تکلیفه لا غیر، یلزمه الحکم بصحّة عبادته و إن کانت مخالفة لما أمر اللّه تعالی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یلزمه الحکم بفسادها إن کانت مطابقة لما أمر اللّه تعالی به و کانت مخالفة لظنّه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ظنّ أنّ صلاة الصبح أربع رکعات یکون تکلیفه منحصرا فی الأربع </w:t>
      </w:r>
      <w:r>
        <w:rPr>
          <w:rStyle w:val="FootnoteAnchor"/>
          <w:rtl w:val="true"/>
        </w:rPr>
        <w:footnoteReference w:id="114"/>
      </w:r>
      <w:r>
        <w:rPr>
          <w:rFonts w:ascii="IRNazanin" w:hAnsi="IRNazanin" w:eastAsia="IRNazanin"/>
          <w:color w:val="111111"/>
          <w:sz w:val="28"/>
          <w:sz w:val="28"/>
          <w:szCs w:val="28"/>
          <w:rtl w:val="true"/>
          <w:lang w:bidi="fa-IR"/>
        </w:rPr>
        <w:t>، فلو اقتصر علی الثنتین تکون فاسدا، لعدم المطابقة مع تکلیفه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صلّی أربعا من غیر فصل بتسلیم یکون ممتثلا، و لو فصل بالتسلیم تکون باطلة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باطل، بالضرورة من الدین، و هو أیضا لا یقول به، بل متحاش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هذا قول المصوّبة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المجتهد و ظنّه </w:t>
      </w:r>
      <w:r>
        <w:rPr>
          <w:rStyle w:val="FootnoteAnchor"/>
          <w:rtl w:val="true"/>
        </w:rPr>
        <w:footnoteReference w:id="115"/>
      </w:r>
      <w:r>
        <w:rPr>
          <w:rFonts w:ascii="IRNazanin" w:hAnsi="IRNazanin" w:eastAsia="IRNazanin"/>
          <w:color w:val="111111"/>
          <w:sz w:val="28"/>
          <w:sz w:val="28"/>
          <w:szCs w:val="28"/>
          <w:rtl w:val="true"/>
          <w:lang w:bidi="fa-IR"/>
        </w:rPr>
        <w:t>الّذی ثبت اعتباره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المخطّئة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الشیعة قاطبة و أکثر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یقولون بأنّ حکم اللّه تعالی تابع لظنّ المجتهد الّذی ظنّه حجّة شرعا، فضلا عن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المصوّبة،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یقول ذلک إلّا بالنسبة إلی ظنّ المجتهد المعتبر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یقول بأنّه مکلّف بما أمر اللّه تعالی به فی الواقع، فلازم ذلک أن یأتی بما أمر اللّه تعالی به فی الواقع، و هذا لا یمکن للمجتهد أن یأتی به، فضلا عن العامّی، إذ غایة ما یحصل للمجتهد الظنّ بأنّه ما أمر اللّه تعالی به واقعا، إذ الکلام إنّما هو فی المسائل الاجتهادیّة، لا المسائل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یمکن الحکم </w:t>
      </w:r>
      <w:r>
        <w:rPr>
          <w:rStyle w:val="FootnoteAnchor"/>
          <w:rtl w:val="true"/>
        </w:rPr>
        <w:footnoteReference w:id="116"/>
      </w:r>
      <w:r>
        <w:rPr>
          <w:rFonts w:ascii="IRNazanin" w:hAnsi="IRNazanin" w:eastAsia="IRNazanin"/>
          <w:color w:val="111111"/>
          <w:sz w:val="28"/>
          <w:sz w:val="28"/>
          <w:szCs w:val="28"/>
          <w:rtl w:val="true"/>
          <w:lang w:bidi="fa-IR"/>
        </w:rPr>
        <w:t>بصحّتها، و أنّها موافقة لما أمر اللّه تعالی به إلّا بالظنون الاجتهادیة، لأنّها هی الّتی یقول بها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w:t>
      </w:r>
      <w:r>
        <w:rPr>
          <w:rStyle w:val="FootnoteAnchor"/>
          <w:rtl w:val="true"/>
        </w:rPr>
        <w:footnoteReference w:id="117"/>
      </w:r>
      <w:r>
        <w:rPr>
          <w:rFonts w:ascii="IRNazanin" w:hAnsi="IRNazanin" w:eastAsia="IRNazanin"/>
          <w:color w:val="111111"/>
          <w:sz w:val="28"/>
          <w:sz w:val="28"/>
          <w:szCs w:val="28"/>
          <w:rtl w:val="true"/>
          <w:lang w:bidi="fa-IR"/>
        </w:rPr>
        <w:t>لا بدّ من الاجتهاد أو التقلید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الاستناد فیه إلی اجتهاد و تقلید فلا کلام فیه، مثل الضروریّات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به هو الأمر الواقعی، و معنی التکلیف به أنّه مأمور بإتیانه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إتیان ذلک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فلازم ذلک تحصیل العلم أو الظنّ المعتبر شرعا، أی ثبت من الدلیل الشرعی أنّ اللّه جوّزه، و رضی </w:t>
      </w:r>
      <w:r>
        <w:rPr>
          <w:rStyle w:val="FootnoteAnchor"/>
          <w:rtl w:val="true"/>
        </w:rPr>
        <w:footnoteReference w:id="118"/>
      </w:r>
      <w:r>
        <w:rPr>
          <w:rFonts w:ascii="IRNazanin" w:hAnsi="IRNazanin" w:eastAsia="IRNazanin"/>
          <w:color w:val="111111"/>
          <w:sz w:val="28"/>
          <w:sz w:val="28"/>
          <w:szCs w:val="28"/>
          <w:rtl w:val="true"/>
          <w:lang w:bidi="fa-IR"/>
        </w:rPr>
        <w:t>به أن یکون عوضا عمّا أمر به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 إلّا فبین الأمر الشرعی الواقعی و الظنّ الحاصل للمکلّفین فرق ظاهر، و تفاوت بیّن، فکیف یمکن أن یکون أحدهما موضعا للآخر و عوضا بغیر رخصة من الشرع و تجویزه؟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مع أنّ الشارع صدر عنه ما یدلّ علی عدم اعتبار </w:t>
      </w:r>
      <w:r>
        <w:rPr>
          <w:rStyle w:val="FootnoteAnchor"/>
          <w:rtl w:val="true"/>
        </w:rPr>
        <w:footnoteReference w:id="119"/>
      </w:r>
      <w:r>
        <w:rPr>
          <w:rFonts w:ascii="IRNazanin" w:hAnsi="IRNazanin" w:eastAsia="IRNazanin"/>
          <w:color w:val="111111"/>
          <w:sz w:val="28"/>
          <w:sz w:val="28"/>
          <w:szCs w:val="28"/>
          <w:rtl w:val="true"/>
          <w:lang w:bidi="fa-IR"/>
        </w:rPr>
        <w:t xml:space="preserve">الظنّ، بل و المنع عن اعتباره ما یزید علی القدر المعتبر فی التواتر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المتواترات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ذلک فیه 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تری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موضع اعتبروا ظنّا، ما اعتبروه إلّا بدلیل قطعی، أو ینتهی إلی القطع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منعوا عن اجتهاد من لم یحصل له رتبة الاجتهاد، و حکموا بحرمته، و إن کان ظنّه مطابقا لظنّ المجتهد، لأنّ الاعتبار عندهم بکبری قطعیّة حاصلة للمجتهد، لا الصغری الحاصلة من ظنونهم، و کذا الحال فی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العبادة أمر خارج عن ماهیّتها، و هو مأمور بالعبادة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شکّ فی </w:t>
      </w:r>
      <w:r>
        <w:rPr>
          <w:rStyle w:val="FootnoteAnchor"/>
          <w:rtl w:val="true"/>
        </w:rPr>
        <w:footnoteReference w:id="123"/>
      </w:r>
      <w:r>
        <w:rPr>
          <w:rFonts w:ascii="IRNazanin" w:hAnsi="IRNazanin" w:eastAsia="IRNazanin"/>
          <w:color w:val="111111"/>
          <w:sz w:val="28"/>
          <w:sz w:val="28"/>
          <w:szCs w:val="28"/>
          <w:rtl w:val="true"/>
          <w:lang w:bidi="fa-IR"/>
        </w:rPr>
        <w:t xml:space="preserve">أنّه مأمور بالعلم و المعرفة، و الأخبار فی ذلک متواترة </w:t>
      </w:r>
      <w:r>
        <w:rPr>
          <w:rStyle w:val="FootnoteAnchor"/>
          <w:rtl w:val="true"/>
        </w:rPr>
        <w:footnoteReference w:id="124"/>
      </w:r>
      <w:r>
        <w:rPr>
          <w:rFonts w:ascii="IRNazanin" w:hAnsi="IRNazanin" w:eastAsia="IRNazanin"/>
          <w:color w:val="111111"/>
          <w:sz w:val="28"/>
          <w:sz w:val="28"/>
          <w:szCs w:val="28"/>
          <w:rtl w:val="true"/>
          <w:lang w:bidi="fa-IR"/>
        </w:rPr>
        <w:t>، و مضمونها متّفق علیه بین الأمّة، و أنّها من الواجبات العینیّة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ذلک،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مجرّد المظنّة یکون کافیا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تحقّق العلم و صدق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المظنّة أمر سوی العلم و المعرفة، و بین المعنیین فرق بالبدیهة، مع أنّ الوارد فی الأخبار أنّه لا بدّ من الأخذ ممّن هو أهله </w:t>
      </w:r>
      <w:r>
        <w:rPr>
          <w:rStyle w:val="FootnoteAnchor"/>
          <w:rtl w:val="true"/>
        </w:rPr>
        <w:footnoteReference w:id="125"/>
      </w:r>
      <w:r>
        <w:rPr>
          <w:rStyle w:val="FootnoteAnchor"/>
          <w:rtl w:val="true"/>
        </w:rPr>
        <w:footnoteReference w:id="126"/>
      </w:r>
      <w:r>
        <w:rPr>
          <w:rFonts w:ascii="IRNazanin" w:hAnsi="IRNazanin" w:eastAsia="IRNazanin"/>
          <w:color w:val="111111"/>
          <w:sz w:val="28"/>
          <w:sz w:val="28"/>
          <w:szCs w:val="28"/>
          <w:rtl w:val="true"/>
          <w:lang w:bidi="fa-IR"/>
        </w:rPr>
        <w:t xml:space="preserve">، سوی ما ورد </w:t>
      </w:r>
      <w:r>
        <w:rPr>
          <w:rStyle w:val="FootnoteAnchor"/>
          <w:rtl w:val="true"/>
        </w:rPr>
        <w:footnoteReference w:id="127"/>
      </w:r>
      <w:r>
        <w:rPr>
          <w:rFonts w:ascii="IRNazanin" w:hAnsi="IRNazanin" w:eastAsia="IRNazanin"/>
          <w:color w:val="111111"/>
          <w:sz w:val="28"/>
          <w:sz w:val="28"/>
          <w:szCs w:val="28"/>
          <w:rtl w:val="true"/>
          <w:lang w:bidi="fa-IR"/>
        </w:rPr>
        <w:t>من المنع عن العمل بالظنّ و الأمر بالعمل بالعلم، و غیر ذلک ممّا مرّ و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ذلک،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تکون واجبة علی حدة، لا شرطا فی صحّة العبادة، و یکون المکلف آثما فی ترک تحصیلها، لا أن تکون عبادته أیضا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ببالی أنّه وردت الأخبار المتضمّنة لنفی الصحّة بدون الفقه و المعرفة </w:t>
      </w:r>
      <w:r>
        <w:rPr>
          <w:rStyle w:val="FootnoteAnchor"/>
          <w:rtl w:val="true"/>
        </w:rPr>
        <w:footnoteReference w:id="128"/>
      </w:r>
      <w:r>
        <w:rPr>
          <w:rFonts w:ascii="IRNazanin" w:hAnsi="IRNazanin" w:eastAsia="IRNazanin"/>
          <w:color w:val="111111"/>
          <w:sz w:val="28"/>
          <w:sz w:val="28"/>
          <w:szCs w:val="28"/>
          <w:rtl w:val="true"/>
          <w:lang w:bidi="fa-IR"/>
        </w:rPr>
        <w:t>، و ما یؤدّی هذا المعنی بعنوان الظهور أو النصوصیّة، لکن الآن لیس عندی من الکتب حتّی أبیّن الأمر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سلّمنا عدم الورود، لکن لا شکّ فی أنّه یجب علینا الإطاعة، و الآیات </w:t>
      </w:r>
      <w:r>
        <w:rPr>
          <w:rStyle w:val="FootnoteAnchor"/>
          <w:rtl w:val="true"/>
        </w:rPr>
        <w:footnoteReference w:id="129"/>
      </w:r>
      <w:r>
        <w:rPr>
          <w:rFonts w:ascii="IRNazanin" w:hAnsi="IRNazanin" w:eastAsia="IRNazanin"/>
          <w:color w:val="111111"/>
          <w:sz w:val="28"/>
          <w:sz w:val="28"/>
          <w:szCs w:val="28"/>
          <w:rtl w:val="true"/>
          <w:lang w:bidi="fa-IR"/>
        </w:rPr>
        <w:t xml:space="preserve">و الأخبار </w:t>
      </w:r>
      <w:r>
        <w:rPr>
          <w:rStyle w:val="FootnoteAnchor"/>
          <w:rtl w:val="true"/>
        </w:rPr>
        <w:footnoteReference w:id="130"/>
      </w:r>
      <w:r>
        <w:rPr>
          <w:rFonts w:ascii="IRNazanin" w:hAnsi="IRNazanin" w:eastAsia="IRNazanin"/>
          <w:color w:val="111111"/>
          <w:sz w:val="28"/>
          <w:sz w:val="28"/>
          <w:szCs w:val="28"/>
          <w:rtl w:val="true"/>
          <w:lang w:bidi="fa-IR"/>
        </w:rPr>
        <w:t xml:space="preserve">المتواترة فی هذا المعنی واضحة الدلالة، و الإطاعة عبارة عن امتثال الأمر عرفا و لغة، و معنی امتثال الأمر هو الإتیان بنفس ما أمر به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فإن کان المأمور به هو مظنّة المکلّف </w:t>
      </w:r>
      <w:r>
        <w:rPr>
          <w:rStyle w:val="FootnoteAnchor"/>
          <w:rtl w:val="true"/>
        </w:rPr>
        <w:footnoteReference w:id="132"/>
      </w:r>
      <w:r>
        <w:rPr>
          <w:rFonts w:ascii="IRNazanin" w:hAnsi="IRNazanin" w:eastAsia="IRNazanin"/>
          <w:color w:val="111111"/>
          <w:sz w:val="28"/>
          <w:sz w:val="28"/>
          <w:szCs w:val="28"/>
          <w:rtl w:val="true"/>
          <w:lang w:bidi="fa-IR"/>
        </w:rPr>
        <w:t>، فلا شکّ فی تحقّقه بالمظنّة، لکن قد عرفت أنّه فاسد بالبدیهة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المأمور به هو أمرا واقعیا، فامتثال الأمر لا یتحقّق إلّا بإتیان ذلک الأمر الواقعی، لا مظنون المکلّف، کما أنّه لا یتحقّق بالمحتمل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ثبت من الآمر أنّه اکتفی بظنّ عوضا عمّا أمر به فی الواقع فهو المتّبع، عامّا کان ذلک الظنّ أو خاصّا، علی حسب ما ثبت من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قد عرفت عدم الثبوت، بل و ثبوت العدم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 شغل الذمّة شرعا یقینی، و الشارع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الیقین إلّا بیقین مثله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أیضا، هو </w:t>
      </w:r>
      <w:r>
        <w:rPr>
          <w:rStyle w:val="FootnoteAnchor"/>
          <w:rtl w:val="true"/>
        </w:rPr>
        <w:footnoteReference w:id="135"/>
      </w:r>
      <w:r>
        <w:rPr>
          <w:rFonts w:ascii="IRNazanin" w:hAnsi="IRNazanin" w:eastAsia="IRNazanin"/>
          <w:color w:val="111111"/>
          <w:sz w:val="28"/>
          <w:sz w:val="28"/>
          <w:szCs w:val="28"/>
          <w:rtl w:val="true"/>
          <w:lang w:bidi="fa-IR"/>
        </w:rPr>
        <w:t>مستصحب حتّی یثبت خلافه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العمومات و الإطلاقات الدالّة علی أنّه مکلف تشمل صورة ما نحن فیه، لعدم ثبوت التخصیص و التقیید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الإجماع واقع علی أنّ شغل الذمّة </w:t>
      </w:r>
      <w:r>
        <w:rPr>
          <w:rStyle w:val="FootnoteAnchor"/>
          <w:rtl w:val="true"/>
        </w:rPr>
        <w:footnoteReference w:id="136"/>
      </w:r>
      <w:r>
        <w:rPr>
          <w:rFonts w:ascii="IRNazanin" w:hAnsi="IRNazanin" w:eastAsia="IRNazanin"/>
          <w:color w:val="111111"/>
          <w:sz w:val="28"/>
          <w:sz w:val="28"/>
          <w:szCs w:val="28"/>
          <w:rtl w:val="true"/>
          <w:lang w:bidi="fa-IR"/>
        </w:rPr>
        <w:t>شرعا یستدعی البراءة بعنوان شرعی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ما ذکرت لا یلائم لقواعد </w:t>
      </w:r>
      <w:r>
        <w:rPr>
          <w:rStyle w:val="FootnoteAnchor"/>
          <w:rtl w:val="true"/>
        </w:rPr>
        <w:footnoteReference w:id="137"/>
      </w:r>
      <w:r>
        <w:rPr>
          <w:rFonts w:ascii="IRNazanin" w:hAnsi="IRNazanin" w:eastAsia="IRNazanin"/>
          <w:color w:val="111111"/>
          <w:sz w:val="28"/>
          <w:sz w:val="28"/>
          <w:szCs w:val="28"/>
          <w:rtl w:val="true"/>
          <w:lang w:bidi="fa-IR"/>
        </w:rPr>
        <w:t>العدلیّة، فإنّ رجلین لو کانا متساویین فی الفعل و العمل من دون تفاوت أصلا، و کان عبادتهما من أوّل العمر إلی الآخر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بالظنون الّتی ذکرت، إلّا أنّه اتّفق خطأ ظنون أحدهما، و صارت عباداته </w:t>
      </w:r>
      <w:r>
        <w:rPr>
          <w:rStyle w:val="FootnoteAnchor"/>
          <w:rtl w:val="true"/>
        </w:rPr>
        <w:footnoteReference w:id="138"/>
      </w:r>
      <w:r>
        <w:rPr>
          <w:rFonts w:ascii="IRNazanin" w:hAnsi="IRNazanin" w:eastAsia="IRNazanin"/>
          <w:color w:val="111111"/>
          <w:sz w:val="28"/>
          <w:sz w:val="28"/>
          <w:szCs w:val="28"/>
          <w:rtl w:val="true"/>
          <w:lang w:bidi="fa-IR"/>
        </w:rPr>
        <w:t>مخالفة للواقع بخلاف الآخر، فکیف یعاقب بالنسبة إلی کلّ واحد واحد من واجباته و محرّماته عقابا، کلّ واحد من العقابات علی حدة، و لا یمکن وصف شدّة کلّ واحد من العقابات؟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یعطی الجنّة و مثوباتها </w:t>
      </w:r>
      <w:r>
        <w:rPr>
          <w:rStyle w:val="FootnoteAnchor"/>
          <w:rtl w:val="true"/>
        </w:rPr>
        <w:footnoteReference w:id="139"/>
      </w:r>
      <w:r>
        <w:rPr>
          <w:rFonts w:ascii="IRNazanin" w:hAnsi="IRNazanin" w:eastAsia="IRNazanin"/>
          <w:color w:val="111111"/>
          <w:sz w:val="28"/>
          <w:sz w:val="28"/>
          <w:szCs w:val="28"/>
          <w:rtl w:val="true"/>
          <w:lang w:bidi="fa-IR"/>
        </w:rPr>
        <w:t xml:space="preserve">العظیمة الّتی لا یمکن وصف واحد منها، کلّ ذلک بمحض الاتّفاق، بأن اتّفق أنّ عبادة هذا صارت خطأ، و اتّفق أنّ عبادة هذا وافقت الواقع، مع عدم تفاوت أصلا فی فعلهما و عنایتهما </w:t>
      </w:r>
      <w:r>
        <w:rPr>
          <w:rStyle w:val="FootnoteAnchor"/>
          <w:rtl w:val="true"/>
        </w:rPr>
        <w:footnoteReference w:id="140"/>
      </w:r>
      <w:r>
        <w:rPr>
          <w:rFonts w:ascii="IRNazanin" w:hAnsi="IRNazanin" w:eastAsia="IRNazanin"/>
          <w:color w:val="111111"/>
          <w:sz w:val="28"/>
          <w:sz w:val="28"/>
          <w:szCs w:val="28"/>
          <w:rtl w:val="true"/>
          <w:lang w:bidi="fa-IR"/>
        </w:rPr>
        <w:t xml:space="preserve">، و بذل جهدهما، بل و ربّما کان العنایة </w:t>
      </w:r>
      <w:r>
        <w:rPr>
          <w:rStyle w:val="FootnoteAnchor"/>
          <w:rtl w:val="true"/>
        </w:rPr>
        <w:footnoteReference w:id="141"/>
      </w:r>
      <w:r>
        <w:rPr>
          <w:rFonts w:ascii="IRNazanin" w:hAnsi="IRNazanin" w:eastAsia="IRNazanin"/>
          <w:color w:val="111111"/>
          <w:sz w:val="28"/>
          <w:sz w:val="28"/>
          <w:szCs w:val="28"/>
          <w:rtl w:val="true"/>
          <w:lang w:bidi="fa-IR"/>
        </w:rPr>
        <w:t>و بذل الجهد من الخاطئ أکثر، و ظنّه أقوی و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الفقه علی الظنون، و المرء متعبّد بظنّه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من الظنون ما هو معتبر شرعا فمسلّم، لکن الکلام فی اعتباره، و لم یثبت، بل و ثبت خلافه کما عرفت، بل الأوامر الواردة فی وجوب تحصیل العلم و المعرفة، و التأکیدات، و التشدیدات، و الوعیدات، و التهدیدات لم ترد إلّا لأجل أن لا یعتمد علی أمثال هذه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أردت کلّ ظنّ و أنّ الکلّ معتبر شرعا فممنوع، بل و فاسد کما عرفت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یلزم علی هذا صحّة عبادته </w:t>
      </w:r>
      <w:r>
        <w:rPr>
          <w:rStyle w:val="FootnoteAnchor"/>
          <w:rtl w:val="true"/>
        </w:rPr>
        <w:footnoteReference w:id="143"/>
      </w:r>
      <w:r>
        <w:rPr>
          <w:rFonts w:ascii="IRNazanin" w:hAnsi="IRNazanin" w:eastAsia="IRNazanin"/>
          <w:color w:val="111111"/>
          <w:sz w:val="28"/>
          <w:sz w:val="28"/>
          <w:szCs w:val="28"/>
          <w:rtl w:val="true"/>
          <w:lang w:bidi="fa-IR"/>
        </w:rPr>
        <w:t>و إن کانت مخالفة لما أمر به، بل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و فسادها إن کانت علی خلاف ظنّه و إن کانت مطابقة للواقع، بل و حرمتها و عدم جواز فعلها، بل و وجوب فعلها مخالفة لما أمر به 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هذا بدیهی، و أنتم أیضا متحاشون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یلزم علی هذا عدم العقاب علی ترک العلم و المعرفة </w:t>
      </w:r>
      <w:r>
        <w:rPr>
          <w:rStyle w:val="FootnoteAnchor"/>
          <w:rtl w:val="true"/>
        </w:rPr>
        <w:footnoteReference w:id="144"/>
      </w:r>
      <w:r>
        <w:rPr>
          <w:rFonts w:ascii="IRNazanin" w:hAnsi="IRNazanin" w:eastAsia="IRNazanin"/>
          <w:color w:val="111111"/>
          <w:sz w:val="28"/>
          <w:sz w:val="28"/>
          <w:szCs w:val="28"/>
          <w:rtl w:val="true"/>
          <w:lang w:bidi="fa-IR"/>
        </w:rPr>
        <w:t>، بل و کون الظنون الفاسدة علما و معرفة متّصفة بصفة الوجوب الشرعی، و یترتّب علیها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أیضا فاسد قطعا، مخالف للأدلّة القطعیّة، و اتّفاق جمیع المسلمین، و أنتم أیضا متحاشون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المجتهد أیضا مظنّة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لکن لیس کغیره، للإجماع علی اعتباره، و قضاء الضرورة به، و عمل المسلمین فی الأعصار و الأمصار علیه، و آیة فَلَوْ لٰا نَفَرَ مِنْ کُلِّ فِرْقَةٍ </w:t>
      </w:r>
      <w:r>
        <w:rPr>
          <w:rStyle w:val="FootnoteAnchor"/>
          <w:rtl w:val="true"/>
        </w:rPr>
        <w:footnoteReference w:id="145"/>
      </w:r>
      <w:r>
        <w:rPr>
          <w:rFonts w:ascii="IRNazanin" w:hAnsi="IRNazanin" w:eastAsia="IRNazanin"/>
          <w:color w:val="111111"/>
          <w:sz w:val="28"/>
          <w:sz w:val="28"/>
          <w:szCs w:val="28"/>
          <w:rtl w:val="true"/>
          <w:lang w:bidi="fa-IR"/>
        </w:rPr>
        <w:t>دالّة علی اعتباره، و کذا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العالم کذا و کذا فللعوام أن یقلّدوه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مرکوز فی خواطر کلّ واحد أنّ کلّ أمر مجهول یرجع فیه إلی أهل خبرته و الماهر فی فنّه </w:t>
      </w:r>
      <w:r>
        <w:rPr>
          <w:rStyle w:val="FootnoteAnchor"/>
          <w:rtl w:val="true"/>
        </w:rPr>
        <w:footnoteReference w:id="147"/>
      </w:r>
      <w:r>
        <w:rPr>
          <w:rFonts w:ascii="IRNazanin" w:hAnsi="IRNazanin" w:eastAsia="IRNazanin"/>
          <w:color w:val="111111"/>
          <w:sz w:val="28"/>
          <w:sz w:val="28"/>
          <w:szCs w:val="28"/>
          <w:rtl w:val="true"/>
          <w:lang w:bidi="fa-IR"/>
        </w:rPr>
        <w:t xml:space="preserve">، فإذا أراد أن یعرف أنّ درهما هل هو زیف </w:t>
      </w:r>
      <w:r>
        <w:rPr>
          <w:rStyle w:val="FootnoteAnchor"/>
          <w:rtl w:val="true"/>
        </w:rPr>
        <w:footnoteReference w:id="148"/>
      </w:r>
      <w:r>
        <w:rPr>
          <w:rFonts w:ascii="IRNazanin" w:hAnsi="IRNazanin" w:eastAsia="IRNazanin"/>
          <w:color w:val="111111"/>
          <w:sz w:val="28"/>
          <w:sz w:val="28"/>
          <w:szCs w:val="28"/>
          <w:rtl w:val="true"/>
          <w:lang w:bidi="fa-IR"/>
        </w:rPr>
        <w:t>أم لا یرجع فیه إلی الماهر فی المعرفة، و یبذل جهده فی تحصیل الماهر و فی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أراد معرفة عیب شی‌ء و إن کان أقلّ من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یرجع إلی الطبیب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فی المرض، و لو رجع إلی غیره یکون </w:t>
      </w:r>
      <w:r>
        <w:rPr>
          <w:rStyle w:val="FootnoteAnchor"/>
          <w:rtl w:val="true"/>
        </w:rPr>
        <w:footnoteReference w:id="149"/>
      </w:r>
      <w:r>
        <w:rPr>
          <w:rFonts w:ascii="IRNazanin" w:hAnsi="IRNazanin" w:eastAsia="IRNazanin"/>
          <w:color w:val="111111"/>
          <w:sz w:val="28"/>
          <w:sz w:val="28"/>
          <w:szCs w:val="28"/>
          <w:rtl w:val="true"/>
          <w:lang w:bidi="fa-IR"/>
        </w:rPr>
        <w:t>آثما بالبدیهة، مع أنّه فساد أو هلاک دنیوی، فکیف لا یرجع إلی أطبّاء الأدیان؟ مع أنّ خطأه فساد أخرویّ و هلاک سرمدیّ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فی بعض الأخبار حکم الشارع بصحّة عبادة الجاهل، حیث سأله بأنّه فعل کذا و کذا، فأجاب بما دلّ علی الصحّة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کما هو ظاهر فی الصحّة کذلک ظاهر فی عدم وجوب العلم و المعرفة، حیث ما أنکر علیه أصلا، بل و لا عاب </w:t>
      </w:r>
      <w:r>
        <w:rPr>
          <w:rStyle w:val="FootnoteAnchor"/>
          <w:rtl w:val="true"/>
        </w:rPr>
        <w:footnoteReference w:id="151"/>
      </w:r>
      <w:r>
        <w:rPr>
          <w:rFonts w:ascii="IRNazanin" w:hAnsi="IRNazanin" w:eastAsia="IRNazanin"/>
          <w:color w:val="111111"/>
          <w:sz w:val="28"/>
          <w:sz w:val="28"/>
          <w:szCs w:val="28"/>
          <w:rtl w:val="true"/>
          <w:lang w:bidi="fa-IR"/>
        </w:rPr>
        <w:t>علیه مطلقا، بل و قرّره علی ذلک، فما هو جوابک عن هذا فهو 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لا شکّ فی أنّ العبادات لیست ممّا یمکن معرفتها من لغة أو عرف أو عقل، إذ لیس لأمثال هذه الأمور طریق إلیها أصلا و قطعا، و لا یمکن جعلها و اختراعها عند أدائها علی حسب ما هو الواقع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من أنّه إمّا تقلید من الراوی، أو اجتهاد من العمومات الشرعیّة، و هذا الاجتهاد صحیح البتّة، سیّما بالنسبة إلی ذلک الزمان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التقلید، فربّما یکون فاسدا، و ربّما یکون صحیحا، فمن أین ثبت کون فعل الراوی تقلیدا فاسدا حتّی تستدلّون به علی أنّ الأصل فی أفعال المسلمین الحمل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من حال هؤلاء الرواة عدم التقلید أصلا، فضلا عن أن یکون تقلید امرأة أو عامّی جاهل، بل ربّما یحصل بالتأمّل العلم بأنّه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 سؤاله عن الشارع علیه السّلام لا یقتضی أنّه ما کان عالما </w:t>
      </w:r>
      <w:r>
        <w:rPr>
          <w:rStyle w:val="FootnoteAnchor"/>
          <w:rtl w:val="true"/>
        </w:rPr>
        <w:footnoteReference w:id="153"/>
      </w:r>
      <w:r>
        <w:rPr>
          <w:rFonts w:ascii="IRNazanin" w:hAnsi="IRNazanin" w:eastAsia="IRNazanin"/>
          <w:color w:val="111111"/>
          <w:sz w:val="28"/>
          <w:sz w:val="28"/>
          <w:szCs w:val="28"/>
          <w:rtl w:val="true"/>
          <w:lang w:bidi="fa-IR"/>
        </w:rPr>
        <w:t>و لا ظانّا بوجه من الوجوه، إذ قد عرفت أنّه محال أن یصدر عنه ذلک مطابقا لما فی الواقع مع عدم الظنّ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لا یقتضی أن یکون تقلیدا للمرأة و الجاهل </w:t>
      </w:r>
      <w:r>
        <w:rPr>
          <w:rStyle w:val="FootnoteAnchor"/>
          <w:rtl w:val="true"/>
        </w:rPr>
        <w:footnoteReference w:id="154"/>
      </w:r>
      <w:r>
        <w:rPr>
          <w:rFonts w:ascii="IRNazanin" w:hAnsi="IRNazanin" w:eastAsia="IRNazanin"/>
          <w:color w:val="111111"/>
          <w:sz w:val="28"/>
          <w:sz w:val="28"/>
          <w:szCs w:val="28"/>
          <w:rtl w:val="true"/>
          <w:lang w:bidi="fa-IR"/>
        </w:rPr>
        <w:t>، بل لتصحیح اجتهاده، کما هو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اشتراط المعرفة الحرج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أنّ نفس ذلک حرج، فلا یخفی فساده، لأنّ المعرفة من الفرائض العینیّة بالإجماع و الأدلّة المتواترة، مع أنّ من هو مسلم یعلم مجملا </w:t>
      </w:r>
      <w:r>
        <w:rPr>
          <w:rStyle w:val="FootnoteAnchor"/>
          <w:rtl w:val="true"/>
        </w:rPr>
        <w:footnoteReference w:id="155"/>
      </w:r>
      <w:r>
        <w:rPr>
          <w:rFonts w:ascii="IRNazanin" w:hAnsi="IRNazanin" w:eastAsia="IRNazanin"/>
          <w:color w:val="111111"/>
          <w:sz w:val="28"/>
          <w:sz w:val="28"/>
          <w:szCs w:val="28"/>
          <w:rtl w:val="true"/>
          <w:lang w:bidi="fa-IR"/>
        </w:rPr>
        <w:t xml:space="preserve">أنّ فی الدین تکلیفات، واجبات و محرّمات لا بدّ من امتثالها، و أنّه فرع معرفتها، مع أنّ جمیع العلماء و الصلحاء المرشدین </w:t>
      </w:r>
      <w:r>
        <w:rPr>
          <w:rStyle w:val="FootnoteAnchor"/>
          <w:rtl w:val="true"/>
        </w:rPr>
        <w:footnoteReference w:id="156"/>
      </w:r>
      <w:r>
        <w:rPr>
          <w:rFonts w:ascii="IRNazanin" w:hAnsi="IRNazanin" w:eastAsia="IRNazanin"/>
          <w:color w:val="111111"/>
          <w:sz w:val="28"/>
          <w:sz w:val="28"/>
          <w:szCs w:val="28"/>
          <w:rtl w:val="true"/>
          <w:lang w:bidi="fa-IR"/>
        </w:rPr>
        <w:t>فی مقام الوعظ و غیره أبلغوا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الإبلاغ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معرفة التکلیفات واجبة، فتارک المعرفة داخل فی النار البتّة، تکون عباداته </w:t>
      </w:r>
      <w:r>
        <w:rPr>
          <w:rStyle w:val="FootnoteAnchor"/>
          <w:rtl w:val="true"/>
        </w:rPr>
        <w:footnoteReference w:id="157"/>
      </w:r>
      <w:r>
        <w:rPr>
          <w:rFonts w:ascii="IRNazanin" w:hAnsi="IRNazanin" w:eastAsia="IRNazanin"/>
          <w:color w:val="111111"/>
          <w:sz w:val="28"/>
          <w:sz w:val="28"/>
          <w:szCs w:val="28"/>
          <w:rtl w:val="true"/>
          <w:lang w:bidi="fa-IR"/>
        </w:rPr>
        <w:t>صحیحة أم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کانت فاسدة یکون عذابه أشدّ، و هذه الأشدّیة لا دخل لها فی حکایة الحرج و عدمه، بعد أن یکون التکلیف البتّة ثابتا، و الدخول فی النار متحقّقا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الإنسان مخلوق للمعرفة و العبادة و التشرّع </w:t>
      </w:r>
      <w:r>
        <w:rPr>
          <w:rStyle w:val="FootnoteAnchor"/>
          <w:rtl w:val="true"/>
        </w:rPr>
        <w:footnoteReference w:id="159"/>
      </w:r>
      <w:r>
        <w:rPr>
          <w:rFonts w:ascii="IRNazanin" w:hAnsi="IRNazanin" w:eastAsia="IRNazanin"/>
          <w:color w:val="111111"/>
          <w:sz w:val="28"/>
          <w:sz w:val="28"/>
          <w:szCs w:val="28"/>
          <w:rtl w:val="true"/>
          <w:lang w:bidi="fa-IR"/>
        </w:rPr>
        <w:t>بالأحکام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الشرعیّة </w:t>
      </w:r>
      <w:r>
        <w:rPr>
          <w:rStyle w:val="FootnoteAnchor"/>
          <w:rtl w:val="true"/>
        </w:rPr>
        <w:footnoteReference w:id="160"/>
      </w:r>
      <w:r>
        <w:rPr>
          <w:rFonts w:ascii="IRNazanin" w:hAnsi="IRNazanin" w:eastAsia="IRNazanin"/>
          <w:color w:val="111111"/>
          <w:sz w:val="28"/>
          <w:sz w:val="28"/>
          <w:szCs w:val="28"/>
          <w:rtl w:val="true"/>
          <w:lang w:bidi="fa-IR"/>
        </w:rPr>
        <w:t xml:space="preserve">، و تهذیب النفس بدفع المهلکات و جلب المنجیات من الأخلاق، کالریاء و السمعة و العجب و غیر ذلک و أضدادها، و هی فی غایة الکثرة و نهایة شدّة الضرر، مع کمال صعوبة الامتثال، و لذا لا نری ممتثلا إلّا و هو من </w:t>
      </w:r>
      <w:r>
        <w:rPr>
          <w:rStyle w:val="FootnoteAnchor"/>
          <w:rtl w:val="true"/>
        </w:rPr>
        <w:footnoteReference w:id="161"/>
      </w:r>
      <w:r>
        <w:rPr>
          <w:rFonts w:ascii="IRNazanin" w:hAnsi="IRNazanin" w:eastAsia="IRNazanin"/>
          <w:color w:val="111111"/>
          <w:sz w:val="28"/>
          <w:sz w:val="28"/>
          <w:szCs w:val="28"/>
          <w:rtl w:val="true"/>
          <w:lang w:bidi="fa-IR"/>
        </w:rPr>
        <w:t>أو حدی الدهر، و لا یقتضی ذلک رفع التکالیف بها، لأنّها ثابتة بالأدلّة، فالمناط الثبوت بالأدلّة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ثبت ما نحن فیه فلیس بأشدّ من غیره، و سیّما </w:t>
      </w:r>
      <w:r>
        <w:rPr>
          <w:rStyle w:val="FootnoteAnchor"/>
          <w:rtl w:val="true"/>
        </w:rPr>
        <w:footnoteReference w:id="162"/>
      </w:r>
      <w:r>
        <w:rPr>
          <w:rFonts w:ascii="IRNazanin" w:hAnsi="IRNazanin" w:eastAsia="IRNazanin"/>
          <w:color w:val="111111"/>
          <w:sz w:val="28"/>
          <w:sz w:val="28"/>
          <w:szCs w:val="28"/>
          <w:rtl w:val="true"/>
          <w:lang w:bidi="fa-IR"/>
        </w:rPr>
        <w:t xml:space="preserve">مثل الریاء و السمعة و العجب ممّا له دخل فی صحّة العبادة و فسادها و خرابها، و فی غایة الصعوبة دفعها </w:t>
      </w:r>
      <w:r>
        <w:rPr>
          <w:rStyle w:val="FootnoteAnchor"/>
          <w:rtl w:val="true"/>
        </w:rPr>
        <w:footnoteReference w:id="163"/>
      </w:r>
      <w:r>
        <w:rPr>
          <w:rFonts w:ascii="IRNazanin" w:hAnsi="IRNazanin" w:eastAsia="IRNazanin"/>
          <w:color w:val="111111"/>
          <w:sz w:val="28"/>
          <w:sz w:val="28"/>
          <w:szCs w:val="28"/>
          <w:rtl w:val="true"/>
          <w:lang w:bidi="fa-IR"/>
        </w:rPr>
        <w:t>و علاجها و الخلاص منها، و یحتاج إلی الجهاد الأکبر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عزّ و جلّ قُلْ هَلْ نُنَبِّئُکُمْ بِالْأَخْسَرِینَ أَعْمٰالًا الَّذِینَ ضَلَّ سَعْیُهُمْ فِی الْحَیٰاةِ الدُّنْیٰا وَ هُمْ یَحْسَبُونَ أَنَّهُمْ یُحْسِنُونَ صُنْعاً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 فَمَنْ زُیِّنَ لَهُ سُوءُ عَمَلِهِ فَرَآهُ حَسَناً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وَ أَمّٰا مَنْ خٰافَ مَقٰامَ رَبِّهِ وَ نَهَی النَّفْسَ عَنِ الْهَویٰ فَإِنَّ الْجَنَّةَ هِیَ الْمَأْویٰ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فَأَمّٰا مَنْ طَغیٰ وَ آثَرَ الْحَیٰاةَ الدُّنْیٰا فَإِنَّ الْجَحِیمَ هِیَ الْمَأْویٰ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و ورد أنّ الناجی قلیل </w:t>
      </w:r>
      <w:r>
        <w:rPr>
          <w:rStyle w:val="FootnoteAnchor"/>
          <w:rtl w:val="true"/>
        </w:rPr>
        <w:footnoteReference w:id="16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طیّب لا یدخلها إلّا الطیّب</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محفوفة بالمکاره</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عزّ و جلّ یَوْمَ نَقُولُ لِجَهَنَّمَ هَلِ امْتَلَأْتِ وَ تَقُولُ هَلْ مِنْ مَزِیدٍ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ممّا هو مذکور فی کتب الأخلاق، و منها خطب أمیر المؤمنین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فی کتاب الإیمان و الکفر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 ذلک، ممّا لا یحصی </w:t>
      </w:r>
      <w:r>
        <w:rPr>
          <w:rStyle w:val="FootnoteAnchor"/>
          <w:rtl w:val="true"/>
        </w:rPr>
        <w:footnoteReference w:id="172"/>
      </w:r>
      <w:r>
        <w:rPr>
          <w:rFonts w:ascii="IRNazanin" w:hAnsi="IRNazanin" w:eastAsia="IRNazanin"/>
          <w:color w:val="111111"/>
          <w:sz w:val="28"/>
          <w:sz w:val="28"/>
          <w:szCs w:val="28"/>
          <w:rtl w:val="true"/>
          <w:lang w:bidi="fa-IR"/>
        </w:rPr>
        <w:t>، 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یثبت، فأصالة العدم تکفی من دون حاجة إلی التمسّک بالحرج، مع أنّ المناسب لما ذکرت صحّة عبادة الجاهل مطلقا، و أنت متحاش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 أنّه فی بعض الأحیان یتحقّق بواسطة الحرج، مثل أن تاب و ندم و قد کثر عبادته الفاسدة علی تقدیر اشتراط الصحّة بالمعرفة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جمیع التکلیفات کذلک، مثلا لو ظهر بعد مدّة مدیدة أنّ عباداته لو کانت مخالفة للواقع ما ذا یصنع؟ بل و لو ترک فی المدّة المدیدة جمیع عباداته ما ذا یصنع؟ هل ذلک </w:t>
      </w:r>
      <w:r>
        <w:rPr>
          <w:rStyle w:val="FootnoteAnchor"/>
          <w:rtl w:val="true"/>
        </w:rPr>
        <w:footnoteReference w:id="173"/>
      </w:r>
      <w:r>
        <w:rPr>
          <w:rFonts w:ascii="IRNazanin" w:hAnsi="IRNazanin" w:eastAsia="IRNazanin"/>
          <w:color w:val="111111"/>
          <w:sz w:val="28"/>
          <w:sz w:val="28"/>
          <w:szCs w:val="28"/>
          <w:rtl w:val="true"/>
          <w:lang w:bidi="fa-IR"/>
        </w:rPr>
        <w:t>یصیر سببا للحکم بعدم التکلیف أصلا و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التکالیف ثابتة فلا محیص</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ما نحن فیه أیضا کذلک، لما عرفت من دلیل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و الحاصل، أنّ تحقّق الحرج أمر علی حدة، فإذا تحقّق أمکن الحکم بعدم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الأوقات لا یتحقّق مجتهد یقلّد بغیر واسطة أو بواسطة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 حینئذ حال من خالف عبادته للواقع، فما تقول هناک یقول الفقهاء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الغالب عدم موافقة عبادة الجاهل للواقع، و أقلّ ذلک أن یتحقّق منه ریاء أو سمعة، أو غیر ذلک ممّا هو مبتلی به غالبا، و یصعب الخلاص و یخفی طریقه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w:t>
      </w:r>
      <w:r>
        <w:rPr>
          <w:rStyle w:val="FootnoteAnchor"/>
          <w:rtl w:val="true"/>
        </w:rPr>
        <w:footnoteReference w:id="174"/>
      </w:r>
      <w:r>
        <w:rPr>
          <w:rFonts w:ascii="IRNazanin" w:hAnsi="IRNazanin" w:eastAsia="IRNazanin"/>
          <w:color w:val="111111"/>
          <w:sz w:val="28"/>
          <w:sz w:val="28"/>
          <w:szCs w:val="28"/>
          <w:rtl w:val="true"/>
          <w:lang w:bidi="fa-IR"/>
        </w:rPr>
        <w:t>غالب المسائل الفقهیّة محلّ الخلاف بین الفقهاء، فیشکل الحکم بالصحّة عند جمیع الفقهاء، و الصحّة عند بعض کیف تکون کافیة مع عدمها عند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حال هذا حال تقلید بعض الفقهاء، لما فیه من الدلیل القطعی، بخلاف ما نحن فیه، فتأمّل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العبادة ما وافقت الواقع، بل وافقت ظنّ المجتهد، بل و فی الغالب وافقت ظنّ بعض المجتهدین دون بعض، بل و ظنّ ذلک البعض حین حکمه بإصابته للواقع عنده و بحسب ظنّه، و اعتبار مثل هذا شرعا یحتاج إلی دلیل شرعی، و هو منتف، و قیاسه علی ارتکاب العمل تقلیدا للمجتهد قیاس مع الفارق بحسب الظاهر، مع أنّ القیاس غیر حجّة عندنا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فالعمدة، شمول ما دلّ علی حجّیة ذلک لما نحن فیه، و هو أوّل الکلام و عین الدعوی، بل الظاهر أنّه لیس کذلک، للإجماع </w:t>
      </w:r>
      <w:r>
        <w:rPr>
          <w:rStyle w:val="FootnoteAnchor"/>
          <w:rtl w:val="true"/>
        </w:rPr>
        <w:footnoteReference w:id="175"/>
      </w:r>
      <w:r>
        <w:rPr>
          <w:rFonts w:ascii="IRNazanin" w:hAnsi="IRNazanin" w:eastAsia="IRNazanin"/>
          <w:color w:val="111111"/>
          <w:sz w:val="28"/>
          <w:sz w:val="28"/>
          <w:szCs w:val="28"/>
          <w:rtl w:val="true"/>
          <w:lang w:bidi="fa-IR"/>
        </w:rPr>
        <w:t>هناک و عدمه هنا، لو لم یکن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الإجماع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دلّ علی جواز تقلید المجتهد من النصّ،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فللعوام أن یقلّدوه</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فإنّه ظاهر فی الأوّل لا فیما نحن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أیضا نوع تقلید، مع أنّ کلامکم و مقتضی دلیلکم الصحّة لو طابقت الواقع، و إن لم یقلّد مجتهدا، و لا یحکم بصحّتها أحد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فی الأعصار و الأمصار کانوا یأخذون عن غیر الفقیه أیضا، مثل الآباء و الأمّهات و الأساتید و المعلّمین، من غیر أن یعلموا أنّهم أخذوا ذلک من الفقیه، و ما کانوا یلاحظون ذلک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شکّ فی </w:t>
      </w:r>
      <w:r>
        <w:rPr>
          <w:rStyle w:val="FootnoteAnchor"/>
          <w:rtl w:val="true"/>
        </w:rPr>
        <w:footnoteReference w:id="177"/>
      </w:r>
      <w:r>
        <w:rPr>
          <w:rFonts w:ascii="IRNazanin" w:hAnsi="IRNazanin" w:eastAsia="IRNazanin"/>
          <w:color w:val="111111"/>
          <w:sz w:val="28"/>
          <w:sz w:val="28"/>
          <w:szCs w:val="28"/>
          <w:rtl w:val="true"/>
          <w:lang w:bidi="fa-IR"/>
        </w:rPr>
        <w:t xml:space="preserve">أنّ المسلمین کانوا صنفین، صنف منهم کانوا متدیّنین بالدین متعبّدین، و صنف منهم کانوا لا یبالون بالدین متسامحین متساهلین، و اللّه تعالی و رسوله صلّی اللّه علیه و آله و سلّم و الأئمّة علیهم السّلام دائما کانوا یحذّرون أمثال هؤلاء و ینهون و یهدّدون و یوعدون، و کذلک بعدهم العلماء و الفقهاء و الواعظون </w:t>
      </w:r>
      <w:r>
        <w:rPr>
          <w:rStyle w:val="FootnoteAnchor"/>
          <w:rtl w:val="true"/>
        </w:rPr>
        <w:footnoteReference w:id="178"/>
      </w:r>
      <w:r>
        <w:rPr>
          <w:rFonts w:ascii="IRNazanin" w:hAnsi="IRNazanin" w:eastAsia="IRNazanin"/>
          <w:color w:val="111111"/>
          <w:sz w:val="28"/>
          <w:sz w:val="28"/>
          <w:szCs w:val="28"/>
          <w:rtl w:val="true"/>
          <w:lang w:bidi="fa-IR"/>
        </w:rPr>
        <w:t xml:space="preserve">کانوا یعظونهم و یأمرونهم و ینهونهم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مسلّم عندکم أیضا أنّهم کانوا عاصین فی ترک المعرفة و التعلّم، آثمین بذلک، و لذا عباداتهم لو کانت مخالفة للواقع کانت باطلة، و إلّا لکان حکم اللّه الظاهری فی شأنهم هو ما ارتکبوا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التکالیف </w:t>
      </w:r>
      <w:r>
        <w:rPr>
          <w:rStyle w:val="FootnoteAnchor"/>
          <w:rtl w:val="true"/>
        </w:rPr>
        <w:footnoteReference w:id="180"/>
      </w:r>
      <w:r>
        <w:rPr>
          <w:rFonts w:ascii="IRNazanin" w:hAnsi="IRNazanin" w:eastAsia="IRNazanin"/>
          <w:color w:val="111111"/>
          <w:sz w:val="28"/>
          <w:sz w:val="28"/>
          <w:szCs w:val="28"/>
          <w:rtl w:val="true"/>
          <w:lang w:bidi="fa-IR"/>
        </w:rPr>
        <w:t>من ضروریّات الدین، و کثیرا ما لا یؤخذ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مجتهد </w:t>
      </w:r>
      <w:r>
        <w:rPr>
          <w:rStyle w:val="FootnoteAnchor"/>
          <w:rtl w:val="true"/>
        </w:rPr>
        <w:footnoteReference w:id="181"/>
      </w:r>
      <w:r>
        <w:rPr>
          <w:rFonts w:ascii="IRNazanin" w:hAnsi="IRNazanin" w:eastAsia="IRNazanin"/>
          <w:color w:val="111111"/>
          <w:sz w:val="28"/>
          <w:sz w:val="28"/>
          <w:szCs w:val="28"/>
          <w:rtl w:val="true"/>
          <w:lang w:bidi="fa-IR"/>
        </w:rPr>
        <w:t>سیّما الحی منه، و الفقهاء لا یجوّزون تقلید المیّت، مع أنّهم کثیرا ما لا یکونون مقصّرین فی تحصیل الاجتهاد و المجتهد، و علی تقدیر أن یکونوا مقصّرین کیف لا یأتون بعبادة أصلا مع أنّها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مشترک الورود، إذ کثیرا ما لا یحصل ما اعتبرتم من الظنّ أصلا، و کثیرا ما یحصل لکن تکون عبادتهم غیر مطابقة للواقع، بل هو الأکثر فی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اتّفاق تحقّق المطابقة من حیث لا یشعرون و لا یعلمون، فمسلّم عندکم أنّهم عاصون فی ترک العلم و المعرفة، من حیث إنّه فریضة عینیّة علی کلّ مؤمن و مؤمنة، و أنّ من بلغه التکالیف بلغه أیضا وجوب معرفتها علی حسب ما مرّ، فلو أراد المکلّف أن لا یعصی فی تحصیل المعرفة و یفعل العبادة بطریق المعرفة کیف کان 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مجرّد اتّفاق المطابقة فی بعض الأفراد لا أثر له فیما ذکرت، بل أثره تخفیف العذاب، أو أنّه إذا تاب و ندم علی </w:t>
      </w:r>
      <w:r>
        <w:rPr>
          <w:rStyle w:val="FootnoteAnchor"/>
          <w:rtl w:val="true"/>
        </w:rPr>
        <w:footnoteReference w:id="182"/>
      </w:r>
      <w:r>
        <w:rPr>
          <w:rFonts w:ascii="IRNazanin" w:hAnsi="IRNazanin" w:eastAsia="IRNazanin"/>
          <w:color w:val="111111"/>
          <w:sz w:val="28"/>
          <w:sz w:val="28"/>
          <w:szCs w:val="28"/>
          <w:rtl w:val="true"/>
          <w:lang w:bidi="fa-IR"/>
        </w:rPr>
        <w:t>عدم تحصیل المعرفة و یکون عنده مجتهد موجود یحکم بالصحّة، لا یکون علیه قضاء، و غیر خفیّ أنّ المطابقة للواقع غیر معلومة قطعا، بل المعلوم المطابقة لظنّ المجتهد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أیضا، أنّ المسائل الفقهیّة قلّما تکون وفاقیّة عند الفقهاء، فلو کانت مطابقة لظنّ مجتهد تکون مخالفة لظنّ مجتهد آخر، فلا یتأتّی ذلک إلّا أن یکون مجتهد موجود اختار العامیّ تقلیده، و اتّفق مطابقتها لظنّ ذلک الموجود، و مع ذلک یکون الموجود یحکم بصحّتها بمجرّد اتّفاق مطابقتها لمظنونه فی الآن،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 یکون ظهور المطابقة الآن، و المجتهد لو کان موجودا لا یحکم بالصحّة، لفقد الدلیل علی حکمه، و علی فرض أنّه لو وجد منهم من یحکم فالمفروض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کتب المجتهدین المیّتین، فکیف یتأتّی منه تقلیدها و هم یمنعون عن تقلید المیّت؟</w:t>
      </w:r>
    </w:p>
    <w:p>
      <w:pPr>
        <w:pStyle w:val="BookText"/>
        <w:rPr/>
      </w:pPr>
      <w:r>
        <w:rPr>
          <w:rFonts w:ascii="IRNazanin" w:hAnsi="IRNazanin" w:eastAsia="IRNazanin"/>
          <w:color w:val="111111"/>
          <w:sz w:val="28"/>
          <w:sz w:val="28"/>
          <w:szCs w:val="28"/>
          <w:rtl w:val="true"/>
          <w:lang w:bidi="fa-IR"/>
        </w:rPr>
        <w:t>و علی فرض أن یوجد من یجوّز تقلید المیّت و یکون مجتهدا، فهو أیضا میّت فکیف یمکنه تقلیده؟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موقوف علی صحّة تقلید المیّت، و لا دلیل علی الصحّة، و العمومات المانعة عن العمل بالظنّ و عن التقلید </w:t>
      </w:r>
      <w:r>
        <w:rPr>
          <w:rStyle w:val="FootnoteAnchor"/>
          <w:rtl w:val="true"/>
        </w:rPr>
        <w:footnoteReference w:id="183"/>
      </w:r>
      <w:r>
        <w:rPr>
          <w:rFonts w:ascii="IRNazanin" w:hAnsi="IRNazanin" w:eastAsia="IRNazanin"/>
          <w:color w:val="111111"/>
          <w:sz w:val="28"/>
          <w:sz w:val="28"/>
          <w:szCs w:val="28"/>
          <w:rtl w:val="true"/>
          <w:lang w:bidi="fa-IR"/>
        </w:rPr>
        <w:t>شاملة، خرج الحیّ بالدلیل و 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ادّعی إجماع الشیعة علی المنع </w:t>
      </w:r>
      <w:r>
        <w:rPr>
          <w:rStyle w:val="FootnoteAnchor"/>
          <w:rtl w:val="true"/>
        </w:rPr>
        <w:footnoteReference w:id="184"/>
      </w:r>
      <w:r>
        <w:rPr>
          <w:rFonts w:ascii="IRNazanin" w:hAnsi="IRNazanin" w:eastAsia="IRNazanin"/>
          <w:color w:val="111111"/>
          <w:sz w:val="28"/>
          <w:sz w:val="28"/>
          <w:szCs w:val="28"/>
          <w:rtl w:val="true"/>
          <w:lang w:bidi="fa-IR"/>
        </w:rPr>
        <w:t>، و جعل الجواز من شعار العامّة و من دأبهم، کما کتبناه مشروحا فی رسالتنا المکتوبة فی منع تقلید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تقدیر أن یکون دلیل، فکیف یمکن للعامّی الاجتهاد؟ و سیّما فی مثل هذه المسألة، یخالف </w:t>
      </w:r>
      <w:r>
        <w:rPr>
          <w:rStyle w:val="FootnoteAnchor"/>
          <w:rtl w:val="true"/>
        </w:rPr>
        <w:footnoteReference w:id="185"/>
      </w:r>
      <w:r>
        <w:rPr>
          <w:rFonts w:ascii="IRNazanin" w:hAnsi="IRNazanin" w:eastAsia="IRNazanin"/>
          <w:color w:val="111111"/>
          <w:sz w:val="28"/>
          <w:sz w:val="28"/>
          <w:szCs w:val="28"/>
          <w:rtl w:val="true"/>
          <w:lang w:bidi="fa-IR"/>
        </w:rPr>
        <w:t>فقهاء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قادرا علی ذلک لکان قادرا علی الحکم بالصحّة، و تصحیح نفس المسألة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یجوز له تقلید المیّت من دون دلیل و یکون هذا علما و معرفة للعبادة لکان ظنّه أوّل الأمر بصحّة العبادة علما و معرفة بطریق أولی،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النقض</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الحلّ و الجواب الواقعی، هو ما کتبناه فی الرسالة من وجود الواسطة بین الاجتهاد و التقلید، و هو الاحتیاط مهما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فلو لم یمکن، فالعمل بعنوان التخییر بعد بذل الجهد بقدر الوسع فی تحصیل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التخییر حینئذ أیضا احتیاط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لم یوجد الاجتهاد و لا التقلید، ینبغی الاحتیاط، و لٰا یُکَلِّفُ اللّٰهُ نَفْساً إِلّٰا وُسْعَهٰا </w:t>
      </w:r>
      <w:r>
        <w:rPr>
          <w:rStyle w:val="FootnoteAnchor"/>
          <w:rtl w:val="true"/>
        </w:rPr>
        <w:footnoteReference w:id="186"/>
      </w:r>
      <w:r>
        <w:rPr>
          <w:rFonts w:ascii="IRNazanin" w:hAnsi="IRNazanin" w:eastAsia="IRNazanin"/>
          <w:color w:val="111111"/>
          <w:sz w:val="28"/>
          <w:sz w:val="28"/>
          <w:szCs w:val="28"/>
          <w:rtl w:val="true"/>
          <w:lang w:bidi="fa-IR"/>
        </w:rPr>
        <w:t>، مع أنّ الاحتیاط حسن و احتیاط علی کلّ حال، لو علم أنّه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هو العالم بأحکامه، و رسوله صلّی اللّه علیه و آله، و خلفاؤه صلوات اللّه علیهم أجمعین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78" w:name="pg2526_25398"/>
    </w:p>
    <w:p>
      <w:pPr>
        <w:pStyle w:val="BookText"/>
        <w:rPr/>
      </w:pPr>
      <w:bookmarkEnd w:id="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9" w:name="__RefHeading___Toc4327910_3804643083"/>
      <w:bookmarkStart w:id="80" w:name="_Toc30"/>
      <w:bookmarkEnd w:id="79"/>
      <w:r>
        <w:rPr>
          <w:rtl w:val="true"/>
        </w:rPr>
        <w:t>رسالة فی أصالة طهارة الأشیاء</w:t>
      </w:r>
      <w:bookmarkEnd w:id="8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بسم اللّه الرحمن الرحیم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طهارة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المسلّمات عند المجتهدین و الأخباریّین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ناقش فی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الطهارة حکم شرعی یتوقّف علی النصّ کالنجاسة من دون تفاوت، و ما ورد فی الموثّق من قولهم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نظیف حتّی تعلم أنّه قذر</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موثّق، فلا یکون حجّة، و علی تقدیر التسلیم، لا دلالة لها، لإمکان إرادة أنّ ما هو طاهر شرعا طهارتها مستصحبة حتّی تعلم أنّه قذر، مع أنّ ثبوت هذا الأصل الکلّی بهذا محلّ تأمّل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فیه، أنّ الموثّق حجّة کما حقّق فی محلّه، بل هو معترف بحجّیته، مصرّ فی المبالغة فیها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مع أنّها متأیّدة بعمل الأصحاب، فإنّ الظاهر منهم الاتّفاق علی هذا الأصل، و الأصل الکلّی إذا ثبت بدلیل کان حجّة شرعیّة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النجاسة الشرعیّة لا معنی لها سوی وجوب الاجتناب عن الصلاة معها، و الأکل و الشرب بملاقاتها رطبا، فضلا عن أکل نفسها و شربها، و کذا وجوب الإزالة عن المسجد و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أنّ الأصل عدم الوجوب، لانّه تکلیف، و الأصل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الطهارة الشرعیّة فی مقابل النجاسة، فمعناها عدم تعلّق تکلیف بالاجتناب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البراءة حجّة فیما إذا لم یتحقّق التکلیف به من جهة أخری، مثلا إذا انحصر الماء فی الماء الّذی یحکم بطهارته من جهة الأصل یلزم علی المکلّف الطهارة به لأجل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لم یکن طاهرا لم یجب الطهارة للصلاة </w:t>
      </w:r>
      <w:r>
        <w:rPr>
          <w:rStyle w:val="FootnoteAnchor"/>
          <w:rtl w:val="true"/>
        </w:rPr>
        <w:footnoteReference w:id="191"/>
      </w:r>
      <w:r>
        <w:rPr>
          <w:rFonts w:ascii="IRNazanin" w:hAnsi="IRNazanin" w:eastAsia="IRNazanin"/>
          <w:color w:val="111111"/>
          <w:sz w:val="28"/>
          <w:sz w:val="28"/>
          <w:szCs w:val="28"/>
          <w:rtl w:val="true"/>
          <w:lang w:bidi="fa-IR"/>
        </w:rPr>
        <w:t>، أو الطهارة فقط علی القول بوجوبها لنفسها، أو إذا نذر بفعلها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یکن طاهرا لم یجب الطهارة، و مجرّد وجود مقتضی الوجوب لا یکفی فی التکلیف ما لم یکن الماء طاهرا، فإذا طهر وجب، و إلّا فلا وجوب البتّة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فأصل الطهارة إن کان عبارة عن أصالة عدم التکلیف، یکون مقتضاه عدم ماهیّة التکلیف و طبیعته، و نفی جمیع أفراده، لا خصوص وجوب الاجتناب عنه، فکیف یقتضی أصل البراءة وجوب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الوضوء أو الغسل بما هو ماء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عنه ما علم نجاسته شرعا، و یبقی المشکوک فیه داخلا فی العموم، إذ القدر الّذی ثبت المنع عن الطهارة به شرعا هو ما ثبت نجاسته، لا ما احتمل، فلیس وجوب الطهارة به من جهة أصالة 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سلّمنا، لکن فی هذه الصورة النادرة لا یتمسّک بأصل البراءة، بل بالموثّقة المنجبرة بما ذکر، المتأیّدة بقوله تعالی خَلَقَ لَکُمْ مٰا فِی الْأَرْضِ </w:t>
      </w:r>
      <w:r>
        <w:rPr>
          <w:rStyle w:val="FootnoteAnchor"/>
          <w:rtl w:val="true"/>
        </w:rPr>
        <w:footnoteReference w:id="192"/>
      </w:r>
      <w:r>
        <w:rPr>
          <w:rFonts w:ascii="IRNazanin" w:hAnsi="IRNazanin" w:eastAsia="IRNazanin"/>
          <w:color w:val="111111"/>
          <w:sz w:val="28"/>
          <w:sz w:val="28"/>
          <w:szCs w:val="28"/>
          <w:rtl w:val="true"/>
          <w:lang w:bidi="fa-IR"/>
        </w:rPr>
        <w:t>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غیرها، فیتمسّک بها و بالأصل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أنّها المتعارفة الشائعة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المدار فی غالب الأحکام علی الصور المتعارفة، لا الفروض النادرة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أن یصیر الأصل أیضا مستندا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الأدلّة الفقهیّة ربّما یکون بعضها غیر واف بجمیع المطلوب، بل لا بدّ من ثبوت الحکم بالأدلّة کیف کان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الرسالة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bookmarkStart w:id="81" w:name="pg2526_25410"/>
    </w:p>
    <w:p>
      <w:pPr>
        <w:pStyle w:val="BookText"/>
        <w:rPr/>
      </w:pPr>
      <w:bookmarkEnd w:id="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Heading2"/>
        <w:numPr>
          <w:ilvl w:val="1"/>
          <w:numId w:val="1"/>
        </w:numPr>
        <w:rPr/>
      </w:pPr>
      <w:bookmarkStart w:id="82" w:name="__RefHeading___Toc4327912_3804643083"/>
      <w:bookmarkStart w:id="83" w:name="_Toc31"/>
      <w:bookmarkEnd w:id="82"/>
      <w:r>
        <w:rPr>
          <w:rtl w:val="true"/>
        </w:rPr>
        <w:t>رسالة فی حکم العصیر التمری و الزبیبی</w:t>
      </w:r>
      <w:bookmarkEnd w:id="8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4327914_3804643083"/>
      <w:bookmarkStart w:id="85" w:name="_Toc32"/>
      <w:bookmarkEnd w:id="84"/>
      <w:r>
        <w:rPr>
          <w:rtl w:val="true"/>
        </w:rPr>
        <w:t>اشارة</w:t>
      </w:r>
      <w:bookmarkEnd w:id="8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bookmarkStart w:id="86" w:name="pg2526_25413"/>
    </w:p>
    <w:p>
      <w:pPr>
        <w:pStyle w:val="BookText"/>
        <w:rPr/>
      </w:pPr>
      <w:bookmarkEnd w:id="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بسم اللّه الرحمن الرحیم و به ثقتی الحمد للّه ربّ العالمین، و صلّی اللّه علی محمّد و آله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الأقلّ الأذلّ، محمّد باقر بن محمّد أکمل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مسألة فی حکم عصیر التمری و الزبیبی</w:t>
      </w:r>
      <w:r>
        <w:rPr>
          <w:rFonts w:eastAsia="IRNazanin" w:cs="IRNazanin"/>
          <w:color w:val="111111"/>
          <w:sz w:val="28"/>
          <w:szCs w:val="28"/>
          <w:rtl w:val="true"/>
          <w:lang w:bidi="fa-IR"/>
        </w:rPr>
        <w:t>.</w:t>
      </w:r>
    </w:p>
    <w:p>
      <w:pPr>
        <w:pStyle w:val="Heading3"/>
        <w:numPr>
          <w:ilvl w:val="2"/>
          <w:numId w:val="1"/>
        </w:numPr>
        <w:rPr/>
      </w:pPr>
      <w:bookmarkStart w:id="87" w:name="__RefHeading___Toc4327916_3804643083"/>
      <w:bookmarkStart w:id="88" w:name="_Toc33"/>
      <w:bookmarkEnd w:id="87"/>
      <w:r>
        <w:rPr>
          <w:rtl w:val="true"/>
        </w:rPr>
        <w:t>[</w:t>
      </w:r>
      <w:r>
        <w:rPr>
          <w:rtl w:val="true"/>
        </w:rPr>
        <w:t>المدخل</w:t>
      </w:r>
      <w:r>
        <w:rPr>
          <w:rtl w:val="true"/>
        </w:rPr>
        <w:t>]</w:t>
      </w:r>
      <w:bookmarkEnd w:id="88"/>
    </w:p>
    <w:p>
      <w:pPr>
        <w:pStyle w:val="BookText"/>
        <w:rPr/>
      </w:pPr>
      <w:r>
        <w:rPr>
          <w:rFonts w:ascii="IRNazanin" w:hAnsi="IRNazanin" w:eastAsia="IRNazanin"/>
          <w:color w:val="111111"/>
          <w:sz w:val="28"/>
          <w:sz w:val="28"/>
          <w:szCs w:val="28"/>
          <w:rtl w:val="true"/>
          <w:lang w:bidi="fa-IR"/>
        </w:rPr>
        <w:t>قال مولانا أحمد الأردبیلی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خلاف </w:t>
      </w:r>
      <w:r>
        <w:rPr>
          <w:rStyle w:val="FootnoteAnchor"/>
          <w:rtl w:val="true"/>
        </w:rPr>
        <w:footnoteReference w:id="193"/>
      </w:r>
      <w:r>
        <w:rPr>
          <w:rFonts w:ascii="IRNazanin" w:hAnsi="IRNazanin" w:eastAsia="IRNazanin"/>
          <w:color w:val="111111"/>
          <w:sz w:val="28"/>
          <w:sz w:val="28"/>
          <w:szCs w:val="28"/>
          <w:rtl w:val="true"/>
          <w:lang w:bidi="fa-IR"/>
        </w:rPr>
        <w:t xml:space="preserve">، و المشهور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بالتحریم، و یظهر أیضا القول بالنجاسة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القول بأنّه یحدّ شاربهما حدّ شرب الخمر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 فلاحظه و لا حظ غیره أیضا، فما ادّعاه بعض من الإجماع فی التمری </w:t>
      </w:r>
      <w:r>
        <w:rPr>
          <w:rStyle w:val="FootnoteAnchor"/>
          <w:rtl w:val="true"/>
        </w:rPr>
        <w:footnoteReference w:id="197"/>
      </w:r>
      <w:r>
        <w:rPr>
          <w:rFonts w:ascii="IRNazanin" w:hAnsi="IRNazanin" w:eastAsia="IRNazanin"/>
          <w:color w:val="111111"/>
          <w:sz w:val="28"/>
          <w:sz w:val="28"/>
          <w:szCs w:val="28"/>
          <w:rtl w:val="true"/>
          <w:lang w:bidi="fa-IR"/>
        </w:rPr>
        <w:t>ظاهر الفساد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الشهرة، فلعلّها تحقّقت بعد زمان الشهید رحمه اللّه، لأنّه قال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عصیر التمر، فقد أحلّه بعض الأصحاب</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و هذا یدلّ علی عدم الشهرة، بل و علی قلّة القائل، و ظاهر فی استضعافه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الحلّیة مقتضی الأصل و العمومات کتابا و سنّة و إجماعا، فلا نحتاج إلی التعرّض، فکیف یتعرّض؟ سیّما و أن یتعرّض بالنحو الّذی ذکر، و یشیر إلی الظهور و الإشعار أنّه أتی فی مقابل هذا القول بموثّقة إسحاق بن عمّار </w:t>
      </w:r>
      <w:r>
        <w:rPr>
          <w:rStyle w:val="FootnoteAnchor"/>
          <w:rtl w:val="true"/>
        </w:rPr>
        <w:footnoteReference w:id="199"/>
      </w:r>
      <w:r>
        <w:rPr>
          <w:rFonts w:ascii="IRNazanin" w:hAnsi="IRNazanin" w:eastAsia="IRNazanin"/>
          <w:color w:val="111111"/>
          <w:sz w:val="28"/>
          <w:sz w:val="28"/>
          <w:szCs w:val="28"/>
          <w:rtl w:val="true"/>
          <w:lang w:bidi="fa-IR"/>
        </w:rPr>
        <w:t>من دون إشارة منه إلی تأمّل أصلا، لا فی سندها و لا فی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الزبیبی، فإنّه رحمه اللّه حکم بحلّیة ما طبخ دون ما غلا و نشّ، و أشار إلی الخلاف فی الأوّل دون الثانی، و لم یستظهر بالشهرة فیه مع تمسّکه بمثل ذهاب الثلاثین بالشمس غالبا، مع أنّ الشهرة عنده حجّة،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قیل من أنّ غایة ما یستفاد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الشهید متوقّف فیه </w:t>
      </w:r>
      <w:r>
        <w:rPr>
          <w:rStyle w:val="FootnoteAnchor"/>
          <w:rtl w:val="true"/>
        </w:rPr>
        <w:footnoteReference w:id="200"/>
      </w:r>
      <w:r>
        <w:rPr>
          <w:rFonts w:ascii="IRNazanin" w:hAnsi="IRNazanin" w:eastAsia="IRNazanin"/>
          <w:color w:val="111111"/>
          <w:sz w:val="28"/>
          <w:sz w:val="28"/>
          <w:szCs w:val="28"/>
          <w:rtl w:val="true"/>
          <w:lang w:bidi="fa-IR"/>
        </w:rPr>
        <w:t>،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الّذین رووا ما دلّ بظاهره علی الحرمة ممّا سیجی‌ء، و الظاهر اعتمادهم علیه و علی ظاهره حتّی أنّ الکلینی </w:t>
      </w:r>
      <w:r>
        <w:rPr>
          <w:rStyle w:val="FootnoteAnchor"/>
          <w:rtl w:val="true"/>
        </w:rPr>
        <w:footnoteReference w:id="201"/>
      </w:r>
      <w:r>
        <w:rPr>
          <w:rFonts w:ascii="IRNazanin" w:hAnsi="IRNazanin" w:eastAsia="IRNazanin"/>
          <w:color w:val="111111"/>
          <w:sz w:val="28"/>
          <w:sz w:val="28"/>
          <w:szCs w:val="28"/>
          <w:rtl w:val="true"/>
          <w:lang w:bidi="fa-IR"/>
        </w:rPr>
        <w:t>رحمه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باب صفة شراب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أتی بما دلّ علی أنّ الحلّیة بذهاب الثلاثین، و أتی فی أبواب أخر 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سنشیر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البناء علی أنّهم کانوا معتمدین علی التأویلات عاملین بما یخالف الظاهر المتبادر و إن لم یشیروا إلی تأویل أصلا و لم یذکروا أنّ المراد الغیر الظاهر ما ذا،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مضافا إلی ما أشرنا ممّا ظهر منهم من أنّ المراد هو الظاهر، مع أنّ التوجیه فی الحقیقة تخریب و إبطال أنّ البناء علی العمل بالمعارض،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الصدوق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عند ذکر الوضوء بماء التمر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النبیذ الّذی یتوضّأ به و أحلّ شربه هو الّذی ینبذ بالغداة و یشرب بالعشیّ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فی غایة الظهور فی إفتائه بحرمة ما زاد مکثه، لا أنّ الحرمة مختصّة بالمسکر علی حسب ما اعتقده المحلّلون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الصدوق هو الظاهر من الکلینی </w:t>
      </w:r>
      <w:r>
        <w:rPr>
          <w:rStyle w:val="FootnoteAnchor"/>
          <w:rtl w:val="true"/>
        </w:rPr>
        <w:footnoteReference w:id="203"/>
      </w:r>
      <w:r>
        <w:rPr>
          <w:rFonts w:ascii="IRNazanin" w:hAnsi="IRNazanin" w:eastAsia="IRNazanin"/>
          <w:color w:val="111111"/>
          <w:sz w:val="28"/>
          <w:sz w:val="28"/>
          <w:szCs w:val="28"/>
          <w:rtl w:val="true"/>
          <w:lang w:bidi="fa-IR"/>
        </w:rPr>
        <w:t xml:space="preserve">، و ورد فی کثیر من الأخبار </w:t>
      </w:r>
      <w:r>
        <w:rPr>
          <w:rStyle w:val="FootnoteAnchor"/>
          <w:rtl w:val="true"/>
        </w:rPr>
        <w:footnoteReference w:id="204"/>
      </w:r>
      <w:r>
        <w:rPr>
          <w:rFonts w:ascii="IRNazanin" w:hAnsi="IRNazanin" w:eastAsia="IRNazanin"/>
          <w:color w:val="111111"/>
          <w:sz w:val="28"/>
          <w:sz w:val="28"/>
          <w:szCs w:val="28"/>
          <w:rtl w:val="true"/>
          <w:lang w:bidi="fa-IR"/>
        </w:rPr>
        <w:t xml:space="preserve">، و رواه العامّة أیضا </w:t>
      </w:r>
      <w:r>
        <w:rPr>
          <w:rStyle w:val="FootnoteAnchor"/>
          <w:rtl w:val="true"/>
        </w:rPr>
        <w:footnoteReference w:id="205"/>
      </w:r>
      <w:r>
        <w:rPr>
          <w:rFonts w:ascii="IRNazanin" w:hAnsi="IRNazanin" w:eastAsia="IRNazanin"/>
          <w:color w:val="111111"/>
          <w:sz w:val="28"/>
          <w:sz w:val="28"/>
          <w:szCs w:val="28"/>
          <w:rtl w:val="true"/>
          <w:lang w:bidi="fa-IR"/>
        </w:rPr>
        <w:t xml:space="preserve">، و الشیخ نقل بعض تلک الأخبار ساکتا عن التوجیه </w:t>
      </w:r>
      <w:r>
        <w:rPr>
          <w:rStyle w:val="FootnoteAnchor"/>
          <w:rtl w:val="true"/>
        </w:rPr>
        <w:footnoteReference w:id="206"/>
      </w:r>
      <w:r>
        <w:rPr>
          <w:rFonts w:ascii="IRNazanin" w:hAnsi="IRNazanin" w:eastAsia="IRNazanin"/>
          <w:color w:val="111111"/>
          <w:sz w:val="28"/>
          <w:sz w:val="28"/>
          <w:szCs w:val="28"/>
          <w:rtl w:val="true"/>
          <w:lang w:bidi="fa-IR"/>
        </w:rPr>
        <w:t xml:space="preserve">، و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حکم بحرمة الفقّاع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روایة شاذّة، حلّ ما لم یغل </w:t>
      </w:r>
      <w:r>
        <w:rPr>
          <w:rStyle w:val="FootnoteAnchor"/>
          <w:rtl w:val="true"/>
        </w:rPr>
        <w:footnoteReference w:id="207"/>
      </w:r>
      <w:r>
        <w:rPr>
          <w:rFonts w:ascii="IRNazanin" w:hAnsi="IRNazanin" w:eastAsia="IRNazanin"/>
          <w:color w:val="111111"/>
          <w:sz w:val="28"/>
          <w:sz w:val="28"/>
          <w:szCs w:val="28"/>
          <w:rtl w:val="true"/>
          <w:lang w:bidi="fa-IR"/>
        </w:rPr>
        <w:t>، و هی محمولة علی التقیّة، أو علی ما لم یسمّ فقّاعا، کماء الزبیب قبل غلیانه، ففی روایة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الزبیب إذا ینقع غدوة و یشرب بالعشیّ، أو ینقع بالعشی و یشرب غدوة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ascii="Amiri" w:hAnsi="Amiri" w:eastAsia="Amiri" w:cs="Amiri"/>
          <w:color w:val="111111"/>
          <w:sz w:val="28"/>
          <w:sz w:val="28"/>
          <w:szCs w:val="28"/>
          <w:rtl w:val="true"/>
          <w:lang w:bidi="ar-SA"/>
        </w:rPr>
        <w:t>انتهی، فتدبّر جدّا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التمر إذا غلی و لم یبلغ حدّ الإسکار، ففی تحریمه تردّد، و الأشبه بقاؤه علی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البحث فی الزبیب</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و کذا 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الفاضلان </w:t>
      </w:r>
      <w:r>
        <w:rPr>
          <w:rStyle w:val="FootnoteAnchor"/>
          <w:rtl w:val="true"/>
        </w:rPr>
        <w:footnoteReference w:id="212"/>
      </w:r>
      <w:r>
        <w:rPr>
          <w:rFonts w:ascii="IRNazanin" w:hAnsi="IRNazanin" w:eastAsia="IRNazanin"/>
          <w:color w:val="111111"/>
          <w:sz w:val="28"/>
          <w:sz w:val="28"/>
          <w:szCs w:val="28"/>
          <w:rtl w:val="true"/>
          <w:lang w:bidi="fa-IR"/>
        </w:rPr>
        <w:t>هما الأصل فی دعوی الشهرة، و أنت تری أنّهما رجّحا الحلّیة بعد تردّد و اضطراب، و لم یتّفق اتّفاقهما معا فی التردّد فی الموضع الّذی لا یوجد قائل، أو وجد نادر، أو لم یکن دلالة حدیث، بل و ربّما یکون دلالة حدیث لکن السند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 فخر المحقّقین منشأ التردّد فی التمری دخوله فی عموم ما دلّ علی حرمة النبیذ و العصیر، و منع ذلک منضما إلی الأصل، و الظاهر تساوی الاحتمالین، حیث جعل منشأ الترجیح لزوم الحرج، و فی الزبیبی اتّحاد الحقیقة مع العنب فیکون عصیرا، و أصلی الإباحة و الاستصحاب، و الحرج، و عدم الإسکار، و عدم ما هو معلوم الثبوت </w:t>
      </w:r>
      <w:r>
        <w:rPr>
          <w:rStyle w:val="FootnoteAnchor"/>
          <w:rtl w:val="true"/>
        </w:rPr>
        <w:footnoteReference w:id="213"/>
      </w:r>
      <w:r>
        <w:rPr>
          <w:rFonts w:ascii="IRNazanin" w:hAnsi="IRNazanin" w:eastAsia="IRNazanin"/>
          <w:color w:val="111111"/>
          <w:sz w:val="28"/>
          <w:sz w:val="28"/>
          <w:szCs w:val="28"/>
          <w:rtl w:val="true"/>
          <w:lang w:bidi="fa-IR"/>
        </w:rPr>
        <w:t>، و الظاهر أنّ منشأ ترجیحه داخل فیما ذکره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بالتأمّل فیما ذکره هؤلاء الرؤساء الأعلام یظهر أنّ کون العصیر حقیقة فی خصوص العنبی دون غیره عند الفقهاء، کما یدّعیه بعض الفضلاء </w:t>
      </w:r>
      <w:r>
        <w:rPr>
          <w:rStyle w:val="FootnoteAnchor"/>
          <w:rtl w:val="true"/>
        </w:rPr>
        <w:footnoteReference w:id="214"/>
      </w:r>
      <w:r>
        <w:rPr>
          <w:rFonts w:ascii="IRNazanin" w:hAnsi="IRNazanin" w:eastAsia="IRNazanin"/>
          <w:color w:val="111111"/>
          <w:sz w:val="28"/>
          <w:sz w:val="28"/>
          <w:szCs w:val="28"/>
          <w:rtl w:val="true"/>
          <w:lang w:bidi="fa-IR"/>
        </w:rPr>
        <w:t xml:space="preserve">، و سیجی‌ء تتمّة الکلام فی الدلیل السادس، و کذا ما یدّعیه من انحصار النبیذ فی المسکر </w:t>
      </w:r>
      <w:r>
        <w:rPr>
          <w:rStyle w:val="FootnoteAnchor"/>
          <w:rtl w:val="true"/>
        </w:rPr>
        <w:footnoteReference w:id="215"/>
      </w:r>
      <w:r>
        <w:rPr>
          <w:rFonts w:ascii="IRNazanin" w:hAnsi="IRNazanin" w:eastAsia="IRNazanin"/>
          <w:color w:val="111111"/>
          <w:sz w:val="28"/>
          <w:sz w:val="28"/>
          <w:szCs w:val="28"/>
          <w:rtl w:val="true"/>
          <w:lang w:bidi="fa-IR"/>
        </w:rPr>
        <w:t xml:space="preserve">، بل و کیف یدّعی اشتهار الحلّیة عندهم إلّا بأن یکون مرادهم الشهرة </w:t>
      </w:r>
      <w:r>
        <w:rPr>
          <w:rStyle w:val="FootnoteAnchor"/>
          <w:rtl w:val="true"/>
        </w:rPr>
        <w:footnoteReference w:id="216"/>
      </w:r>
      <w:r>
        <w:rPr>
          <w:rFonts w:ascii="IRNazanin" w:hAnsi="IRNazanin" w:eastAsia="IRNazanin"/>
          <w:color w:val="111111"/>
          <w:sz w:val="28"/>
          <w:sz w:val="28"/>
          <w:szCs w:val="28"/>
          <w:rtl w:val="true"/>
          <w:lang w:bidi="fa-IR"/>
        </w:rPr>
        <w:t>عند المتأخّرین و إن کان بترجیح ما، و أنّ مراده من المتأخّرین الفاضلان و بعض من تبعهما، و إلّا فلا شکّ فی أنّ الفقهاء متّفقون علی الإفتاء بحرمة العصیر و النبیذ، بحیث لا یخفی علی من له أدنی 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فمن تقدّم علی الفاضلین إمّا یظهر منه حرمة الزبیبی و التمری أیضا علی سبیل الخصوص و التعیین،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لم یظهر منه التعرّض لهما بعنوان الخصوص أصلا، فیتحمل أن یکون هو أیضا قائلا بحرمتهما، لما عرفت، بل ربّما یظهر أنّه قائل کذلک، بملاحظة أنّه لم یتعرّض لتوجیه الأخبار الکثیرة الظاهرة علی حسب ما ستعرف، و أنّه بعید غایة البعد أنّه یردّ الجمیع و یطرحه، سیّما من دون تعرّض و إظهار، سیّما فی مقام درس الأحادیث و نقلها للغیر فی مقام الإجازة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العلّامة فی جواب مسائل سادات آل زهرة أو غیرهم أو فی مقام إجازتهم صرّح بحرمة العصیر الزبیبی و عدم حرمة المطبوخ منه مع غیره </w:t>
      </w:r>
      <w:r>
        <w:rPr>
          <w:rStyle w:val="FootnoteAnchor"/>
          <w:rtl w:val="true"/>
        </w:rPr>
        <w:footnoteReference w:id="217"/>
      </w:r>
      <w:r>
        <w:rPr>
          <w:rFonts w:ascii="IRNazanin" w:hAnsi="IRNazanin" w:eastAsia="IRNazanin"/>
          <w:color w:val="111111"/>
          <w:sz w:val="28"/>
          <w:sz w:val="28"/>
          <w:szCs w:val="28"/>
          <w:rtl w:val="true"/>
          <w:lang w:bidi="fa-IR"/>
        </w:rPr>
        <w:t>، علی ما هو ببالی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الشهید، فقد عرفت حاله، بل و ظهور کلامه فی أنّ المشهور لیس کما توهّمه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المحقّق المدقّق البحرانی ممّن یقول بحرمتها </w:t>
      </w:r>
      <w:r>
        <w:rPr>
          <w:rStyle w:val="FootnoteAnchor"/>
          <w:rtl w:val="true"/>
        </w:rPr>
        <w:footnoteReference w:id="218"/>
      </w:r>
      <w:r>
        <w:rPr>
          <w:rFonts w:ascii="IRNazanin" w:hAnsi="IRNazanin" w:eastAsia="IRNazanin"/>
          <w:color w:val="111111"/>
          <w:sz w:val="28"/>
          <w:sz w:val="28"/>
          <w:szCs w:val="28"/>
          <w:rtl w:val="true"/>
          <w:lang w:bidi="fa-IR"/>
        </w:rPr>
        <w:t xml:space="preserve">، و کذا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 و کذا بعض علمائنا المتأخّرین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 علی تقدیر تسلیم الشهرة لا عبرة بها، لما ظهر من خطأ کلّ واحد منهم فی مقام استدلالهم و استنادهم، بحیث لا یخفی علی من له أدنی فهم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سیظهر لک فی الجملة، أنّ المحرّمین مع وجود الأخبار الکثیرة المعتبرة</w:t>
      </w:r>
      <w:bookmarkStart w:id="89" w:name="pg2526_25418"/>
    </w:p>
    <w:p>
      <w:pPr>
        <w:pStyle w:val="BookText"/>
        <w:rPr/>
      </w:pPr>
      <w:bookmarkEnd w:id="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السند الظاهرة الدلالة، و نهایة وضوح و أنّهم استندوا إلی هذه الأخبار فی حکمهم بالتحریم بحیث لا یبقی شبهة، و أنّهم ما استندوا إلی قیاس أصلا کما ینادی إلی ذلک کتبهم، یقول هؤلاء 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دلیل لهم سوی قیاس باطل </w:t>
      </w:r>
      <w:r>
        <w:rPr>
          <w:rStyle w:val="FootnoteAnchor"/>
          <w:rtl w:val="true"/>
        </w:rPr>
        <w:footnoteReference w:id="221"/>
      </w:r>
      <w:r>
        <w:rPr>
          <w:rFonts w:ascii="IRNazanin" w:hAnsi="IRNazanin" w:eastAsia="IRNazanin"/>
          <w:color w:val="111111"/>
          <w:sz w:val="28"/>
          <w:sz w:val="28"/>
          <w:szCs w:val="28"/>
          <w:rtl w:val="true"/>
          <w:lang w:bidi="fa-IR"/>
        </w:rPr>
        <w:t>، و إنّ الأصل و العمومات تقتضی الحلّیة من دون شائبة معارض أصلا سوی القیاس الباطل، و لأجل هذا ردّوا علیهم و اختاروا الحلّیة، فکیف یبقی وثوق بهذه الشهرة علی تقدیر تسلیمها؟ مع أنّه لم یظهر شهرة سوی ما عرفت، بل و لا یمکن ظهورها، لما عرفت، فتأمّل</w:t>
      </w:r>
      <w:r>
        <w:rPr>
          <w:rFonts w:eastAsia="IRNazanin" w:cs="IRNazanin"/>
          <w:color w:val="111111"/>
          <w:sz w:val="28"/>
          <w:szCs w:val="28"/>
          <w:rtl w:val="true"/>
          <w:lang w:bidi="fa-IR"/>
        </w:rPr>
        <w:t>!</w:t>
      </w:r>
    </w:p>
    <w:p>
      <w:pPr>
        <w:pStyle w:val="Heading3"/>
        <w:numPr>
          <w:ilvl w:val="2"/>
          <w:numId w:val="1"/>
        </w:numPr>
        <w:rPr/>
      </w:pPr>
      <w:bookmarkStart w:id="90" w:name="__RefHeading___Toc4327918_3804643083"/>
      <w:bookmarkStart w:id="91" w:name="_Toc34"/>
      <w:bookmarkEnd w:id="90"/>
      <w:r>
        <w:rPr>
          <w:rtl w:val="true"/>
        </w:rPr>
        <w:t>إذا عرفت هذا، فاعلم أنّ الأقوی عندی الحرمة لوجوه</w:t>
      </w:r>
      <w:r>
        <w:rPr>
          <w:rtl w:val="true"/>
        </w:rPr>
        <w:t>:</w:t>
      </w:r>
      <w:bookmarkEnd w:id="91"/>
    </w:p>
    <w:p>
      <w:pPr>
        <w:pStyle w:val="Heading4"/>
        <w:numPr>
          <w:ilvl w:val="3"/>
          <w:numId w:val="1"/>
        </w:numPr>
        <w:rPr/>
      </w:pPr>
      <w:bookmarkStart w:id="92" w:name="__RefHeading___Toc4327920_3804643083"/>
      <w:bookmarkStart w:id="93" w:name="_Toc35"/>
      <w:bookmarkEnd w:id="92"/>
      <w:r>
        <w:rPr>
          <w:rtl w:val="true"/>
        </w:rPr>
        <w:t>الأوّل</w:t>
      </w:r>
      <w:r>
        <w:rPr>
          <w:rtl w:val="true"/>
        </w:rPr>
        <w:t xml:space="preserve">: </w:t>
      </w:r>
      <w:r>
        <w:rPr>
          <w:rtl w:val="true"/>
        </w:rPr>
        <w:t xml:space="preserve">موثّقة عمّار عن الصادق علیه السّلام أنّه </w:t>
      </w:r>
      <w:r>
        <w:rPr>
          <w:rtl w:val="true"/>
        </w:rPr>
        <w:t>«</w:t>
      </w:r>
      <w:r>
        <w:rPr>
          <w:rtl w:val="true"/>
        </w:rPr>
        <w:t xml:space="preserve">سئل عن الزبیب، کیف </w:t>
      </w:r>
      <w:r>
        <w:rPr>
          <w:rtl w:val="true"/>
        </w:rPr>
        <w:t>[</w:t>
      </w:r>
      <w:r>
        <w:rPr>
          <w:rtl w:val="true"/>
        </w:rPr>
        <w:t>یحلّ</w:t>
      </w:r>
      <w:r>
        <w:rPr>
          <w:rtl w:val="true"/>
        </w:rPr>
        <w:t xml:space="preserve">] </w:t>
      </w:r>
      <w:r>
        <w:rPr>
          <w:rtl w:val="true"/>
        </w:rPr>
        <w:t>طبخه حتّی یشرب حلالا؟</w:t>
      </w:r>
      <w:bookmarkEnd w:id="93"/>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ربعا من 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توقد تحته النار حتّی یذهب ثلثاه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أردت </w:t>
      </w:r>
      <w:r>
        <w:rPr>
          <w:rStyle w:val="FootnoteAnchor"/>
          <w:rtl w:val="true"/>
        </w:rPr>
        <w:footnoteReference w:id="222"/>
      </w:r>
      <w:r>
        <w:rPr>
          <w:rFonts w:ascii="IRNazanin" w:hAnsi="IRNazanin" w:eastAsia="IRNazanin"/>
          <w:color w:val="111111"/>
          <w:sz w:val="28"/>
          <w:sz w:val="28"/>
          <w:szCs w:val="28"/>
          <w:rtl w:val="true"/>
          <w:lang w:bidi="fa-IR"/>
        </w:rPr>
        <w:t xml:space="preserve">أن تقسمه أثلاثا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لتطبخه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توقد تحته بنار لیّنة حتّی یذهب ثلثاه</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موثّقته الأخری،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لی أبو عبد اللّه علیه السّلام المطبوخ کیف یطبخ حتّی یصیر حلالا،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ربعا من زبیب و تنقّیه و تصبّ علیه اثنی عشر رطلا من ماء، ثمَّ تنقعه لیلة، فإذا کان أیّام الصیف و خشیت أن ینشّ جعلته فی تنوّر مسجور قلیلا، حتّی لا ینشّ، ثمَّ تنزع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تزال تغلیه حتّی یذهب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اشربه، فإن أحببت أن یطول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مکثه عندک فروّقه</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تأخذ 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جواب السؤال عن المحلّل فی الطبخ فی قوّة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المحلّل هو هذا، و إلّا کان یجیب بأنّه کیف ما طبخت فهو حلال و لیس المحرّم إلّا 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فی الروایة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لی أبو عبد اللّه علیه السّلام المطبوخ کیف یطبخ حتّی یصیر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واضح علی أنّه فهم أنّ الطبخ محلّل، و فهم الراوی حجّة، بل هو الحجّة بالقیاس إلی فهم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بالإجماع و تتبّع الأخبار أنّ المحلّل إن کان فهو منحصر فی ذهاب الثلاثین، من غیر مدخلیّة ما ذکر فیهما للحرمة سوی الطبخ و النشیش إن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الروایتین توقّف الحلّیة فی الطبخ علی ذهاب الثلاثین مطلقا سواء طال مکثه أم لا، أی أرید إبقاؤها فی تلک المدّة أم لا، و أنّه المحلّل للطبخ، لا أنّه کیف ما طبخ هو حلال إلّا أنّ اعتبار ذهابهما لأجل أنّه لو لا ذلک لکان یعرضه السکر عند طول مکثه، کما أجاب عن الروایتین المحلّلون بعد الطعن فی السند، و الموثّق حجّة عندی، کما حقّقناه فی تعلیقتنا علی رجال المیرزا رحمه اللّه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الآخر فی غایة البعد، و الظاهر حجّة کما قرّر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یبعد الجواب، أنّ السکر أمر عادی و کذا المعالجة، للمنع عن عروضه، کالمعالجة لرفعه، و أمثال ذلک من الأمور العادیّة، فیبعد کون سؤال الراوی عن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یبعد کون ذهاب الثلاثین، و هذا القدر الخاصّ من دون زیادة أو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نقیصة یکون سببا لعدم عروض السکر عادة بالمرّة، و یکون هو المعیار، مع عدم معرفة أحد من الماهرین فی الفنّ حتّی صار ذلک من خصائص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ورد فی الأخبار أنّه بعد ذهاب الثلاثین أیضا ربّما یسکر، و أنّ بعد ذهابهما لا بأس بالشرب ما لم یتغیّر، و سیجی‌ء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أحببت أن یطول مکثه عندک فروّقه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واضح علی أنّ السؤال و الجواب لم یردا لصورة طول المکث خاصّة، بل لم یمکن النظر فیهما إلی حکایة طول المکث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خشیت أن 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الخشیة فی المقام من حدوث مفسد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ینبّه علیه، الأخبار المستفیضة فی أنّ ما ینبذ بالغداة و یشرب بالعشیّ، و ذکرنا أنّ الشهید رحمه اللّه أرجعها إلی النشیش و الغلیان، و له شواهد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التفرقة بین ذهاب الثلاثین للعنبی و نبیذ التمری و الزبیبی خلاف الإنصاف، إذ بعد ملاحظة الأخبار و تتبّعها ترجّح فی النظر أنّ الکلّ من باب واحد، و لذا 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فهم الکلینی رحمه اللّه، کما لا یخفی ممّا عنون بابه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فهم الشهید رحمه اللّه </w:t>
      </w:r>
      <w:r>
        <w:rPr>
          <w:rStyle w:val="FootnoteAnchor"/>
          <w:rtl w:val="true"/>
        </w:rPr>
        <w:footnoteReference w:id="227"/>
      </w:r>
      <w:r>
        <w:rPr>
          <w:rFonts w:ascii="IRNazanin" w:hAnsi="IRNazanin" w:eastAsia="IRNazanin"/>
          <w:color w:val="111111"/>
          <w:sz w:val="28"/>
          <w:sz w:val="28"/>
          <w:szCs w:val="28"/>
          <w:rtl w:val="true"/>
          <w:lang w:bidi="fa-IR"/>
        </w:rPr>
        <w:t>، و الفاضل الأردبیلی رحمه اللّه، حیث اعترف بالدلالة، لکن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صریحة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هؤلاء لا ینساق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خال عن شوائب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الدلالة لا یجب أن تکون صریحة، بل یکفی الظهور إجماعا من الفقهاء،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 قامت الأدلّة علی أنّه لو کان الأمر علی ما قلتم لکان العنبی أولی بالأمر بإذهاب الثلاثین، لئلّا یقربه السکر، مع أنّا لم نجد فیه قط إلّا أنّه لو غلا حرم حتّی یذهب الثلثان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روایة صریحة فی ذلک، و سنذکرها، إذ علی تقدیر عدم کونها حجّة لا شکّ فی حصول ظنّ منها، بل و ظنّ قوی کما ستعرف، و الظنّ یکفی للقرینیّة، إذ قرائن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 ظنّیة لیس علی اعتبارها بالخصوص إجماع أو کتاب أو سنّة، بل یکفی کونها ظنّا للمجتهد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تلک القرائن غالبا صارفة عن الحقیقة و الظاهر، و هذه مقوّیة لما هو الظاهر، سیّما مع تأیید ذلک الظاهر بمؤیّدات کثیرة، منها ما عرفت، و منها 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قرائن الأخبار کثیرا ما تکون أضعف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أیضا، روایة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إلی الصادق علیه السلام قراقر تصیبنی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تتّخذ نبیذا نشربه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طبخته طبخا رفیقا حتّی یذهب ثلثاه و یبقی ثلثه</w:t>
      </w:r>
      <w:r>
        <w:rPr>
          <w:rFonts w:eastAsia="IRNazanin" w:cs="IRNazanin"/>
          <w:color w:val="111111"/>
          <w:sz w:val="28"/>
          <w:szCs w:val="28"/>
          <w:rtl w:val="true"/>
          <w:lang w:bidi="fa-IR"/>
        </w:rPr>
        <w:t xml:space="preserve">»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 به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یذهب ثلثاه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إشعار إلی استثناء هذا النبیذ من النبیذ الحرام، و أنّ المخرج له هو حکایة ذهاب الثلاثین، المعهود من الأخبار أنّه المحلّل للغالی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شراب طیّب لا یتغیّر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من کلام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ما ینافی ذلک الإشعار، بل یؤکّده،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لیس بخبیث،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یصیر</w:t>
      </w:r>
      <w:bookmarkStart w:id="94" w:name="pg2526_25422"/>
    </w:p>
    <w:p>
      <w:pPr>
        <w:pStyle w:val="BookText"/>
        <w:rPr/>
      </w:pPr>
      <w:bookmarkEnd w:id="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خبیثا،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الرجاء من اللّه أن یکون لا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الثانی إشارة إلی السکر الحادث بالمکث الطویل، علی حسب ما أشرنا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 إشارة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الحادثة بالغلیان، لأنّ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بحکایة ذهاب الثلاثین و متفرّع علیها کما لا یخفی، و مسلّم عند المجیب أیضا، لکنّه یجعل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یتغیّر بالمکث، و فیه ما فیه، إذ معناه أنّه الآن أیضا طیّب، یعنی قبل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 روایة علی بن جعفر عن أخیه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الزبیب، هل یصلح أن یطبخ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یذهب ثلثاه و یبقی ثلثه، ثمَّ یرفع فیشرب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التقریب ما تقدّم، مضافا إلی أنّه روی علی بن جعفر عن أخیه، فی الصحیح أنّ الأشربة قبل ذهاب الثلاثین یصیر حراما </w:t>
      </w:r>
      <w:r>
        <w:rPr>
          <w:rStyle w:val="FootnoteAnchor"/>
          <w:rtl w:val="true"/>
        </w:rPr>
        <w:footnoteReference w:id="231"/>
      </w:r>
      <w:r>
        <w:rPr>
          <w:rFonts w:ascii="IRNazanin" w:hAnsi="IRNazanin" w:eastAsia="IRNazanin"/>
          <w:color w:val="111111"/>
          <w:sz w:val="28"/>
          <w:sz w:val="28"/>
          <w:szCs w:val="28"/>
          <w:rtl w:val="true"/>
          <w:lang w:bidi="fa-IR"/>
        </w:rPr>
        <w:t>، من غیر مدخلیّة شراب السنة،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اعترضوا علی هذه الأحادیث اعتراضات بعضها فی غایة الرکاکة، و بعضها یظهر الجواب عنه ممّا ذکرنا، مع أنّ مرادنا منها التأیید لا الاستدلال، و لا شکّ فی حصول التأیید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 w:name="__RefHeading___Toc4327922_3804643083"/>
      <w:bookmarkStart w:id="96" w:name="_Toc36"/>
      <w:bookmarkEnd w:id="95"/>
      <w:r>
        <w:rPr>
          <w:rtl w:val="true"/>
        </w:rPr>
        <w:t>الثانی</w:t>
      </w:r>
      <w:r>
        <w:rPr>
          <w:rtl w:val="true"/>
        </w:rPr>
        <w:t xml:space="preserve">: </w:t>
      </w:r>
      <w:r>
        <w:rPr>
          <w:rtl w:val="true"/>
        </w:rPr>
        <w:t>موثّقة عمّار عن الصادق علیه السّلام</w:t>
      </w:r>
      <w:r>
        <w:rPr>
          <w:rtl w:val="true"/>
        </w:rPr>
        <w:t>: «</w:t>
      </w:r>
      <w:r>
        <w:rPr>
          <w:rtl w:val="true"/>
        </w:rPr>
        <w:t xml:space="preserve">فی النضوح المعتق، کیف یصنع به حتّی </w:t>
      </w:r>
      <w:r>
        <w:rPr>
          <w:rtl w:val="true"/>
        </w:rPr>
        <w:t>[</w:t>
      </w:r>
      <w:r>
        <w:rPr>
          <w:rtl w:val="true"/>
        </w:rPr>
        <w:t>یحل</w:t>
      </w:r>
      <w:r>
        <w:rPr>
          <w:rtl w:val="true"/>
        </w:rPr>
        <w:t>]</w:t>
      </w:r>
      <w:bookmarkEnd w:id="9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یحلّ؟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ماء الزبیب فأغله حتّی یذهب ثلثاه</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 و بهذه الروایة استدلّ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موثّقة أخری عنه علیه السّلام فی النضوح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یطبخ التمر حتّی یذهب ثلثاه و یبقی ثلثه، ثمَّ یمتشطن</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المعتقة کمعظّمة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و التقریب یظهر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الجواب عن الاعتراضات علیها، کما لا یخفی علی الفطن، و سیجی‌ء زیادة التحقیق فی المقام،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یؤیّد هنا، ما ذکر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حدیث النبیذ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نشّ فلا تشرب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إذا غلا</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أهل السنّة کما أنّهم لیسوا متّهمین فی سائر روایاتهم الّتی تکون حجّة علی أنفسهم و مناسبة لمذهب الشیعة، و لذا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اعتنوا بها و ضبطوها و نقلوها فی کتبهم فی مقام التأیید، بل و فی مقام الاستدلال أیضا، کذا لیسوا متّهمین فی نقل روایة مثل هذا عن الرسول صلّی اللّه علیه و آله و سلّم، لأنّهم لا یقولون بالحرمة فی غیر صورة السکر، بل هذا من خصائص الشیعة، فالروایة موافقة لهم، و لروایاتهم عن أئمّتهم علیهم 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کفی فی قوّة هذه الروایة أن یکون المنکر رواها، و ورد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w:t>
      </w:r>
      <w:bookmarkStart w:id="97" w:name="pg2526_25424"/>
    </w:p>
    <w:p>
      <w:pPr>
        <w:pStyle w:val="BookText"/>
        <w:rPr/>
      </w:pPr>
      <w:bookmarkEnd w:id="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خالف القوم حقّ </w:t>
      </w:r>
      <w:r>
        <w:rPr>
          <w:rStyle w:val="FootnoteAnchor"/>
          <w:rtl w:val="true"/>
        </w:rPr>
        <w:footnoteReference w:id="237"/>
      </w:r>
      <w:r>
        <w:rPr>
          <w:rFonts w:ascii="IRNazanin" w:hAnsi="IRNazanin" w:eastAsia="IRNazanin"/>
          <w:color w:val="111111"/>
          <w:sz w:val="28"/>
          <w:sz w:val="28"/>
          <w:szCs w:val="28"/>
          <w:rtl w:val="true"/>
          <w:lang w:bidi="fa-IR"/>
        </w:rPr>
        <w:t>، و ورد أیضا فی الروایة المشکوک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وجدتم من السنّة ما یشبهها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Style w:val="FootnoteAnchor"/>
          <w:rtl w:val="true"/>
        </w:rPr>
        <w:footnoteReference w:id="238"/>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یحصل منها الظنّ، فیصلح أن تکون مؤیّدة، بل قرینة علی الدلالة کما أشرنا، و سیجی‌ء مؤیّدات أخر</w:t>
      </w:r>
      <w:r>
        <w:rPr>
          <w:rFonts w:eastAsia="IRNazanin" w:cs="IRNazanin"/>
          <w:color w:val="111111"/>
          <w:sz w:val="28"/>
          <w:szCs w:val="28"/>
          <w:rtl w:val="true"/>
          <w:lang w:bidi="fa-IR"/>
        </w:rPr>
        <w:t>.</w:t>
      </w:r>
    </w:p>
    <w:p>
      <w:pPr>
        <w:pStyle w:val="Heading4"/>
        <w:numPr>
          <w:ilvl w:val="3"/>
          <w:numId w:val="1"/>
        </w:numPr>
        <w:rPr/>
      </w:pPr>
      <w:bookmarkStart w:id="98" w:name="__RefHeading___Toc4327924_3804643083"/>
      <w:bookmarkStart w:id="99" w:name="_Toc37"/>
      <w:bookmarkEnd w:id="98"/>
      <w:r>
        <w:rPr>
          <w:rtl w:val="true"/>
        </w:rPr>
        <w:t>الثالث</w:t>
      </w:r>
      <w:r>
        <w:rPr>
          <w:rtl w:val="true"/>
        </w:rPr>
        <w:t xml:space="preserve">: </w:t>
      </w:r>
      <w:r>
        <w:rPr>
          <w:rtl w:val="true"/>
        </w:rPr>
        <w:t>صحیحة علی بن جعفر علیه السّلام عن أخیه علیه السّلام</w:t>
      </w:r>
      <w:r>
        <w:rPr>
          <w:rtl w:val="true"/>
        </w:rPr>
        <w:t>: «</w:t>
      </w:r>
      <w:r>
        <w:rPr>
          <w:rtl w:val="true"/>
        </w:rPr>
        <w:t>الرجل یصلّی إلی القبلة و لا یوثق به</w:t>
      </w:r>
      <w:bookmarkEnd w:id="9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جعفر علیه السّلام عن أخیه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الرجل یصلّی إلی القبلة و لا یوثق به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أتی بشراب زعم </w:t>
      </w:r>
      <w:r>
        <w:rPr>
          <w:rStyle w:val="FootnoteAnchor"/>
          <w:rtl w:val="true"/>
        </w:rPr>
        <w:footnoteReference w:id="240"/>
      </w:r>
      <w:r>
        <w:rPr>
          <w:rFonts w:ascii="IRNazanin" w:hAnsi="IRNazanin" w:eastAsia="IRNazanin"/>
          <w:color w:val="111111"/>
          <w:sz w:val="28"/>
          <w:sz w:val="28"/>
          <w:szCs w:val="28"/>
          <w:rtl w:val="true"/>
          <w:lang w:bidi="fa-IR"/>
        </w:rPr>
        <w:t xml:space="preserve">أنّه علی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إلّا أن یکون مسلما عارفا</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عمّار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الرجل یأتی بالشراب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مطبوخ علی الثلث،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مسلما عارفا </w:t>
      </w:r>
      <w:r>
        <w:rPr>
          <w:rStyle w:val="FootnoteAnchor"/>
          <w:rtl w:val="true"/>
        </w:rPr>
        <w:footnoteReference w:id="242"/>
      </w:r>
      <w:r>
        <w:rPr>
          <w:rFonts w:ascii="IRNazanin" w:hAnsi="IRNazanin" w:eastAsia="IRNazanin"/>
          <w:color w:val="111111"/>
          <w:sz w:val="28"/>
          <w:sz w:val="28"/>
          <w:szCs w:val="28"/>
          <w:rtl w:val="true"/>
          <w:lang w:bidi="fa-IR"/>
        </w:rPr>
        <w:t>مأمونا، فلا بأس أن یشرب</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ابن أبی یعفور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شرب الرجل النبیذ الخمور، فلا تجوز شهادته فی شی‌ء من الأشربة</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التقریب، أنّ لفظة الشراب لیست حقیقة فی العصیر العنبی، لا لغة و لا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کلام الفقهاء، و لا یظهر من الأخبار، بل الظاهر من الفقهاء و أهل اللغة و الأخبار التعمیم، یعبّر عن الأنبذة بالأشربة، و الکلینی رحمه اللّه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صفة الشراب الحلال و أتی فی الباب بأحادیث، و لم یأت بالعصیر أصلا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یشیر هذا إلی عدم معهودیّة إطلاق الشراب علی العصیر، بل لو کان إطلاق فبالتقیید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هذا من الأخبار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مولی جریر بن یزید </w:t>
      </w:r>
      <w:r>
        <w:rPr>
          <w:rStyle w:val="FootnoteAnchor"/>
          <w:rtl w:val="true"/>
        </w:rPr>
        <w:footnoteReference w:id="2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أصنع الأشربة من العسل و غیره فإنّهم یکلّفونی صنعتها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اصنعها و ادفع إلیهم </w:t>
      </w:r>
      <w:r>
        <w:rPr>
          <w:rStyle w:val="FootnoteAnchor"/>
          <w:rtl w:val="true"/>
        </w:rPr>
        <w:footnoteReference w:id="247"/>
      </w:r>
      <w:r>
        <w:rPr>
          <w:rFonts w:ascii="IRNazanin" w:hAnsi="IRNazanin" w:eastAsia="IRNazanin"/>
          <w:color w:val="111111"/>
          <w:sz w:val="28"/>
          <w:sz w:val="28"/>
          <w:szCs w:val="28"/>
          <w:rtl w:val="true"/>
          <w:lang w:bidi="fa-IR"/>
        </w:rPr>
        <w:t>، و هی حلال قبل أن تسکر</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و بهذا الخبر استدلّ بعض المحلّلین، و سیجی‌ء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یشهد علی ذلک، صحیحة ابن أبی یعفور المذکورة، حیث أتی بلفظ الشی‌ء المبهم المتوغّل فی الإبهام نکرة فی سیاق النفی،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المحلّی باللام، مع أنّ الشهادة فی نوع واحد نوع واحد من الشهادة، لا تفاوت و لا مبالغة أیضا، فتدبّر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أیضا، أنّ علی بن جعفر علیه السّلام ظهر من روایته السابقة اعتقاده احتیاج ماء الزبیب المطبوخ إلی ذهاب الثلاثین، و المعصوم علیه السّلام قرّره علیه، و فی هذه أتی بلفظ الشراب نکرة مبهمة، و عمّار هو الّذی روی الروایات الأربع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الزبیبی و التمری </w:t>
      </w:r>
      <w:r>
        <w:rPr>
          <w:rStyle w:val="FootnoteAnchor"/>
          <w:rtl w:val="true"/>
        </w:rPr>
        <w:footnoteReference w:id="249"/>
      </w:r>
      <w:r>
        <w:rPr>
          <w:rFonts w:ascii="IRNazanin" w:hAnsi="IRNazanin" w:eastAsia="IRNazanin"/>
          <w:color w:val="111111"/>
          <w:sz w:val="28"/>
          <w:sz w:val="28"/>
          <w:szCs w:val="28"/>
          <w:rtl w:val="true"/>
          <w:lang w:bidi="fa-IR"/>
        </w:rPr>
        <w:t>، و یظهر اعتقاده الاحتیاج إلی ذهاب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فی صحیحة 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شهادته فی شی‌ء من الأشربة، غیر خفی أنّ المراد الشهادة بالنسبة إلی ذهاب الثلاثین بالغلیان، کما ظهر من الروایتین المتقدّمتین علیها و غیرها من الأخبار الکثیرة، و فهمه الفقهاء، لأنّ أخبار الأئمّة علیهم السّلام یصیر بعضها قرینة علی بعض، و کذا فهم الفقهاء، بل لا یبقی تأمّل للمتتبّع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إرجاع الشهادة إلی نفی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یحکم المتتبّع البصیر بفساده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غریب، غیر مأنوس بالنسبة إلی الأخبار، و لم نر فی شی‌ء منها إشارة و لا إشعارا، بل لم یعهد ذلک من المسلمین فی الأعصار و الأمصار، لأنّ من هو من أهل الخبرة به لا یوثق به و لم یعتمد علیه، و من یوثق به لیس من أهل الخبرة به و الاطّلاع، مع أنّه شهادة علی النفی، سیّما نفی ما هو خفی الصدور و لو عرض الوقوع </w:t>
      </w:r>
      <w:r>
        <w:rPr>
          <w:rStyle w:val="FootnoteAnchor"/>
          <w:rtl w:val="true"/>
        </w:rPr>
        <w:footnoteReference w:id="250"/>
      </w:r>
      <w:r>
        <w:rPr>
          <w:rFonts w:ascii="IRNazanin" w:hAnsi="IRNazanin" w:eastAsia="IRNazanin"/>
          <w:color w:val="111111"/>
          <w:sz w:val="28"/>
          <w:sz w:val="28"/>
          <w:szCs w:val="28"/>
          <w:rtl w:val="true"/>
          <w:lang w:bidi="fa-IR"/>
        </w:rPr>
        <w:t>یهلک الشارب و إن لم یکن له علم به و شعور، و اطّلاع علیه و عثور، کالسم المهلک بسرعته، المتلف بساعته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هذا لا یکتفی بالشهادة إلیه، سیّما کونها ظنیّة، مع أنّه لا عموم فی حجّیة الشهادة، مع أنّه لا یعتبر الشهادة و القول شرعا إلّا إذا ادّعی الشاهد الیقین، و هو فی المقام منتف یقینا، لأنّه مقام حصول الریبة و الاضطراب فی حصول السکر علی ما ستعرف</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فرض حصول الیقین، فإنّه إنّما یحصل لأهل الخبرة فی معرفة السکر دون غیرهم، کما لا یخفی، و لا شکّ فی أنّ أهل الخبرة فیها لا عبرة بقوله شرعا،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مع أنّ الحاصل من قول أهل الخبرة لیس أزید من المظنّة، فکیف إذا لم یکن من أهل الخبرة؟ فإنّه لم یحصل من قوله المظنّة أیضا، إذ بمجرّد ترک شرب النبیذ المخمور کیف یصیر من أهل الخبرة فی السکر حتّی یحصل من قوله مظنّة؟ مع أنّک عرفت عدم کفایة المظنّة فی المقام، لأنّ شرب المسکر إهلاک الروح و العقل و الدین، فکیف یکتفی بمجرّد القول الّذی لا یحصل منه مظنّة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فساد ذلک علی من له أدنی فهم، سیّما مع ملاحظة جمیع ما ذکرناه سابقا، و خصوصا بعد ملاحظة أنّه فی مقام الشهادة ربّما عرضه السکر، و ربّما کان فی مزاج غیره یحدث، أو أنّه أکل أو شرب أو فعل ما یمنع عن السکر، أو أنّه ما شرب المقدار الکثیر الّذی شربه یحدث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سیجی‌ء من أنّه مع احتمال السکر ما جوّز الشارع أصلا ما سیجی‌ء علی أنّه صلّی اللّه علیه و آله و سلّم ما قیّد الأشربة بالمخموریّة کما قیّد النبیذ بها، فیظهر عدم اعتبارها فی مقام الشهادة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مناسبة بین شرب المسکر و شرب ما لم یذهب ثلثاه، حتّی یکون سببا لعدم قبول الشهادة؟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استحلّ المسکر استحلّ ما لم یذهب ثلثاه جزما، و کلّ من شربه یشربه بطریق أولی، مع احتمال أن یکون النبیذ المخمور شاملا لما لم یذهب ثلثاه، و سیجی‌ء نظیر هذه فی صحیحة عمر بن یزید </w:t>
      </w:r>
      <w:r>
        <w:rPr>
          <w:rStyle w:val="FootnoteAnchor"/>
          <w:rtl w:val="true"/>
        </w:rPr>
        <w:footnoteReference w:id="251"/>
      </w:r>
      <w:r>
        <w:rPr>
          <w:rFonts w:ascii="IRNazanin" w:hAnsi="IRNazanin" w:eastAsia="IRNazanin"/>
          <w:color w:val="111111"/>
          <w:sz w:val="28"/>
          <w:sz w:val="28"/>
          <w:szCs w:val="28"/>
          <w:rtl w:val="true"/>
          <w:lang w:bidi="fa-IR"/>
        </w:rPr>
        <w:t xml:space="preserve">، و استدلّ بعض الفضلاء بهذا الخبر علی الحلّ، بأنّ مفهوم الشرط یدلّ علی أنّه لو لم یشرب المخمور قبلت شهادته فیکون حلالا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bookmarkStart w:id="100" w:name="pg2526_25428"/>
    </w:p>
    <w:p>
      <w:pPr>
        <w:pStyle w:val="BookText"/>
        <w:rPr/>
      </w:pPr>
      <w:bookmarkEnd w:id="1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مجرّد الشرب لا یقتضی الفسق، لجواز عروض الشبهة، ألا تری أنّ أصحاب الباقر و الصادق علیهما السّلام جمع منهم کانوا یشربون النبیذ المسکر، مع جلالتهم و عدالة بعضهم لقرب عهدهم إلی زمان الصادق علیه السّلام ظهر علیهم حرمته </w:t>
      </w:r>
      <w:r>
        <w:rPr>
          <w:rStyle w:val="FootnoteAnchor"/>
          <w:rtl w:val="true"/>
        </w:rPr>
        <w:footnoteReference w:id="253"/>
      </w:r>
      <w:r>
        <w:rPr>
          <w:rFonts w:ascii="IRNazanin" w:hAnsi="IRNazanin" w:eastAsia="IRNazanin"/>
          <w:color w:val="111111"/>
          <w:sz w:val="28"/>
          <w:sz w:val="28"/>
          <w:szCs w:val="28"/>
          <w:rtl w:val="true"/>
          <w:lang w:bidi="fa-IR"/>
        </w:rPr>
        <w:t>، ککثیر من الأحکام الّتی کانت خفیّة علیهم إلی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علی ما قلناه، ما ورد فی بعض الأخبار من أنّه لا یقبل شهادة من یشرب النبیذ فی الأشربة و إن کان یصف ما یقولون </w:t>
      </w:r>
      <w:r>
        <w:rPr>
          <w:rStyle w:val="FootnoteAnchor"/>
          <w:rtl w:val="true"/>
        </w:rPr>
        <w:footnoteReference w:id="254"/>
      </w:r>
      <w:r>
        <w:rPr>
          <w:rFonts w:ascii="IRNazanin" w:hAnsi="IRNazanin" w:eastAsia="IRNazanin"/>
          <w:color w:val="111111"/>
          <w:sz w:val="28"/>
          <w:sz w:val="28"/>
          <w:szCs w:val="28"/>
          <w:rtl w:val="true"/>
          <w:lang w:bidi="fa-IR"/>
        </w:rPr>
        <w:t>، یعنی و إن کان من الشیعة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المناسب علی هذا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شهادته أصلا، لا فی خصوص شی‌ء من الأشربة، مع أنّ غیر الخمر من المسکرات لا تفاوت بینها أصلا، و لا خفاء فی ذلک قطعا، فلا وجه لتعرّض إن شرب النبیذ</w:t>
      </w:r>
      <w:r>
        <w:rPr>
          <w:rFonts w:eastAsia="IRNazanin" w:cs="IRNazanin"/>
          <w:color w:val="111111"/>
          <w:sz w:val="28"/>
          <w:szCs w:val="28"/>
          <w:rtl w:val="true"/>
          <w:lang w:bidi="fa-IR"/>
        </w:rPr>
        <w:t>.</w:t>
      </w:r>
    </w:p>
    <w:p>
      <w:pPr>
        <w:pStyle w:val="Heading4"/>
        <w:numPr>
          <w:ilvl w:val="3"/>
          <w:numId w:val="1"/>
        </w:numPr>
        <w:rPr/>
      </w:pPr>
      <w:bookmarkStart w:id="101" w:name="__RefHeading___Toc4327926_3804643083"/>
      <w:bookmarkStart w:id="102" w:name="_Toc38"/>
      <w:bookmarkEnd w:id="101"/>
      <w:r>
        <w:rPr>
          <w:rtl w:val="true"/>
        </w:rPr>
        <w:t>الرابع</w:t>
      </w:r>
      <w:r>
        <w:rPr>
          <w:rtl w:val="true"/>
        </w:rPr>
        <w:t xml:space="preserve">: </w:t>
      </w:r>
      <w:r>
        <w:rPr>
          <w:rtl w:val="true"/>
        </w:rPr>
        <w:t>روایة زید النرسی، عن الصادق علیه السلام</w:t>
      </w:r>
      <w:r>
        <w:rPr>
          <w:rtl w:val="true"/>
        </w:rPr>
        <w:t>: «</w:t>
      </w:r>
      <w:r>
        <w:rPr>
          <w:rtl w:val="true"/>
        </w:rPr>
        <w:t>فی الزبیب یدقّ و یلقی فی القدر و یصبّ علیه الماء</w:t>
      </w:r>
      <w:bookmarkEnd w:id="10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حتّی یذهب ثلثاه،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الزبیب کما هو یلقی فی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إذا أدّت الحلاوة إلی الماء فقد فسد، کلّما غلا بنفسه أو بالنار فقد حرم إلّا أن یذهب ثلثاه</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 هذه الروایة بحسب الدلالة صریحة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بحسب السند، فیعضده جمیع ما مرّ من الأدلّة و المؤیّدات، و قاطبة ما سیجی‌ء منها، مضافا إلی ما سنذکر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اعترض بأنّ أصله لم یروه الصدوق رحمه اللّه و ابن الولید،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 محمّد بن موسی </w:t>
      </w:r>
      <w:r>
        <w:rPr>
          <w:rStyle w:val="FootnoteAnchor"/>
          <w:rtl w:val="true"/>
        </w:rPr>
        <w:footnoteReference w:id="256"/>
      </w:r>
      <w:r>
        <w:rPr>
          <w:rFonts w:ascii="IRNazanin" w:hAnsi="IRNazanin" w:eastAsia="IRNazanin"/>
          <w:color w:val="111111"/>
          <w:sz w:val="28"/>
          <w:sz w:val="28"/>
          <w:szCs w:val="28"/>
          <w:rtl w:val="true"/>
          <w:lang w:bidi="fa-IR"/>
        </w:rPr>
        <w:t xml:space="preserve">، و من ثمَّ لم یذکر هذه الروایة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الأربعة، و لا استند علیها فی کتب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حدیث رواه الکلینی رحمه اللّه و لم یروه الصدوق و شیخه 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أنّهم رووا کثیرا ممّا رواه و لم یرووا ما رواه </w:t>
      </w:r>
      <w:r>
        <w:rPr>
          <w:rStyle w:val="FootnoteAnchor"/>
          <w:rtl w:val="true"/>
        </w:rPr>
        <w:footnoteReference w:id="258"/>
      </w:r>
      <w:r>
        <w:rPr>
          <w:rFonts w:ascii="IRNazanin" w:hAnsi="IRNazanin" w:eastAsia="IRNazanin"/>
          <w:color w:val="111111"/>
          <w:sz w:val="28"/>
          <w:sz w:val="28"/>
          <w:szCs w:val="28"/>
          <w:rtl w:val="true"/>
          <w:lang w:bidi="fa-IR"/>
        </w:rPr>
        <w:t xml:space="preserve">فی هذا الموضع الآخر، سیّما الصدوق و الشیخ، فإنّهما رویا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بالنسبة إلی الصدوق و الشیخ، فلو کان عدم الروایة یصیر قدحا فی الروایة لسقط الاحتجاج بالنسبة إلی ما ترکه الآخر، و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بالنسبة إلی الصدوق و الشیخ، فلو کان عدم الروایة یصیر قدحا فی الروایة لسقط الاحتجاج بالنسبة إلی ما ترکه الآخر، و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نسبة الوضع، فقد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تعلیقتنا علی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تضعیفات القمّیین، و نسبتهم إلی الغلوّ و التفویض و الوضع و غیرها </w:t>
      </w:r>
      <w:r>
        <w:rPr>
          <w:rStyle w:val="FootnoteAnchor"/>
          <w:rtl w:val="true"/>
        </w:rPr>
        <w:footnoteReference w:id="259"/>
      </w:r>
      <w:r>
        <w:rPr>
          <w:rFonts w:ascii="IRNazanin" w:hAnsi="IRNazanin" w:eastAsia="IRNazanin"/>
          <w:color w:val="111111"/>
          <w:sz w:val="28"/>
          <w:sz w:val="28"/>
          <w:szCs w:val="28"/>
          <w:rtl w:val="true"/>
          <w:lang w:bidi="fa-IR"/>
        </w:rPr>
        <w:t>، لأنّ لهم اعتقادا خاصّا، من تعدّاه نسبوه إلی ما نسبوه،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السهو عن النبی صلّی اللّه علیه و آله نسبوه إلی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حقّقنا ما ذکرنا هناک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غیرهم،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یروون عمّن قدحوه معتمدین علیه،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عن سهل و عن البرقی و غیرهما، و کذا الشیخ رحمه اللّه، بل و أکثر الکلینی غایة الإکثار، و سمّاها من الآثار الصحیحة عن الصادقین المفیدة للعلم و الیقین، و من جملتهم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النرسی، فإنّهم رووا عنه أکثر من أن یحصی معتمدین علیها مفتین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ما ذکرنا بالنسبة إلی الأصول الأربعمائة، مع أنّ الأصل النرسی منها، و صرّحوا بذلک </w:t>
      </w:r>
      <w:r>
        <w:rPr>
          <w:rStyle w:val="FootnoteAnchor"/>
          <w:rtl w:val="true"/>
        </w:rPr>
        <w:footnoteReference w:id="260"/>
      </w:r>
      <w:r>
        <w:rPr>
          <w:rFonts w:ascii="IRNazanin" w:hAnsi="IRNazanin" w:eastAsia="IRNazanin"/>
          <w:color w:val="111111"/>
          <w:sz w:val="28"/>
          <w:sz w:val="28"/>
          <w:szCs w:val="28"/>
          <w:rtl w:val="true"/>
          <w:lang w:bidi="fa-IR"/>
        </w:rPr>
        <w:t xml:space="preserve">، و مع ذلک ابن الغضائری مع أنّه قلّما یسلم جلیل </w:t>
      </w:r>
      <w:r>
        <w:rPr>
          <w:rStyle w:val="FootnoteAnchor"/>
          <w:rtl w:val="true"/>
        </w:rPr>
        <w:footnoteReference w:id="261"/>
      </w:r>
      <w:r>
        <w:rPr>
          <w:rFonts w:ascii="IRNazanin" w:hAnsi="IRNazanin" w:eastAsia="IRNazanin"/>
          <w:color w:val="111111"/>
          <w:sz w:val="28"/>
          <w:sz w:val="28"/>
          <w:szCs w:val="28"/>
          <w:rtl w:val="true"/>
          <w:lang w:bidi="fa-IR"/>
        </w:rPr>
        <w:t>عن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یطعن علی زید و لا علی أصله، بل بعد ما نقل عن الصدوق أنّ کتابه و کتاب الزرّاد موضوعان،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غلط أبو جعفر فی هذا القول، فإنّی رأیت کتبهما مسموعة من ابن أبی عمیر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ناهیک بهذا تخطئة له، و اعتمادا علی کتبهما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الشیخ رحمه اللّه أیضا بعد ما نقل عن ابن الولید عدم الروایة و النسبة إلی الوضع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زید النرسی رواه ابن أبی عمیر عنه</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التخطئة و إظهار 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إشعار بکون النرسی ثقة، لأنّه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بأنّ ابن أبی عمیر لا یروی إلّا عن الثقة </w:t>
      </w:r>
      <w:r>
        <w:rPr>
          <w:rStyle w:val="FootnoteAnchor"/>
          <w:rtl w:val="true"/>
        </w:rPr>
        <w:footnoteReference w:id="264"/>
      </w:r>
      <w:r>
        <w:rPr>
          <w:rFonts w:ascii="IRNazanin" w:hAnsi="IRNazanin" w:eastAsia="IRNazanin"/>
          <w:color w:val="111111"/>
          <w:sz w:val="28"/>
          <w:sz w:val="28"/>
          <w:szCs w:val="28"/>
          <w:rtl w:val="true"/>
          <w:lang w:bidi="fa-IR"/>
        </w:rPr>
        <w:t>و یؤیّد 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التوثیق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علماء الرجال فی ترجمته و مقبولیّة مرسلاته عندهم، و کونه ممّن أجمعت العصابة علی تصحیح ما یصحّ عنه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 یستفاد من کلام الشیخ رحمه اللّه و غیره أنّ عدم الروایة من خصائص الصدوق رحمه اللّه و شیخه، فلا یصحّ ما ذکره أنّه من ثمَّ لم یذکر هذه الروایة فی الکتب الأربعة، مضافا إلی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النجاشی، فلم یتعرّض لقول الصدوق رحمه اللّه و شیخه و حالهما أصلا، و فیه شهادة واضحة علی عدم اعتنائه بالمرّة، و مع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النرسی روی عن أبی عبد اللّه و أبی الحسن علیهما السّلام، له کتاب یروی جماعة عنه بکتابه</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واضحة علی معروفیّة کتابه و شهرته، بل و صحّته، لأنّ جماعة من الأصحاب رووه عنه، و منهم ابن أبی عمیر، و لا شبهة أنّ النجاشی أعرف و أضبط، سیّما و شارکه من شارکه، و تأیّد بما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عدم الذکر فی الأربعة غیر مضرّ، لأنّ دلیل الحجّیة عام و المخصوص </w:t>
      </w:r>
      <w:r>
        <w:rPr>
          <w:rStyle w:val="FootnoteAnchor"/>
          <w:rtl w:val="true"/>
        </w:rPr>
        <w:footnoteReference w:id="267"/>
      </w:r>
      <w:r>
        <w:rPr>
          <w:rFonts w:ascii="IRNazanin" w:hAnsi="IRNazanin" w:eastAsia="IRNazanin"/>
          <w:color w:val="111111"/>
          <w:sz w:val="28"/>
          <w:sz w:val="28"/>
          <w:szCs w:val="28"/>
          <w:rtl w:val="true"/>
          <w:lang w:bidi="fa-IR"/>
        </w:rPr>
        <w:t xml:space="preserve">غیر موجود، مع أنّ الأصحاب عملوا بأخبار کثیرة </w:t>
      </w:r>
      <w:r>
        <w:rPr>
          <w:rStyle w:val="FootnoteAnchor"/>
          <w:rtl w:val="true"/>
        </w:rPr>
        <w:footnoteReference w:id="268"/>
      </w:r>
      <w:r>
        <w:rPr>
          <w:rFonts w:ascii="IRNazanin" w:hAnsi="IRNazanin" w:eastAsia="IRNazanin"/>
          <w:color w:val="111111"/>
          <w:sz w:val="28"/>
          <w:sz w:val="28"/>
          <w:szCs w:val="28"/>
          <w:rtl w:val="true"/>
          <w:lang w:bidi="fa-IR"/>
        </w:rPr>
        <w:t xml:space="preserve">لیست مذکورة فیها و هی معروفة، مع أنّهم أفتوا بفتاوی کثیرة غیر ظاهرة المأخذ </w:t>
      </w:r>
      <w:r>
        <w:rPr>
          <w:rStyle w:val="FootnoteAnchor"/>
          <w:rtl w:val="true"/>
        </w:rPr>
        <w:footnoteReference w:id="269"/>
      </w:r>
      <w:r>
        <w:rPr>
          <w:rFonts w:ascii="IRNazanin" w:hAnsi="IRNazanin" w:eastAsia="IRNazanin"/>
          <w:color w:val="111111"/>
          <w:sz w:val="28"/>
          <w:sz w:val="28"/>
          <w:szCs w:val="28"/>
          <w:rtl w:val="true"/>
          <w:lang w:bidi="fa-IR"/>
        </w:rPr>
        <w:t>، و لا مأخذ لها قطعا من غیر طریق الأثر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أنّی تفحّصت </w:t>
      </w:r>
      <w:r>
        <w:rPr>
          <w:rStyle w:val="FootnoteAnchor"/>
          <w:rtl w:val="true"/>
        </w:rPr>
        <w:footnoteReference w:id="270"/>
      </w:r>
      <w:r>
        <w:rPr>
          <w:rFonts w:ascii="IRNazanin" w:hAnsi="IRNazanin" w:eastAsia="IRNazanin"/>
          <w:color w:val="111111"/>
          <w:sz w:val="28"/>
          <w:sz w:val="28"/>
          <w:szCs w:val="28"/>
          <w:rtl w:val="true"/>
          <w:lang w:bidi="fa-IR"/>
        </w:rPr>
        <w:t>الکتب غیر الأربعة، فعثرت علی مئاخذ کثیر منها إلی</w:t>
      </w:r>
      <w:bookmarkStart w:id="103" w:name="pg2526_25432"/>
    </w:p>
    <w:p>
      <w:pPr>
        <w:pStyle w:val="BookText"/>
        <w:rPr/>
      </w:pPr>
      <w:bookmarkEnd w:id="1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حدّ حصل لی الظنّ المتاخم إلی العلم أنّ الباقی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المخصّص هو اشتراط عدالة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لا فرق فی ذلک بین الأربعة و غیرها، بل مقتضی دلیل الاشتراط حجّیة خبر العدل أینما وجد، مع أنّا قد أشرنا إلی ظهور عدالة النرسی، و العدول أخبروا بأنّ الأصل أصله، بل ظهر عدم تأمل أحد منهم فی ذلک سوی الصدوق رحمه اللّه و شیخه، و ظهر تخطئتهم و ما یشیر إلی عدم الوثوق بهما فی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أنّهم ذکروا فی الأربعة ما یؤدّی مؤدّی هذه الروایة، فلعلّهم به اکتفوا عنها، و هم کثیرا ما یکتفون بخبر عن الآخر، و إلّا فأخبار الأصول الأربعمائة أضعاف ما فی الأربعة بمراتب لا تحصی، فضلا عن غیر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ذلک بملاحظة کتب الرجال و غیرها،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یذکرون الکلّ لکاد لم یوجد مسألة خالیة عن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 من عدم ذکرها فی کتب الاستدلال </w:t>
      </w:r>
      <w:r>
        <w:rPr>
          <w:rStyle w:val="FootnoteAnchor"/>
          <w:rtl w:val="true"/>
        </w:rPr>
        <w:footnoteReference w:id="271"/>
      </w:r>
      <w:r>
        <w:rPr>
          <w:rFonts w:ascii="IRNazanin" w:hAnsi="IRNazanin" w:eastAsia="IRNazanin"/>
          <w:color w:val="111111"/>
          <w:sz w:val="28"/>
          <w:sz w:val="28"/>
          <w:szCs w:val="28"/>
          <w:rtl w:val="true"/>
          <w:lang w:bidi="fa-IR"/>
        </w:rPr>
        <w:t>، الظاهر منشؤه عدم العثور و الغفلة، علی ما مرّ فی صدر الرسالة، و سیجی‌ء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شکّ فی أنّه خیر من القیاس الحرام بالضرورة، بل و من الدین أیضا، لعدم الجامع، کما أشرنا</w:t>
      </w:r>
      <w:r>
        <w:rPr>
          <w:rFonts w:eastAsia="IRNazanin" w:cs="IRNazanin"/>
          <w:color w:val="111111"/>
          <w:sz w:val="28"/>
          <w:szCs w:val="28"/>
          <w:rtl w:val="true"/>
          <w:lang w:bidi="fa-IR"/>
        </w:rPr>
        <w:t>.</w:t>
      </w:r>
    </w:p>
    <w:p>
      <w:pPr>
        <w:pStyle w:val="Heading4"/>
        <w:numPr>
          <w:ilvl w:val="3"/>
          <w:numId w:val="1"/>
        </w:numPr>
        <w:rPr/>
      </w:pPr>
      <w:bookmarkStart w:id="104" w:name="__RefHeading___Toc4327928_3804643083"/>
      <w:bookmarkStart w:id="105" w:name="_Toc39"/>
      <w:bookmarkEnd w:id="104"/>
      <w:r>
        <w:rPr>
          <w:rtl w:val="true"/>
        </w:rPr>
        <w:t>الخامس</w:t>
      </w:r>
      <w:r>
        <w:rPr>
          <w:rtl w:val="true"/>
        </w:rPr>
        <w:t xml:space="preserve">: </w:t>
      </w:r>
      <w:r>
        <w:rPr>
          <w:rtl w:val="true"/>
        </w:rPr>
        <w:t>روایة الکلینی رحمه اللّه فی باب أصل تحریم الخمر</w:t>
      </w:r>
      <w:bookmarkEnd w:id="10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بسنده عن إبراهیم،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لما أهبط آدم علیه السّلام أمره بالحرث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حکی غرس آدم علیه السّلام النخل و العنب و غیرهما، و طلب إبلیس من آدم إطعام شی‌ء من ثمارها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و أبی آدم و مکر بحوّاء،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فاعصری فی کفی شیئا منه، فأبت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ذرینی أمصّه و لا آکله، فأخذت عنقودا من عنب فأعطته فمصّه و لم یأکل منه، لما کانت حوّاء قد أکّدت علیه، فلمّا ذهب یعضّه جذبته من فیه </w:t>
      </w:r>
      <w:r>
        <w:rPr>
          <w:rStyle w:val="FootnoteAnchor"/>
          <w:rtl w:val="true"/>
        </w:rPr>
        <w:footnoteReference w:id="272"/>
      </w:r>
      <w:r>
        <w:rPr>
          <w:rFonts w:ascii="IRNazanin" w:hAnsi="IRNazanin" w:eastAsia="IRNazanin"/>
          <w:color w:val="111111"/>
          <w:sz w:val="28"/>
          <w:sz w:val="28"/>
          <w:szCs w:val="28"/>
          <w:rtl w:val="true"/>
          <w:lang w:bidi="fa-IR"/>
        </w:rPr>
        <w:t xml:space="preserve">، فأوحی اللّه تعالی إلی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 قد مصّه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 و 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إبلیس، و قد حرّمت علیک من عصیرة الخمر ما خالطه نفس إبلیس، فحرّم </w:t>
      </w:r>
      <w:r>
        <w:rPr>
          <w:rStyle w:val="FootnoteAnchor"/>
          <w:rtl w:val="true"/>
        </w:rPr>
        <w:footnoteReference w:id="273"/>
      </w:r>
      <w:r>
        <w:rPr>
          <w:rFonts w:ascii="IRNazanin" w:hAnsi="IRNazanin" w:eastAsia="IRNazanin"/>
          <w:color w:val="111111"/>
          <w:sz w:val="28"/>
          <w:sz w:val="28"/>
          <w:szCs w:val="28"/>
          <w:rtl w:val="true"/>
          <w:lang w:bidi="fa-IR"/>
        </w:rPr>
        <w:t>الخمر لأنّ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بحوّاء حتّی مصّ العنب، و لو أکلها لحرمت الکرمة من أوّلها إلی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أمصصتنی شیئا من هذا التمر کما أمصصتنی من العنب، فأعطته تمرة فمصّها، و کانت العنب و التمرة أشدّ رائحة من المسک، و أحلی من العسل، فلمّا مصّهما إبلیس ذهبت رائحتهما و انتقصت حلاوتهما،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إبلیس ذهب بعد وفاة آدم علیه السّلام فبال فی أصل الکرمة و النخلة، فجری الماء فی عروقهما من بوله، فمن ثمَّ یختمر العنب و التمر، فحرّم اللّه علی ذرّیة آدم کلّ مسکر، لأنّ الماء جری ببول عدوّ اللّه فی النخل و العنب، فصار کلّ مختمر خمرا، لأنّ الماء اختمر فی النخلة و الکرمة من رائحة بول عدوّ اللّه تعالی</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من الخمر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حرّمت علیک من عصیرة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الغالی من العصیر، و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ثلثاه، کما یظهر من ملاحظة الأخبار الواردة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الکلینی رحمه اللّه من العنوان هو هذا، کما لا یخفی، موافقا لما ذکره الصدوق رحمه اللّه فی باب حدّ شرب الخمر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الخمر من الکرم إذا أصابته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النار، أو غلا من غیر أن تصیبه النار فیصیر أعلاه أسفله </w:t>
      </w:r>
      <w:r>
        <w:rPr>
          <w:rStyle w:val="FootnoteAnchor"/>
          <w:rtl w:val="true"/>
        </w:rPr>
        <w:footnoteReference w:id="275"/>
      </w:r>
      <w:r>
        <w:rPr>
          <w:rFonts w:ascii="IRNazanin" w:hAnsi="IRNazanin" w:eastAsia="IRNazanin"/>
          <w:color w:val="111111"/>
          <w:sz w:val="28"/>
          <w:sz w:val="28"/>
          <w:szCs w:val="28"/>
          <w:rtl w:val="true"/>
          <w:lang w:bidi="fa-IR"/>
        </w:rPr>
        <w:t>فهو خمر، فلا یحلّ شربه إلّا أن یذهب ثلثاه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خمسة أسامی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الکلینی رحمه اللّه أیضا ذکر مقدّما علی هذا الباب باب ما یتّخذ منه الخمر و روی مضمون ما ذکره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لا خفاء فی أنّ مراده من الخمر فی المقام هو العصیر الغالی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ذلک بحسب الحقیقة عندهم أو بعنوان المجاز سیجی‌ء الکلام فیه، و فی العلاقة إذا کان مرادهم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الکثیرة شاهدة لهم، مضافا إلی الأخبار الواردة فی هذا الباب، و سنشیر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علی ذلک، ما یظهر من هذا الخبر، حیث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آدم علیه السّلام بال فی أصل النخل و الکرم، و من ثمَّ لم یختمر </w:t>
      </w:r>
      <w:r>
        <w:rPr>
          <w:rStyle w:val="FootnoteAnchor"/>
          <w:rtl w:val="true"/>
        </w:rPr>
        <w:footnoteReference w:id="278"/>
      </w:r>
      <w:r>
        <w:rPr>
          <w:rFonts w:ascii="IRNazanin" w:hAnsi="IRNazanin" w:eastAsia="IRNazanin"/>
          <w:color w:val="111111"/>
          <w:sz w:val="28"/>
          <w:sz w:val="28"/>
          <w:szCs w:val="28"/>
          <w:rtl w:val="true"/>
          <w:lang w:bidi="fa-IR"/>
        </w:rPr>
        <w:t>العنب و الکرم فحرّم اللّه کلّ مسکر، لأنّ الماء جری ببوله و أنّ الماء اختمر فی النخلة و الکرم من رائحة 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فی غایة الوضوح فی أنّ قبل البول ما کان مسکرا، و السکر حدث فیهما بعد وفاة آدم علیه السّلام بسبب بوله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فتعیّن أن یکون التحریم فی حیاة آدم علیه السّلام من جهة مصّ إبلیس، هو حکایة الغلیان قبل الذهاب، موافقا لما صرّح به فی أخبار ذلک الباب، فیظهر من أخبار أخر سنشیر إلیها، و کذا موافقا لما نصّ علیه الصدوق رحمه اللّه، و أنّه هو الظاهر</w:t>
      </w:r>
      <w:bookmarkStart w:id="106" w:name="pg2526_25435"/>
    </w:p>
    <w:p>
      <w:pPr>
        <w:pStyle w:val="BookText"/>
        <w:rPr/>
      </w:pPr>
      <w:bookmarkEnd w:id="1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من الکلینی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ما ذکرنا فی هذا الخبر، من أنّ إبلیس ما أکل من العنب و التمر بل مصّ منهما شیئا، و أنّه لو أکل لحرم الکلّ، و التحریم ما تعلّق بأصل العصیر بل بما خالطه نفس إبلیس و نصیب الشیطان</w:t>
      </w:r>
      <w:r>
        <w:rPr>
          <w:rFonts w:eastAsia="IRNazanin" w:cs="IRNazanin"/>
          <w:color w:val="111111"/>
          <w:sz w:val="28"/>
          <w:szCs w:val="28"/>
          <w:rtl w:val="true"/>
          <w:lang w:bidi="fa-IR"/>
        </w:rPr>
        <w:t>.</w:t>
      </w:r>
    </w:p>
    <w:p>
      <w:pPr>
        <w:pStyle w:val="Heading4"/>
        <w:numPr>
          <w:ilvl w:val="3"/>
          <w:numId w:val="1"/>
        </w:numPr>
        <w:rPr/>
      </w:pPr>
      <w:bookmarkStart w:id="107" w:name="__RefHeading___Toc4327930_3804643083"/>
      <w:bookmarkStart w:id="108" w:name="_Toc40"/>
      <w:bookmarkEnd w:id="107"/>
      <w:r>
        <w:rPr>
          <w:rtl w:val="true"/>
        </w:rPr>
        <w:t>السادس</w:t>
      </w:r>
      <w:r>
        <w:rPr>
          <w:rtl w:val="true"/>
        </w:rPr>
        <w:t>: [</w:t>
      </w:r>
      <w:r>
        <w:rPr>
          <w:rtl w:val="true"/>
        </w:rPr>
        <w:t>ظاهر</w:t>
      </w:r>
      <w:r>
        <w:rPr>
          <w:rtl w:val="true"/>
        </w:rPr>
        <w:t xml:space="preserve">] </w:t>
      </w:r>
      <w:r>
        <w:rPr>
          <w:rtl w:val="true"/>
        </w:rPr>
        <w:t>الأخبار الکثیرة الواردة فی أنّ العصیر إذا غلا حرم</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 الوارد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عصیر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أیّ عصیر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العصیر فی اللغة مختصّ بالعنبی، و لهذا یقیّدون لفظ العصیر بلفظ العنب إذا أرادوا العصیر العنبی، إذ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عصیر العنب و یضیفونه إلیه بمثل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أنّ السلاف هو ما یسأل من عصیر العنب قبل العصر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هو فی کلامهم، فتتبّع تجد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الأحادیث أیضا کثیرا ما ورد تقیید العصیر بالعنب و إضافته إلیه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أیضا، لغة العرب و الفرس غالبا مترادفة و المعنی واحد،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الفارسیّة له معنی وصفی، و هو المعصر من أیّ شی‌ء یکون، و بأیّ نحو یکون، کما أنّ العصیر أیضا له معنی وصفی، و هو المعصور من أیّ شی‌ء یکون و بأیّ نحو، و لهما معنی اسمی أیضا، و المعنی الاسمی 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القدر المشترک بین العصیر العنبی و العصیر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العصیر الزبیبی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القشمش، و هو داخل فی الزبیبی، فلعلّ المعنی الاسمی للعصیر أیضا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کذلک، بحکم الاستقراء، و لما عرفت من تقیید الأخبار و کلام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بالعنب إذا أرید العنبی، إذ لو کان مختصّا بالعنبی لما کان 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 حقیقة فی القدر المشترک بین الثلاثة، لتعارف إطلاقه علی الزبیبی و التمری، کتعارف إطلاقه علی العنبی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أیضا، عدم معهودیّة الإطلاق علی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أنّه لو کان مختصّا بالعنبی، لما کان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الأخبار مناسبة، بل کان المناسب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إذا غلا حرم حتّی یذهب ثلثاه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اعتذر عن ذلک بعض الفضلاء من أنّ المراد سواء أسکر کثیره أم لا، و سواء أخذ من کافر أو مسلم، لما دون الثلث أم لا، عارف أم لا </w:t>
      </w:r>
      <w:r>
        <w:rPr>
          <w:rStyle w:val="FootnoteAnchor"/>
          <w:rtl w:val="true"/>
        </w:rPr>
        <w:footnoteReference w:id="281"/>
      </w:r>
      <w:r>
        <w:rPr>
          <w:rFonts w:ascii="IRNazanin" w:hAnsi="IRNazanin" w:eastAsia="IRNazanin"/>
          <w:color w:val="111111"/>
          <w:sz w:val="28"/>
          <w:sz w:val="28"/>
          <w:szCs w:val="28"/>
          <w:rtl w:val="true"/>
          <w:lang w:bidi="fa-IR"/>
        </w:rPr>
        <w:t>، 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یؤیّده أیضا، ما مرّ فی صدر الرسالة من أنّ ما قال بعض الفضلاء من أنّ العصیر عند الفقهاء مختصّ بالعنبی غلط، و وجه کونه غلطا و غیر ذلک ممّا ذکرناه هناک،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ما مرّ من الأخبار و المؤیّدات، و ما سیجی‌ء منهما، فإنّ کلّ واحد واحد شاهد، و مؤیّد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لو قیل بأنّ المعنی الاسمی غیر ثابت، تکون دلالة هذه الأخبار علی المطلوب فی غایة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الاعتراض حینئذ بأنّه یلزم التخصیص الّذی لا یرضی به المحقّقون، مشترک الورود، بل وروده علی القائل بالاختصاص بالعنبی أشدّ و أشدّ</w:t>
      </w:r>
      <w:r>
        <w:rPr>
          <w:rFonts w:eastAsia="IRNazanin" w:cs="IRNazanin"/>
          <w:color w:val="111111"/>
          <w:sz w:val="28"/>
          <w:szCs w:val="28"/>
          <w:rtl w:val="true"/>
          <w:lang w:bidi="fa-IR"/>
        </w:rPr>
        <w:t>.</w:t>
      </w:r>
      <w:bookmarkStart w:id="109" w:name="pg2526_25437"/>
    </w:p>
    <w:p>
      <w:pPr>
        <w:pStyle w:val="BookText"/>
        <w:rPr/>
      </w:pPr>
      <w:bookmarkEnd w:id="1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 توهّم بعض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استدلّ بالأخبار الواردة فی أنّ الخمر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من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العصیر مخصوص بالعنبی </w:t>
      </w:r>
      <w:r>
        <w:rPr>
          <w:rStyle w:val="FootnoteAnchor"/>
          <w:rtl w:val="true"/>
        </w:rPr>
        <w:footnoteReference w:id="282"/>
      </w:r>
      <w:r>
        <w:rPr>
          <w:rFonts w:ascii="Amiri" w:hAnsi="Amiri" w:eastAsia="Amiri" w:cs="Amiri"/>
          <w:color w:val="111111"/>
          <w:sz w:val="28"/>
          <w:sz w:val="28"/>
          <w:szCs w:val="28"/>
          <w:rtl w:val="true"/>
          <w:lang w:bidi="ar-SA"/>
        </w:rPr>
        <w:t xml:space="preserve">، لا شبهة </w:t>
      </w:r>
      <w:r>
        <w:rPr>
          <w:rStyle w:val="FootnoteAnchor"/>
          <w:rtl w:val="true"/>
        </w:rPr>
        <w:footnoteReference w:id="283"/>
      </w:r>
      <w:r>
        <w:rPr>
          <w:rFonts w:ascii="IRNazanin" w:hAnsi="IRNazanin" w:eastAsia="IRNazanin"/>
          <w:color w:val="111111"/>
          <w:sz w:val="28"/>
          <w:sz w:val="28"/>
          <w:szCs w:val="28"/>
          <w:rtl w:val="true"/>
          <w:lang w:bidi="fa-IR"/>
        </w:rPr>
        <w:t>فی کونه غفلة، لأنّ العصیر فی هذه الأخبار مرادف للخمر، فإنّ للخمر أسامی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کما أنّ النبیذ و النقیع و البتع و المزر أسامی للمسکرات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المشهور أنّ الخمر مختصّ بالعنب و ما یؤخذ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المسکرات من التمر و غیره إنّما هی مسکرات أخر فی مقابلة الخمر، و لذا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و المسکر حرام، و فیهما الحدّ، و ینزح البئر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المشهور یقولون بعدم اختصاص الخمر بالعنب،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یستدلّون بهذه الأخبار و بقول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و الحقّ مع المشهور</w:t>
      </w:r>
      <w:r>
        <w:rPr>
          <w:rFonts w:eastAsia="IRNazanin" w:cs="IRNazanin"/>
          <w:color w:val="111111"/>
          <w:sz w:val="28"/>
          <w:szCs w:val="28"/>
          <w:rtl w:val="true"/>
          <w:lang w:bidi="fa-IR"/>
        </w:rPr>
        <w:t>.</w:t>
      </w:r>
    </w:p>
    <w:p>
      <w:pPr>
        <w:pStyle w:val="Heading4"/>
        <w:numPr>
          <w:ilvl w:val="3"/>
          <w:numId w:val="1"/>
        </w:numPr>
        <w:rPr/>
      </w:pPr>
      <w:bookmarkStart w:id="110" w:name="__RefHeading___Toc4327932_3804643083"/>
      <w:bookmarkStart w:id="111" w:name="_Toc41"/>
      <w:bookmarkEnd w:id="110"/>
      <w:r>
        <w:rPr>
          <w:rtl w:val="true"/>
        </w:rPr>
        <w:t>السابع</w:t>
      </w:r>
      <w:r>
        <w:rPr>
          <w:rtl w:val="true"/>
        </w:rPr>
        <w:t xml:space="preserve">: </w:t>
      </w:r>
      <w:r>
        <w:rPr>
          <w:rtl w:val="true"/>
        </w:rPr>
        <w:t>لأنّ هذا الاستدلال وجه</w:t>
      </w:r>
      <w:bookmarkEnd w:id="111"/>
    </w:p>
    <w:p>
      <w:pPr>
        <w:pStyle w:val="BookText"/>
        <w:rPr/>
      </w:pPr>
      <w:r>
        <w:rPr>
          <w:rFonts w:ascii="IRNazanin" w:hAnsi="IRNazanin" w:eastAsia="IRNazanin"/>
          <w:color w:val="111111"/>
          <w:sz w:val="28"/>
          <w:sz w:val="28"/>
          <w:szCs w:val="28"/>
          <w:rtl w:val="true"/>
          <w:lang w:bidi="fa-IR"/>
        </w:rPr>
        <w:t xml:space="preserve">، أو کذا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کما لا یخفی علی المطّلع المتأمّل فیه، و أخبارنا فی غایة الظهور فی أنّ الخمر مختصّة بالعنب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یمکن الاستدلال بالأخبار الدالّة علی حرمة النبیذ بنحو من التقریب الّذی سیجی‌ء تمام الکلام فیه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الأخبار الکثیرة أنّ أوّل درجة السکر النشیش و الغلیان،</w:t>
      </w:r>
      <w:bookmarkStart w:id="112" w:name="pg2526_25438"/>
    </w:p>
    <w:p>
      <w:pPr>
        <w:pStyle w:val="BookText"/>
        <w:rPr/>
      </w:pPr>
      <w:bookmarkEnd w:id="1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 أنّه بهما یدخل العصیرات الثلاث فی حدّه حقیقة، بحسب اصطلاح الشرع، أو مجازا، و العلاقة الحرمة لا أقلّ، و ستعرف التفصیل و الظهور، و أنّ ذلک هو الظاهر من القدماء، فانتظر</w:t>
      </w:r>
      <w:r>
        <w:rPr>
          <w:rFonts w:eastAsia="IRNazanin" w:cs="IRNazanin"/>
          <w:color w:val="111111"/>
          <w:sz w:val="28"/>
          <w:szCs w:val="28"/>
          <w:rtl w:val="true"/>
          <w:lang w:bidi="fa-IR"/>
        </w:rPr>
        <w:t>.</w:t>
      </w:r>
    </w:p>
    <w:p>
      <w:pPr>
        <w:pStyle w:val="Heading3"/>
        <w:numPr>
          <w:ilvl w:val="2"/>
          <w:numId w:val="1"/>
        </w:numPr>
        <w:rPr/>
      </w:pPr>
      <w:bookmarkStart w:id="113" w:name="__RefHeading___Toc4327934_3804643083"/>
      <w:bookmarkStart w:id="114" w:name="_Toc42"/>
      <w:bookmarkEnd w:id="113"/>
      <w:r>
        <w:rPr>
          <w:rtl w:val="true"/>
        </w:rPr>
        <w:t>استدلّ المحلّلون بالأصل و العمومات</w:t>
      </w:r>
      <w:r>
        <w:rPr>
          <w:rtl w:val="true"/>
        </w:rPr>
        <w:t>.</w:t>
      </w:r>
      <w:bookmarkEnd w:id="114"/>
    </w:p>
    <w:p>
      <w:pPr>
        <w:pStyle w:val="BookText"/>
        <w:rPr/>
      </w:pPr>
      <w:r>
        <w:rPr>
          <w:rFonts w:ascii="IRNazanin" w:hAnsi="IRNazanin" w:eastAsia="IRNazanin"/>
          <w:color w:val="111111"/>
          <w:sz w:val="28"/>
          <w:sz w:val="28"/>
          <w:szCs w:val="28"/>
          <w:rtl w:val="true"/>
          <w:lang w:bidi="fa-IR"/>
        </w:rPr>
        <w:t>و الجواب یظهر ممّا تقدّم، إذ الأصل لا یعارض الدلیل، و العامّ لا یقاوم الخاصّ، لأنّه مقدّم البتّة و إن کان العام من القرآن، لأنّ المحلّلون بأجمعهم یقولون بتخصیص الکتاب بخبر الواحد، کما هو المشهور، و هو الحقّ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أنّه لا عموم فی القرآن، إلّا مثل قوله تعالی خَلَقَ لَکُمْ مٰا فِی الْأَرْضِ </w:t>
      </w:r>
      <w:r>
        <w:rPr>
          <w:rStyle w:val="FootnoteAnchor"/>
          <w:rtl w:val="true"/>
        </w:rPr>
        <w:footnoteReference w:id="286"/>
      </w:r>
      <w:r>
        <w:rPr>
          <w:rFonts w:ascii="IRNazanin" w:hAnsi="IRNazanin" w:eastAsia="IRNazanin"/>
          <w:color w:val="111111"/>
          <w:sz w:val="28"/>
          <w:sz w:val="28"/>
          <w:szCs w:val="28"/>
          <w:rtl w:val="true"/>
          <w:lang w:bidi="fa-IR"/>
        </w:rPr>
        <w:t xml:space="preserve">، و هو دلیل من أدلّة الأصل المذکور، و لیس أمرا برأسه، فحاله حال الأصل، إذ لیس فیه قوّة بها یعارض الدلیل، لأنّ مقتضاه لیس سوی أنّه خلق لنا ما فی الأرض فلو شئنا أن ننتفع منه انتفعنا بغیر منع من اللّه تعالی، و لا شکّ فی أنّه کثیرا منه یضرّنا و کثیرا منه لا ندری یضرّ أم ینفع، أم لا یضرّ و لا ینفع، و کثیرا منه نظنّ أنّه ینفع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من الشرع أو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بالعکس، فإذا ورد من الشرع المنع یکون معناه أنّه یضرّ و لو لم یکن فیه ضرر لم یمنعنا عنه البتّة، فلا یکون بین هذا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قوله تعالی خَلَقَ لَکُمْ تدافع، و لو کان یری تدافع فلیس بحسب الحقیقة، و عند العقلاء أو بحسب العرف، کما لا یخفی علی المتأمّل فیما ذکرنا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علی فرض التدافع فلیس قوّة فی دلالة الآیة بحیث تقاوم الخبر حتّی یحتاج إلی قواعد التخصیص و التعمیم، إذ لا شکّ فی أنّ کلّ حرام فیه نفع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الجملة حتّی أنّ حفظه </w:t>
      </w:r>
      <w:r>
        <w:rPr>
          <w:rStyle w:val="FootnoteAnchor"/>
          <w:rtl w:val="true"/>
        </w:rPr>
        <w:footnoteReference w:id="287"/>
      </w:r>
      <w:r>
        <w:rPr>
          <w:rFonts w:ascii="IRNazanin" w:hAnsi="IRNazanin" w:eastAsia="IRNazanin"/>
          <w:color w:val="111111"/>
          <w:sz w:val="28"/>
          <w:sz w:val="28"/>
          <w:szCs w:val="28"/>
          <w:rtl w:val="true"/>
          <w:lang w:bidi="fa-IR"/>
        </w:rPr>
        <w:t>لتحصیل سعادة الدارین أیضا نفع، و لا شکّ فی أنّه تعالی لم یجعل المسکر مسکرا إلّا لهذا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الحمل علی کمال الانتفاع و إن کان أنسب فی مقام الامتنان، إلّا أنّه یوجب تخصیص العالم الّذی هو خلاف الأصل، إذ الأصل هو الحمل </w:t>
      </w:r>
      <w:r>
        <w:rPr>
          <w:rStyle w:val="FootnoteAnchor"/>
          <w:rtl w:val="true"/>
        </w:rPr>
        <w:footnoteReference w:id="288"/>
      </w:r>
      <w:r>
        <w:rPr>
          <w:rFonts w:ascii="IRNazanin" w:hAnsi="IRNazanin" w:eastAsia="IRNazanin"/>
          <w:color w:val="111111"/>
          <w:sz w:val="28"/>
          <w:sz w:val="28"/>
          <w:szCs w:val="28"/>
          <w:rtl w:val="true"/>
          <w:lang w:bidi="fa-IR"/>
        </w:rPr>
        <w:t>علی المعنی الحقیقی، و سیّما هذا القدر من التخصیص،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معنی خَلَقَ و المتبادر منه هو الّذی خلقه اللّه تعالی بنفسه، و من حیث أنّه خلقه، لا ما صنعه المخلوق فیما خلقه اللّه بأنّه جعله غالیا و مسکرا، و یکون التأمّل فیما صنعه المخلوق، و بالنسبة إلی صنعه و من حیث صنعه، لا من حیث أنّه خلق اللّه،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ظهر أنّه لا یحسن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یؤیّد أنّه خَلَقَ لَکُمْ، مضافا إلی أنّ تأییده و ترجیحه إنّما هو بالنسبة إلی ما وقع فیه التعادل و التوقّف، فیترجّح ما هو موافق للأصل، و الأمر فی العام و الخاص لیس کذلک، لأنّ الخاص مقدّم بلا تأمّل 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الشهرة تؤیّد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 صدر هذه الرسالة حال ما ادّعی بعض من الشهرة، و أنّه لم یثبت هذه الدعوی بلا شبهة، و علی تقدیر تسلیم الثبوت لا نفع فیها أصلا، بل هی داخلة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مشهور لا أصل 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ما عرفت من مؤیّدات الخبر الدالّ علی الحرمة، و أنّها متعدّدة و کلّ نوع معها له أشخاص متعدّدة، بل ستعرف أنّ الأخبار الخاصّة الّتی استدلّ</w:t>
      </w:r>
      <w:bookmarkStart w:id="115" w:name="pg2526_25440"/>
    </w:p>
    <w:p>
      <w:pPr>
        <w:pStyle w:val="BookText"/>
        <w:rPr/>
      </w:pPr>
      <w:bookmarkEnd w:id="1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بها المحلّل 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کاد أن یکون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مؤیّدات القول بالحرمة و یضرّ القول بالحلّیة، لا أنّه ینفعه، فضلا عن أن یصیر دلیلا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الحرمة، أنّها مخالفة لرأی جمیع العامّة، کما أنّ الحلّیة موافقة لرأی کلّ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المؤیّدات</w:t>
      </w:r>
      <w:r>
        <w:rPr>
          <w:rFonts w:eastAsia="IRNazanin" w:cs="IRNazanin"/>
          <w:color w:val="111111"/>
          <w:sz w:val="28"/>
          <w:szCs w:val="28"/>
          <w:rtl w:val="true"/>
          <w:lang w:bidi="fa-IR"/>
        </w:rPr>
        <w:t>.</w:t>
      </w:r>
    </w:p>
    <w:p>
      <w:pPr>
        <w:pStyle w:val="Heading3"/>
        <w:numPr>
          <w:ilvl w:val="2"/>
          <w:numId w:val="1"/>
        </w:numPr>
        <w:rPr/>
      </w:pPr>
      <w:bookmarkStart w:id="116" w:name="__RefHeading___Toc4327936_3804643083"/>
      <w:bookmarkStart w:id="117" w:name="_Toc43"/>
      <w:bookmarkEnd w:id="116"/>
      <w:r>
        <w:rPr>
          <w:rtl w:val="true"/>
        </w:rPr>
        <w:t>[</w:t>
      </w:r>
      <w:r>
        <w:rPr>
          <w:rtl w:val="true"/>
        </w:rPr>
        <w:t>کلام صاحب الحدائق و نقده</w:t>
      </w:r>
      <w:r>
        <w:rPr>
          <w:rtl w:val="true"/>
        </w:rPr>
        <w:t>]</w:t>
      </w:r>
      <w:bookmarkEnd w:id="117"/>
    </w:p>
    <w:p>
      <w:pPr>
        <w:pStyle w:val="BookText"/>
        <w:rPr/>
      </w:pPr>
      <w:r>
        <w:rPr>
          <w:rFonts w:ascii="IRNazanin" w:hAnsi="IRNazanin" w:eastAsia="IRNazanin"/>
          <w:color w:val="111111"/>
          <w:sz w:val="28"/>
          <w:sz w:val="28"/>
          <w:szCs w:val="28"/>
          <w:rtl w:val="true"/>
          <w:lang w:bidi="fa-IR"/>
        </w:rPr>
        <w:t>و تصدّی بعض الفضلاء للإثبات بخصوصیات الأخبار،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الأخبار أنّ النبیذ هو ماء التمر سواء غلا أم لا، و ربّما یطلق علی ماء الزبیب، و أنّه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هو ما لم یصل إلی حدّ السکر، و حرام و هو ما وصل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أتی بروایة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 </w:t>
      </w:r>
      <w:r>
        <w:rPr>
          <w:rStyle w:val="FootnoteAnchor"/>
          <w:rtl w:val="true"/>
        </w:rPr>
        <w:footnoteReference w:id="289"/>
      </w:r>
      <w:r>
        <w:rPr>
          <w:rFonts w:ascii="IRNazanin" w:hAnsi="IRNazanin" w:eastAsia="IRNazanin"/>
          <w:color w:val="111111"/>
          <w:sz w:val="28"/>
          <w:sz w:val="28"/>
          <w:szCs w:val="28"/>
          <w:rtl w:val="true"/>
          <w:lang w:bidi="fa-IR"/>
        </w:rPr>
        <w:t xml:space="preserve">، و روایة إبراهیم بن أبی البلاد </w:t>
      </w:r>
      <w:r>
        <w:rPr>
          <w:rStyle w:val="FootnoteAnchor"/>
          <w:rtl w:val="true"/>
        </w:rPr>
        <w:footnoteReference w:id="290"/>
      </w:r>
      <w:r>
        <w:rPr>
          <w:rFonts w:ascii="IRNazanin" w:hAnsi="IRNazanin" w:eastAsia="IRNazanin"/>
          <w:color w:val="111111"/>
          <w:sz w:val="28"/>
          <w:sz w:val="28"/>
          <w:szCs w:val="28"/>
          <w:rtl w:val="true"/>
          <w:lang w:bidi="fa-IR"/>
        </w:rPr>
        <w:t xml:space="preserve">، و روایة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w:t>
      </w:r>
      <w:r>
        <w:rPr>
          <w:rStyle w:val="FootnoteAnchor"/>
          <w:rtl w:val="true"/>
        </w:rPr>
        <w:footnoteReference w:id="291"/>
      </w:r>
      <w:r>
        <w:rPr>
          <w:rFonts w:ascii="IRNazanin" w:hAnsi="IRNazanin" w:eastAsia="IRNazanin"/>
          <w:color w:val="111111"/>
          <w:sz w:val="28"/>
          <w:sz w:val="28"/>
          <w:szCs w:val="28"/>
          <w:rtl w:val="true"/>
          <w:lang w:bidi="fa-IR"/>
        </w:rPr>
        <w:t xml:space="preserve">، و روایة الکلبی النسّابة </w:t>
      </w:r>
      <w:r>
        <w:rPr>
          <w:rStyle w:val="FootnoteAnchor"/>
          <w:rtl w:val="true"/>
        </w:rPr>
        <w:footnoteReference w:id="292"/>
      </w:r>
      <w:r>
        <w:rPr>
          <w:rFonts w:ascii="IRNazanin" w:hAnsi="IRNazanin" w:eastAsia="IRNazanin"/>
          <w:color w:val="111111"/>
          <w:sz w:val="28"/>
          <w:sz w:val="28"/>
          <w:szCs w:val="28"/>
          <w:rtl w:val="true"/>
          <w:lang w:bidi="fa-IR"/>
        </w:rPr>
        <w:t xml:space="preserve">، و روایة حنّان بن سدیر </w:t>
      </w:r>
      <w:r>
        <w:rPr>
          <w:rStyle w:val="FootnoteAnchor"/>
          <w:rtl w:val="true"/>
        </w:rPr>
        <w:footnoteReference w:id="293"/>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الأخبار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للنبیذ معنی وصفی،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المطروح و الملقی، و معنی اسمی، و الوصفی معروف</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الاسمی، فإنّما هو علی حسب ما وقع علیه الاصطلاح، و معرفة الاصطلاح لیست بالتخمین و لا بمجرّد استعمال اللفظ، سیّما مع عدم شیوع الاستعمال، بل لا بدّ من المعرّفات المقرّرة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فعلی هذا، لا نسلّم کون المصطلح علیه هو ما ذکرت، علی أنّ الظاهر من الأخبار أنّه هو المسکر المعهود، و لذا فی غالب الأخبار یحکم الشارع بالحرمة و النجاسة، و وجوب الحدّ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المسکر بمجرّد السؤال عن النبیذ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الّتی تحکم بالحلّیة بمجرّد السؤال عنه، فربّما کان الراوی یتعجّب فی الجواب من حیث اشتهار حرمة النبیذ عند أهل البیت علیهم السّلام، و عند الشیعة،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الکلینی رحمه اللّه </w:t>
      </w:r>
      <w:r>
        <w:rPr>
          <w:rStyle w:val="FootnoteAnchor"/>
          <w:rtl w:val="true"/>
        </w:rPr>
        <w:footnoteReference w:id="295"/>
      </w:r>
      <w:r>
        <w:rPr>
          <w:rFonts w:ascii="IRNazanin" w:hAnsi="IRNazanin" w:eastAsia="IRNazanin"/>
          <w:color w:val="111111"/>
          <w:sz w:val="28"/>
          <w:sz w:val="28"/>
          <w:szCs w:val="28"/>
          <w:rtl w:val="true"/>
          <w:lang w:bidi="fa-IR"/>
        </w:rPr>
        <w:t>،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یظهر من الروایات المحلّلة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النبیذ فی ذلک الزمان مصطلحا و معهودا فی المسکر و الحرام، یظهر ذلک من حال رواتها، و یظهر ذلک من العرف و کلام الفقهاء فی فروع الفقه و أصوله، بل یظهر من اللغة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 لک النبیذ </w:t>
      </w:r>
      <w:r>
        <w:rPr>
          <w:rStyle w:val="FootnoteAnchor"/>
          <w:rtl w:val="true"/>
        </w:rPr>
        <w:footnoteReference w:id="296"/>
      </w:r>
      <w:r>
        <w:rPr>
          <w:rFonts w:ascii="IRNazanin" w:hAnsi="IRNazanin" w:eastAsia="IRNazanin"/>
          <w:color w:val="111111"/>
          <w:sz w:val="28"/>
          <w:sz w:val="28"/>
          <w:szCs w:val="28"/>
          <w:rtl w:val="true"/>
          <w:lang w:bidi="fa-IR"/>
        </w:rPr>
        <w:t>، أو قال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 لی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معلوم أنّ مجرّد ماء التمر لا یحتاج إلی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من الأخبار استعمال لفظ النبیذ فی معنی اسمی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کونه مجرّد ماء التمر، فلا، بل الظاهر أنّه مأخوذ فی النبیذ خصوصیّة صفة و کیفیّة، حتّی أنّهم کانوا یلاحظون مقدار التمر بالنسبة إلی الماء بعد مقدار المکث الّذی تظافرت الأخبار فیه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کانوا یلاحظون أحوال الظروف و ضروراتها، و عدد عمل النبیذ فیها و غسلها و عدمه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 فی بعض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تریدون النبیذ فهو هذا </w:t>
      </w:r>
      <w:r>
        <w:rPr>
          <w:rStyle w:val="FootnoteAnchor"/>
          <w:rtl w:val="true"/>
        </w:rPr>
        <w:footnoteReference w:id="299"/>
      </w:r>
      <w:r>
        <w:rPr>
          <w:rFonts w:ascii="IRNazanin" w:hAnsi="IRNazanin" w:eastAsia="IRNazanin"/>
          <w:color w:val="111111"/>
          <w:sz w:val="28"/>
          <w:sz w:val="28"/>
          <w:szCs w:val="28"/>
          <w:rtl w:val="true"/>
          <w:lang w:bidi="fa-IR"/>
        </w:rPr>
        <w:t>، الظاهر فی حصر الحلال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یظهر منها، و سنشیر إلی بعض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کان کما ذکر لفهمه الراوی کما فهمه المستدلّ، بل بطریق أولی، و لو کان فهمه لما سأل المعصوم علیه السّلام عن بیان النبیذ الّذی حلّله بعد ما یسمع منه النبیذ حلال و المسکر هو الحرام، و مع ذلک ما أجاب بأنّ ماء التمر أو الزبیب کلّه حلال إلّا أن یسکر، بل بیّن له النبیذ الحلال و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 و فی روایة أبی البلاد، بعد ما سأله علیه السّلام عن النبیذ و أجاب بأنّه حلال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انبذوه غدوة و اشربه بالعشیّ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یفسد بطوننا، فأجابه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 لبطنک أن تشرب ما لا یحلّ لک</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مبتلی بالنبیذ معجبا به، فقلت للصادق علیه السّلام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أصف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مسکر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نبیذ السقایة بفناء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العبّاس </w:t>
      </w:r>
      <w:r>
        <w:rPr>
          <w:rStyle w:val="FootnoteAnchor"/>
          <w:rtl w:val="true"/>
        </w:rPr>
        <w:footnoteReference w:id="303"/>
      </w:r>
      <w:r>
        <w:rPr>
          <w:rFonts w:ascii="IRNazanin" w:hAnsi="IRNazanin" w:eastAsia="IRNazanin"/>
          <w:color w:val="111111"/>
          <w:sz w:val="28"/>
          <w:sz w:val="28"/>
          <w:szCs w:val="28"/>
          <w:rtl w:val="true"/>
          <w:lang w:bidi="fa-IR"/>
        </w:rPr>
        <w:t xml:space="preserve">ینقع الزبیب غدوة و یشربونه بالعشیّ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هؤلاء تعدّوه فلا تشرب و لا تقربه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للصادق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بی أرواح </w:t>
      </w:r>
      <w:r>
        <w:rPr>
          <w:rStyle w:val="FootnoteAnchor"/>
          <w:rtl w:val="true"/>
        </w:rPr>
        <w:footnoteReference w:id="306"/>
      </w:r>
      <w:r>
        <w:rPr>
          <w:rFonts w:ascii="IRNazanin" w:hAnsi="IRNazanin" w:eastAsia="IRNazanin"/>
          <w:color w:val="111111"/>
          <w:sz w:val="28"/>
          <w:sz w:val="28"/>
          <w:szCs w:val="28"/>
          <w:rtl w:val="true"/>
          <w:lang w:bidi="fa-IR"/>
        </w:rPr>
        <w:t xml:space="preserve">البواسیر و لیس یوافقنی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لما حرّم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بهذا المریس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تمرسه بالعشیّ و تشربه بالغداة،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تمرسه بالغداة و تشربه بالعشیّ،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ینفخ البطن</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فأمره بالدعاء و لم یرخّص له أزید من هذا المکث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العامّة رووا أیضا مضمون هذه الروایات فی صحاحهم عن الرسول صلّی اللّه علیه و آله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قال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النبیذ الّذی یتوضّأ به و أحلّ شربه هو الّذی ینبذ بالغداة و یشرب بالعشیّ أو ینبذ بالعشیّ و یشرب بالغداة</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الأخبار تضرّ المحلّلین بوجوه ثلاثة ذکرت فی صدر الرسالة، و خصوصا المستدلّ هنا، إذ یثبت بها معنی اسمیّا غیر معروف من الخارج لنا و للراوی أیضا، و یدّعی أنّه مجرّد ماء التمر و الزبیب غیر المسکرین، و لا یخلو من غرابة، إذ القدر الثابت منها أنّ النبیذ الحلال هو الّذی یظهر منها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لا حاجة لنا إلی ادّعاء کون المصطلح علیه هو المسکر المعهود، بل نمنع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الأخبار کون النبیذ اسما لمجرّد ماء التمر، بل الظاهر منها خلاف ذلک، إذ بعد ما سمع الراوی أنّ النبیذ حلال و أنّ الحرام هو المسکر فکیف یبقی له مجال للاشتباه؟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شربه هو ما 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کما فی روایة حنّان </w:t>
      </w:r>
      <w:r>
        <w:rPr>
          <w:rStyle w:val="FootnoteAnchor"/>
          <w:rtl w:val="true"/>
        </w:rPr>
        <w:footnoteReference w:id="310"/>
      </w:r>
      <w:r>
        <w:rPr>
          <w:rFonts w:ascii="IRNazanin" w:hAnsi="IRNazanin" w:eastAsia="IRNazanin"/>
          <w:color w:val="111111"/>
          <w:sz w:val="28"/>
          <w:sz w:val="28"/>
          <w:szCs w:val="28"/>
          <w:rtl w:val="true"/>
          <w:lang w:bidi="fa-IR"/>
        </w:rPr>
        <w:t xml:space="preserve">، أو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نبیذ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روایة الکلینی </w:t>
      </w:r>
      <w:r>
        <w:rPr>
          <w:rStyle w:val="FootnoteAnchor"/>
          <w:rtl w:val="true"/>
        </w:rPr>
        <w:footnoteReference w:id="311"/>
      </w:r>
      <w:r>
        <w:rPr>
          <w:rFonts w:ascii="IRNazanin" w:hAnsi="IRNazanin" w:eastAsia="IRNazanin"/>
          <w:color w:val="111111"/>
          <w:sz w:val="28"/>
          <w:sz w:val="28"/>
          <w:szCs w:val="28"/>
          <w:rtl w:val="true"/>
          <w:lang w:bidi="fa-IR"/>
        </w:rPr>
        <w:t>، أو غیر ذلک، و مع ذلک ما أجاب المعصوم علیه السّلام بأنّه ماء التمر، و لم یقل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تعرفه، فکیف سأل عنه، و مع ذلک أجاب بنوع خاصّ و قرّر الراوی علی حاله من عدم المعرفة و احتیاجه إلی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اعتراضات أخر کثیرة تظهر بملاحظة ما ذکرناه فی المقام من أوّله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عدم الظهور فی خلاف ما ادّعیت، لکن الظهور فیما ادّعیت من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ذکرنا فساد ما قاله فی مقام توضیح استدلاله أنّ الأخبار تضمّنت انقسام النبیذ إلی قسمین، و أنّ الحرام منهما ما کان مسکرا، و لو کان هناک قسم آخر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غلی و لم یذهب ثلثاه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لبیّنه، لأنّ المقام مقام الحاجة و تأخیر البیان غیر جائز إجماعا، و لا یجوز جعله من أفراد المسکر، لأنّه باطل بالضرورة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مبنیّ علی ما توهّمه من الترادف بین النبیذ و ماء التمر، و قد عرفت عدم الثبوت، بل و ثبوت العدم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کون المقام مقام الحاجة إلی معرفة أحکام النبیذ محلّ نظر، إذ لو کان کذلک لما حکموا بالحلّیة مطلقا عند السؤال، إذ لعلّ الراوی لم یکن یسأل بعد عن أمر، فکان المناسب أن یفصّل فی الجواب، فما ذکره لا ینفعه، بل یضرّه قطعا، لأنّهم فی بعض الأخبار حکموا بالحلّیة مطلقا، و فی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أکثر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حکموا بالحرمة مطلقا، و کلاهما علیه لا له، و فی بعض خصّصوا الحلّیة بخصوص ما ذکروه، بحیث یظهر أنّ غیره حرام، و هذا أیضا مبطل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فجمیع أخبار الباب حجّة علیه، سوی روایة وفد الیمن، و سیجی‌ء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مرّ فی صدر الرسالة إنّ المحلّلین یجوّزون دخول ما نحن فیه فی النبیذ الحرام البتّة، فإذا کان المحلّلون هکذا حالهم فما ظنّک بالمحرّمین؟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کان الأخبار کلّها حجّة علیه، کان کلّها حجّة لنا، سوی ما تضمّن الحلّیة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هذه الأخبار أیضا حقّیة ما نقول به، لأنّهم أظهروا فیها أنّ ما حکمنا بحلّیته هو کذا و کذا، و أنّکم إن کنتم تریدون النبیذ فهذا النبیذ، بحیث لا یبقی تأمّل فی أنّ الحلال هو قسم خاصّ لا نزاع فی حلّیته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النکتة فی حکمهم من أوّل الأمر </w:t>
      </w:r>
      <w:r>
        <w:rPr>
          <w:rStyle w:val="FootnoteAnchor"/>
          <w:rtl w:val="true"/>
        </w:rPr>
        <w:footnoteReference w:id="313"/>
      </w:r>
      <w:r>
        <w:rPr>
          <w:rFonts w:ascii="Amiri" w:hAnsi="Amiri" w:eastAsia="Amiri" w:cs="Amiri"/>
          <w:color w:val="111111"/>
          <w:sz w:val="28"/>
          <w:sz w:val="28"/>
          <w:szCs w:val="28"/>
          <w:rtl w:val="true"/>
          <w:lang w:bidi="ar-SA"/>
        </w:rPr>
        <w:t xml:space="preserve">بالحلّ مطلقا، هو أنّه لمّا ورد أنّ الرسول صلّی اللّه علیه و آله توضّأ بالنبیذ </w:t>
      </w:r>
      <w:r>
        <w:rPr>
          <w:rStyle w:val="FootnoteAnchor"/>
          <w:rtl w:val="true"/>
        </w:rPr>
        <w:footnoteReference w:id="314"/>
      </w:r>
      <w:r>
        <w:rPr>
          <w:rFonts w:ascii="IRNazanin" w:hAnsi="IRNazanin" w:eastAsia="IRNazanin"/>
          <w:color w:val="111111"/>
          <w:sz w:val="28"/>
          <w:sz w:val="28"/>
          <w:szCs w:val="28"/>
          <w:rtl w:val="true"/>
          <w:lang w:bidi="fa-IR"/>
        </w:rPr>
        <w:t xml:space="preserve">و شربه </w:t>
      </w:r>
      <w:r>
        <w:rPr>
          <w:rStyle w:val="FootnoteAnchor"/>
          <w:rtl w:val="true"/>
        </w:rPr>
        <w:footnoteReference w:id="315"/>
      </w:r>
      <w:r>
        <w:rPr>
          <w:rFonts w:ascii="IRNazanin" w:hAnsi="IRNazanin" w:eastAsia="IRNazanin"/>
          <w:color w:val="111111"/>
          <w:sz w:val="28"/>
          <w:sz w:val="28"/>
          <w:szCs w:val="28"/>
          <w:rtl w:val="true"/>
          <w:lang w:bidi="fa-IR"/>
        </w:rPr>
        <w:t xml:space="preserve">، و ظهر ذلک بحیث توهّم جمع من أهل السنّة حلّیة النبیذ المصطلح، بل و صرّح بعضهم بأنّه کان فی صدر الإسلام حراما ثمَّ نسخ </w:t>
      </w:r>
      <w:r>
        <w:rPr>
          <w:rStyle w:val="FootnoteAnchor"/>
          <w:rtl w:val="true"/>
        </w:rPr>
        <w:footnoteReference w:id="316"/>
      </w:r>
      <w:r>
        <w:rPr>
          <w:rFonts w:ascii="IRNazanin" w:hAnsi="IRNazanin" w:eastAsia="IRNazanin"/>
          <w:color w:val="111111"/>
          <w:sz w:val="28"/>
          <w:sz w:val="28"/>
          <w:szCs w:val="28"/>
          <w:rtl w:val="true"/>
          <w:lang w:bidi="fa-IR"/>
        </w:rPr>
        <w:t>، و مع ذلک اشتهر عن أهل البیت علیهم السّلام حرمة النبیذ، کان الرواة یبحثون و یسألونهم عن النبیذ،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اتّکالا علی ما اشتهر منهم من حرمة کلّ مسکر حتّی النبیذ، و أنّ الرواة فی مثل هذا بمجرّد هذا الجواب کانوا یقنعون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یفصحون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تنبیها علی أنّ النبیذ فی الحقیقة هو الّذی کان فی عهد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الرسول صلّی اللّه علیه و آله و سلّم، و أنّ الّذی حدث بعده تعدّ عمّا کان، و داخل فی المسکر الّذی قال الرسول صلّی اللّه علیه و آله و سلّم أنّ کلّه حرام، و أنّه لم ینسخ </w:t>
      </w:r>
      <w:r>
        <w:rPr>
          <w:rStyle w:val="FootnoteAnchor"/>
          <w:rtl w:val="true"/>
        </w:rPr>
        <w:footnoteReference w:id="318"/>
      </w:r>
      <w:r>
        <w:rPr>
          <w:rFonts w:ascii="IRNazanin" w:hAnsi="IRNazanin" w:eastAsia="IRNazanin"/>
          <w:color w:val="111111"/>
          <w:sz w:val="28"/>
          <w:sz w:val="28"/>
          <w:szCs w:val="28"/>
          <w:rtl w:val="true"/>
          <w:lang w:bidi="fa-IR"/>
        </w:rPr>
        <w:t xml:space="preserve">بل وقع الخلط من اشتباه الاصطلاح السابق باللاحق، نظیر حکایة مسح الرسول صلّی اللّه علیه و آله و سلّم علی الخفّین، حیث لم یطّلعوا علی أنّ موضع المسح کان مشقوقا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تری أنّ الکلبی لمّا سأل أوّلا عبد اللّه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خطّأه،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بإمام، و لمّا سأل بعد ذلک عن الصادق علیه السّلام عن حکمین أوّلا فأجابه بما هو طریقة أهل البیت علیهم السّلام صدّقه و عدّه أمارة الإمامة سأل بعد ذلک عن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فتحیّر، و أظهر أنّ الّذی عناه هو المسکر </w:t>
      </w:r>
      <w:r>
        <w:rPr>
          <w:rStyle w:val="FootnoteAnchor"/>
          <w:rtl w:val="true"/>
        </w:rPr>
        <w:footnoteReference w:id="32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نبیذ تعنی؟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المدینة شکوا إلی النبی صلّی اللّه علیه و آله و سلّم تغیّر الماء، فأمرهم أن ینبذوه فیلقون کفّا من تمر فی الشنّ، فمنه شربه و منه طهوره، و مع هذا الجواب ما قنع حتّی سأل عن عدد التمرات و مقدار الماء </w:t>
      </w:r>
      <w:r>
        <w:rPr>
          <w:rStyle w:val="FootnoteAnchor"/>
          <w:rtl w:val="true"/>
        </w:rPr>
        <w:footnoteReference w:id="321"/>
      </w:r>
      <w:r>
        <w:rPr>
          <w:rFonts w:ascii="IRNazanin" w:hAnsi="IRNazanin" w:eastAsia="IRNazanin"/>
          <w:color w:val="111111"/>
          <w:sz w:val="28"/>
          <w:sz w:val="28"/>
          <w:szCs w:val="28"/>
          <w:rtl w:val="true"/>
          <w:lang w:bidi="fa-IR"/>
        </w:rPr>
        <w:t>، و کذلک باقی الرواة ما قنعوا بالجواب بأنّه حلال حتّی فتّشوا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ینادی بأنّ النبیذ فی اصطلاح زمانهم ما کان حقیقة فی مطلق ماء التمر أو الزبیب، بل کان حقیقة فی الشی‌ء الّذی کان حراما البتّة، و أنّه یشمل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العصیر بأنّه لا بأس بشربه ستّة أیّام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العصیر لا دخل لها بالمقام، لأنّ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معنی النبیذ، و القیاس فی اللغة غیر جائز، حتّی عند المجوّزین للقیاس فی الشرع، لأنّه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قیاس فی مقابل النصّ، و مع ذلک قیاس مع الفارق، فإنّ الماء فی النبیذ خارج عن ماهیّة التمر، أجنبی بالنسبة إلیها، لم یتحقّق فیه نضح أصلا، فیکون أسرع إلی الإفساد و التغیّر، بخلاف ماء العنب، فإنّه قد تحقّق فیه نضح عند نضح الثمرة، و لذا لو ادخل الماء من الخارج لیفسد سریعا و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العصیر غالبا لا یتحقّق إلّا فی البلاد الباردة، و عند کمال نضج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فصل الخریف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هواؤهم فی ذلک شدید البرد و الیبس، و السؤال عن النبیذ إنّما وقع بالنسبة إلی البلاد الحارّة کالمدینة و الکوفة، و الأحادیث واردة فی الغالب مورد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القید و إن ذکر عند بیان المعنی، لکن الظاهر أنّه غیر مأخوذ فیه، لأنّ النبیذ هو الملقی، فلا دخل لشی‌ء آخر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أنّه لم یتحقّق وضع جدید للنبیذ، بل الاستعمال بملاحظة المعنی اللغوی بمعونة القرائن فلا بدّ من الحمل علی أقرب المجازات، ففیه أنّ القید أیضا قرینة، فلا وجه لعدم اعتباره، مع أنّ ما ذکر مناف لادّعائکم الوضع الجدید فی العصیر بملاحظة کلام الفقهاء و الأخبار، إذ النبیذ أولی بهذا الدعوی ثمَّ أولی، بل بعض أهل اللغة أظهر الوضع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خفاء فی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 الوضع الجدید لا بدّ أن یکون أقرب إلی المعنی فلا بدّ من طرح القید، ففیه ما فیه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 و إن کان لم یعرف النبیذ المباح و سمع القید فی مقام بیانه لکن علم أنّ مراد الإمام علیه السّلام بیان المباح بالمعنی الأخصّ لا الأعمّ الّذی یشمل المکروه، لأنّه یفهم أنّ عدم شرب الماء الماکث أزید من یوم من جهة احتمال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عروض السکر و صیرورته مسکرا، و بمجرّد احتمال کونه مسکرا لا یخرج عن الحلال و یدخل فی الحرام، لأنّه فهم أنّ الحرمة فی النبیذ لیست إلّا من جهة السکر، و الأصل براءة الذمّة حتّی یثبت الحرمة، و لأنّهم علیهم السّلام حکموا بحرمة المسکر لا ما احتمل کونه مسکرا، و لأنّ المذهب حرمة المسکر أو الغالی و لم یذهب ثلثاه، و ما نحن فیه لیس بواحد منهما، فثبت أنّ النبیذ هو مجرّد ماء التمر، و أنّه حلال و حرام، و الحلال مباح مطلق و مکروه، لأنّ محتمل الحرمة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إثبات اللغة بالدلیل، و هو فاسد، و مع ذلک اجتهاد فی مقابل النصّ، لأنّ الوارد فی النصّ لیس إلّا أنّ النبیذ مسکر و غیر مسکر، و غیر المسکر فسّروه للراوی بما فسّروه، و الرواة طریقة فهمهم فی المخاطبات و المحاورات طریقة فهم أهل العرف لا بالقوانین الاجتهادیّة و الأصول الّتی أسّسها المتأخّرون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المقرّر عندهم أنّ التمسّک بالأصل إنّما هو فی صورة لم یکن نصّ، أو لم یکن فهم عرفی أو قاعدة أخری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 المسکر علی ما ظهر سکره فاسد، لأنّ المسکر اسم لما هو مسکر فی نفس الأمر، و الظهور خارج عن معناه، و شرط الحلّیة هو عدم السکر، کما یظهر من الأخبار، و الشکّ فی الشرط یستلزم الشکّ فی المشروط، و الأصحاب جعلوا فی الفقّاع الأصل الحرمة حتّی یثبت الحلّیة، مع أنّ منه حلال کما یظهر من الأخبار </w:t>
      </w:r>
      <w:r>
        <w:rPr>
          <w:rStyle w:val="FootnoteAnchor"/>
          <w:rtl w:val="true"/>
        </w:rPr>
        <w:footnoteReference w:id="322"/>
      </w:r>
      <w:r>
        <w:rPr>
          <w:rFonts w:ascii="IRNazanin" w:hAnsi="IRNazanin" w:eastAsia="IRNazanin"/>
          <w:color w:val="111111"/>
          <w:sz w:val="28"/>
          <w:sz w:val="28"/>
          <w:szCs w:val="28"/>
          <w:rtl w:val="true"/>
          <w:lang w:bidi="fa-IR"/>
        </w:rPr>
        <w:t>، و حال الفقّاع و النبیذ بالنظر إلی الأخبار واحد، و لعلّه بالنظر إلی کلام الفقهاء أیضا کذلک، کما ذکرنا عن الصدوق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موافقة الکلینی له </w:t>
      </w:r>
      <w:r>
        <w:rPr>
          <w:rStyle w:val="FootnoteAnchor"/>
          <w:rtl w:val="true"/>
        </w:rPr>
        <w:footnoteReference w:id="323"/>
      </w:r>
      <w:r>
        <w:rPr>
          <w:rFonts w:ascii="IRNazanin" w:hAnsi="IRNazanin" w:eastAsia="IRNazanin"/>
          <w:color w:val="111111"/>
          <w:sz w:val="28"/>
          <w:sz w:val="28"/>
          <w:szCs w:val="28"/>
          <w:rtl w:val="true"/>
          <w:lang w:bidi="fa-IR"/>
        </w:rPr>
        <w:t>، و الفقهاء حکموا بحرمة النبیذ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نعم، جمع من المتأخّرین و بعض القدماء اختاروا حلّیة ماء التمر إذا غلا و لم یکن مسکرا جزما، کما یظهر من کلامهم </w:t>
      </w:r>
      <w:r>
        <w:rPr>
          <w:rStyle w:val="FootnoteAnchor"/>
          <w:rtl w:val="true"/>
        </w:rPr>
        <w:footnoteReference w:id="324"/>
      </w:r>
      <w:r>
        <w:rPr>
          <w:rFonts w:ascii="IRNazanin" w:hAnsi="IRNazanin" w:eastAsia="IRNazanin"/>
          <w:color w:val="111111"/>
          <w:sz w:val="28"/>
          <w:sz w:val="28"/>
          <w:szCs w:val="28"/>
          <w:rtl w:val="true"/>
          <w:lang w:bidi="fa-IR"/>
        </w:rPr>
        <w:t>، و أحدهما غیر الآخر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یجوّز لأحد أن یشرب النبیذ مع استشعاره بأنّه یحتمل کونه نبیذا مسکرا فإن وجد أنّه مسکر فلا یشرب بعد ذلک ممّا شربه بل یشرب مثله، فإن وجده مثل الأوّل فلا یشرب منه أیضا بل یشرب آخر مثله، و هکذا، و یفتح علی الناس بابا لشرب المسکر </w:t>
      </w:r>
      <w:r>
        <w:rPr>
          <w:rStyle w:val="FootnoteAnchor"/>
          <w:rtl w:val="true"/>
        </w:rPr>
        <w:footnoteReference w:id="325"/>
      </w:r>
      <w:r>
        <w:rPr>
          <w:rFonts w:ascii="IRNazanin" w:hAnsi="IRNazanin" w:eastAsia="IRNazanin"/>
          <w:color w:val="111111"/>
          <w:sz w:val="28"/>
          <w:sz w:val="28"/>
          <w:szCs w:val="28"/>
          <w:rtl w:val="true"/>
          <w:lang w:bidi="fa-IR"/>
        </w:rPr>
        <w:t xml:space="preserve">، سیّما إذا کان الثبوت </w:t>
      </w:r>
      <w:r>
        <w:rPr>
          <w:rStyle w:val="FootnoteAnchor"/>
          <w:rtl w:val="true"/>
        </w:rPr>
        <w:footnoteReference w:id="326"/>
      </w:r>
      <w:r>
        <w:rPr>
          <w:rFonts w:ascii="IRNazanin" w:hAnsi="IRNazanin" w:eastAsia="IRNazanin"/>
          <w:color w:val="111111"/>
          <w:sz w:val="28"/>
          <w:sz w:val="28"/>
          <w:szCs w:val="28"/>
          <w:rtl w:val="true"/>
          <w:lang w:bidi="fa-IR"/>
        </w:rPr>
        <w:t>مقصورا فی شهادة العدلین، مع أنّ العدل ربّما یصیر منهما مع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یلاحظ أنّ الشارع حرّم الأدویة الّتی احتاجوا إلیها بعلاج الأمراض الشدیدة إذا کان فیها ذرّة من المسکر </w:t>
      </w:r>
      <w:r>
        <w:rPr>
          <w:rStyle w:val="FootnoteAnchor"/>
          <w:rtl w:val="true"/>
        </w:rPr>
        <w:footnoteReference w:id="327"/>
      </w:r>
      <w:r>
        <w:rPr>
          <w:rFonts w:ascii="IRNazanin" w:hAnsi="IRNazanin" w:eastAsia="IRNazanin"/>
          <w:color w:val="111111"/>
          <w:sz w:val="28"/>
          <w:sz w:val="28"/>
          <w:szCs w:val="28"/>
          <w:rtl w:val="true"/>
          <w:lang w:bidi="fa-IR"/>
        </w:rPr>
        <w:t xml:space="preserve">، بل و لو کان العلاج بغیر الشرب مثل الاکتحال و الاطلاء </w:t>
      </w:r>
      <w:r>
        <w:rPr>
          <w:rStyle w:val="FootnoteAnchor"/>
          <w:rtl w:val="true"/>
        </w:rPr>
        <w:footnoteReference w:id="328"/>
      </w:r>
      <w:r>
        <w:rPr>
          <w:rFonts w:ascii="IRNazanin" w:hAnsi="IRNazanin" w:eastAsia="IRNazanin"/>
          <w:color w:val="111111"/>
          <w:sz w:val="28"/>
          <w:sz w:val="28"/>
          <w:szCs w:val="28"/>
          <w:rtl w:val="true"/>
          <w:lang w:bidi="fa-IR"/>
        </w:rPr>
        <w:t xml:space="preserve">، بل و حرّم سقی شی‌ء منه للصبیان </w:t>
      </w:r>
      <w:r>
        <w:rPr>
          <w:rStyle w:val="FootnoteAnchor"/>
          <w:rtl w:val="true"/>
        </w:rPr>
        <w:footnoteReference w:id="329"/>
      </w:r>
      <w:r>
        <w:rPr>
          <w:rFonts w:ascii="IRNazanin" w:hAnsi="IRNazanin" w:eastAsia="IRNazanin"/>
          <w:color w:val="111111"/>
          <w:sz w:val="28"/>
          <w:sz w:val="28"/>
          <w:szCs w:val="28"/>
          <w:rtl w:val="true"/>
          <w:lang w:bidi="fa-IR"/>
        </w:rPr>
        <w:t xml:space="preserve">، بل و البهائم </w:t>
      </w:r>
      <w:r>
        <w:rPr>
          <w:rStyle w:val="FootnoteAnchor"/>
          <w:rtl w:val="true"/>
        </w:rPr>
        <w:footnoteReference w:id="330"/>
      </w:r>
      <w:r>
        <w:rPr>
          <w:rFonts w:ascii="IRNazanin" w:hAnsi="IRNazanin" w:eastAsia="IRNazanin"/>
          <w:color w:val="111111"/>
          <w:sz w:val="28"/>
          <w:sz w:val="28"/>
          <w:szCs w:val="28"/>
          <w:rtl w:val="true"/>
          <w:lang w:bidi="fa-IR"/>
        </w:rPr>
        <w:t xml:space="preserve">، بل و حرّم ما فی بطن البهیمة الشاربة </w:t>
      </w:r>
      <w:r>
        <w:rPr>
          <w:rStyle w:val="FootnoteAnchor"/>
          <w:rtl w:val="true"/>
        </w:rPr>
        <w:footnoteReference w:id="331"/>
      </w:r>
      <w:r>
        <w:rPr>
          <w:rFonts w:ascii="IRNazanin" w:hAnsi="IRNazanin" w:eastAsia="IRNazanin"/>
          <w:color w:val="111111"/>
          <w:sz w:val="28"/>
          <w:sz w:val="28"/>
          <w:szCs w:val="28"/>
          <w:rtl w:val="true"/>
          <w:lang w:bidi="fa-IR"/>
        </w:rPr>
        <w:t xml:space="preserve">، بل و حرّم المائدة الّتی وقع الشرب عندها </w:t>
      </w:r>
      <w:r>
        <w:rPr>
          <w:rStyle w:val="FootnoteAnchor"/>
          <w:rtl w:val="true"/>
        </w:rPr>
        <w:footnoteReference w:id="332"/>
      </w:r>
      <w:r>
        <w:rPr>
          <w:rFonts w:ascii="IRNazanin" w:hAnsi="IRNazanin" w:eastAsia="IRNazanin"/>
          <w:color w:val="111111"/>
          <w:sz w:val="28"/>
          <w:sz w:val="28"/>
          <w:szCs w:val="28"/>
          <w:rtl w:val="true"/>
          <w:lang w:bidi="fa-IR"/>
        </w:rPr>
        <w:t xml:space="preserve">، و قرّر المعین علی الشارب </w:t>
      </w:r>
      <w:r>
        <w:rPr>
          <w:rStyle w:val="FootnoteAnchor"/>
          <w:rtl w:val="true"/>
        </w:rPr>
        <w:footnoteReference w:id="333"/>
      </w:r>
      <w:r>
        <w:rPr>
          <w:rFonts w:ascii="IRNazanin" w:hAnsi="IRNazanin" w:eastAsia="IRNazanin"/>
          <w:color w:val="111111"/>
          <w:sz w:val="28"/>
          <w:sz w:val="28"/>
          <w:szCs w:val="28"/>
          <w:rtl w:val="true"/>
          <w:lang w:bidi="fa-IR"/>
        </w:rPr>
        <w:t>، و نهی عن الصلاة علیه إن</w:t>
      </w:r>
      <w:bookmarkStart w:id="118" w:name="pg2526_25450"/>
    </w:p>
    <w:p>
      <w:pPr>
        <w:pStyle w:val="BookText"/>
        <w:rPr/>
      </w:pPr>
      <w:bookmarkEnd w:id="1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مات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التأکیدات و التشدیدات، حتّی أنّه لعن الغارس و المعتصر و باقی شرکائهما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ذلک حسما لمادّة الفساد، و تشدیدا فی أمره و تغلیظا فی شأنه، تبعیدا عن خطره، لأنّ خطره هلاک الروح، کما أنّ السمّ هلاک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حاله أشدّ من الربا، و فی الربا جعل الجهل بالزیادة و احتمالها بحکم العلم، و ادخل فی حدّ الربا، مع أنّ الربا لغة الزیادة، و شرعا معاوضة المثلین مع التفاضل، مع أنّه فی کثیر من المواضع جعل المشتبه بالممنوع فی حکم الممنوع، و لعلّه لذلک حرّم العصیرات بالغلیان و النشیش، للتشبّث بالسکر، أو باحتمال السکر،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عن الشهید رحمه اللّه تنزیل هذه الأخبار علی احتمال حصول النشیش بزیادة المکث، و له شواهد،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فی روایة من أنّه ینقعه لیلة فإذا کان أیّام الصیف و خشیت أن ینشّ فکذا و کذا </w:t>
      </w:r>
      <w:r>
        <w:rPr>
          <w:rStyle w:val="FootnoteAnchor"/>
          <w:rtl w:val="true"/>
        </w:rPr>
        <w:footnoteReference w:id="336"/>
      </w:r>
      <w:r>
        <w:rPr>
          <w:rFonts w:ascii="IRNazanin" w:hAnsi="IRNazanin" w:eastAsia="IRNazanin"/>
          <w:color w:val="111111"/>
          <w:sz w:val="28"/>
          <w:sz w:val="28"/>
          <w:szCs w:val="28"/>
          <w:rtl w:val="true"/>
          <w:lang w:bidi="fa-IR"/>
        </w:rPr>
        <w:t>، و سیجی‌ء ما بقی، و أنّ بالنشیش ربّما یتحقّق السکر،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ما ینبذ بالغداة و یشرب بالعشی یقتضی حلّیة الغالی و الناشّ، لأنّه أعمّ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بل الظاهر من الأخبار عدم دخول المطبوخ و الناشّ فیهما، مع أنّ النشیش لا یحصل عادة بأقلّ من هذا المکث، مضافا إلی ما مرّ من أنّ المنشأ خوف النشیش</w:t>
      </w:r>
      <w:r>
        <w:rPr>
          <w:rFonts w:eastAsia="IRNazanin" w:cs="IRNazanin"/>
          <w:color w:val="111111"/>
          <w:sz w:val="28"/>
          <w:szCs w:val="28"/>
          <w:rtl w:val="true"/>
          <w:lang w:bidi="fa-IR"/>
        </w:rPr>
        <w:t>.</w:t>
      </w:r>
    </w:p>
    <w:p>
      <w:pPr>
        <w:pStyle w:val="Heading3"/>
        <w:numPr>
          <w:ilvl w:val="2"/>
          <w:numId w:val="1"/>
        </w:numPr>
        <w:rPr/>
      </w:pPr>
      <w:bookmarkStart w:id="119" w:name="__RefHeading___Toc4327938_3804643083"/>
      <w:bookmarkStart w:id="120" w:name="_Toc44"/>
      <w:bookmarkEnd w:id="119"/>
      <w:r>
        <w:rPr>
          <w:rtl w:val="true"/>
        </w:rPr>
        <w:t>[</w:t>
      </w:r>
      <w:r>
        <w:rPr>
          <w:rtl w:val="true"/>
        </w:rPr>
        <w:t>کلام الشیخ أبی الحسن سلیمان بن عبد اللّه البحرانی و نقده</w:t>
      </w:r>
      <w:r>
        <w:rPr>
          <w:rtl w:val="true"/>
        </w:rPr>
        <w:t>]</w:t>
      </w:r>
      <w:bookmarkEnd w:id="120"/>
    </w:p>
    <w:p>
      <w:pPr>
        <w:pStyle w:val="Heading4"/>
        <w:numPr>
          <w:ilvl w:val="3"/>
          <w:numId w:val="1"/>
        </w:numPr>
        <w:rPr/>
      </w:pPr>
      <w:bookmarkStart w:id="121" w:name="__RefHeading___Toc4327940_3804643083"/>
      <w:bookmarkStart w:id="122" w:name="_Toc45"/>
      <w:bookmarkEnd w:id="121"/>
      <w:r>
        <w:rPr>
          <w:rtl w:val="true"/>
        </w:rPr>
        <w:t>اشارة</w:t>
      </w:r>
      <w:bookmarkEnd w:id="12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جعله من أفراد المسکر باطل بالضرورة</w:t>
      </w:r>
      <w:r>
        <w:rPr>
          <w:rFonts w:eastAsia="IRNazanin" w:cs="IRNazanin"/>
          <w:color w:val="111111"/>
          <w:sz w:val="28"/>
          <w:szCs w:val="28"/>
          <w:rtl w:val="true"/>
          <w:lang w:bidi="fa-IR"/>
        </w:rPr>
        <w:t>.</w:t>
      </w:r>
      <w:bookmarkStart w:id="123" w:name="pg2526_25451"/>
    </w:p>
    <w:p>
      <w:pPr>
        <w:pStyle w:val="BookText"/>
        <w:rPr/>
      </w:pPr>
      <w:bookmarkEnd w:id="1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إلی آخره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أنّ هذه الضرورة من أین حصلت له؟ إذ لیست إلّا شهادة نفی غیر محصور، إذ یجوز أن یحدث سکرا ضعیفا فی مزاج من الأمزجة و لو کان نادرا، إذ لعلّ کلّ من یرید أن یشرب یکون مزاجه مزاج النادر فی النادر، کما هو أحد القولین فی المسألة و أقواها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من جرّب جمیع الأمزجة فوجدها لا یحدث فیها سکرا و إن کان درجته الضعیفة بالإکثار من شربه غایة الإکثار، مع أنّ الظاهر من الأخبار و کلام القدماء الدخول فی السکر، و لهذا حرّم شربه مع احتمال أن یکون بالنشیش و الغلیان یصیر محتمل السکر، و محتمل السکر عند الشارع یکون فی حکم المسکر کالربا، کما أشرنا إلیه آنفا</w:t>
      </w:r>
      <w:r>
        <w:rPr>
          <w:rFonts w:eastAsia="IRNazanin" w:cs="IRNazanin"/>
          <w:color w:val="111111"/>
          <w:sz w:val="28"/>
          <w:szCs w:val="28"/>
          <w:rtl w:val="true"/>
          <w:lang w:bidi="fa-IR"/>
        </w:rPr>
        <w:t>.</w:t>
      </w:r>
    </w:p>
    <w:p>
      <w:pPr>
        <w:pStyle w:val="Heading4"/>
        <w:numPr>
          <w:ilvl w:val="3"/>
          <w:numId w:val="1"/>
        </w:numPr>
        <w:rPr/>
      </w:pPr>
      <w:bookmarkStart w:id="124" w:name="__RefHeading___Toc4327942_3804643083"/>
      <w:bookmarkStart w:id="125" w:name="_Toc46"/>
      <w:bookmarkEnd w:id="124"/>
      <w:r>
        <w:rPr>
          <w:rtl w:val="true"/>
        </w:rPr>
        <w:t>أمّا الأخبار</w:t>
      </w:r>
      <w:r>
        <w:rPr>
          <w:rtl w:val="true"/>
        </w:rPr>
        <w:t>:</w:t>
      </w:r>
      <w:bookmarkEnd w:id="125"/>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فی باب أصل تحریم الخمر، مضمونها أنّ سبب </w:t>
      </w:r>
      <w:r>
        <w:rPr>
          <w:rStyle w:val="FootnoteAnchor"/>
          <w:rtl w:val="true"/>
        </w:rPr>
        <w:footnoteReference w:id="338"/>
      </w:r>
      <w:r>
        <w:rPr>
          <w:rFonts w:ascii="IRNazanin" w:hAnsi="IRNazanin" w:eastAsia="IRNazanin"/>
          <w:color w:val="111111"/>
          <w:sz w:val="28"/>
          <w:sz w:val="28"/>
          <w:szCs w:val="28"/>
          <w:rtl w:val="true"/>
          <w:lang w:bidi="fa-IR"/>
        </w:rPr>
        <w:t xml:space="preserve">بدء حرمة الخمر أنّه جعل حظّ الشیطان ثلثا العنب و حظّ آدم ثلثه </w:t>
      </w:r>
      <w:r>
        <w:rPr>
          <w:rStyle w:val="FootnoteAnchor"/>
          <w:rtl w:val="true"/>
        </w:rPr>
        <w:footnoteReference w:id="339"/>
      </w:r>
      <w:r>
        <w:rPr>
          <w:rFonts w:ascii="IRNazanin" w:hAnsi="IRNazanin" w:eastAsia="IRNazanin"/>
          <w:color w:val="111111"/>
          <w:sz w:val="28"/>
          <w:sz w:val="28"/>
          <w:szCs w:val="28"/>
          <w:rtl w:val="true"/>
          <w:lang w:bidi="fa-IR"/>
        </w:rPr>
        <w:t>، و لم یذکروا علیهم السّلام لبدء حرمتها و أوّل اتّخاذها سوی حکایة کون الثلاثین حظّ الشیطان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بعض تلک الأخبار أنّ منشأ جعل الحظّ للشیطان أنّه مصّ العنب و التمر، و قد أشرنا إلیه فی طیّ أدلّتنا، و لا شکّ أنّ المراد من الخمر فی هذه الأخبار الخمر المعهود، لأنّ الراوی سأل عن بدء و حرمة المعهود و أنّها متی تحدث، و الکلینی رحمه اللّه ما فهم إلّا المعهود، و کذا الصدوقان </w:t>
      </w:r>
      <w:r>
        <w:rPr>
          <w:rStyle w:val="FootnoteAnchor"/>
          <w:rtl w:val="true"/>
        </w:rPr>
        <w:footnoteReference w:id="340"/>
      </w:r>
      <w:r>
        <w:rPr>
          <w:rFonts w:ascii="IRNazanin" w:hAnsi="IRNazanin" w:eastAsia="IRNazanin"/>
          <w:color w:val="111111"/>
          <w:sz w:val="28"/>
          <w:sz w:val="28"/>
          <w:szCs w:val="28"/>
          <w:rtl w:val="true"/>
          <w:lang w:bidi="fa-IR"/>
        </w:rPr>
        <w:t>، و فهم هؤلاء للأخبار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حجّة قطعا، بل أولی من فهم المتأخّرین بمراتب شتّی، من حیث أنّ عهدهم فی غایة القرب، بل فی الحقیقة معاصرون، و من حیث إنّه ما خلط أذهانهم الاجتهادات و الشبهات الّتی خلط أذهان المتأخّرین، و الشاهد یری ما لا یراه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أنّ مراد هؤلاء من الخمر المعنی المعهود، لأنّه 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یتّخذ منه الخمر، و أتی بما یدلّ علی أنّ الخمر من خمسة،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تحریم أصل الخمر </w:t>
      </w:r>
      <w:r>
        <w:rPr>
          <w:rStyle w:val="FootnoteAnchor"/>
          <w:rtl w:val="true"/>
        </w:rPr>
        <w:footnoteReference w:id="341"/>
      </w:r>
      <w:r>
        <w:rPr>
          <w:rFonts w:ascii="IRNazanin" w:hAnsi="IRNazanin" w:eastAsia="IRNazanin"/>
          <w:color w:val="111111"/>
          <w:sz w:val="28"/>
          <w:sz w:val="28"/>
          <w:szCs w:val="28"/>
          <w:rtl w:val="true"/>
          <w:lang w:bidi="fa-IR"/>
        </w:rPr>
        <w:t>، و أتی بتلک الأخبار، و فی بعضها التصریح بالسکر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الصدوق، فلم یذکر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فی باب الأکل و الشرب و الباب المتقدّم علیه حکایة حرمة العصیر أصلا، و لو کان حرمته عنده من غیر جهة السکر لذکره هناک، مع أنّه لم یذکر هناک، و لا فی موضع من المواضع سوی باب حدّ شرب الخمر،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أبی فی رسالته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أصل الخمر من الکرم، إذا أصابته النار أو غلا من غیر أن تمسّه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أعلاه أسفله فهو خمر، فلا یحلّ شربه إلّا أن یذهب ثلثاه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أتی بعبارة أخری صریحة فی أنّ المراد الخمر المعهود،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لها خمسة أسامی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 من 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أنّ فهمه رحمه اللّه علی طبق فهم الکلینی رحمه اللّه، و فهم الکلینی علی طبق فهمه، و هما کانا معاصرین، یصلان إلی خدمة الصاحب علیه السّلام، سیّما أنّ ولده الصدوق أیضا کان فهمه موافقا لفهمهما، لما ذکرنا، و لما ذکره فی أوّل کتابه </w:t>
      </w:r>
      <w:r>
        <w:rPr>
          <w:rStyle w:val="FootnoteAnchor"/>
          <w:rtl w:val="true"/>
        </w:rPr>
        <w:footnoteReference w:id="343"/>
      </w:r>
      <w:r>
        <w:rPr>
          <w:rFonts w:ascii="IRNazanin" w:hAnsi="IRNazanin" w:eastAsia="IRNazanin"/>
          <w:color w:val="111111"/>
          <w:sz w:val="28"/>
          <w:sz w:val="28"/>
          <w:szCs w:val="28"/>
          <w:rtl w:val="true"/>
          <w:lang w:bidi="fa-IR"/>
        </w:rPr>
        <w:t>، و ما عهد من مواضع ذکر رسالة أبیه، من حیث أنّه یجعله نفس فتوی نفسه، کما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یخفی علی المطّلع، و منه سائر ما ذکره عن الرسالة فی هذا الموضع، إذ لا شکّ أنّه ذکره علی سبیل الاعتقاد و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غیرهم من القدماء أیضا موافقون لهم، و لذلک قالوا بنجاسته أیضا، و أنّ شاربه یحدّ حدّ شرب الخمر، بل و صرّح بعض المتأخّرین بمساواته للخمر فی جمیع الأحکام </w:t>
      </w:r>
      <w:r>
        <w:rPr>
          <w:rStyle w:val="FootnoteAnchor"/>
          <w:rtl w:val="true"/>
        </w:rPr>
        <w:footnoteReference w:id="344"/>
      </w:r>
      <w:r>
        <w:rPr>
          <w:rFonts w:ascii="IRNazanin" w:hAnsi="IRNazanin" w:eastAsia="IRNazanin"/>
          <w:color w:val="111111"/>
          <w:sz w:val="28"/>
          <w:sz w:val="28"/>
          <w:szCs w:val="28"/>
          <w:rtl w:val="true"/>
          <w:lang w:bidi="fa-IR"/>
        </w:rPr>
        <w:t xml:space="preserve">، و لیس فی النصوص شی‌ء یشیر </w:t>
      </w:r>
      <w:r>
        <w:rPr>
          <w:rStyle w:val="FootnoteAnchor"/>
          <w:rtl w:val="true"/>
        </w:rPr>
        <w:footnoteReference w:id="345"/>
      </w:r>
      <w:r>
        <w:rPr>
          <w:rFonts w:ascii="IRNazanin" w:hAnsi="IRNazanin" w:eastAsia="IRNazanin"/>
          <w:color w:val="111111"/>
          <w:sz w:val="28"/>
          <w:sz w:val="28"/>
          <w:szCs w:val="28"/>
          <w:rtl w:val="true"/>
          <w:lang w:bidi="fa-IR"/>
        </w:rPr>
        <w:t>إلی الأحکام سوی ما فهمه القدماء، و غیر خفیّ علی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اطّلاعه علی 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القدماء من حیث أنّهم فهموا ما فهموا أفتوا بالأحکام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قیل من أنّ القائل بالنجاسة قلیل من الأصحاب، فاسد، کما لا یخفی علی من لا 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w:t>
      </w:r>
      <w:r>
        <w:rPr>
          <w:rStyle w:val="FootnoteAnchor"/>
          <w:rtl w:val="true"/>
        </w:rPr>
        <w:footnoteReference w:id="346"/>
      </w:r>
      <w:r>
        <w:rPr>
          <w:rFonts w:ascii="IRNazanin" w:hAnsi="IRNazanin" w:eastAsia="IRNazanin"/>
          <w:color w:val="111111"/>
          <w:sz w:val="28"/>
          <w:sz w:val="28"/>
          <w:szCs w:val="28"/>
          <w:rtl w:val="true"/>
          <w:lang w:bidi="fa-IR"/>
        </w:rPr>
        <w:t xml:space="preserve">و غیره، منه قول الشهید الثانی أنّ القول بالنجاسة من المشاهیر بغیر أصل </w:t>
      </w:r>
      <w:r>
        <w:rPr>
          <w:rStyle w:val="FootnoteAnchor"/>
          <w:rtl w:val="true"/>
        </w:rPr>
        <w:footnoteReference w:id="347"/>
      </w:r>
      <w:r>
        <w:rPr>
          <w:rFonts w:ascii="IRNazanin" w:hAnsi="IRNazanin" w:eastAsia="IRNazanin"/>
          <w:color w:val="111111"/>
          <w:sz w:val="28"/>
          <w:sz w:val="28"/>
          <w:szCs w:val="28"/>
          <w:rtl w:val="true"/>
          <w:lang w:bidi="fa-IR"/>
        </w:rPr>
        <w:t>، إذ مع اعتقاده بأنّه لا أصل له حکم بکونه من المشاهیر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نقلوا القول بالطهارة عن ابن أبی عقیل </w:t>
      </w:r>
      <w:r>
        <w:rPr>
          <w:rStyle w:val="FootnoteAnchor"/>
          <w:rtl w:val="true"/>
        </w:rPr>
        <w:footnoteReference w:id="348"/>
      </w:r>
      <w:r>
        <w:rPr>
          <w:rFonts w:ascii="IRNazanin" w:hAnsi="IRNazanin" w:eastAsia="IRNazanin"/>
          <w:color w:val="111111"/>
          <w:sz w:val="28"/>
          <w:sz w:val="28"/>
          <w:szCs w:val="28"/>
          <w:rtl w:val="true"/>
          <w:lang w:bidi="fa-IR"/>
        </w:rPr>
        <w:t>، و هو یشعر بما ذکرنا، و ابن أبی عقیل قائل بطهارة الخمر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ما رواه الشیخ بسنده عن الصادق علیه السّلام أنّه سئل عن ثمن العصیر قبل أن یغلی،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بعته قبل أن یکون خمرا و هو حلال فلا بأس</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فتدبّره، و غیر ذلک من الأخبار، و سنذکر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ثمَّ إنّ من المتأخّرین أیضا حکموا بالأحکام و وافقوا القدماء، لکن جمع منهم قالوا بأنّ الأحکام لا دلیل علیها، سوی الحرمة، بناء علی أنّ السکر عندهم هو أن لا یعرف السماء من الأرض و أمثال ذلک، کما وقع التصریح فی عبارتهم </w:t>
      </w:r>
      <w:r>
        <w:rPr>
          <w:rStyle w:val="FootnoteAnchor"/>
          <w:rtl w:val="true"/>
        </w:rPr>
        <w:footnoteReference w:id="350"/>
      </w:r>
      <w:r>
        <w:rPr>
          <w:rFonts w:ascii="IRNazanin" w:hAnsi="IRNazanin" w:eastAsia="IRNazanin"/>
          <w:color w:val="111111"/>
          <w:sz w:val="28"/>
          <w:sz w:val="28"/>
          <w:szCs w:val="28"/>
          <w:rtl w:val="true"/>
          <w:lang w:bidi="fa-IR"/>
        </w:rPr>
        <w:t>، و هذا المعنی وجدوه غیر متحقّق قطعا فی العصیر بمجرّد الغلیان، و لذا نصّوا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لم یعملوا بأمثال هذه الأخبار، بأن أوّلوها، أو طرحوها، سیّما الّذی سنده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ربّما حکموا بالنجاسة أیضا باعتقاد أنّ الشهرة کافیة، أو بالقیاس، أو أنّهم فهموا من الأخبار أنّ المراد أنّه مثل الخمر و المماثلة یکون فی الحکم الشرعی، فیرجع إلی جمیع الأحکام، لأنّه الأقرب فی حکایة المماثلة، کما صرّح به بعضهم فی الفقّاع </w:t>
      </w:r>
      <w:r>
        <w:rPr>
          <w:rStyle w:val="FootnoteAnchor"/>
          <w:rtl w:val="true"/>
        </w:rPr>
        <w:footnoteReference w:id="351"/>
      </w:r>
      <w:r>
        <w:rPr>
          <w:rFonts w:ascii="IRNazanin" w:hAnsi="IRNazanin" w:eastAsia="IRNazanin"/>
          <w:color w:val="111111"/>
          <w:sz w:val="28"/>
          <w:sz w:val="28"/>
          <w:szCs w:val="28"/>
          <w:rtl w:val="true"/>
          <w:lang w:bidi="fa-IR"/>
        </w:rPr>
        <w:t>، فیکون مرادهم من عدم الدلیل عدم النصّ و أنّهم رجعوا عن معتقدهم فتفطّنوا بالمنشإ، أو اعتقدوا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بوجوب الحدّ، فما خالف أحد، مع عدم وجود نصّ أو غیر ذلک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العصیر العنبی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التمری و الزبیبی، فلعلّ القائل بالحرمة من القدماء قائل بالنجاسة و وجوب الحدّ أیضا، و لذا نقل المتأخّرون القولین أیضا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الکلینی یعتقد ذلک أیضا، لأنّ فتواه هو أخبار کتابة، و من جملة الأخبار الّتی أوردها فی باب أصل تحریم الخمر صرّح فیها بأنّ ما وقع فی العنب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وقع فی التمر أیضا </w:t>
      </w:r>
      <w:r>
        <w:rPr>
          <w:rStyle w:val="FootnoteAnchor"/>
          <w:rtl w:val="true"/>
        </w:rPr>
        <w:footnoteReference w:id="352"/>
      </w:r>
      <w:r>
        <w:rPr>
          <w:rFonts w:ascii="IRNazanin" w:hAnsi="IRNazanin" w:eastAsia="IRNazanin"/>
          <w:color w:val="111111"/>
          <w:sz w:val="28"/>
          <w:sz w:val="28"/>
          <w:szCs w:val="28"/>
          <w:rtl w:val="true"/>
          <w:lang w:bidi="fa-IR"/>
        </w:rPr>
        <w:t>، کما ذکرنا فی طیّ أدلّتنا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تقریبک هناک کان مبنیّا علی الفرق بین الغلیان و 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التقریب بناء علی إتمام الدلیل علی مذاق المتأخّرین، و إلّا فالروایة ظاهرة فی مساواة التمر للعنب، فإن کان العنب بالغلیان یصیر مسکرا جزما و محتمل السکر فالأمر کما ذکر هاهنا، و إلّا فالأمر کما ذکر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الأخبار، الأخبار الکثیرة الواردة فی عدم شرب ما زاد مکثه </w:t>
      </w:r>
      <w:r>
        <w:rPr>
          <w:rStyle w:val="FootnoteAnchor"/>
          <w:rtl w:val="true"/>
        </w:rPr>
        <w:footnoteReference w:id="353"/>
      </w:r>
      <w:r>
        <w:rPr>
          <w:rFonts w:ascii="IRNazanin" w:hAnsi="IRNazanin" w:eastAsia="IRNazanin"/>
          <w:color w:val="111111"/>
          <w:sz w:val="28"/>
          <w:sz w:val="28"/>
          <w:szCs w:val="28"/>
          <w:rtl w:val="true"/>
          <w:lang w:bidi="fa-IR"/>
        </w:rPr>
        <w:t xml:space="preserve">عن یوم، الظاهرة فی خوف عروض السکر إن زاد </w:t>
      </w:r>
      <w:r>
        <w:rPr>
          <w:rStyle w:val="FootnoteAnchor"/>
          <w:rtl w:val="true"/>
        </w:rPr>
        <w:footnoteReference w:id="354"/>
      </w:r>
      <w:r>
        <w:rPr>
          <w:rFonts w:ascii="IRNazanin" w:hAnsi="IRNazanin" w:eastAsia="IRNazanin"/>
          <w:color w:val="111111"/>
          <w:sz w:val="28"/>
          <w:sz w:val="28"/>
          <w:szCs w:val="28"/>
          <w:rtl w:val="true"/>
          <w:lang w:bidi="fa-IR"/>
        </w:rPr>
        <w:t xml:space="preserve">، و یظهر من حدیث عمّار أنّ بزیادة المکث یخاف عروض النشیش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فظهر من ملاحظة المجموع أنّ النشیش یتحقّق به السکر جزما أو احتمالا، کما هو الظاهر من القدماء، و الشهید رحمه اللّه فهم من تلک الأخبار النشیش </w:t>
      </w:r>
      <w:r>
        <w:rPr>
          <w:rStyle w:val="FootnoteAnchor"/>
          <w:rtl w:val="true"/>
        </w:rPr>
        <w:footnoteReference w:id="356"/>
      </w:r>
      <w:r>
        <w:rPr>
          <w:rFonts w:ascii="IRNazanin" w:hAnsi="IRNazanin" w:eastAsia="IRNazanin"/>
          <w:color w:val="111111"/>
          <w:sz w:val="28"/>
          <w:sz w:val="28"/>
          <w:szCs w:val="28"/>
          <w:rtl w:val="true"/>
          <w:lang w:bidi="fa-IR"/>
        </w:rPr>
        <w:t xml:space="preserve">، و لعلّه بملاحظة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غیرها، لکن مع ذلک لا شکّ فی دلالة الأخبار علی الخوف من عروض 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ما رواه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التمر و الزبیب، یطبخان للنبیذ؟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أسکر کثیره فقلیله حرام،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فی النبیذ الخمیرة</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الدلالة، أنّ المعصوم علیه السّلام حکم بالمنع بمجرّد الطبخ، کما هو ظاهر الروایة،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کلاما علی حدة فالمطلوب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واضح، و هو کون التمر و الزبیب مثل العنب فی حکایة الغلیان، و إن کان متعلّقا بهذا الجواب، فظاهره أنّ بالطبخ یصیر مسکرا جزما، و علی سبیل الاحتمال بالإکثار من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فی 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أنّه لو لم یغل بالنار بل یغلی بالخمیرة فهو أیضا ممنوع منه، و الخمیرة هی العکرة، کما فی الحدیث، و العکرة دردیّ النبیذ السابق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یشیر إلی ذلک، روایة أبی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الکوفة لا یرضون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النبیذ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نبیذهم؟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یجعلون فیه ثفل التمر یضری فی الإناء حتّی یغلی و یسکن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علی نسخة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فإنّه ما کان یعرف نبیذهم، بل حکم بالحرمة بمجرّد ما سمع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یهدر و یغلی ثمَّ یسکن، من دون استفصال أنّه یسکر أم لا، و الهدر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ثفل التمر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 یؤتی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البصرة فیلقی فی هذا النبیذ حتّی یغلی و یسکن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روایة ابن مسلم أنّه سأل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غلیانه،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رأی الفاضل من أنّ النبیذ اسم لماء التمر فظاهر، و أمّا علی ما اخترناه فلأنّ الظاهر أنّ الراوی لا یسأل عن حکم النبیذ، بل یسأل عن حدّ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یکون النبیذ النبیذ الحرام،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سکن غلیانه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وصل إلی هذا الحدّ، فأجاب علیه السّلام بما أجاب، مبالغة فی الحکم بأنّه إذا وصل إلی هذا الحدّ فهو بعینه ممّا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 إلیه أنّ قوله حجّة عند الراوی، فلا حاجة إلی الاستناد، و بقوله صلّی اللّه علیه و آله و سلّم فی کلّ موضع یستندون له نکتة،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یؤیّد فهم القدماء، صحیحة عمر بن یزید، عن الصادق علیه السّلام فی الصحیح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البختج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أصحابنا، قال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یستحلّ المسکر فلا تشرب </w:t>
      </w:r>
      <w:r>
        <w:rPr>
          <w:rStyle w:val="FootnoteAnchor"/>
          <w:rtl w:val="true"/>
        </w:rPr>
        <w:footnoteReference w:id="364"/>
      </w:r>
      <w:r>
        <w:rPr>
          <w:rFonts w:ascii="IRNazanin" w:hAnsi="IRNazanin" w:eastAsia="IRNazanin"/>
          <w:color w:val="111111"/>
          <w:sz w:val="28"/>
          <w:sz w:val="28"/>
          <w:szCs w:val="28"/>
          <w:rtl w:val="true"/>
          <w:lang w:bidi="fa-IR"/>
        </w:rPr>
        <w:t xml:space="preserve">، 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یستحلّ فاشربه</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سؤاله عن البختج مراده أنّه لا ندری هل ذهب ثلثاه أم لا، یظهر ذلک من ملاحظة الأخبار، مع أنّ البختج لیس بمسکر عندهم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خلاصة الجواب، أنّ المعتبر اعتقاد صاحب الید بالنسبة إلی ما فی یده، فإن کان اعتقاده الحلّیة قبل ذهاب الثلاثین فلا تشرب، یظهر ذلک من ملاحظة الأخبار فی هذا الباب، مضافا إلی الأبواب الّتی هی نظائر الباب، مع أنّ القاعدة الشرعیّة تقتضی أن یکون کذلک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أنّه علیه السّلام حکم بکونه من المسکرات، إمّا حراما </w:t>
      </w:r>
      <w:r>
        <w:rPr>
          <w:rStyle w:val="FootnoteAnchor"/>
          <w:rtl w:val="true"/>
        </w:rPr>
        <w:footnoteReference w:id="367"/>
      </w:r>
      <w:r>
        <w:rPr>
          <w:rFonts w:ascii="IRNazanin" w:hAnsi="IRNazanin" w:eastAsia="IRNazanin"/>
          <w:color w:val="111111"/>
          <w:sz w:val="28"/>
          <w:sz w:val="28"/>
          <w:szCs w:val="28"/>
          <w:rtl w:val="true"/>
          <w:lang w:bidi="fa-IR"/>
        </w:rPr>
        <w:t>کما هو الظاهر أو کونه محتمل السکر، و محتمل السکر مسکر شرعا، کما أنّ محتمل الزیادة من الربا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أشرنا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المسکر أن یکون مستعملا فی معناه الحقیقی، مع أنّه علی تسلیم کونه مجازا فأقرب المجازات هو کونه محتمل 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الحدیث علی کونه ممّن یستحلّ النبیذ المسکر فاسد، لما ذکرنا، أو غیر المستحلّ للمسکر من العامّة أکثرهم یستحلّون قبل ذهاب الثلاثین، فأیّ فائدة فی عدم استحلالهم المسکر؟ و أیّ رابطة؟ و أیّ 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العامّة من لا یستحلّ العصیر قبل ذهاب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وافقنا لکن بشرط قذف الزبد </w:t>
      </w:r>
      <w:r>
        <w:rPr>
          <w:rStyle w:val="FootnoteAnchor"/>
          <w:rtl w:val="true"/>
        </w:rPr>
        <w:footnoteReference w:id="368"/>
      </w:r>
      <w:r>
        <w:rPr>
          <w:rFonts w:ascii="IRNazanin" w:hAnsi="IRNazanin" w:eastAsia="IRNazanin"/>
          <w:color w:val="111111"/>
          <w:sz w:val="28"/>
          <w:sz w:val="28"/>
          <w:szCs w:val="28"/>
          <w:rtl w:val="true"/>
          <w:lang w:bidi="fa-IR"/>
        </w:rPr>
        <w:t>، و معلوم أنّه لا یصیر بختجا إلّا بعد قذف الزبد، مع أنّ کثیرا من مذاهب العامّة یظهر من الأخبار أنّه کان فی ذلک الزمان، و الأصحاب ما نقلوها، لأنّ الظاهر أنّ الأصحاب ینقلون المذاهب الّتی ضبطها المعتنین لضبط المذاهب من أهل السنّة، و کثیرا من مذاهبهم ما اعتنوا بها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لکن یکون قوله علیه السّلام إشارة إلی جواز الشرب من الشیعة لا غیر، مع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أن یکون من العامّة،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جعله له قاعدة یمشی بها کیف کان، و لا یلزم أن یکون أحد ملحوظ النظر بخصوصه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یؤیّد، نقل السید رحمه اللّه فی الانتصار عن أبی هاشم الواسطی </w:t>
      </w:r>
      <w:r>
        <w:rPr>
          <w:rStyle w:val="FootnoteAnchor"/>
          <w:rtl w:val="true"/>
        </w:rPr>
        <w:footnoteReference w:id="3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 نبیذ الشعیر، فإذا نشّ فهو خمر</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 و ورد فی الفقّاع من الأخبار ما یشیّد ذلک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bookmarkStart w:id="126" w:name="pg2526_25459"/>
    </w:p>
    <w:p>
      <w:pPr>
        <w:pStyle w:val="BookText"/>
        <w:rPr/>
      </w:pPr>
      <w:bookmarkEnd w:id="1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Heading4"/>
        <w:numPr>
          <w:ilvl w:val="3"/>
          <w:numId w:val="1"/>
        </w:numPr>
        <w:rPr/>
      </w:pPr>
      <w:bookmarkStart w:id="127" w:name="__RefHeading___Toc4327944_3804643083"/>
      <w:bookmarkStart w:id="128" w:name="_Toc47"/>
      <w:bookmarkEnd w:id="127"/>
      <w:r>
        <w:rPr>
          <w:rtl w:val="true"/>
        </w:rPr>
        <w:t>إذا عرفت هذا، فاعلم أنّ السکر لیس مقصورا فیما ذکره المتأخّرون من أنّه لا یعرف السماء من الأرض،</w:t>
      </w:r>
      <w:bookmarkEnd w:id="128"/>
    </w:p>
    <w:p>
      <w:pPr>
        <w:pStyle w:val="Heading5"/>
        <w:numPr>
          <w:ilvl w:val="4"/>
          <w:numId w:val="1"/>
        </w:numPr>
        <w:rPr/>
      </w:pPr>
      <w:bookmarkStart w:id="129" w:name="__RefHeading___Toc4327946_3804643083"/>
      <w:bookmarkStart w:id="130" w:name="_Toc48"/>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و أمثال ذلک، بشهادة الأخبار و العرف و اللغة و الاعتبار و قول الأطبّاء</w:t>
      </w:r>
      <w:r>
        <w:rPr>
          <w:rFonts w:eastAsia="IRNazanin" w:cs="IRNazanin"/>
          <w:color w:val="111111"/>
          <w:sz w:val="28"/>
          <w:szCs w:val="28"/>
          <w:rtl w:val="true"/>
          <w:lang w:bidi="fa-IR"/>
        </w:rPr>
        <w:t>.</w:t>
      </w:r>
    </w:p>
    <w:p>
      <w:pPr>
        <w:pStyle w:val="Heading5"/>
        <w:numPr>
          <w:ilvl w:val="4"/>
          <w:numId w:val="1"/>
        </w:numPr>
        <w:rPr/>
      </w:pPr>
      <w:bookmarkStart w:id="131" w:name="__RefHeading___Toc4327948_3804643083"/>
      <w:bookmarkStart w:id="132" w:name="_Toc49"/>
      <w:bookmarkEnd w:id="131"/>
      <w:r>
        <w:rPr>
          <w:rtl w:val="true"/>
        </w:rPr>
        <w:t>أمّا الأخبار،</w:t>
      </w:r>
      <w:bookmarkEnd w:id="132"/>
    </w:p>
    <w:p>
      <w:pPr>
        <w:pStyle w:val="BookText"/>
        <w:rPr/>
      </w:pPr>
      <w:r>
        <w:rPr>
          <w:rFonts w:ascii="IRNazanin" w:hAnsi="IRNazanin" w:eastAsia="IRNazanin"/>
          <w:color w:val="111111"/>
          <w:sz w:val="28"/>
          <w:sz w:val="28"/>
          <w:szCs w:val="28"/>
          <w:rtl w:val="true"/>
          <w:lang w:bidi="fa-IR"/>
        </w:rPr>
        <w:t xml:space="preserve">فبما رواه أبو الجارود، 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النبیذ، أ خمر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 علی الترک جودة فهو خمر</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توقیع الصاحب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کثیره یسکر أو یغیّر، فقلیله و کثیره حرام</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السکونی عن علی علیه السّلام أنّه اتی بشارب الخمر فاستقرأه، فقرأ القرآن، فألقی رداءه فی أردیة الناس، فلم یخلّصه فحدّه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4327950_3804643083"/>
      <w:bookmarkStart w:id="134" w:name="_Toc50"/>
      <w:bookmarkEnd w:id="133"/>
      <w:r>
        <w:rPr>
          <w:rtl w:val="true"/>
        </w:rPr>
        <w:t>و أمّا العرف،</w:t>
      </w:r>
      <w:bookmarkEnd w:id="13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فیقسّمون السکر إلی مزیل العقل و غیر مزیل، و الفقهاء أیضا قسّموا ذلک، منه فی تزویج السکران نفسه </w:t>
      </w:r>
      <w:r>
        <w:rPr>
          <w:rStyle w:val="FootnoteAnchor"/>
          <w:rtl w:val="true"/>
        </w:rPr>
        <w:footnoteReference w:id="375"/>
      </w:r>
      <w:r>
        <w:rPr>
          <w:rFonts w:ascii="IRNazanin" w:hAnsi="IRNazanin" w:eastAsia="IRNazanin"/>
          <w:color w:val="111111"/>
          <w:sz w:val="28"/>
          <w:sz w:val="28"/>
          <w:szCs w:val="28"/>
          <w:rtl w:val="true"/>
          <w:lang w:bidi="fa-IR"/>
        </w:rPr>
        <w:t xml:space="preserve">و ربّما تری بعض السکرانین حرکاتهم و کلماتهم مضبوطة و شعورهم بحالة بحیث یکون الجاهل بحاله یعتقد عدم سکره، لکن تصدر منه اختلالات دقیقة یسیرة </w:t>
      </w:r>
      <w:r>
        <w:rPr>
          <w:rStyle w:val="FootnoteAnchor"/>
          <w:rtl w:val="true"/>
        </w:rPr>
        <w:footnoteReference w:id="376"/>
      </w:r>
      <w:r>
        <w:rPr>
          <w:rFonts w:ascii="IRNazanin" w:hAnsi="IRNazanin" w:eastAsia="IRNazanin"/>
          <w:color w:val="111111"/>
          <w:sz w:val="28"/>
          <w:sz w:val="28"/>
          <w:szCs w:val="28"/>
          <w:rtl w:val="true"/>
          <w:lang w:bidi="fa-IR"/>
        </w:rPr>
        <w:t>، و العارف بحاله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سکره</w:t>
      </w:r>
      <w:r>
        <w:rPr>
          <w:rFonts w:eastAsia="IRNazanin" w:cs="IRNazanin"/>
          <w:color w:val="111111"/>
          <w:sz w:val="28"/>
          <w:szCs w:val="28"/>
          <w:rtl w:val="true"/>
          <w:lang w:bidi="fa-IR"/>
        </w:rPr>
        <w:t>.</w:t>
      </w:r>
      <w:bookmarkStart w:id="135" w:name="pg2526_25460"/>
    </w:p>
    <w:p>
      <w:pPr>
        <w:pStyle w:val="BookText"/>
        <w:rPr/>
      </w:pPr>
      <w:bookmarkEnd w:id="1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Heading5"/>
        <w:numPr>
          <w:ilvl w:val="4"/>
          <w:numId w:val="1"/>
        </w:numPr>
        <w:rPr/>
      </w:pPr>
      <w:bookmarkStart w:id="136" w:name="__RefHeading___Toc4327952_3804643083"/>
      <w:bookmarkStart w:id="137" w:name="_Toc51"/>
      <w:bookmarkEnd w:id="136"/>
      <w:r>
        <w:rPr>
          <w:rtl w:val="true"/>
        </w:rPr>
        <w:t>[</w:t>
      </w:r>
      <w:r>
        <w:rPr>
          <w:rtl w:val="true"/>
        </w:rPr>
        <w:t>و أمّا اللغة،</w:t>
      </w:r>
      <w:r>
        <w:rPr>
          <w:rtl w:val="true"/>
        </w:rPr>
        <w:t>]</w:t>
      </w:r>
      <w:bookmarkEnd w:id="137"/>
    </w:p>
    <w:p>
      <w:pPr>
        <w:pStyle w:val="BookText"/>
        <w:rPr/>
      </w:pPr>
      <w:r>
        <w:rPr>
          <w:rFonts w:ascii="IRNazanin" w:hAnsi="IRNazanin" w:eastAsia="IRNazanin"/>
          <w:color w:val="111111"/>
          <w:sz w:val="28"/>
          <w:sz w:val="28"/>
          <w:szCs w:val="28"/>
          <w:rtl w:val="true"/>
          <w:lang w:bidi="fa-IR"/>
        </w:rPr>
        <w:t>فقال المفلح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الأصحاب فی تعریف السکر،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یحصل به اختلال الکلام المبطون و ظهور السرّ المکنون،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یغیّر العقل و یحصل معه نشوة و سرور و عربدة فإذا حصل مع ذلک تغییر الحواس الخمس فهو المرقد </w:t>
      </w:r>
      <w:r>
        <w:rPr>
          <w:rStyle w:val="FootnoteAnchor"/>
          <w:rtl w:val="true"/>
        </w:rPr>
        <w:footnoteReference w:id="377"/>
      </w:r>
      <w:r>
        <w:rPr>
          <w:rFonts w:ascii="IRNazanin" w:hAnsi="IRNazanin" w:eastAsia="IRNazanin"/>
          <w:color w:val="111111"/>
          <w:sz w:val="28"/>
          <w:sz w:val="28"/>
          <w:szCs w:val="28"/>
          <w:rtl w:val="true"/>
          <w:lang w:bidi="fa-IR"/>
        </w:rPr>
        <w:t xml:space="preserve">، و المعتمد صدق المسکر بکلّ واحد من هذه الأشیاء، فإذا غلا التمر أو الزبیب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أسفله أعلاه و حصل فیه القوّة المسکرة الّتی تفعل بالمزاج أحد هذه الأشیاء حرم، و إلّا فلا</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محقّق فی اللغة فی ترتیب السکر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شرب الإنسان فهو نشوان، و إذا </w:t>
      </w:r>
      <w:r>
        <w:rPr>
          <w:rStyle w:val="FootnoteAnchor"/>
          <w:rtl w:val="true"/>
        </w:rPr>
        <w:footnoteReference w:id="379"/>
      </w:r>
      <w:r>
        <w:rPr>
          <w:rFonts w:ascii="IRNazanin" w:hAnsi="IRNazanin" w:eastAsia="IRNazanin"/>
          <w:color w:val="111111"/>
          <w:sz w:val="28"/>
          <w:sz w:val="28"/>
          <w:szCs w:val="28"/>
          <w:rtl w:val="true"/>
          <w:lang w:bidi="fa-IR"/>
        </w:rPr>
        <w:t xml:space="preserve">دبّ فیه الشراب فهو ثمل، فإذا مرّ عقله فهو سکران </w:t>
      </w:r>
      <w:r>
        <w:rPr>
          <w:rStyle w:val="FootnoteAnchor"/>
          <w:rtl w:val="true"/>
        </w:rPr>
        <w:footnoteReference w:id="380"/>
      </w:r>
      <w:r>
        <w:rPr>
          <w:rFonts w:ascii="IRNazanin" w:hAnsi="IRNazanin" w:eastAsia="IRNazanin"/>
          <w:color w:val="111111"/>
          <w:sz w:val="28"/>
          <w:sz w:val="28"/>
          <w:szCs w:val="28"/>
          <w:rtl w:val="true"/>
          <w:lang w:bidi="fa-IR"/>
        </w:rPr>
        <w:t xml:space="preserve">، فإذا زاد امتلاء فهو سکران طافح، فإذا کان لا یتماسک و لا یتمالک فهو ملتحّ و ملطخ </w:t>
      </w:r>
      <w:r>
        <w:rPr>
          <w:rStyle w:val="FootnoteAnchor"/>
          <w:rtl w:val="true"/>
        </w:rPr>
        <w:footnoteReference w:id="381"/>
      </w:r>
      <w:r>
        <w:rPr>
          <w:rFonts w:ascii="IRNazanin" w:hAnsi="IRNazanin" w:eastAsia="IRNazanin"/>
          <w:color w:val="111111"/>
          <w:sz w:val="28"/>
          <w:sz w:val="28"/>
          <w:szCs w:val="28"/>
          <w:rtl w:val="true"/>
          <w:lang w:bidi="fa-IR"/>
        </w:rPr>
        <w:t>، و إذا کان لا یعقل شیئا من أمره و لا ینطلق لسانه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سکران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باب أوائل الأشیاء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النشوة أوّل السکر</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الانتشاء أوّل السکر و مقدّماته</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bookmarkStart w:id="138" w:name="pg2526_25461"/>
    </w:p>
    <w:p>
      <w:pPr>
        <w:pStyle w:val="BookText"/>
        <w:rPr/>
      </w:pPr>
      <w:bookmarkEnd w:id="1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Heading5"/>
        <w:numPr>
          <w:ilvl w:val="4"/>
          <w:numId w:val="1"/>
        </w:numPr>
        <w:rPr/>
      </w:pPr>
      <w:bookmarkStart w:id="139" w:name="__RefHeading___Toc4327954_3804643083"/>
      <w:bookmarkStart w:id="140" w:name="_Toc52"/>
      <w:bookmarkEnd w:id="139"/>
      <w:r>
        <w:rPr>
          <w:rtl w:val="true"/>
        </w:rPr>
        <w:t>و أمّا الأطبّاء،</w:t>
      </w:r>
      <w:bookmarkEnd w:id="140"/>
    </w:p>
    <w:p>
      <w:pPr>
        <w:pStyle w:val="BookText"/>
        <w:rPr/>
      </w:pPr>
      <w:r>
        <w:rPr>
          <w:rFonts w:ascii="IRNazanin" w:hAnsi="IRNazanin" w:eastAsia="IRNazanin"/>
          <w:color w:val="111111"/>
          <w:sz w:val="28"/>
          <w:sz w:val="28"/>
          <w:szCs w:val="28"/>
          <w:rtl w:val="true"/>
          <w:lang w:bidi="fa-IR"/>
        </w:rPr>
        <w:t>فقالوا فی مقدار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السرور بتردید </w:t>
      </w:r>
      <w:r>
        <w:rPr>
          <w:rStyle w:val="FootnoteAnchor"/>
          <w:rtl w:val="true"/>
        </w:rPr>
        <w:footnoteReference w:id="386"/>
      </w:r>
      <w:r>
        <w:rPr>
          <w:rFonts w:ascii="IRNazanin" w:hAnsi="IRNazanin" w:eastAsia="IRNazanin"/>
          <w:color w:val="111111"/>
          <w:sz w:val="28"/>
          <w:sz w:val="28"/>
          <w:szCs w:val="28"/>
          <w:rtl w:val="true"/>
          <w:lang w:bidi="fa-IR"/>
        </w:rPr>
        <w:t>و الحرکات نشیطة و الذهن سلیما، فلا تخف من إفراط الشرب</w:t>
      </w:r>
      <w:r>
        <w:rPr>
          <w:rFonts w:eastAsia="IRNazanin" w:cs="IRNazanin"/>
          <w:color w:val="111111"/>
          <w:sz w:val="28"/>
          <w:szCs w:val="28"/>
          <w:rtl w:val="true"/>
          <w:lang w:bidi="fa-IR"/>
        </w:rPr>
        <w:t>.</w:t>
      </w:r>
    </w:p>
    <w:p>
      <w:pPr>
        <w:pStyle w:val="Heading5"/>
        <w:numPr>
          <w:ilvl w:val="4"/>
          <w:numId w:val="1"/>
        </w:numPr>
        <w:rPr/>
      </w:pPr>
      <w:bookmarkStart w:id="141" w:name="__RefHeading___Toc4327956_3804643083"/>
      <w:bookmarkStart w:id="142" w:name="_Toc53"/>
      <w:bookmarkEnd w:id="141"/>
      <w:r>
        <w:rPr>
          <w:rtl w:val="true"/>
        </w:rPr>
        <w:t>و أمّا الاعتبار،</w:t>
      </w:r>
      <w:bookmarkEnd w:id="142"/>
    </w:p>
    <w:p>
      <w:pPr>
        <w:pStyle w:val="BookText"/>
        <w:rPr/>
      </w:pPr>
      <w:r>
        <w:rPr>
          <w:rFonts w:ascii="IRNazanin" w:hAnsi="IRNazanin" w:eastAsia="IRNazanin"/>
          <w:color w:val="111111"/>
          <w:sz w:val="28"/>
          <w:sz w:val="28"/>
          <w:szCs w:val="28"/>
          <w:rtl w:val="true"/>
          <w:lang w:bidi="fa-IR"/>
        </w:rPr>
        <w:t>فشارب المسکر الّذی یزیل العقل لا یزول عقله دفعة واحدة، بل یحسّ أوّلا بالتغیّر ثمَّ لا یزال یزداد حتّی یذهب، و لا شکّ أنّ هذا التغیّر من جملة السکر و أوّل درجته الضعیفة، و لا شکّ أنّ الشارع لا یرضی بهذا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التغیّر السکری کما یتفاوت درجاته بتفاوت الأزمنة، کذا یتفاوت بتفاوت الکمّیة و المقادیر، فإنّ الفنجان منه یحدث تغیّرا بحسب مقداره، فما زاد علی هذا المقدار فیزداد بحسب ازدیاده، و کذا یتفاوت بتفاوت الکیفیّة، فالخمر الردی‌ء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سکرا ضعیفا، فکلّما یکون أردأ فیکون السکر أضعف، و کلّما یکون أجود یکون السکر أزید و أشدّ علی تفاوت المراتب، و کذا یتفاوت سرعة و بطء</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مزاج العنب لا ینقلب إلی مزاج الخمر دفعة واحدة، و التغیّر منه إلیه لا یحصل بتمامه و کماله </w:t>
      </w:r>
      <w:r>
        <w:rPr>
          <w:rStyle w:val="FootnoteAnchor"/>
          <w:rtl w:val="true"/>
        </w:rPr>
        <w:footnoteReference w:id="387"/>
      </w:r>
      <w:r>
        <w:rPr>
          <w:rFonts w:ascii="IRNazanin" w:hAnsi="IRNazanin" w:eastAsia="IRNazanin"/>
          <w:color w:val="111111"/>
          <w:sz w:val="28"/>
          <w:sz w:val="28"/>
          <w:szCs w:val="28"/>
          <w:rtl w:val="true"/>
          <w:lang w:bidi="fa-IR"/>
        </w:rPr>
        <w:t>فی آن واحد، بل أوّلا یستعدّ لعروض شی‌ء من الحالة الخمریّة و بعده یحدث فیه من أثر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ضعیف لا یشعر به إلّا الحذّاق الماهرین </w:t>
      </w:r>
      <w:r>
        <w:rPr>
          <w:rStyle w:val="FootnoteAnchor"/>
          <w:rtl w:val="true"/>
        </w:rPr>
        <w:footnoteReference w:id="388"/>
      </w:r>
      <w:r>
        <w:rPr>
          <w:rFonts w:ascii="IRNazanin" w:hAnsi="IRNazanin" w:eastAsia="IRNazanin"/>
          <w:color w:val="111111"/>
          <w:sz w:val="28"/>
          <w:sz w:val="28"/>
          <w:szCs w:val="28"/>
          <w:rtl w:val="true"/>
          <w:lang w:bidi="fa-IR"/>
        </w:rPr>
        <w:t>فی فنّ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یزداد الأثر و یتقوّی إلی أن یزول المزاج العنبی و خاصّیاته بالمرّة و یکمل المراج الخمری و خاصّیاتها، ثمَّ لا یزال یزداد جودة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الکمال، هذا الشرب الریحانی،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أن یجعلوه شرابا آخر یدخلون فیه أدویة أخر و مغیّرات و مشدّدات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القول، لا مانع من أن یکون بالغلیان و النشیش ما یحدث فیه الدرجة الضعیفة من السکر، یعنی شیئا ضعیفا من أثره و إن لم یکن یسمّی فی العرف خمرا و لم یجعل داخلا فی جنسه، و یکون الشارع حرّم هذا لکونه درجة من درجات السکر و مرتبة من مراتبه و إن کانت ضعیفة غایة الضعف بحیث لا یحسّ به إلّا الحذّاق الماهرین </w:t>
      </w:r>
      <w:r>
        <w:rPr>
          <w:rStyle w:val="FootnoteAnchor"/>
          <w:rtl w:val="true"/>
        </w:rPr>
        <w:footnoteReference w:id="389"/>
      </w:r>
      <w:r>
        <w:rPr>
          <w:rFonts w:ascii="IRNazanin" w:hAnsi="IRNazanin" w:eastAsia="IRNazanin"/>
          <w:color w:val="111111"/>
          <w:sz w:val="28"/>
          <w:sz w:val="28"/>
          <w:szCs w:val="28"/>
          <w:rtl w:val="true"/>
          <w:lang w:bidi="fa-IR"/>
        </w:rPr>
        <w:t>فی الفنّ، کیف و هو حرّم القطرة و الذرّة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سکر أصلا حسما لمادّة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القطرة و الذرّة خمر لغة و عرفا، و ما ذکرت و احتملت من الأثر فلا یصدق علیه السکر عرفا، و المناط هو العرف و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مناط إذا لم یظهر من الشرع اصطلاح، کما هو المقرّر، و قد ظهر منه ما ظهر، و الفقهاء القدماء الخبیرون الفاضلون المعاصرون الشاهدون السالمون من الشبهات و الاجتهادات فهموا ما فهموا، و أفتوا بما أفتوا، و أجروا جمیع أحکام الخمر ما أجروا، و الرواة حین سألوا عن بدء تحریم الخمر و اتّخاذه فأجیبوا بحکایة الثلث و الثلاثین فقط، من دون تعرّض إلی أمر آخر، فسکتوا بمجرّد ذلک و قنعوا من دون تأمّل و لا تحیّر و لا 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غیر خفی أنّ المناط فی المقام لیس الصدق العرفی، بل ما هو أثر الخمر و عاقبتها و إن کان أثرا ضعیفا، و أدنی عاقبة منها، بل و لو علی سبیل الاحتمال أیضا، کما عرفت مفصّلا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تری أنّ الطبیب إذا قال 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یضرّک و یهلکک الخلّ و الأشیاء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الحامضة و کلّ حموضة و إن کان أدنی حموضة، یحترز المریض البتّة من العنب و الرطب، و غیرهما من الثمرات الحلوة، و الطبیخات و النقیعات و الأشربة، و غیر ذلک إذا حدث فیها حموضة ما بزیادة مکث أو حرارة هواء، و إن کان أدنی حموضة، و إن لم یصدق علیها أنّها خلّ و لا یصدق علیها أنّها حامضة، من کون حموضتها فی غایة الضعف، و الحلاوة و غیرها فی غایة القوّة، اللّهم إلّا أن یقول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الحلاوة تجرّ ضدّ الحموضة فلا بأس بالشرب، فلو صرّح بعدم الجرّ و بقاء الضرر فلا شکّ أنّه یحترز مثله و لا یلاحظ الصدق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علی المطّلع بالأخبار و التشدیدات و المضایقات الشرعیّة بالنسبة إلی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ما نبّهنا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السکر بأیّ درجة یکون لا یجبره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ما وجدنا من جرّب جمیع الأمزجة فوجد أنّه لا یحدث فی مزاج من الأمزجة درجة ضعیفة من السکر و لو بالإفراط من الشرب، بل ما الکلّ المنجرّ فی الجملة یتغیّر الدراکة، فلا عجب من أن یکون بإفراط الشرب هنا یتغیّر الدراکة، و یکون هذا من باب النشو و الخمار، و الأوّل من باب التجار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 بعد صدور ما صدر من الشارع و الفقهاء القدماء و رواه الأحادیث علی التفصیل الّذی نبّهنا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لدعوی الضرورة، سیّما مع عدم تجربة الأمزجة، و کون السکر متفاوت الدرجة، و غیر ذلک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ما ذکرنا محتمل، و إن لم یثبت، فلا وجه لادّعاء الضرورة و إثبات اللغة بذلک، و الطعن فی الأخبار و کلام القدماء، و الإعراض عنها بالنسبة إلی ما صدر فی العصیر العنبی، لأنّه غیر قابل للتوجیه، کما لا یخفی علی المنصف</w:t>
      </w:r>
      <w:r>
        <w:rPr>
          <w:rFonts w:eastAsia="IRNazanin" w:cs="IRNazanin"/>
          <w:color w:val="111111"/>
          <w:sz w:val="28"/>
          <w:szCs w:val="28"/>
          <w:rtl w:val="true"/>
          <w:lang w:bidi="fa-IR"/>
        </w:rPr>
        <w:t>.</w:t>
      </w:r>
      <w:bookmarkStart w:id="143" w:name="pg2526_25464"/>
    </w:p>
    <w:p>
      <w:pPr>
        <w:pStyle w:val="BookText"/>
        <w:rPr/>
      </w:pPr>
      <w:bookmarkEnd w:id="1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 علی تقدیر القابلیّة، فلا وجه للتوجیه و التأویل ثمَّ الطعن بأنّ الحکم بالنجاسة لا دلیل له، و کذا الحکم بوجوب حدّ الشرب، مع أنّ الثانی، مسلّم الکلّ، و الأوّل حکم به معظم الفحول و أکثر الفقهاء المتدیّنین الورعین المحتاطین فی الفتوی، سیّما القدماء الّذین فتواهم مقرون علی النصوص، و عارون عن الاجتهادات و الأقیسة</w:t>
      </w:r>
      <w:r>
        <w:rPr>
          <w:rFonts w:eastAsia="IRNazanin" w:cs="IRNazanin"/>
          <w:color w:val="111111"/>
          <w:sz w:val="28"/>
          <w:szCs w:val="28"/>
          <w:rtl w:val="true"/>
          <w:lang w:bidi="fa-IR"/>
        </w:rPr>
        <w:t>.</w:t>
      </w:r>
    </w:p>
    <w:p>
      <w:pPr>
        <w:pStyle w:val="Heading4"/>
        <w:numPr>
          <w:ilvl w:val="3"/>
          <w:numId w:val="1"/>
        </w:numPr>
        <w:rPr/>
      </w:pPr>
      <w:bookmarkStart w:id="144" w:name="__RefHeading___Toc4327958_3804643083"/>
      <w:bookmarkStart w:id="145" w:name="_Toc54"/>
      <w:bookmarkEnd w:id="144"/>
      <w:r>
        <w:rPr>
          <w:rtl w:val="true"/>
        </w:rPr>
        <w:t>و ممّا ذکرنا ظهر فساد باقی أدلّة هذا الفاضل،</w:t>
      </w:r>
      <w:bookmarkEnd w:id="145"/>
    </w:p>
    <w:p>
      <w:pPr>
        <w:pStyle w:val="Heading5"/>
        <w:numPr>
          <w:ilvl w:val="4"/>
          <w:numId w:val="1"/>
        </w:numPr>
        <w:rPr/>
      </w:pPr>
      <w:bookmarkStart w:id="146" w:name="__RefHeading___Toc4327960_3804643083"/>
      <w:bookmarkStart w:id="147" w:name="_Toc55"/>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 xml:space="preserve">إذ من </w:t>
      </w:r>
      <w:r>
        <w:rPr>
          <w:rStyle w:val="FootnoteAnchor"/>
          <w:rtl w:val="true"/>
        </w:rPr>
        <w:footnoteReference w:id="390"/>
      </w:r>
      <w:r>
        <w:rPr>
          <w:rFonts w:ascii="IRNazanin" w:hAnsi="IRNazanin" w:eastAsia="IRNazanin"/>
          <w:color w:val="111111"/>
          <w:sz w:val="28"/>
          <w:sz w:val="28"/>
          <w:szCs w:val="28"/>
          <w:rtl w:val="true"/>
          <w:lang w:bidi="fa-IR"/>
        </w:rPr>
        <w:t>جملة أدلّته الأخبار الواردة فی باب أصل تحریم الخمر مدّعیا ظهور انحصار حکایة ذهاب الثلاثین فی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الانحصار غیر ظاهر، إذ إثبات الشی‌ء لا ینفی ما عداه، مع أنّ فی بعض النسخ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النخلة</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 و هذا أیضا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فی الخبر الآخر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الکرم</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عیّن هذا فساد تلک النسخة، لأنّ الحکایتین فی منازعة نوح مع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نزاعه معه وقع فی التمر أیضا، کما وقع نزاعه مع آدم و حوّاء، حیث وقع فی التمر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کون الحکایتین لمحکی واحد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أن یکون نزاعه مع آدم و حوّاء أیضا کذلک، علی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نزاع نوح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أین ظهر الحصر فی العنب حتّی یدلّ أنّ الزبیب لیس کذلک</w:t>
      </w:r>
      <w:r>
        <w:rPr>
          <w:rFonts w:eastAsia="IRNazanin" w:cs="IRNazanin"/>
          <w:color w:val="111111"/>
          <w:sz w:val="28"/>
          <w:szCs w:val="28"/>
          <w:rtl w:val="true"/>
          <w:lang w:bidi="fa-IR"/>
        </w:rPr>
        <w:t>.</w:t>
      </w:r>
      <w:bookmarkStart w:id="148" w:name="pg2526_25465"/>
    </w:p>
    <w:p>
      <w:pPr>
        <w:pStyle w:val="BookText"/>
        <w:rPr/>
      </w:pPr>
      <w:bookmarkEnd w:id="1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الخبرین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أخذت عصیرا فاطبخه حتّی یذهب الثلثان</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یستدلّ بهذه الأخبار علی انحصار إطلاق العصیر فی العنب، فما ذکرت </w:t>
      </w:r>
      <w:r>
        <w:rPr>
          <w:rStyle w:val="FootnoteAnchor"/>
          <w:rtl w:val="true"/>
        </w:rPr>
        <w:footnoteReference w:id="394"/>
      </w:r>
      <w:r>
        <w:rPr>
          <w:rFonts w:ascii="IRNazanin" w:hAnsi="IRNazanin" w:eastAsia="IRNazanin"/>
          <w:color w:val="111111"/>
          <w:sz w:val="28"/>
          <w:sz w:val="28"/>
          <w:szCs w:val="28"/>
          <w:rtl w:val="true"/>
          <w:lang w:bidi="fa-IR"/>
        </w:rPr>
        <w:t xml:space="preserve">یصیر دورا واضحا، مع أنّ فی کونه قرینة أیضا تأمّلا </w:t>
      </w:r>
      <w:r>
        <w:rPr>
          <w:rStyle w:val="FootnoteAnchor"/>
          <w:rtl w:val="true"/>
        </w:rPr>
        <w:footnoteReference w:id="39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 منازعة آدم علیه السّلام بلفظ العنب، فهو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نزاع آدم یصیر قرینة لما فی نزاع نوح، و لا یصیر قرینة لما فی نزاع نفسه و حوّاء، کما ورد فی روایة إبراهیم </w:t>
      </w:r>
      <w:r>
        <w:rPr>
          <w:rStyle w:val="FootnoteAnchor"/>
          <w:rtl w:val="true"/>
        </w:rPr>
        <w:footnoteReference w:id="396"/>
      </w:r>
      <w:r>
        <w:rPr>
          <w:rFonts w:ascii="IRNazanin" w:hAnsi="IRNazanin" w:eastAsia="IRNazanin"/>
          <w:color w:val="111111"/>
          <w:sz w:val="28"/>
          <w:sz w:val="28"/>
          <w:szCs w:val="28"/>
          <w:rtl w:val="true"/>
          <w:lang w:bidi="fa-IR"/>
        </w:rPr>
        <w:t>ممّا ذکره بحکم واضح، کما لا یخفی</w:t>
      </w:r>
      <w:r>
        <w:rPr>
          <w:rFonts w:eastAsia="IRNazanin" w:cs="IRNazanin"/>
          <w:color w:val="111111"/>
          <w:sz w:val="28"/>
          <w:szCs w:val="28"/>
          <w:rtl w:val="true"/>
          <w:lang w:bidi="fa-IR"/>
        </w:rPr>
        <w:t>.</w:t>
      </w:r>
    </w:p>
    <w:p>
      <w:pPr>
        <w:pStyle w:val="Heading5"/>
        <w:numPr>
          <w:ilvl w:val="4"/>
          <w:numId w:val="1"/>
        </w:numPr>
        <w:rPr/>
      </w:pPr>
      <w:bookmarkStart w:id="149" w:name="__RefHeading___Toc4327962_3804643083"/>
      <w:bookmarkStart w:id="150" w:name="_Toc56"/>
      <w:bookmarkEnd w:id="149"/>
      <w:r>
        <w:rPr>
          <w:rtl w:val="true"/>
        </w:rPr>
        <w:t>و من أدلّته،</w:t>
      </w:r>
      <w:bookmarkEnd w:id="150"/>
    </w:p>
    <w:p>
      <w:pPr>
        <w:pStyle w:val="BookText"/>
        <w:rPr/>
      </w:pPr>
      <w:r>
        <w:rPr>
          <w:rFonts w:ascii="IRNazanin" w:hAnsi="IRNazanin" w:eastAsia="IRNazanin"/>
          <w:color w:val="111111"/>
          <w:sz w:val="28"/>
          <w:sz w:val="28"/>
          <w:szCs w:val="28"/>
          <w:rtl w:val="true"/>
          <w:lang w:bidi="fa-IR"/>
        </w:rPr>
        <w:t>أنّهم علیهم السّلام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لمن سأل عن حکم النبیذ </w:t>
      </w:r>
      <w:r>
        <w:rPr>
          <w:rStyle w:val="FootnoteAnchor"/>
          <w:rtl w:val="true"/>
        </w:rPr>
        <w:footnoteReference w:id="397"/>
      </w:r>
      <w:r>
        <w:rPr>
          <w:rFonts w:ascii="IRNazanin" w:hAnsi="IRNazanin" w:eastAsia="IRNazanin"/>
          <w:color w:val="111111"/>
          <w:sz w:val="28"/>
          <w:sz w:val="28"/>
          <w:szCs w:val="28"/>
          <w:rtl w:val="true"/>
          <w:lang w:bidi="fa-IR"/>
        </w:rPr>
        <w:t>، زعما منه أنّ النبیذ هو مجرّد ماء التمر فیخصّص الحرمة بالتمر، و قد عرفت ما فیه</w:t>
      </w:r>
      <w:r>
        <w:rPr>
          <w:rFonts w:eastAsia="IRNazanin" w:cs="IRNazanin"/>
          <w:color w:val="111111"/>
          <w:sz w:val="28"/>
          <w:szCs w:val="28"/>
          <w:rtl w:val="true"/>
          <w:lang w:bidi="fa-IR"/>
        </w:rPr>
        <w:t>.</w:t>
      </w:r>
    </w:p>
    <w:p>
      <w:pPr>
        <w:pStyle w:val="Heading5"/>
        <w:numPr>
          <w:ilvl w:val="4"/>
          <w:numId w:val="1"/>
        </w:numPr>
        <w:rPr/>
      </w:pPr>
      <w:bookmarkStart w:id="151" w:name="__RefHeading___Toc4327964_3804643083"/>
      <w:bookmarkStart w:id="152" w:name="_Toc57"/>
      <w:bookmarkEnd w:id="151"/>
      <w:r>
        <w:rPr>
          <w:rtl w:val="true"/>
        </w:rPr>
        <w:t>و منها،</w:t>
      </w:r>
      <w:bookmarkEnd w:id="152"/>
    </w:p>
    <w:p>
      <w:pPr>
        <w:pStyle w:val="BookText"/>
        <w:rPr/>
      </w:pPr>
      <w:r>
        <w:rPr>
          <w:rFonts w:ascii="IRNazanin" w:hAnsi="IRNazanin" w:eastAsia="IRNazanin"/>
          <w:color w:val="111111"/>
          <w:sz w:val="28"/>
          <w:sz w:val="28"/>
          <w:szCs w:val="28"/>
          <w:rtl w:val="true"/>
          <w:lang w:bidi="fa-IR"/>
        </w:rPr>
        <w:t>روایة یزید بن خلیفة أنّ غلامه کان یشرب النبیذ و یشرب بمشارکته، فقال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 شرابک هذا الّذی تشربه، فإن کان یسکر کثیرة فلا تقرّبن قلیله، فإنّ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أسکر کثیره فقلیله حرام</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مبنی أیضا علی ذلک الزعم، و قد عرفت فساده، مع أنّ فی المقام قرینة علی أنّ الّذی کانوا یشربونه فی تداعیهم</w:t>
      </w:r>
      <w:bookmarkStart w:id="153" w:name="pg2526_25466"/>
    </w:p>
    <w:p>
      <w:pPr>
        <w:pStyle w:val="BookText"/>
        <w:rPr/>
      </w:pPr>
      <w:bookmarkEnd w:id="1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هو المسکر المعهود، لأنّه هو الّذی یشرب فی مقام العیش و السرور، و ینبّه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لم یستفصل من یزید أنّ نبیذهم هل هو من المسکر أم لا، فلعلّه لم یکن من المسکر و لم یحتج إلی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لا خفاء فی أنّ نبیذهم کان مسکرا، فالشرط وارد مورد العادة، و مثله لم یکن له مفهوم حجّة، و أحتمل أن یکون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مثل 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قول اللّه صدقا فکذا، أو یکون شرطهم مقصورا فی القلیل، بناء علی أنّ کثیرة یسکر و کانوا یحترزون عن السکر، و یظهر ذلک من الأخبار المتعدّدة فیها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أنّه بعد ما نقل الصادق علیه السّلام قول الرسول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عندنا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بذلک القدح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یسکر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الحدیث، و 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السرّ فی أنّ الأکثر </w:t>
      </w:r>
      <w:r>
        <w:rPr>
          <w:rStyle w:val="FootnoteAnchor"/>
          <w:rtl w:val="true"/>
        </w:rPr>
        <w:footnoteReference w:id="401"/>
      </w:r>
      <w:r>
        <w:rPr>
          <w:rFonts w:ascii="IRNazanin" w:hAnsi="IRNazanin" w:eastAsia="IRNazanin"/>
          <w:color w:val="111111"/>
          <w:sz w:val="28"/>
          <w:sz w:val="28"/>
          <w:szCs w:val="28"/>
          <w:rtl w:val="true"/>
          <w:lang w:bidi="fa-IR"/>
        </w:rPr>
        <w:t>تعرّضوا لهذا المعنی من دون منشأ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لکن المفهوم لا عموم له عند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فرق بین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یسکر فلا تشرب، و إن کان کثیره یسکر فلا تشرب قلیله</w:t>
      </w:r>
      <w:r>
        <w:rPr>
          <w:rFonts w:eastAsia="IRNazanin" w:cs="IRNazanin"/>
          <w:color w:val="111111"/>
          <w:sz w:val="28"/>
          <w:szCs w:val="28"/>
          <w:rtl w:val="true"/>
          <w:lang w:bidi="fa-IR"/>
        </w:rPr>
        <w:t>.</w:t>
      </w:r>
    </w:p>
    <w:p>
      <w:pPr>
        <w:pStyle w:val="Heading5"/>
        <w:numPr>
          <w:ilvl w:val="4"/>
          <w:numId w:val="1"/>
        </w:numPr>
        <w:rPr/>
      </w:pPr>
      <w:bookmarkStart w:id="154" w:name="__RefHeading___Toc4327966_3804643083"/>
      <w:bookmarkStart w:id="155" w:name="_Toc58"/>
      <w:bookmarkEnd w:id="154"/>
      <w:r>
        <w:rPr>
          <w:rtl w:val="true"/>
        </w:rPr>
        <w:t>و من أدلّته،</w:t>
      </w:r>
      <w:bookmarkEnd w:id="15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وفد الیمن حین بعثوا جمعا منهم، فسألوا رسول اللّه صلّی اللّه علیه و آله عن النبیذ،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ماء التمر فیطبخ فإذا انطبخ القوة فی إناء آخر </w:t>
      </w:r>
      <w:r>
        <w:rPr>
          <w:rStyle w:val="FootnoteAnchor"/>
          <w:rtl w:val="true"/>
        </w:rPr>
        <w:footnoteReference w:id="402"/>
      </w:r>
      <w:r>
        <w:rPr>
          <w:rFonts w:ascii="Amiri" w:hAnsi="Amiri" w:eastAsia="Amiri" w:cs="Amiri"/>
          <w:color w:val="111111"/>
          <w:sz w:val="28"/>
          <w:sz w:val="28"/>
          <w:szCs w:val="28"/>
          <w:rtl w:val="true"/>
          <w:lang w:bidi="ar-SA"/>
        </w:rPr>
        <w:t>و صفّوه ثمَّ یصبّ علیه من عکر ما کان قبله، ثمَّ یهدر و یغلی، ثمَّ یسکن علی عکره،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أکثرت علیّ أ فیسکر؟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رجع الوفد إلیه صلّی اللّه علیه و آله فسألوه مشافهة فکان السؤال و الجواب علی طبق السابق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واضحة الدلالة علی إباحة ما مسّه النار، لاشتمالها علی استفصال، و قصر التحریم فیها علی المسکر، مع أنّ المقام یقتضی شدّة الحاجة إلی بیان ما یحتاجون إلیه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رحمه اللّه اعترض علی روایة عمّار بأنّه فطحی، مع أنّ الروایة موثّقة، و نقل الشیخ إجماع الشیعة علی العمل بروایته </w:t>
      </w:r>
      <w:r>
        <w:rPr>
          <w:rStyle w:val="FootnoteAnchor"/>
          <w:rtl w:val="true"/>
        </w:rPr>
        <w:footnoteReference w:id="405"/>
      </w:r>
      <w:r>
        <w:rPr>
          <w:rFonts w:ascii="IRNazanin" w:hAnsi="IRNazanin" w:eastAsia="IRNazanin"/>
          <w:color w:val="111111"/>
          <w:sz w:val="28"/>
          <w:sz w:val="28"/>
          <w:szCs w:val="28"/>
          <w:rtl w:val="true"/>
          <w:lang w:bidi="fa-IR"/>
        </w:rPr>
        <w:t>، و یری الأمر کذلک، إذ لا یکاد یوجد باب من أبواب الفقه إلّا و عملوا بروایته، بل و رجّحوا علی روایات غیره، بل و ربّما کانت صحیحة، و مع ذلک استدلّ بمثل هذه الروایة مع کونها فی غایة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هذه الحکایة علی ما نقله العامّة </w:t>
      </w:r>
      <w:r>
        <w:rPr>
          <w:rStyle w:val="FootnoteAnchor"/>
          <w:rtl w:val="true"/>
        </w:rPr>
        <w:footnoteReference w:id="406"/>
      </w:r>
      <w:r>
        <w:rPr>
          <w:rFonts w:ascii="IRNazanin" w:hAnsi="IRNazanin" w:eastAsia="IRNazanin"/>
          <w:color w:val="111111"/>
          <w:sz w:val="28"/>
          <w:sz w:val="28"/>
          <w:szCs w:val="28"/>
          <w:rtl w:val="true"/>
          <w:lang w:bidi="fa-IR"/>
        </w:rPr>
        <w:t xml:space="preserve">و ذکره مشایخنا فی القدماء من مثل المرتضی رحمه اللّه </w:t>
      </w:r>
      <w:r>
        <w:rPr>
          <w:rStyle w:val="FootnoteAnchor"/>
          <w:rtl w:val="true"/>
        </w:rPr>
        <w:footnoteReference w:id="407"/>
      </w:r>
      <w:r>
        <w:rPr>
          <w:rFonts w:ascii="IRNazanin" w:hAnsi="IRNazanin" w:eastAsia="IRNazanin"/>
          <w:color w:val="111111"/>
          <w:sz w:val="28"/>
          <w:sz w:val="28"/>
          <w:szCs w:val="28"/>
          <w:rtl w:val="true"/>
          <w:lang w:bidi="fa-IR"/>
        </w:rPr>
        <w:t xml:space="preserve">، و کذا المتأخّرین من قبیل ابن الجمهور </w:t>
      </w:r>
      <w:r>
        <w:rPr>
          <w:rStyle w:val="FootnoteAnchor"/>
          <w:rtl w:val="true"/>
        </w:rPr>
        <w:footnoteReference w:id="408"/>
      </w:r>
      <w:r>
        <w:rPr>
          <w:rFonts w:ascii="IRNazanin" w:hAnsi="IRNazanin" w:eastAsia="IRNazanin"/>
          <w:color w:val="111111"/>
          <w:sz w:val="28"/>
          <w:sz w:val="28"/>
          <w:szCs w:val="28"/>
          <w:rtl w:val="true"/>
          <w:lang w:bidi="fa-IR"/>
        </w:rPr>
        <w:t xml:space="preserve">إنّما هی فی شراب الذرّة، و یشیر إلیه ملاحظة حال الیمن </w:t>
      </w:r>
      <w:r>
        <w:rPr>
          <w:rStyle w:val="FootnoteAnchor"/>
          <w:rtl w:val="true"/>
        </w:rPr>
        <w:footnoteReference w:id="409"/>
      </w:r>
      <w:r>
        <w:rPr>
          <w:rFonts w:ascii="IRNazanin" w:hAnsi="IRNazanin" w:eastAsia="IRNazanin"/>
          <w:color w:val="111111"/>
          <w:sz w:val="28"/>
          <w:sz w:val="28"/>
          <w:szCs w:val="28"/>
          <w:rtl w:val="true"/>
          <w:lang w:bidi="fa-IR"/>
        </w:rPr>
        <w:t>من کون شرابهم من الذرّة، لأنّها الغالب التحقّق، فلعلّ أنّ أحدا من الرواة توهّم ذلک موضع هذا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 من ثبوت عدم السکر أصلا و رأسا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حسب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السائل و إن کان سأل عن المطبوع إلّا أنّه بعد کان مشغولا فی تتمّة الوصف، ما کان له أن یبادر بالجواب، لأنّ الطبخ ربّما یومی إلی کمال طبخ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السائل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یلقی علیه من العکر و یهدر و یغلی و یسکن علی عکره، فهم أنّ سؤالهم عن المسکر، کما فهم سائر الأئمّة علیهم السّلام فی أحادیث کثیرة من هذه العبارات ذلک، و لذا بادروا بالحکم بالحرمة من دون تأمّل و لا استفصال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استفهامه صلّی اللّه علیه و آله و سلّم استفهام تقریری، یومئ إلی ذلک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أکثرت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أنّه لا إکثار فی مقام التوصیف، لتوقّفه علی إتمام الصفات، بل مراده صلّی اللّه علیه و آله و سلّم أنّ من العبارات الأخیرة ظهر أنّ ما ذکرت مسکر فهلّا ذکرت أوّلا بأنّه مسکر و استغنیت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التطویل </w:t>
      </w:r>
      <w:r>
        <w:rPr>
          <w:rStyle w:val="FootnoteAnchor"/>
          <w:rtl w:val="true"/>
        </w:rPr>
        <w:footnoteReference w:id="411"/>
      </w:r>
      <w:r>
        <w:rPr>
          <w:rFonts w:ascii="IRNazanin" w:hAnsi="IRNazanin" w:eastAsia="IRNazanin"/>
          <w:color w:val="111111"/>
          <w:sz w:val="28"/>
          <w:sz w:val="28"/>
          <w:szCs w:val="28"/>
          <w:rtl w:val="true"/>
          <w:lang w:bidi="fa-IR"/>
        </w:rPr>
        <w:t xml:space="preserve">؟ و یمکن أن یکون سؤاله صلّی اللّه علیه و آله و سلّم من جهة أنّ العبارة و إن کان ظاهرا إلّا أنّ التصریح أولی، و یمکن أن یکون العبارة غیر ظاهرة لکن لمّا کانت موهمة لذلک سأل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أنّه قد ذکر العامّة عن الرسول حکایة عدم 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مکثه </w:t>
      </w:r>
      <w:r>
        <w:rPr>
          <w:rStyle w:val="FootnoteAnchor"/>
          <w:rtl w:val="true"/>
        </w:rPr>
        <w:footnoteReference w:id="413"/>
      </w:r>
      <w:r>
        <w:rPr>
          <w:rFonts w:ascii="IRNazanin" w:hAnsi="IRNazanin" w:eastAsia="IRNazanin"/>
          <w:color w:val="111111"/>
          <w:sz w:val="28"/>
          <w:sz w:val="28"/>
          <w:szCs w:val="28"/>
          <w:rtl w:val="true"/>
          <w:lang w:bidi="fa-IR"/>
        </w:rPr>
        <w:t>، و قد أشرنا إلی نبیذ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العبّاس أیضا فی سقایة زمزم ینبذ بالغداة و یشرب بالعشیّ، کلّ ذلک قد أشیر إلیها، فرسول اللّه أولی بالمعرفة، بل الظاهر أنّ فعل العبّاس بأمر الرسول صلّی اللّه علیه و آله و سلّم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لعلّه لا خفاء فی أنّه صلّی اللّه علیه و آله و سلّم کان یعرف أنّ النبیذ منه حلال و منه</w:t>
      </w:r>
      <w:bookmarkStart w:id="156" w:name="pg2526_25469"/>
    </w:p>
    <w:p>
      <w:pPr>
        <w:pStyle w:val="BookText"/>
        <w:rPr/>
      </w:pPr>
      <w:bookmarkEnd w:id="1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حرام، و غرضه صلّی اللّه علیه و آله و سلّم من السؤال عن الوصف استعلام أنّ مسؤولهم هل هو من الحرام أو الحلال، فلمّا عرف أنّه من الحرام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یسکر؟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ینادی إلی ما ذکرنا، إتیانه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همزة الاستفهام،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فیسکر؟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یسکر؟،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أنّهم لم یسألوا عن حکم ماء التمر، بل سألوا عن حکم ما هو مسکر، فأجابهم بما احتاجوا إلیه فی الحال</w:t>
      </w:r>
      <w:r>
        <w:rPr>
          <w:rFonts w:eastAsia="IRNazanin" w:cs="IRNazanin"/>
          <w:color w:val="111111"/>
          <w:sz w:val="28"/>
          <w:szCs w:val="28"/>
          <w:rtl w:val="true"/>
          <w:lang w:bidi="fa-IR"/>
        </w:rPr>
        <w:t>.</w:t>
      </w:r>
    </w:p>
    <w:p>
      <w:pPr>
        <w:pStyle w:val="Heading5"/>
        <w:numPr>
          <w:ilvl w:val="4"/>
          <w:numId w:val="1"/>
        </w:numPr>
        <w:rPr/>
      </w:pPr>
      <w:bookmarkStart w:id="157" w:name="__RefHeading___Toc4327968_3804643083"/>
      <w:bookmarkStart w:id="158" w:name="_Toc59"/>
      <w:bookmarkEnd w:id="157"/>
      <w:r>
        <w:rPr>
          <w:rtl w:val="true"/>
        </w:rPr>
        <w:t>و من جملة أدلّته،</w:t>
      </w:r>
      <w:bookmarkEnd w:id="158"/>
    </w:p>
    <w:p>
      <w:pPr>
        <w:pStyle w:val="BookText"/>
        <w:rPr/>
      </w:pPr>
      <w:r>
        <w:rPr>
          <w:rFonts w:ascii="IRNazanin" w:hAnsi="IRNazanin" w:eastAsia="IRNazanin"/>
          <w:color w:val="111111"/>
          <w:sz w:val="28"/>
          <w:sz w:val="28"/>
          <w:szCs w:val="28"/>
          <w:rtl w:val="true"/>
          <w:lang w:bidi="fa-IR"/>
        </w:rPr>
        <w:t xml:space="preserve">روایة مولی جریر بن یزید أنّه سأل الصادق علیه السّلام </w:t>
      </w:r>
      <w:r>
        <w:rPr>
          <w:rStyle w:val="FootnoteAnchor"/>
          <w:rtl w:val="true"/>
        </w:rPr>
        <w:footnoteReference w:id="4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أصنع الأشربة من العسل و غیره، فإنّهم یکلّفونی صنعها </w:t>
      </w:r>
      <w:r>
        <w:rPr>
          <w:rStyle w:val="FootnoteAnchor"/>
          <w:rtl w:val="true"/>
        </w:rPr>
        <w:footnoteReference w:id="416"/>
      </w:r>
      <w:r>
        <w:rPr>
          <w:rFonts w:ascii="IRNazanin" w:hAnsi="IRNazanin" w:eastAsia="IRNazanin"/>
          <w:color w:val="111111"/>
          <w:sz w:val="28"/>
          <w:sz w:val="28"/>
          <w:szCs w:val="28"/>
          <w:rtl w:val="true"/>
          <w:lang w:bidi="fa-IR"/>
        </w:rPr>
        <w:t>، فأصنعها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اصنعها و ادفعها إلیهم، و هی حلال من قبل أن تصیر مسکرا</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حکایة السند علی حسب ما ذکرنا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یکلّفونی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العامّة، کما لا یخفی علی المدرک فی الحدیث، و ظاهر أنّهم کانوا یریدون منه الشراب المسکر، و لهذا سأل المعصوم علیه السّلام أنّه هل یصنعها لهم أم لا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یشیر إلیه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تصیر مسکرا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فالمقام مقام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إنفاد و لعنة أولا، فالإعانة فی الإثم حرام، و هم علیهم السّلام کانوا یضایقون عمّا زاد مکثه عن یوم من جهة خوف السکر، و قد قلنا محتمل السکر بما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 أیضا أنّهم حرّموا ما لم یعلم هل ذهب ثلثاه أم لا من الأشربة فی أخبار صحیحة واضحة السند و الدلالة، مفتی بمضمونها معمول بها، و الدفع قبل السکر لعلّة ممدوحة، مثل غسل الرجلین موضع مسح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احتمال کون المراد من السکر ما یشمل ما نحن فیه، علی حسب ما مرّ مشروحا من الأخبار، و کلام الفقهاء و حال الرواة، فما هو جوابکم هناک فهو الجواب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صنعة تلک الأشربة غیر معروفة، فلعلّه یتحقّق فیها ذهاب الثلاثین و السکر بعد ذلک، کما وقع التصریح بذلک فی خبر شراب المیبة </w:t>
      </w:r>
      <w:r>
        <w:rPr>
          <w:rStyle w:val="FootnoteAnchor"/>
          <w:rtl w:val="true"/>
        </w:rPr>
        <w:footnoteReference w:id="418"/>
      </w:r>
      <w:r>
        <w:rPr>
          <w:rFonts w:ascii="IRNazanin" w:hAnsi="IRNazanin" w:eastAsia="IRNazanin"/>
          <w:color w:val="111111"/>
          <w:sz w:val="28"/>
          <w:sz w:val="28"/>
          <w:szCs w:val="28"/>
          <w:rtl w:val="true"/>
          <w:lang w:bidi="fa-IR"/>
        </w:rPr>
        <w:t xml:space="preserve">، و قد ظهر فی أی أدلّتنا </w:t>
      </w:r>
      <w:r>
        <w:rPr>
          <w:rStyle w:val="FootnoteAnchor"/>
          <w:rtl w:val="true"/>
        </w:rPr>
        <w:footnoteReference w:id="419"/>
      </w:r>
      <w:r>
        <w:rPr>
          <w:rFonts w:ascii="IRNazanin" w:hAnsi="IRNazanin" w:eastAsia="IRNazanin"/>
          <w:color w:val="111111"/>
          <w:sz w:val="28"/>
          <w:sz w:val="28"/>
          <w:szCs w:val="28"/>
          <w:rtl w:val="true"/>
          <w:lang w:bidi="fa-IR"/>
        </w:rPr>
        <w:t>أنّ غیر شراب المیبة أیضا کذلک، فلا 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الأشربة شاملة لشراب العنب، فما هو جوابکم فیه فهو جوابنا، إلّا أن یدّعی أنّ الظاهر من لفظ الشراب انصرافه إلی غیر العنبی، فعلی هذا یلزمه الحکم بحرمة التمری و الزبیبی عند عدم ذهاب الثلاثین بالغلیان، لأنّ الأخبار الدالّة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الشمول للعنبی أیضا یلزمکم هذا القول، کما ذکرنا فی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ذلک بالدلیل و بقی الباقی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مشترک، لما مرّ من الأدلة، و لا یجب أن یکون المخرج هو الإجماع، مع أنّ التوجیه غیر منحصر فی ذلک، إذ قد عرفت الحال</w:t>
      </w:r>
      <w:r>
        <w:rPr>
          <w:rFonts w:eastAsia="IRNazanin" w:cs="IRNazanin"/>
          <w:color w:val="111111"/>
          <w:sz w:val="28"/>
          <w:szCs w:val="28"/>
          <w:rtl w:val="true"/>
          <w:lang w:bidi="fa-IR"/>
        </w:rPr>
        <w:t>.</w:t>
      </w:r>
      <w:bookmarkStart w:id="159" w:name="pg2526_25471"/>
    </w:p>
    <w:p>
      <w:pPr>
        <w:pStyle w:val="BookText"/>
        <w:rPr/>
      </w:pPr>
      <w:bookmarkEnd w:id="1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مضافا إلی أنّه یمکن الحمل علی عدم تحقّق غلیان أصلا بأنّه کان المعهود فی الأشربة المسکرة المعمولة عند العامّة ذلک، و ما ورد من أنّ التمر و الزبیب یطبخان للنبیذ لا یعلم منه، إذ لعلّ الأشربة اصطلاح أمر مغایر للنبیذ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یصلح طبخهما للنبیذ إن اختیر ذلک؟ لا أنّه الشائع المعهود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حکایة الغلیان الّذی یکون قبل ذهاب الثلاثین غیر مذکورة فی الروایة أصلا، فالاستدلال مبنی علی ادّعاء کون ذلک شائعا أو فردا من الشائع لا أقلّ، و من أین ثبت حتّی یصحّ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الثبوت یمکن الحمل علی غیره، لما عرفت من أنّه لا بدّ من 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إطلاق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یسکر، ممّا یرجع إلی العموم، لو لم یکن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منضما به، فلعلّه قید مقدّم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نظیره ما ورد فی بیع العصیر قبل أن یغلی إذا بعته قبل أن یکون خمرا و هو حلال فلا بأس </w:t>
      </w:r>
      <w:r>
        <w:rPr>
          <w:rStyle w:val="FootnoteAnchor"/>
          <w:rtl w:val="true"/>
        </w:rPr>
        <w:footnoteReference w:id="420"/>
      </w:r>
      <w:r>
        <w:rPr>
          <w:rFonts w:ascii="IRNazanin" w:hAnsi="IRNazanin" w:eastAsia="IRNazanin"/>
          <w:color w:val="111111"/>
          <w:sz w:val="28"/>
          <w:sz w:val="28"/>
          <w:szCs w:val="28"/>
          <w:rtl w:val="true"/>
          <w:lang w:bidi="fa-IR"/>
        </w:rPr>
        <w:t>، کما ذکرنا، فإن جعلت المراد من الخمر العصیر الغالی فالأمر فیما نحن فیه کذلک، و إن جعلته الخمر المعهود المتعارف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فالأمر فیما نحن فیه أیضا کذلک</w:t>
      </w:r>
      <w:r>
        <w:rPr>
          <w:rFonts w:eastAsia="IRNazanin" w:cs="IRNazanin"/>
          <w:color w:val="111111"/>
          <w:sz w:val="28"/>
          <w:szCs w:val="28"/>
          <w:rtl w:val="true"/>
          <w:lang w:bidi="fa-IR"/>
        </w:rPr>
        <w:t>.</w:t>
      </w:r>
    </w:p>
    <w:p>
      <w:pPr>
        <w:pStyle w:val="Heading5"/>
        <w:numPr>
          <w:ilvl w:val="4"/>
          <w:numId w:val="1"/>
        </w:numPr>
        <w:rPr/>
      </w:pPr>
      <w:bookmarkStart w:id="160" w:name="__RefHeading___Toc4327970_3804643083"/>
      <w:bookmarkStart w:id="161" w:name="_Toc60"/>
      <w:bookmarkEnd w:id="160"/>
      <w:r>
        <w:rPr>
          <w:rtl w:val="true"/>
        </w:rPr>
        <w:t>و من أدلّته،</w:t>
      </w:r>
      <w:bookmarkEnd w:id="161"/>
    </w:p>
    <w:p>
      <w:pPr>
        <w:pStyle w:val="BookText"/>
        <w:rPr/>
      </w:pPr>
      <w:r>
        <w:rPr>
          <w:rFonts w:ascii="Amiri" w:hAnsi="Amiri" w:eastAsia="Amiri" w:cs="Amiri"/>
          <w:color w:val="111111"/>
          <w:sz w:val="28"/>
          <w:sz w:val="28"/>
          <w:szCs w:val="28"/>
          <w:rtl w:val="true"/>
          <w:lang w:bidi="ar-SA"/>
        </w:rPr>
        <w:t xml:space="preserve">ما ورد من أنّ الرسول صلّی اللّه علیه و آله و سلّم حرّم من الأشربة کلّ مسکر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اللقب لیس بحجّة عند 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لکن لا عموم للمفهوم، سیّما مثل هذا المفهوم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لکن لیس بحیث تعارض أدلّتنا</w:t>
      </w:r>
      <w:r>
        <w:rPr>
          <w:rFonts w:eastAsia="IRNazanin" w:cs="IRNazanin"/>
          <w:color w:val="111111"/>
          <w:sz w:val="28"/>
          <w:szCs w:val="28"/>
          <w:rtl w:val="true"/>
          <w:lang w:bidi="fa-IR"/>
        </w:rPr>
        <w:t>.</w:t>
      </w:r>
      <w:bookmarkStart w:id="162" w:name="pg2526_25472"/>
    </w:p>
    <w:p>
      <w:pPr>
        <w:pStyle w:val="BookText"/>
        <w:rPr/>
      </w:pPr>
      <w:bookmarkEnd w:id="1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Heading5"/>
        <w:numPr>
          <w:ilvl w:val="4"/>
          <w:numId w:val="1"/>
        </w:numPr>
        <w:rPr/>
      </w:pPr>
      <w:bookmarkStart w:id="163" w:name="__RefHeading___Toc4327972_3804643083"/>
      <w:bookmarkStart w:id="164" w:name="_Toc61"/>
      <w:bookmarkEnd w:id="163"/>
      <w:r>
        <w:rPr>
          <w:rtl w:val="true"/>
        </w:rPr>
        <w:t>و من أدلّته،</w:t>
      </w:r>
      <w:bookmarkEnd w:id="164"/>
    </w:p>
    <w:p>
      <w:pPr>
        <w:pStyle w:val="BookText"/>
        <w:rPr/>
      </w:pPr>
      <w:r>
        <w:rPr>
          <w:rFonts w:ascii="IRNazanin" w:hAnsi="IRNazanin" w:eastAsia="IRNazanin"/>
          <w:color w:val="111111"/>
          <w:sz w:val="28"/>
          <w:sz w:val="28"/>
          <w:szCs w:val="28"/>
          <w:rtl w:val="true"/>
          <w:lang w:bidi="fa-IR"/>
        </w:rPr>
        <w:t xml:space="preserve">ما رواه الکلینی أنّ الصادق علیه السّلام أکل دجاجة مملوءة خبیصا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المعمول من التمر و السمن</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 أنّ ذلک یستلزم نشر الحلاوة فی الدجاجة و ما فیها مع مسّ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محلّ النزاع لیس إلّا العصیر الّذی غلا فصار أسفله أعلاه و أعلاه أسفله، لا مجرّد مسّ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هو مسّ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حرام فاسد عند القائل به، لعدم ظهور کون العلّة ذلک، سیّما علی رأیکم من أنّ حرمة الغالی قبل ذهاب الثلاثین بعید محض، و أمّا ما ظهر من القدماء و الأخبار أنّ العلّة هی التشبّث بالسکر، و غیر خفی أنّه لا یتشبّث إلّا إذا کان مائعا، کما هو الحال فی أخذ الخمور، بل فی صورة المیعان أیضا إذا غلا و طبخ منضما إلی غیره مثل الأرز، و الطحن غیر ظاهر تشبّثه به و صیرورته حراما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إدریس رحمه اللّه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عیسی أنّه کتب إلی أبی الحسن علی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عندنا طبیخ یجعل فیه الحصرم، و ربّما یجعل </w:t>
      </w:r>
      <w:r>
        <w:rPr>
          <w:rStyle w:val="FootnoteAnchor"/>
          <w:rtl w:val="true"/>
        </w:rPr>
        <w:footnoteReference w:id="424"/>
      </w:r>
      <w:r>
        <w:rPr>
          <w:rFonts w:ascii="IRNazanin" w:hAnsi="IRNazanin" w:eastAsia="IRNazanin"/>
          <w:color w:val="111111"/>
          <w:sz w:val="28"/>
          <w:sz w:val="28"/>
          <w:szCs w:val="28"/>
          <w:rtl w:val="true"/>
          <w:lang w:bidi="fa-IR"/>
        </w:rPr>
        <w:t xml:space="preserve">فیه العصیر من العنب، و إنّما هو لحم یطبخ به، و قد روی عنهم فی العصیر أنّه إذا جعل علی النار لم یشرب حتّی یذهب ثلثاه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 الّذی یجعل من العصیر فی القدر </w:t>
      </w:r>
      <w:r>
        <w:rPr>
          <w:rStyle w:val="FootnoteAnchor"/>
          <w:rtl w:val="true"/>
        </w:rPr>
        <w:footnoteReference w:id="425"/>
      </w:r>
      <w:r>
        <w:rPr>
          <w:rFonts w:ascii="IRNazanin" w:hAnsi="IRNazanin" w:eastAsia="IRNazanin"/>
          <w:color w:val="111111"/>
          <w:sz w:val="28"/>
          <w:sz w:val="28"/>
          <w:szCs w:val="28"/>
          <w:rtl w:val="true"/>
          <w:lang w:bidi="fa-IR"/>
        </w:rPr>
        <w:t>بتلک المنزلة، و قد اجتنبوا أکله إلی أن یستأذن مولانا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ذلک،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صحیح، و الدلالة واضحة، و لم یظهر من الفقهاء و لا الأخبار حرمة الممزوج فی العصیر العنبی فضلا عمّا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أنّ الضمیمة لو کانت مثل العسل و الدبس لا ینفع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فتوی العلّامة فی جواب مسائل السیّد مهنّا محض الحقّ، لیس فیه تعسّف أصلا، و مدّعی </w:t>
      </w:r>
      <w:r>
        <w:rPr>
          <w:rStyle w:val="FootnoteAnchor"/>
          <w:rtl w:val="true"/>
        </w:rPr>
        <w:footnoteReference w:id="427"/>
      </w:r>
      <w:r>
        <w:rPr>
          <w:rFonts w:ascii="IRNazanin" w:hAnsi="IRNazanin" w:eastAsia="IRNazanin"/>
          <w:color w:val="111111"/>
          <w:sz w:val="28"/>
          <w:sz w:val="28"/>
          <w:szCs w:val="28"/>
          <w:rtl w:val="true"/>
          <w:lang w:bidi="fa-IR"/>
        </w:rPr>
        <w:t>عدم الفرق بین المنضمّ و غیره هو المتعسّف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 ظهر الجواب عن استدلال الشهید رحمه اللّه لأنّ </w:t>
      </w:r>
      <w:r>
        <w:rPr>
          <w:rStyle w:val="FootnoteAnchor"/>
          <w:rtl w:val="true"/>
        </w:rPr>
        <w:footnoteReference w:id="428"/>
      </w:r>
      <w:r>
        <w:rPr>
          <w:rFonts w:ascii="IRNazanin" w:hAnsi="IRNazanin" w:eastAsia="IRNazanin"/>
          <w:color w:val="111111"/>
          <w:sz w:val="28"/>
          <w:sz w:val="28"/>
          <w:szCs w:val="28"/>
          <w:rtl w:val="true"/>
          <w:lang w:bidi="fa-IR"/>
        </w:rPr>
        <w:t xml:space="preserve">الصادق علیه السّلام کان یعجبه الزبیبة </w:t>
      </w:r>
      <w:r>
        <w:rPr>
          <w:rStyle w:val="FootnoteAnchor"/>
          <w:rtl w:val="true"/>
        </w:rPr>
        <w:footnoteReference w:id="429"/>
      </w:r>
      <w:r>
        <w:rPr>
          <w:rFonts w:ascii="IRNazanin" w:hAnsi="IRNazanin" w:eastAsia="IRNazanin"/>
          <w:color w:val="111111"/>
          <w:sz w:val="28"/>
          <w:sz w:val="28"/>
          <w:szCs w:val="28"/>
          <w:rtl w:val="true"/>
          <w:lang w:bidi="fa-IR"/>
        </w:rPr>
        <w:t>، مضافا إلی عدم معلومیّة الکیفیّة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هذا الفاضل من أنّ أهل الحجاز و غیرهم یستعملون المطبوخات المائعة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استعمالهم غالبا لا شکّ فیه، لکن المستعمل کذلک هو المنضمّ مع الغیر لا الخالص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لکن کون ذلک دلیلا علی الحلّیة من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العامّة، فحالهم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الخاصّة، فبعد تسلیم ذلک فإنّما هو من فتاوی فقهائنا المتأخّرین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الکلام إنّما هو فی معرفة الزبیبة، إذ غیر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المائع،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فاستعمالهم له لا یدلّ علی کونه منها </w:t>
      </w:r>
      <w:r>
        <w:rPr>
          <w:rStyle w:val="FootnoteAnchor"/>
          <w:rtl w:val="true"/>
        </w:rPr>
        <w:footnoteReference w:id="430"/>
      </w:r>
      <w:r>
        <w:rPr>
          <w:rFonts w:ascii="IRNazanin" w:hAnsi="IRNazanin" w:eastAsia="IRNazanin"/>
          <w:color w:val="111111"/>
          <w:sz w:val="28"/>
          <w:sz w:val="28"/>
          <w:szCs w:val="28"/>
          <w:rtl w:val="true"/>
          <w:lang w:bidi="fa-IR"/>
        </w:rPr>
        <w:t>، سیّما الخالص، بل لعلّه لا تأمّل فی عدم کونها ماء الزبیب الخالص، بل لعلّها لیست من المائعات،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الرسالة</w:t>
      </w:r>
      <w:r>
        <w:rPr>
          <w:rFonts w:eastAsia="IRNazanin" w:cs="IRNazanin"/>
          <w:color w:val="111111"/>
          <w:sz w:val="28"/>
          <w:szCs w:val="28"/>
          <w:rtl w:val="true"/>
          <w:lang w:bidi="fa-IR"/>
        </w:rPr>
        <w:t>.</w:t>
      </w:r>
      <w:bookmarkStart w:id="165" w:name="pg2526_25475"/>
    </w:p>
    <w:p>
      <w:pPr>
        <w:pStyle w:val="BookText"/>
        <w:rPr/>
      </w:pPr>
      <w:bookmarkEnd w:id="1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Heading2"/>
        <w:numPr>
          <w:ilvl w:val="1"/>
          <w:numId w:val="1"/>
        </w:numPr>
        <w:rPr/>
      </w:pPr>
      <w:bookmarkStart w:id="166" w:name="__RefHeading___Toc4327974_3804643083"/>
      <w:bookmarkStart w:id="167" w:name="_Toc62"/>
      <w:bookmarkEnd w:id="166"/>
      <w:r>
        <w:rPr>
          <w:rtl w:val="true"/>
        </w:rPr>
        <w:t>رسالة فی رؤیة الهلال</w:t>
      </w:r>
      <w:bookmarkEnd w:id="16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4327976_3804643083"/>
      <w:bookmarkStart w:id="169" w:name="_Toc63"/>
      <w:bookmarkEnd w:id="168"/>
      <w:r>
        <w:rPr>
          <w:rtl w:val="true"/>
        </w:rPr>
        <w:t>اشارة</w:t>
      </w:r>
      <w:bookmarkEnd w:id="16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bookmarkStart w:id="170" w:name="pg2526_25477"/>
    </w:p>
    <w:p>
      <w:pPr>
        <w:pStyle w:val="BookText"/>
        <w:rPr/>
      </w:pPr>
      <w:bookmarkEnd w:id="1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 الصلاة علی محمّد و آله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رئی الهلال قبل الزوال، فالمشهور بین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بینه و بین أن یری بعد الزوال، بل هذا هو المعروف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قیل أنّ الصدوق أیضا قائل و هم، لأنّه لا یقول بالرؤیة، بل یقول بالعدد کما هو معروف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نقل عن السیّد رحمه اللّه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رئی قبل الزوال فهو للّیلة الماضیة</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و ظاهره وجوب الإتمام لو کان صائما فی یوم الثلاثین من شعبان، و وجوب الإفطار فی یوم ثلاثین من رمضان</w:t>
      </w:r>
      <w:r>
        <w:rPr>
          <w:rFonts w:eastAsia="IRNazanin" w:cs="IRNazanin"/>
          <w:color w:val="111111"/>
          <w:sz w:val="28"/>
          <w:szCs w:val="28"/>
          <w:rtl w:val="true"/>
          <w:lang w:bidi="fa-IR"/>
        </w:rPr>
        <w:t>.</w:t>
      </w:r>
    </w:p>
    <w:p>
      <w:pPr>
        <w:pStyle w:val="Heading3"/>
        <w:numPr>
          <w:ilvl w:val="2"/>
          <w:numId w:val="1"/>
        </w:numPr>
        <w:rPr/>
      </w:pPr>
      <w:bookmarkStart w:id="171" w:name="__RefHeading___Toc4327978_3804643083"/>
      <w:bookmarkStart w:id="172" w:name="_Toc64"/>
      <w:bookmarkEnd w:id="171"/>
      <w:r>
        <w:rPr>
          <w:rtl w:val="true"/>
        </w:rPr>
        <w:t>حجّة المشهور وجوه</w:t>
      </w:r>
      <w:r>
        <w:rPr>
          <w:rtl w:val="true"/>
        </w:rPr>
        <w:t>:</w:t>
      </w:r>
      <w:bookmarkEnd w:id="172"/>
    </w:p>
    <w:p>
      <w:pPr>
        <w:pStyle w:val="Heading4"/>
        <w:numPr>
          <w:ilvl w:val="3"/>
          <w:numId w:val="1"/>
        </w:numPr>
        <w:rPr/>
      </w:pPr>
      <w:bookmarkStart w:id="173" w:name="__RefHeading___Toc4327980_3804643083"/>
      <w:bookmarkStart w:id="174" w:name="_Toc65"/>
      <w:bookmarkEnd w:id="173"/>
      <w:r>
        <w:rPr>
          <w:rtl w:val="true"/>
        </w:rPr>
        <w:t>الأوّل</w:t>
      </w:r>
      <w:r>
        <w:rPr>
          <w:rtl w:val="true"/>
        </w:rPr>
        <w:t xml:space="preserve">: </w:t>
      </w:r>
      <w:r>
        <w:rPr>
          <w:rtl w:val="true"/>
        </w:rPr>
        <w:t>ظاهر قوله تعالی ثُمَّ أَتِمُّوا الصِّیٰامَ إِلَی اللَّیْلِ،</w:t>
      </w:r>
      <w:bookmarkEnd w:id="17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تعالی ثُمَّ أَتِمُّوا الصِّیٰامَ إِلَی اللَّیْلِ </w:t>
      </w:r>
      <w:r>
        <w:rPr>
          <w:rStyle w:val="FootnoteAnchor"/>
          <w:rtl w:val="true"/>
        </w:rPr>
        <w:footnoteReference w:id="433"/>
      </w:r>
      <w:r>
        <w:rPr>
          <w:rFonts w:ascii="IRNazanin" w:hAnsi="IRNazanin" w:eastAsia="IRNazanin"/>
          <w:color w:val="111111"/>
          <w:sz w:val="28"/>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ما خرج بالدلیل و بقی الباقی</w:t>
      </w:r>
      <w:r>
        <w:rPr>
          <w:rFonts w:eastAsia="IRNazanin" w:cs="IRNazanin"/>
          <w:color w:val="111111"/>
          <w:sz w:val="28"/>
          <w:szCs w:val="28"/>
          <w:rtl w:val="true"/>
          <w:lang w:bidi="fa-IR"/>
        </w:rPr>
        <w:t>.</w:t>
      </w:r>
      <w:bookmarkStart w:id="175" w:name="pg2526_25478"/>
    </w:p>
    <w:p>
      <w:pPr>
        <w:pStyle w:val="BookText"/>
        <w:rPr/>
      </w:pPr>
      <w:bookmarkEnd w:id="1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Heading4"/>
        <w:numPr>
          <w:ilvl w:val="3"/>
          <w:numId w:val="1"/>
        </w:numPr>
        <w:rPr/>
      </w:pPr>
      <w:bookmarkStart w:id="176" w:name="__RefHeading___Toc4327982_3804643083"/>
      <w:bookmarkStart w:id="177" w:name="_Toc66"/>
      <w:bookmarkEnd w:id="176"/>
      <w:r>
        <w:rPr>
          <w:rtl w:val="true"/>
        </w:rPr>
        <w:t>الثانی</w:t>
      </w:r>
      <w:r>
        <w:rPr>
          <w:rtl w:val="true"/>
        </w:rPr>
        <w:t xml:space="preserve">: </w:t>
      </w:r>
      <w:r>
        <w:rPr>
          <w:rtl w:val="true"/>
        </w:rPr>
        <w:t>الأخبار المتواترة</w:t>
      </w:r>
      <w:bookmarkEnd w:id="177"/>
    </w:p>
    <w:p>
      <w:pPr>
        <w:pStyle w:val="BookText"/>
        <w:rPr/>
      </w:pPr>
      <w:r>
        <w:rPr>
          <w:rFonts w:ascii="IRNazanin" w:hAnsi="IRNazanin" w:eastAsia="IRNazanin"/>
          <w:color w:val="111111"/>
          <w:sz w:val="28"/>
          <w:sz w:val="28"/>
          <w:szCs w:val="28"/>
          <w:rtl w:val="true"/>
          <w:lang w:bidi="fa-IR"/>
        </w:rPr>
        <w:t xml:space="preserve">، حیث أمروا فیها بالصوم بالرؤیة </w:t>
      </w:r>
      <w:r>
        <w:rPr>
          <w:rStyle w:val="FootnoteAnchor"/>
          <w:rtl w:val="true"/>
        </w:rPr>
        <w:footnoteReference w:id="434"/>
      </w:r>
      <w:r>
        <w:rPr>
          <w:rFonts w:ascii="IRNazanin" w:hAnsi="IRNazanin" w:eastAsia="IRNazanin"/>
          <w:color w:val="111111"/>
          <w:sz w:val="28"/>
          <w:sz w:val="28"/>
          <w:szCs w:val="28"/>
          <w:rtl w:val="true"/>
          <w:lang w:bidi="fa-IR"/>
        </w:rPr>
        <w:t xml:space="preserve">مطلقا، أعمّ من أن یکون قبل الزوال أو بعده، و أمروا بالإفطار بالرؤیة کذلک، من غیر تفصیل بین قبل الزوال و بعده، کما یقول به الخصم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التفصیل المذکور خلاف ظاهر تلک الأخبار المتواترة، فإنّ الظاهر منها أنّ الصوم للرؤیة علی نهج واحد </w:t>
      </w:r>
      <w:r>
        <w:rPr>
          <w:rStyle w:val="FootnoteAnchor"/>
          <w:rtl w:val="true"/>
        </w:rPr>
        <w:footnoteReference w:id="436"/>
      </w:r>
      <w:r>
        <w:rPr>
          <w:rFonts w:ascii="IRNazanin" w:hAnsi="IRNazanin" w:eastAsia="IRNazanin"/>
          <w:color w:val="111111"/>
          <w:sz w:val="28"/>
          <w:sz w:val="28"/>
          <w:szCs w:val="28"/>
          <w:rtl w:val="true"/>
          <w:lang w:bidi="fa-IR"/>
        </w:rPr>
        <w:t>لا تفصیل فیه، و کذلک الفطر، فالظاهر کونها بنسق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تخصیصها بالرؤیة قبل الزوال فاسد قطعا، بل القطع حاصل بدخول الرؤیة بعد الزوال فیها، بل فی کثیر منها الأمر بإنشاء الصوم بعد تحقّق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المسلّمات أنّ المطلق منصرف إلی الشائع، و الشائع وقوع الاستهلال بعد الزوال، و الغالب الرؤیة ذلک الوقت، فتعیّن أن یکون المراد الصوم غدا و الفطر غدا مشروطین بالرؤیة المتعارفة، و المشروط عدم عند عدم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الصوم حقیقة فی الکفّ المعهود من ابتداء الفجر إلی الغروب، و ظاهر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بإنشاء الصوم بعد الرؤیة فی غایة الظهور فی أنّ المراد غدا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امتداد وقت نیّة الصوم إلی الزوال فی بعض الأحوال لا یقتضی وجود صوم بعض الیوم، بل الإجماع و الأخبار ظاهران فی کون المکلّف صائما فی مجموع الیوم لا فی بعضه، و المعصوم علیه السّلام أمر فی تلک الأخبار بنفس الصوم لا بإیجاد نیّته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سلّمنا، لکنّه لیس من الأفراد المتبادرة من الإطلاق، فإنّ الظاهر من إیجاد الصوم إیجاد النیّة من أوّل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الظاهر من إیجاد الصوم إیجاد صوم الیوم، لا صوم بعض الیوم، فظاهر هذه الأخبار أنّ وجوب الصوم مشروط بتحقّق الرؤیة قبله، حتّی یقع بعدها، لا تحقّق الرؤیة فی الأثناء أیضا و وقع بعض الصوم قبل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التعقیب، و الأمر یکون بالصوم بعد الرؤیة، بل ظاهرها الأمر بالصوم غدا بعد رؤیة الهلال، لا الصوم حین الرؤیة و بعدها بلا فصل،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الأمر بالإفطار، بقرینة السیاق، و لعدم القول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الهلال فصوموا غدا مطلقا، و إذا رأیتم الهلال فأفطروا غدا مطلقا، و هذا هو المنساق إلی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ترد الروایة المتضمّنة لکون الرؤیة قبل الزوال للّیلة الماضیة و بعده للّیلة المستقبلة، لما کان الخصم یفهم من الروایات المتواترة سوی الّذی ذکرناه، من دون تأمّل و تزلزل، کما لا یخفی، و لیس هذا إلّا من جهة الدلالة، کما أنّه یحکم بعدم الفرق بین قبل العصر و بعده و قبل المغرب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قال جدّی العلّامة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دلالتها علی ما ذکرنا قطعی </w:t>
      </w:r>
      <w:r>
        <w:rPr>
          <w:rStyle w:val="FootnoteAnchor"/>
          <w:rtl w:val="true"/>
        </w:rPr>
        <w:footnoteReference w:id="438"/>
      </w:r>
      <w:r>
        <w:rPr>
          <w:rFonts w:ascii="IRNazanin" w:hAnsi="IRNazanin" w:eastAsia="IRNazanin"/>
          <w:color w:val="111111"/>
          <w:sz w:val="28"/>
          <w:sz w:val="28"/>
          <w:szCs w:val="28"/>
          <w:rtl w:val="true"/>
          <w:lang w:bidi="fa-IR"/>
        </w:rPr>
        <w:t>، و لا یخلو عن وجاهة، لأنّ حمل المتواترة علی خصوص ما قبل الزوال فاسد قطعا، و إرادة ما بعده فیها قطعیّة، و الصوم و الإفطار لهذه یکون من الغد قطعا، بالضرورة من الدین، فأمر الشارع لأصل هذه الرؤیة یکون بالصوم غدا و الفطر غدا، و یکون هذا المتبادر، و هو الظاهر، و هو المراد، فکیف یفهم من عبارة</w:t>
      </w:r>
      <w:bookmarkStart w:id="178" w:name="pg2526_25480"/>
    </w:p>
    <w:p>
      <w:pPr>
        <w:pStyle w:val="BookText"/>
        <w:rPr/>
      </w:pPr>
      <w:bookmarkEnd w:id="1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واحدة معنیین متفاوتین؟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أیضا فاسد قطعا، فتأمّل جدّا</w:t>
      </w:r>
      <w:r>
        <w:rPr>
          <w:rFonts w:eastAsia="IRNazanin" w:cs="IRNazanin"/>
          <w:color w:val="111111"/>
          <w:sz w:val="28"/>
          <w:szCs w:val="28"/>
          <w:rtl w:val="true"/>
          <w:lang w:bidi="fa-IR"/>
        </w:rPr>
        <w:t>.</w:t>
      </w:r>
    </w:p>
    <w:p>
      <w:pPr>
        <w:pStyle w:val="Heading4"/>
        <w:numPr>
          <w:ilvl w:val="3"/>
          <w:numId w:val="1"/>
        </w:numPr>
        <w:rPr/>
      </w:pPr>
      <w:bookmarkStart w:id="179" w:name="__RefHeading___Toc4327984_3804643083"/>
      <w:bookmarkStart w:id="180" w:name="_Toc67"/>
      <w:bookmarkEnd w:id="179"/>
      <w:r>
        <w:rPr>
          <w:rtl w:val="true"/>
        </w:rPr>
        <w:t>الثالث</w:t>
      </w:r>
      <w:r>
        <w:rPr>
          <w:rtl w:val="true"/>
        </w:rPr>
        <w:t xml:space="preserve">: </w:t>
      </w:r>
      <w:r>
        <w:rPr>
          <w:rtl w:val="true"/>
        </w:rPr>
        <w:t>الاستصحاب</w:t>
      </w:r>
      <w:bookmarkEnd w:id="180"/>
    </w:p>
    <w:p>
      <w:pPr>
        <w:pStyle w:val="BookText"/>
        <w:rPr/>
      </w:pPr>
      <w:r>
        <w:rPr>
          <w:rFonts w:ascii="IRNazanin" w:hAnsi="IRNazanin" w:eastAsia="IRNazanin"/>
          <w:color w:val="111111"/>
          <w:sz w:val="28"/>
          <w:sz w:val="28"/>
          <w:szCs w:val="28"/>
          <w:rtl w:val="true"/>
          <w:lang w:bidi="fa-IR"/>
        </w:rPr>
        <w:t>، و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إلّا بیقین مثله</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4327986_3804643083"/>
      <w:bookmarkStart w:id="182" w:name="_Toc68"/>
      <w:bookmarkEnd w:id="181"/>
      <w:r>
        <w:rPr>
          <w:rtl w:val="true"/>
        </w:rPr>
        <w:t>الرابع</w:t>
      </w:r>
      <w:r>
        <w:rPr>
          <w:rtl w:val="true"/>
        </w:rPr>
        <w:t xml:space="preserve">: </w:t>
      </w:r>
      <w:r>
        <w:rPr>
          <w:rtl w:val="true"/>
        </w:rPr>
        <w:t>قولهم علیهم السّلام فی خصوص المقام</w:t>
      </w:r>
      <w:r>
        <w:rPr>
          <w:rtl w:val="true"/>
        </w:rPr>
        <w:t>: «</w:t>
      </w:r>
      <w:r>
        <w:rPr>
          <w:rtl w:val="true"/>
        </w:rPr>
        <w:t>لا یدخل الشک فی الیقین</w:t>
      </w:r>
      <w:r>
        <w:rPr>
          <w:rtl w:val="true"/>
        </w:rPr>
        <w:t>»</w:t>
      </w:r>
      <w:r>
        <w:rPr>
          <w:rtl w:val="true"/>
        </w:rPr>
        <w:t>،</w:t>
      </w:r>
      <w:bookmarkEnd w:id="182"/>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علیهم السّلام فی خصوص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الصوم و الإفطار بالتظنّی</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و ما ذکرت مضمون الأخبار، و متنها لیس ببالی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الرؤیة قبل الزوال لا تقتضی کون الهلال من اللیلة الماضیة قطعا، لأنّ خروج الشعاع إذا وقع قبل المغرب بمقدار لا یتحقّق الرؤیة به لیلا جزما، یری الهلال من الغد قبل الزوال قطعا، بل إذا وقع خروج الشعاع عند المغرب أیضا یری من الغد قبله قطعا، بل إذا وقع بعد المغرب أیضا بدرجات یری قبل الزوال قطعا، کما لا یخفی علی المطّلع، و لذا کثیرا ما لا یری الهلال بلا غیم و لا غبار و لا شبهة، و مع ذلک یری من الغد قبل الزوال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القطع حاصل بأنّه تعالی جعل الأهلّة مواقیت للناس و الحجّ، و ورد فی غیر واحد من الأخبار أنّ المراد من مَوٰاقِیتُ لِلنّٰاسِ </w:t>
      </w:r>
      <w:r>
        <w:rPr>
          <w:rStyle w:val="FootnoteAnchor"/>
          <w:rtl w:val="true"/>
        </w:rPr>
        <w:footnoteReference w:id="442"/>
      </w:r>
      <w:r>
        <w:rPr>
          <w:rFonts w:ascii="IRNazanin" w:hAnsi="IRNazanin" w:eastAsia="IRNazanin"/>
          <w:color w:val="111111"/>
          <w:sz w:val="28"/>
          <w:sz w:val="28"/>
          <w:szCs w:val="28"/>
          <w:rtl w:val="true"/>
          <w:lang w:bidi="fa-IR"/>
        </w:rPr>
        <w:t>المواقیت لصومهم</w:t>
      </w:r>
      <w:bookmarkStart w:id="183" w:name="pg2526_25481"/>
    </w:p>
    <w:p>
      <w:pPr>
        <w:pStyle w:val="BookText"/>
        <w:rPr/>
      </w:pPr>
      <w:bookmarkEnd w:id="1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و فطرهم، أو أنّهما داخلان فیها البتّة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شکّ فی أنّه لا یصیر الهلال هلالا ما لم یخرج عن الشعاع، بل و ما لم یصر إلی حدّ الرؤیة، و لا شکّ فی أنّ لفظ الهلال فی لغة العرب اسم للقدر الخارج من الشعاع من القمر فی اللیلة الاولی و الثانیة و الثالثة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4327988_3804643083"/>
      <w:bookmarkStart w:id="185" w:name="_Toc69"/>
      <w:bookmarkEnd w:id="184"/>
      <w:r>
        <w:rPr>
          <w:rtl w:val="true"/>
        </w:rPr>
        <w:t>الخامس</w:t>
      </w:r>
      <w:r>
        <w:rPr>
          <w:rtl w:val="true"/>
        </w:rPr>
        <w:t xml:space="preserve">: </w:t>
      </w:r>
      <w:r>
        <w:rPr>
          <w:rtl w:val="true"/>
        </w:rPr>
        <w:t>روایة جرّاح المدائنی، عن الصادق علیه السّلام</w:t>
      </w:r>
      <w:r>
        <w:rPr>
          <w:rtl w:val="true"/>
        </w:rPr>
        <w:t>: «</w:t>
      </w:r>
      <w:r>
        <w:rPr>
          <w:rtl w:val="true"/>
        </w:rPr>
        <w:t xml:space="preserve">من رأی هلال شوّال بنهار فی </w:t>
      </w:r>
      <w:r>
        <w:rPr>
          <w:rtl w:val="true"/>
        </w:rPr>
        <w:t>[</w:t>
      </w:r>
      <w:r>
        <w:rPr>
          <w:rtl w:val="true"/>
        </w:rPr>
        <w:t>شهر</w:t>
      </w:r>
      <w:r>
        <w:rPr>
          <w:rtl w:val="true"/>
        </w:rPr>
        <w:t xml:space="preserve">] </w:t>
      </w:r>
      <w:r>
        <w:rPr>
          <w:rtl w:val="true"/>
        </w:rPr>
        <w:t>رمضان فلیتمّ صیامه</w:t>
      </w:r>
      <w:r>
        <w:rPr>
          <w:rtl w:val="true"/>
        </w:rPr>
        <w:t>»</w:t>
      </w:r>
      <w:r>
        <w:rPr>
          <w:rtl w:val="true"/>
        </w:rPr>
        <w:t>،</w:t>
      </w:r>
      <w:bookmarkEnd w:id="185"/>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جرّاح المدائنی،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رأی هلال شوّال بنهار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فلیتمّ صیامه</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السند منجبر بالشهرة الّتی کادت أن تکون إجماعا</w:t>
      </w:r>
      <w:r>
        <w:rPr>
          <w:rFonts w:eastAsia="IRNazanin" w:cs="IRNazanin"/>
          <w:color w:val="111111"/>
          <w:sz w:val="28"/>
          <w:szCs w:val="28"/>
          <w:rtl w:val="true"/>
          <w:lang w:bidi="fa-IR"/>
        </w:rPr>
        <w:t>.</w:t>
      </w:r>
    </w:p>
    <w:p>
      <w:pPr>
        <w:pStyle w:val="Heading4"/>
        <w:numPr>
          <w:ilvl w:val="3"/>
          <w:numId w:val="1"/>
        </w:numPr>
        <w:rPr/>
      </w:pPr>
      <w:bookmarkStart w:id="186" w:name="__RefHeading___Toc4327990_3804643083"/>
      <w:bookmarkStart w:id="187" w:name="_Toc70"/>
      <w:bookmarkEnd w:id="186"/>
      <w:r>
        <w:rPr>
          <w:rtl w:val="true"/>
        </w:rPr>
        <w:t>السادس</w:t>
      </w:r>
      <w:r>
        <w:rPr>
          <w:rtl w:val="true"/>
        </w:rPr>
        <w:t xml:space="preserve">: </w:t>
      </w:r>
      <w:r>
        <w:rPr>
          <w:rtl w:val="true"/>
        </w:rPr>
        <w:t>ما رواه الشیخ عن کتاب علیّ بن حاتم الثقة الجلیل</w:t>
      </w:r>
      <w:bookmarkEnd w:id="187"/>
    </w:p>
    <w:p>
      <w:pPr>
        <w:pStyle w:val="BookText"/>
        <w:rPr/>
      </w:pPr>
      <w:r>
        <w:rPr>
          <w:rFonts w:ascii="IRNazanin" w:hAnsi="IRNazanin" w:eastAsia="IRNazanin"/>
          <w:color w:val="111111"/>
          <w:sz w:val="28"/>
          <w:sz w:val="28"/>
          <w:szCs w:val="28"/>
          <w:rtl w:val="true"/>
          <w:lang w:bidi="fa-IR"/>
        </w:rPr>
        <w:t>، بسنده الصحیح إلی محمّد بن عیسی،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ربّما غمّ علینا هلال شهر رمضان فنری من الغد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الزوال، و ربّما رأیناه بعد الزوال، فتری أن نفطر قبل الزوال إذا رأیناه أم لا؟ و کیف تأمرنی فی ذلک؟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 إلی اللیل، فإنّه إن کان تامّا لرئی </w:t>
      </w:r>
      <w:r>
        <w:rPr>
          <w:rStyle w:val="FootnoteAnchor"/>
          <w:rtl w:val="true"/>
        </w:rPr>
        <w:footnoteReference w:id="446"/>
      </w:r>
      <w:r>
        <w:rPr>
          <w:rFonts w:ascii="IRNazanin" w:hAnsi="IRNazanin" w:eastAsia="IRNazanin"/>
          <w:color w:val="111111"/>
          <w:sz w:val="28"/>
          <w:sz w:val="28"/>
          <w:szCs w:val="28"/>
          <w:rtl w:val="true"/>
          <w:lang w:bidi="fa-IR"/>
        </w:rPr>
        <w:t>قبل الزوال</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بأنّ المراد هلال شوّال، و یؤیّده أیضا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فتری أن نفطر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الإضافة یکفی فیها أدنی ملابسة</w:t>
      </w:r>
      <w:r>
        <w:rPr>
          <w:rFonts w:eastAsia="IRNazanin" w:cs="IRNazanin"/>
          <w:color w:val="111111"/>
          <w:sz w:val="28"/>
          <w:szCs w:val="28"/>
          <w:rtl w:val="true"/>
          <w:lang w:bidi="fa-IR"/>
        </w:rPr>
        <w:t>.</w:t>
      </w:r>
      <w:bookmarkStart w:id="188" w:name="pg2526_25482"/>
    </w:p>
    <w:p>
      <w:pPr>
        <w:pStyle w:val="BookText"/>
        <w:rPr/>
      </w:pPr>
      <w:bookmarkEnd w:id="1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مع أنّ هذه الروایة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غمّ علینا الهلال فی شهر رمضان</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 و لا شکّ فی أنّه هو الصواب، و حمل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السهو حتّی القائل باعتبار الرؤیة قبل الزوال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یؤیّده أنّ الشیخ استدلّ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علی مطلوبه </w:t>
      </w:r>
      <w:r>
        <w:rPr>
          <w:rStyle w:val="FootnoteAnchor"/>
          <w:rtl w:val="true"/>
        </w:rPr>
        <w:footnoteReference w:id="451"/>
      </w:r>
      <w:r>
        <w:rPr>
          <w:rFonts w:ascii="IRNazanin" w:hAnsi="IRNazanin" w:eastAsia="IRNazanin"/>
          <w:color w:val="111111"/>
          <w:sz w:val="28"/>
          <w:sz w:val="28"/>
          <w:szCs w:val="28"/>
          <w:rtl w:val="true"/>
          <w:lang w:bidi="fa-IR"/>
        </w:rPr>
        <w:t xml:space="preserve">، و أنّ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أضبط ممّا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المواضع کما لا یخفی، و أنّه صنّف بعده، و فی الغالب أنّ ما بعد أضبط، و وجهه واضح</w:t>
      </w:r>
      <w:r>
        <w:rPr>
          <w:rFonts w:eastAsia="IRNazanin" w:cs="IRNazanin"/>
          <w:color w:val="111111"/>
          <w:sz w:val="28"/>
          <w:szCs w:val="28"/>
          <w:rtl w:val="true"/>
          <w:lang w:bidi="fa-IR"/>
        </w:rPr>
        <w:t>.</w:t>
      </w:r>
    </w:p>
    <w:p>
      <w:pPr>
        <w:pStyle w:val="Heading4"/>
        <w:numPr>
          <w:ilvl w:val="3"/>
          <w:numId w:val="1"/>
        </w:numPr>
        <w:rPr/>
      </w:pPr>
      <w:bookmarkStart w:id="189" w:name="__RefHeading___Toc4327992_3804643083"/>
      <w:bookmarkStart w:id="190" w:name="_Toc71"/>
      <w:bookmarkEnd w:id="189"/>
      <w:r>
        <w:rPr>
          <w:rtl w:val="true"/>
        </w:rPr>
        <w:t>السابع</w:t>
      </w:r>
      <w:r>
        <w:rPr>
          <w:rtl w:val="true"/>
        </w:rPr>
        <w:t xml:space="preserve">: </w:t>
      </w:r>
      <w:r>
        <w:rPr>
          <w:rtl w:val="true"/>
        </w:rPr>
        <w:t>ما رواه فی الصحیح عن محمّد بن قیس، عن الباقر علیه السّلام</w:t>
      </w:r>
      <w:r>
        <w:rPr>
          <w:rtl w:val="true"/>
        </w:rPr>
        <w:t>: «</w:t>
      </w:r>
      <w:r>
        <w:rPr>
          <w:rtl w:val="true"/>
        </w:rPr>
        <w:t>إذا رأیتم الهلال فأفطروا</w:t>
      </w:r>
      <w:bookmarkEnd w:id="190"/>
    </w:p>
    <w:p>
      <w:pPr>
        <w:pStyle w:val="BookText"/>
        <w:rPr/>
      </w:pPr>
      <w:r>
        <w:rPr>
          <w:rFonts w:ascii="IRNazanin" w:hAnsi="IRNazanin" w:eastAsia="IRNazanin"/>
          <w:color w:val="111111"/>
          <w:sz w:val="28"/>
          <w:sz w:val="28"/>
          <w:szCs w:val="28"/>
          <w:rtl w:val="true"/>
          <w:lang w:bidi="fa-IR"/>
        </w:rPr>
        <w:t xml:space="preserve">، أو شهد علیه عدل من المسلمین، و إن لم تروا الهلال إلّا من وسط النهار و آخره </w:t>
      </w:r>
      <w:r>
        <w:rPr>
          <w:rStyle w:val="FootnoteAnchor"/>
          <w:rtl w:val="true"/>
        </w:rPr>
        <w:footnoteReference w:id="452"/>
      </w:r>
      <w:r>
        <w:rPr>
          <w:rFonts w:ascii="IRNazanin" w:hAnsi="IRNazanin" w:eastAsia="IRNazanin"/>
          <w:color w:val="111111"/>
          <w:sz w:val="28"/>
          <w:sz w:val="28"/>
          <w:szCs w:val="28"/>
          <w:rtl w:val="true"/>
          <w:lang w:bidi="fa-IR"/>
        </w:rPr>
        <w:t>فأتموا الصیام إلی اللیل، و إن غمّ علیکم، فعدوا ثلاثین لیلة ثمَّ أفطروا</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الدلالة علی المطلوب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الهلال فأفطروا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ما قلناه فی دلالة الأخبار المتواترة، لأنّ العبارة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علیه السّلام تعرّض لذکر النهار، فتعیّن کون المراد الرؤیة المعهودة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شهد علیه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قرینة، لأنّ المتبادر الشهادة بالنحو المتعارف، مع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وسط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من کونه قبل الزوال أو بعده بلا شبهة، بل ظهوره فیما قبل الزوال بخصوصه محتمل، بقرینة الأخبار </w:t>
      </w:r>
      <w:r>
        <w:rPr>
          <w:rStyle w:val="FootnoteAnchor"/>
          <w:rtl w:val="true"/>
        </w:rPr>
        <w:footnoteReference w:id="454"/>
      </w:r>
      <w:r>
        <w:rPr>
          <w:rFonts w:ascii="IRNazanin" w:hAnsi="IRNazanin" w:eastAsia="IRNazanin"/>
          <w:color w:val="111111"/>
          <w:sz w:val="28"/>
          <w:sz w:val="28"/>
          <w:szCs w:val="28"/>
          <w:rtl w:val="true"/>
          <w:lang w:bidi="fa-IR"/>
        </w:rPr>
        <w:t xml:space="preserve">، مثل موثّقة إسحاق بن عمّار الآتیة </w:t>
      </w:r>
      <w:r>
        <w:rPr>
          <w:rStyle w:val="FootnoteAnchor"/>
          <w:rtl w:val="true"/>
        </w:rPr>
        <w:footnoteReference w:id="455"/>
      </w:r>
      <w:r>
        <w:rPr>
          <w:rFonts w:ascii="IRNazanin" w:hAnsi="IRNazanin" w:eastAsia="IRNazanin"/>
          <w:color w:val="111111"/>
          <w:sz w:val="28"/>
          <w:sz w:val="28"/>
          <w:szCs w:val="28"/>
          <w:rtl w:val="true"/>
          <w:lang w:bidi="fa-IR"/>
        </w:rPr>
        <w:t xml:space="preserve">، و أنّ ما قبل الزوال </w:t>
      </w:r>
      <w:r>
        <w:rPr>
          <w:rStyle w:val="FootnoteAnchor"/>
          <w:rtl w:val="true"/>
        </w:rPr>
        <w:footnoteReference w:id="456"/>
      </w:r>
      <w:r>
        <w:rPr>
          <w:rFonts w:ascii="IRNazanin" w:hAnsi="IRNazanin" w:eastAsia="IRNazanin"/>
          <w:color w:val="111111"/>
          <w:sz w:val="28"/>
          <w:sz w:val="28"/>
          <w:szCs w:val="28"/>
          <w:rtl w:val="true"/>
          <w:lang w:bidi="fa-IR"/>
        </w:rPr>
        <w:t xml:space="preserve">لم یتعرّض المعصوم علیه السّلام لذکره، مع أنّ التعرّض له أهمّ، سیّما و أن یتعرّض لذکر ما بعد الزوال و آخر النهار </w:t>
      </w:r>
      <w:r>
        <w:rPr>
          <w:rStyle w:val="FootnoteAnchor"/>
          <w:rtl w:val="true"/>
        </w:rPr>
        <w:footnoteReference w:id="457"/>
      </w:r>
      <w:r>
        <w:rPr>
          <w:rFonts w:ascii="IRNazanin" w:hAnsi="IRNazanin" w:eastAsia="IRNazanin"/>
          <w:color w:val="111111"/>
          <w:sz w:val="28"/>
          <w:sz w:val="28"/>
          <w:szCs w:val="28"/>
          <w:rtl w:val="true"/>
          <w:lang w:bidi="fa-IR"/>
        </w:rPr>
        <w:t xml:space="preserve">کلّ واحدة منهما علی حدة، مع عدم تفاوت بینهما أصلا لا من جهة الأخبار و لا من جهة الأقوال </w:t>
      </w:r>
      <w:r>
        <w:rPr>
          <w:rStyle w:val="FootnoteAnchor"/>
          <w:rtl w:val="true"/>
        </w:rPr>
        <w:footnoteReference w:id="458"/>
      </w:r>
      <w:r>
        <w:rPr>
          <w:rFonts w:ascii="IRNazanin" w:hAnsi="IRNazanin" w:eastAsia="IRNazanin"/>
          <w:color w:val="111111"/>
          <w:sz w:val="28"/>
          <w:sz w:val="28"/>
          <w:szCs w:val="28"/>
          <w:rtl w:val="true"/>
          <w:lang w:bidi="fa-IR"/>
        </w:rPr>
        <w:t>، بل عدم التفاوت بدیهی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التعرّض للآخر إنّما هو لإظهار کون حال قبل الزوال حاله من دون تفاوت، کما صار المتعارف أنّهم یذکرون المسلّم المعروف مع غیر المسلّم علی نحو سواء، إظهارا لاستواء الحکم، و مبالغة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 أنّ عدم التعارض لذکر الأوّل من جهة عدم تحقّق الرؤیة فیه عادة، لأنّ المتبادر من آخر النهار هو ما قارب الغروب، و أنّ ما قبل الآخر داخل فی وسط النهار الممتدّ المتّصل بأوّل النهار الّذی لم یذکر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المقابلة و المقایسة الظاهرة من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مقدار أوّل النهار هو مقدار آخر النهار، و نسبته إلی طلوع الشمس نسبة آخر النهار إلی الغروب، و معلوم عدم إمکان الرؤیة فیه، إذ لا بدّ من بعد تامّ عن الشمس حتّی یخرج عن الشعاع، سیّما و أن یری من الغد مع وجود الشمس فی غایة شعاعه و بعده عنها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زیادة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تعرّض لذکر الوسط و قیّد النهار به خوفا من أن ینصرف الذهن من إطلاق رؤیة النهار إلی الرؤیة المتعارفة، کما هو متعارف، مع أنّ النکتة فی التعرّض لعلّها النکتة فی تقیید الغنم بالسائمة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أنّا إن سلّمنا إمکان الرؤیة فی أوّل النهار،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الفروض النادرة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الشرط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 مورد الغالب، فلا عبرة، مع أنّ المفهوم لا یعارض المنطوق، سیّما إذا کان ضعیفا من جهة أخری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الصغری إنّما هی إذا کان للمفهوم عموم، و لا شکّ فی عدم معارضته لعموم المنطوق، سیّما ما أشرنا إلیه من القوّة الزائدة فی المنطوق، و کذلک الضعف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الهلال فأفطروا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الإفطار غدا، کما مرّ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المفهوم مفهوم القید، فلا عبرة به، کما هو مسلّم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الهلال علی نحو الشائع الغالب من رؤیته حین غیبوبة الشمس و بعدها فأفطروا، و إن لم تروا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وسطه أو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تفطروا برؤیته من جهة ما سمعتم من الأمر بالإفطار وقت رؤیته، بل لا بدّ من الإتمام إلی اللیل، لأنّ هذه الرؤیة لیست داخلة فیها، بل المراد منها ما هو</w:t>
      </w:r>
      <w:bookmarkStart w:id="191" w:name="pg2526_25485"/>
    </w:p>
    <w:p>
      <w:pPr>
        <w:pStyle w:val="BookText"/>
        <w:rPr/>
      </w:pPr>
      <w:bookmarkEnd w:id="1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المتعارف، و یشیر إلی ذلک </w:t>
      </w:r>
      <w:r>
        <w:rPr>
          <w:rStyle w:val="FootnoteAnchor"/>
          <w:rtl w:val="true"/>
        </w:rPr>
        <w:footnoteReference w:id="460"/>
      </w:r>
      <w:r>
        <w:rPr>
          <w:rFonts w:ascii="IRNazanin" w:hAnsi="IRNazanin" w:eastAsia="IRNazanin"/>
          <w:color w:val="111111"/>
          <w:sz w:val="28"/>
          <w:sz w:val="28"/>
          <w:szCs w:val="28"/>
          <w:rtl w:val="true"/>
          <w:lang w:bidi="fa-IR"/>
        </w:rPr>
        <w:t xml:space="preserve">ما ذکرناه فی الدلیل الثانی </w:t>
      </w:r>
      <w:r>
        <w:rPr>
          <w:rStyle w:val="FootnoteAnchor"/>
          <w:rtl w:val="true"/>
        </w:rPr>
        <w:footnoteReference w:id="461"/>
      </w:r>
      <w:r>
        <w:rPr>
          <w:rFonts w:ascii="IRNazanin" w:hAnsi="IRNazanin" w:eastAsia="IRNazanin"/>
          <w:color w:val="111111"/>
          <w:sz w:val="28"/>
          <w:sz w:val="28"/>
          <w:szCs w:val="28"/>
          <w:rtl w:val="true"/>
          <w:lang w:bidi="fa-IR"/>
        </w:rPr>
        <w:t>، فلا 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النکتة فی عدم التعرّض للرؤیة أوّل النهار فی هذا الخبر </w:t>
      </w:r>
      <w:r>
        <w:rPr>
          <w:rStyle w:val="FootnoteAnchor"/>
          <w:rtl w:val="true"/>
        </w:rPr>
        <w:footnoteReference w:id="462"/>
      </w:r>
      <w:r>
        <w:rPr>
          <w:rFonts w:ascii="IRNazanin" w:hAnsi="IRNazanin" w:eastAsia="IRNazanin"/>
          <w:color w:val="111111"/>
          <w:sz w:val="28"/>
          <w:sz w:val="28"/>
          <w:szCs w:val="28"/>
          <w:rtl w:val="true"/>
          <w:lang w:bidi="fa-IR"/>
        </w:rPr>
        <w:t>هی النکتة فی عدم التعرّض لها فی سائر الأخبار، و هی عدم تحقّق هذه الصورة، أو کون تحقّقها فی غایة الشذوذ و الندرة و لا عبرة بالنادر فی المنطوق، فما ظنّک بالمفهوم؟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المتعارف فی الأخبار عدم التعرّض لأمثالها </w:t>
      </w:r>
      <w:r>
        <w:rPr>
          <w:rStyle w:val="FootnoteAnchor"/>
          <w:rtl w:val="true"/>
        </w:rPr>
        <w:footnoteReference w:id="463"/>
      </w:r>
      <w:r>
        <w:rPr>
          <w:rFonts w:ascii="IRNazanin" w:hAnsi="IRNazanin" w:eastAsia="IRNazanin"/>
          <w:color w:val="111111"/>
          <w:sz w:val="28"/>
          <w:sz w:val="28"/>
          <w:szCs w:val="28"/>
          <w:rtl w:val="true"/>
          <w:lang w:bidi="fa-IR"/>
        </w:rPr>
        <w:t xml:space="preserve">، کما لا یخفی علی المتتبع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4327994_3804643083"/>
      <w:bookmarkStart w:id="193" w:name="_Toc72"/>
      <w:bookmarkEnd w:id="192"/>
      <w:r>
        <w:rPr>
          <w:rtl w:val="true"/>
        </w:rPr>
        <w:t>الثامن</w:t>
      </w:r>
      <w:r>
        <w:rPr>
          <w:rtl w:val="true"/>
        </w:rPr>
        <w:t xml:space="preserve">: </w:t>
      </w:r>
      <w:r>
        <w:rPr>
          <w:rtl w:val="true"/>
        </w:rPr>
        <w:t>ما رواه فی الموثّق کالصحیح عن إسحاق بن عمّار</w:t>
      </w:r>
      <w:bookmarkEnd w:id="19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الصادق علیه السّلام عن هلال رمضان یغمّ علینا فی تسع و عشرین من شعبان،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تصمه إلّا أن تراه، فإن شهد أهل بلد آخر أنّهم رأوه فاقضه، و إذا رأیته وسط النهار فأتمّ صومه إلی اللیل</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الدلالة، أنّه علیه السّلام منعه من الصوم مطلقا </w:t>
      </w:r>
      <w:r>
        <w:rPr>
          <w:rStyle w:val="FootnoteAnchor"/>
          <w:rtl w:val="true"/>
        </w:rPr>
        <w:footnoteReference w:id="466"/>
      </w:r>
      <w:r>
        <w:rPr>
          <w:rFonts w:ascii="IRNazanin" w:hAnsi="IRNazanin" w:eastAsia="IRNazanin"/>
          <w:color w:val="111111"/>
          <w:sz w:val="28"/>
          <w:sz w:val="28"/>
          <w:szCs w:val="28"/>
          <w:rtl w:val="true"/>
          <w:lang w:bidi="fa-IR"/>
        </w:rPr>
        <w:t xml:space="preserve">إلّا أن یراه، و الظاهر الرؤیة المتعارفة، لا مطلق الرؤیة، لما عرفت من أنّ الإطلاق ینصرف إلی المتعارف، و لأنّ المعصوم ما فصّل بین اللیل و الزوال </w:t>
      </w:r>
      <w:r>
        <w:rPr>
          <w:rStyle w:val="FootnoteAnchor"/>
          <w:rtl w:val="true"/>
        </w:rPr>
        <w:footnoteReference w:id="467"/>
      </w:r>
      <w:r>
        <w:rPr>
          <w:rFonts w:ascii="IRNazanin" w:hAnsi="IRNazanin" w:eastAsia="IRNazanin"/>
          <w:color w:val="111111"/>
          <w:sz w:val="28"/>
          <w:sz w:val="28"/>
          <w:szCs w:val="28"/>
          <w:rtl w:val="true"/>
          <w:lang w:bidi="fa-IR"/>
        </w:rPr>
        <w:t>، و أمره بالقضاء إن شهد أهل بلد آخر، فمع هذین کیف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رأیته وسط النهار فأتمّ صومه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94" w:name="pg2526_25486"/>
    </w:p>
    <w:p>
      <w:pPr>
        <w:pStyle w:val="BookText"/>
        <w:rPr/>
      </w:pPr>
      <w:bookmarkEnd w:id="1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إذ لیس هاهنا صوم متحقّق، أو مفروض التحقّق حتّی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أتمّه إلی اللیل، لأنّه منعه عن صوم ذلک الیوم، مع أنّه أمره بالقضاء فی صورة خاصّة؟</w:t>
      </w:r>
    </w:p>
    <w:p>
      <w:pPr>
        <w:pStyle w:val="BookText"/>
        <w:rPr/>
      </w:pP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ما ذکره من ملاحظة الخبر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رأیته فی صورة کونک صائما و صومک صحیحا </w:t>
      </w:r>
      <w:r>
        <w:rPr>
          <w:rStyle w:val="FootnoteAnchor"/>
          <w:rtl w:val="true"/>
        </w:rPr>
        <w:footnoteReference w:id="468"/>
      </w:r>
      <w:r>
        <w:rPr>
          <w:rFonts w:ascii="IRNazanin" w:hAnsi="IRNazanin" w:eastAsia="IRNazanin"/>
          <w:color w:val="111111"/>
          <w:sz w:val="28"/>
          <w:sz w:val="28"/>
          <w:szCs w:val="28"/>
          <w:rtl w:val="true"/>
          <w:lang w:bidi="fa-IR"/>
        </w:rPr>
        <w:t>فأتمّ،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وقع هذا الاشتباه فی آخر رمضان حین کنت صائما لصحّته، فتأمّل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الخبر هکذا یعنی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 صومه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من شعبان دون أن ینوی أنّه من رمضان، لعلّه من کلام الراوی، فلعلّ الراوی فهم من المعصوم علیه السّلام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یکون دلالة الروایة علی المطلوب أوضح</w:t>
      </w:r>
      <w:r>
        <w:rPr>
          <w:rFonts w:eastAsia="IRNazanin" w:cs="IRNazanin"/>
          <w:color w:val="111111"/>
          <w:sz w:val="28"/>
          <w:szCs w:val="28"/>
          <w:rtl w:val="true"/>
          <w:lang w:bidi="fa-IR"/>
        </w:rPr>
        <w:t>.</w:t>
      </w:r>
    </w:p>
    <w:p>
      <w:pPr>
        <w:pStyle w:val="Heading4"/>
        <w:numPr>
          <w:ilvl w:val="3"/>
          <w:numId w:val="1"/>
        </w:numPr>
        <w:rPr/>
      </w:pPr>
      <w:bookmarkStart w:id="195" w:name="__RefHeading___Toc4327996_3804643083"/>
      <w:bookmarkStart w:id="196" w:name="_Toc73"/>
      <w:bookmarkEnd w:id="195"/>
      <w:r>
        <w:rPr>
          <w:rtl w:val="true"/>
        </w:rPr>
        <w:t>التاسع</w:t>
      </w:r>
      <w:r>
        <w:rPr>
          <w:rtl w:val="true"/>
        </w:rPr>
        <w:t xml:space="preserve">: </w:t>
      </w:r>
      <w:r>
        <w:rPr>
          <w:rtl w:val="true"/>
        </w:rPr>
        <w:t xml:space="preserve">روایة محمّد بن مسلم، عن أحدهما علیهما السّلام </w:t>
      </w:r>
      <w:r>
        <w:rPr>
          <w:rtl w:val="true"/>
        </w:rPr>
        <w:t>«</w:t>
      </w:r>
      <w:r>
        <w:rPr>
          <w:rtl w:val="true"/>
        </w:rPr>
        <w:t>شهر رمضان یصیبه ما یصیب الشهور من النقصان</w:t>
      </w:r>
      <w:bookmarkEnd w:id="196"/>
    </w:p>
    <w:p>
      <w:pPr>
        <w:pStyle w:val="BookText"/>
        <w:rPr/>
      </w:pPr>
      <w:r>
        <w:rPr>
          <w:rFonts w:ascii="IRNazanin" w:hAnsi="IRNazanin" w:eastAsia="IRNazanin"/>
          <w:color w:val="111111"/>
          <w:sz w:val="28"/>
          <w:sz w:val="28"/>
          <w:szCs w:val="28"/>
          <w:rtl w:val="true"/>
          <w:lang w:bidi="fa-IR"/>
        </w:rPr>
        <w:t xml:space="preserve">، فإذا صمت تسعة و 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تغیّمت السماء، فأتمّ العدّة ثلاثین</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 أنّ إطلاقها یشمل ما إذا تغیّمت لیلة الثلاثین، فأمر علیه السّلام بالإتمام مطلقا، سواء رأی الهلال قبل الزوال أم لا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هذه الروایة، روایة عبید بن زرارة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یصیبه ما یصیب الشهور من الزیادة و النقصان، فإن تغیّمت السماء یوما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فأتمّوا العدّة</w:t>
      </w:r>
      <w:r>
        <w:rPr>
          <w:rFonts w:eastAsia="Amiri" w:cs="Amiri" w:ascii="Amiri" w:hAnsi="Amiri"/>
          <w:color w:val="111111"/>
          <w:sz w:val="28"/>
          <w:szCs w:val="28"/>
          <w:rtl w:val="true"/>
          <w:lang w:bidi="ar-SA"/>
        </w:rPr>
        <w:t xml:space="preserve">» </w:t>
      </w:r>
      <w:r>
        <w:rPr>
          <w:rStyle w:val="FootnoteAnchor"/>
          <w:rtl w:val="true"/>
        </w:rPr>
        <w:footnoteReference w:id="473"/>
      </w:r>
      <w:r>
        <w:rPr>
          <w:rFonts w:ascii="IRNazanin" w:hAnsi="IRNazanin" w:eastAsia="IRNazanin"/>
          <w:color w:val="111111"/>
          <w:sz w:val="28"/>
          <w:sz w:val="28"/>
          <w:szCs w:val="28"/>
          <w:rtl w:val="true"/>
          <w:lang w:bidi="fa-IR"/>
        </w:rPr>
        <w:t>، بل هذه أوضح دلالة منها،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الروایتین، صحیحة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 شعبان تسعة و عشرین یوما فإذا کانت </w:t>
      </w:r>
      <w:r>
        <w:rPr>
          <w:rStyle w:val="FootnoteAnchor"/>
          <w:rtl w:val="true"/>
        </w:rPr>
        <w:footnoteReference w:id="474"/>
      </w:r>
      <w:r>
        <w:rPr>
          <w:rFonts w:ascii="IRNazanin" w:hAnsi="IRNazanin" w:eastAsia="IRNazanin"/>
          <w:color w:val="111111"/>
          <w:sz w:val="28"/>
          <w:sz w:val="28"/>
          <w:szCs w:val="28"/>
          <w:rtl w:val="true"/>
          <w:lang w:bidi="fa-IR"/>
        </w:rPr>
        <w:t xml:space="preserve">متغیّمة فأصبح صائما، و إن کانت </w:t>
      </w:r>
      <w:r>
        <w:rPr>
          <w:rStyle w:val="FootnoteAnchor"/>
          <w:rtl w:val="true"/>
        </w:rPr>
        <w:footnoteReference w:id="475"/>
      </w:r>
      <w:r>
        <w:rPr>
          <w:rFonts w:ascii="Amiri" w:hAnsi="Amiri" w:eastAsia="Amiri" w:cs="Amiri"/>
          <w:color w:val="111111"/>
          <w:sz w:val="28"/>
          <w:sz w:val="28"/>
          <w:szCs w:val="28"/>
          <w:rtl w:val="true"/>
          <w:lang w:bidi="ar-SA"/>
        </w:rPr>
        <w:t xml:space="preserve">مصحّیة </w:t>
      </w:r>
      <w:r>
        <w:rPr>
          <w:rStyle w:val="FootnoteAnchor"/>
          <w:rtl w:val="true"/>
        </w:rPr>
        <w:footnoteReference w:id="476"/>
      </w:r>
      <w:r>
        <w:rPr>
          <w:rFonts w:ascii="IRNazanin" w:hAnsi="IRNazanin" w:eastAsia="IRNazanin"/>
          <w:color w:val="111111"/>
          <w:sz w:val="28"/>
          <w:sz w:val="28"/>
          <w:szCs w:val="28"/>
          <w:rtl w:val="true"/>
          <w:lang w:bidi="fa-IR"/>
        </w:rPr>
        <w:t>و تبصّرته و لم تر شیئا فأصبح مفطرا</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هذه الروایة، روایة الربیع بن ولّاد،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رأیت هلال شعبان فعدّ تسعة و عشرین یوما </w:t>
      </w:r>
      <w:r>
        <w:rPr>
          <w:rStyle w:val="FootnoteAnchor"/>
          <w:rtl w:val="true"/>
        </w:rPr>
        <w:footnoteReference w:id="478"/>
      </w:r>
      <w:r>
        <w:rPr>
          <w:rFonts w:ascii="IRNazanin" w:hAnsi="IRNazanin" w:eastAsia="IRNazanin"/>
          <w:color w:val="111111"/>
          <w:sz w:val="28"/>
          <w:sz w:val="28"/>
          <w:szCs w:val="28"/>
          <w:rtl w:val="true"/>
          <w:lang w:bidi="fa-IR"/>
        </w:rPr>
        <w:t>، فإن أصحت فلم تره فلا تصم، و إن تغیمت فصم</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ربّما یؤیّدهم مؤیّدات، مثل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العیدین لا أذان فیها و لا إقامة، أذانها طلوع الشمس، فإذا طلعت 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 و غیر ذلک، فلاحظ مظانّها، مثل بعض مستحبّات العید </w:t>
      </w:r>
      <w:r>
        <w:rPr>
          <w:rStyle w:val="FootnoteAnchor"/>
          <w:rtl w:val="true"/>
        </w:rPr>
        <w:footnoteReference w:id="481"/>
      </w:r>
      <w:r>
        <w:rPr>
          <w:rFonts w:ascii="IRNazanin" w:hAnsi="IRNazanin" w:eastAsia="IRNazanin"/>
          <w:color w:val="111111"/>
          <w:sz w:val="28"/>
          <w:sz w:val="28"/>
          <w:szCs w:val="28"/>
          <w:rtl w:val="true"/>
          <w:lang w:bidi="fa-IR"/>
        </w:rPr>
        <w:t xml:space="preserve">، و بعض أحکام الفطرة </w:t>
      </w:r>
      <w:r>
        <w:rPr>
          <w:rStyle w:val="FootnoteAnchor"/>
          <w:rtl w:val="true"/>
        </w:rPr>
        <w:footnoteReference w:id="482"/>
      </w:r>
      <w:r>
        <w:rPr>
          <w:rFonts w:ascii="IRNazanin" w:hAnsi="IRNazanin" w:eastAsia="IRNazanin"/>
          <w:color w:val="111111"/>
          <w:sz w:val="28"/>
          <w:sz w:val="28"/>
          <w:szCs w:val="28"/>
          <w:rtl w:val="true"/>
          <w:lang w:bidi="fa-IR"/>
        </w:rPr>
        <w:t xml:space="preserve">، و دعاء الهلال </w:t>
      </w:r>
      <w:r>
        <w:rPr>
          <w:rStyle w:val="FootnoteAnchor"/>
          <w:rtl w:val="true"/>
        </w:rPr>
        <w:footnoteReference w:id="483"/>
      </w:r>
      <w:r>
        <w:rPr>
          <w:rFonts w:ascii="IRNazanin" w:hAnsi="IRNazanin" w:eastAsia="IRNazanin"/>
          <w:color w:val="111111"/>
          <w:sz w:val="28"/>
          <w:sz w:val="28"/>
          <w:szCs w:val="28"/>
          <w:rtl w:val="true"/>
          <w:lang w:bidi="fa-IR"/>
        </w:rPr>
        <w:t>، و تأمّل هل فیها تأیید أم لا</w:t>
      </w:r>
      <w:r>
        <w:rPr>
          <w:rFonts w:eastAsia="IRNazanin" w:cs="IRNazanin"/>
          <w:color w:val="111111"/>
          <w:sz w:val="28"/>
          <w:szCs w:val="28"/>
          <w:rtl w:val="true"/>
          <w:lang w:bidi="fa-IR"/>
        </w:rPr>
        <w:t>!</w:t>
      </w:r>
      <w:bookmarkStart w:id="197" w:name="pg2526_25488"/>
    </w:p>
    <w:p>
      <w:pPr>
        <w:pStyle w:val="BookText"/>
        <w:rPr/>
      </w:pPr>
      <w:bookmarkEnd w:id="1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Heading3"/>
        <w:numPr>
          <w:ilvl w:val="2"/>
          <w:numId w:val="1"/>
        </w:numPr>
        <w:rPr/>
      </w:pPr>
      <w:bookmarkStart w:id="198" w:name="__RefHeading___Toc4327998_3804643083"/>
      <w:bookmarkStart w:id="199" w:name="_Toc74"/>
      <w:bookmarkEnd w:id="198"/>
      <w:r>
        <w:rPr>
          <w:rtl w:val="true"/>
        </w:rPr>
        <w:t>حجّة القول الآخر،</w:t>
      </w:r>
      <w:bookmarkEnd w:id="199"/>
    </w:p>
    <w:p>
      <w:pPr>
        <w:pStyle w:val="BookText"/>
        <w:rPr/>
      </w:pPr>
      <w:r>
        <w:rPr>
          <w:rFonts w:ascii="IRNazanin" w:hAnsi="IRNazanin" w:eastAsia="IRNazanin"/>
          <w:color w:val="111111"/>
          <w:sz w:val="28"/>
          <w:sz w:val="28"/>
          <w:szCs w:val="28"/>
          <w:rtl w:val="true"/>
          <w:lang w:bidi="fa-IR"/>
        </w:rPr>
        <w:t>حسنة إبراهیم بن هاشم أنّ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رأوا الهلال قبل الزوال فهو للّیلة الماضیة، و إذا رأوا بعده فهو للّیلة المستقبلة</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ابن بکیر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رئی الهلال قبل الزوال، فذلک الیوم من شوّال، و إذا رئی بعد الزوال فهو من شهر رمضان</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روایة داود الرقّی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طلب الهلال فی المشرق غدوة فلم یر فهو هاهنا </w:t>
      </w:r>
      <w:r>
        <w:rPr>
          <w:rStyle w:val="FootnoteAnchor"/>
          <w:rtl w:val="true"/>
        </w:rPr>
        <w:footnoteReference w:id="486"/>
      </w:r>
      <w:r>
        <w:rPr>
          <w:rFonts w:ascii="IRNazanin" w:hAnsi="IRNazanin" w:eastAsia="IRNazanin"/>
          <w:color w:val="111111"/>
          <w:sz w:val="28"/>
          <w:sz w:val="28"/>
          <w:szCs w:val="28"/>
          <w:rtl w:val="true"/>
          <w:lang w:bidi="fa-IR"/>
        </w:rPr>
        <w:t>هلال جدید، رئی أو لم یر</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الصدوق أنّه وافق السیّد رحمه اللّه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 اعتبار ذلک فی الصوم دون الفطر</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 و المحقّق فی بعض کتبه توقّف فی ذلک فی الصوم، و فی الفطر حکم بعدم الاعتبار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یتوجّه علی الاستدلال بهذه الأخبار، أنّها لیست بصحیحة و إن کان بعضها کالصحیح، لأنّ کالصحیح لا یقاوم الصحیح، و لیست بصریحة فی الدلالة، فلا تعارض الصحیح</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یضعّفها، الأمور الخارجة، و بالجملة أنّها لا تقاوم أدلّة المشهور، لأنّ فیها الصحیح، بل الصحاح، و الکثرة فیها، بل و غایة الکثرة، بل و تواترها بلا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شبهة، و لذا اعترف به المحقّقون بالتواتر، مع أنّ هذه الأخبار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لموافقة ظاهر القرآن فیها و المخالفة فی هذه الأخبار، و ورد فی الأخبار المتواترة الأمر بما وافق القرآن، و الترک لما خالفه </w:t>
      </w:r>
      <w:r>
        <w:rPr>
          <w:rStyle w:val="FootnoteAnchor"/>
          <w:rtl w:val="true"/>
        </w:rPr>
        <w:footnoteReference w:id="491"/>
      </w:r>
      <w:r>
        <w:rPr>
          <w:rFonts w:ascii="Amiri" w:hAnsi="Amiri" w:eastAsia="Amiri" w:cs="Amiri"/>
          <w:color w:val="111111"/>
          <w:sz w:val="28"/>
          <w:sz w:val="28"/>
          <w:szCs w:val="28"/>
          <w:rtl w:val="true"/>
          <w:lang w:bidi="ar-SA"/>
        </w:rPr>
        <w:t xml:space="preserve">، و القرآن قوله تعالی ثُمَّ أَتِمُّوا الصِّیٰامَ إِلَی اللَّیْلِ </w:t>
      </w:r>
      <w:r>
        <w:rPr>
          <w:rStyle w:val="FootnoteAnchor"/>
          <w:rtl w:val="true"/>
        </w:rPr>
        <w:footnoteReference w:id="492"/>
      </w:r>
      <w:r>
        <w:rPr>
          <w:rFonts w:ascii="Amiri" w:hAnsi="Amiri" w:eastAsia="Amiri" w:cs="Amiri"/>
          <w:color w:val="111111"/>
          <w:sz w:val="28"/>
          <w:sz w:val="28"/>
          <w:szCs w:val="28"/>
          <w:rtl w:val="true"/>
          <w:lang w:bidi="ar-SA"/>
        </w:rPr>
        <w:t xml:space="preserve">، و قوله تعالی فَمَنْ شَهِدَ مِنْکُمُ الشَّهْرَ فَلْیَصُمْهُ </w:t>
      </w:r>
      <w:r>
        <w:rPr>
          <w:rStyle w:val="FootnoteAnchor"/>
          <w:rtl w:val="true"/>
        </w:rPr>
        <w:footnoteReference w:id="493"/>
      </w:r>
      <w:r>
        <w:rPr>
          <w:rFonts w:ascii="IRNazanin" w:hAnsi="IRNazanin" w:eastAsia="IRNazanin"/>
          <w:color w:val="111111"/>
          <w:sz w:val="28"/>
          <w:sz w:val="28"/>
          <w:szCs w:val="28"/>
          <w:rtl w:val="true"/>
          <w:lang w:bidi="fa-IR"/>
        </w:rPr>
        <w:t>، و تقریب الدلالة ما ذکرناه فی بیان دلالة الأخبار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أخبار المشهور موافقة لأصل البراءة، و لاستصحاب الفطر فی أوّل الشهر و الصوم فی آخره، و لاستصحاب بقاء شعبان و عدم رمضان، و أصل تأخّر الحادث، و لذا نحکم بأنّ یوم الشکّ من شعبان لا یمکننا صومه إلّا بقصد شعبان، و لما ورد فی أخبار کثیرة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 و إلّا بالیقین</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 و الإجماع المنقول، کما ستعرف، و مخالفة هذه الأخبار لجمع ذلک، و الشهرة بین الأصحاب فیها و الندرة فی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لموافقة تلک الأخبار للاعتبار، کما نصّ علیه فی روایة محمّد بن عیسی </w:t>
      </w:r>
      <w:r>
        <w:rPr>
          <w:rStyle w:val="FootnoteAnchor"/>
          <w:rtl w:val="true"/>
        </w:rPr>
        <w:footnoteReference w:id="495"/>
      </w:r>
      <w:r>
        <w:rPr>
          <w:rFonts w:ascii="Amiri" w:hAnsi="Amiri" w:eastAsia="Amiri" w:cs="Amiri"/>
          <w:color w:val="111111"/>
          <w:sz w:val="28"/>
          <w:sz w:val="28"/>
          <w:szCs w:val="28"/>
          <w:rtl w:val="true"/>
          <w:lang w:bidi="ar-SA"/>
        </w:rPr>
        <w:t>، و مخالفة هذه الأخبار للاعتبار، لما عرفت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لتصریح العلماء و العارفین بأنّه إذا کان خروج الشعاع بعد المغرب یری قبل الزوال البتّة، بل لا شکّ فی ذلک، بل إذا کان الخروج فی المغرب، بل قبل المغرب أیضا لا یری الهلال، إذ الهلال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للقدر المرئی من القمر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و هو المعتبر، و ورد فی الآیات </w:t>
      </w:r>
      <w:r>
        <w:rPr>
          <w:rStyle w:val="FootnoteAnchor"/>
          <w:rtl w:val="true"/>
        </w:rPr>
        <w:footnoteReference w:id="496"/>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Style w:val="FootnoteAnchor"/>
          <w:rtl w:val="true"/>
        </w:rPr>
        <w:footnoteReference w:id="497"/>
      </w:r>
      <w:r>
        <w:rPr>
          <w:rFonts w:ascii="IRNazanin" w:hAnsi="IRNazanin" w:eastAsia="IRNazanin"/>
          <w:color w:val="111111"/>
          <w:sz w:val="28"/>
          <w:sz w:val="28"/>
          <w:szCs w:val="28"/>
          <w:rtl w:val="true"/>
          <w:lang w:bidi="fa-IR"/>
        </w:rPr>
        <w:t xml:space="preserve">و الأخبار </w:t>
      </w:r>
      <w:r>
        <w:rPr>
          <w:rStyle w:val="FootnoteAnchor"/>
          <w:rtl w:val="true"/>
        </w:rPr>
        <w:footnoteReference w:id="498"/>
      </w:r>
      <w:r>
        <w:rPr>
          <w:rFonts w:ascii="IRNazanin" w:hAnsi="IRNazanin" w:eastAsia="IRNazanin"/>
          <w:color w:val="111111"/>
          <w:sz w:val="28"/>
          <w:sz w:val="28"/>
          <w:szCs w:val="28"/>
          <w:rtl w:val="true"/>
          <w:lang w:bidi="fa-IR"/>
        </w:rPr>
        <w:t>الأمر بمتابعة العقل و کونه حجّة، 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بالدرایات دون الروایات</w:t>
      </w:r>
      <w:r>
        <w:rPr>
          <w:rFonts w:eastAsia="IRNazanin" w:cs="IRNazanin"/>
          <w:color w:val="111111"/>
          <w:sz w:val="28"/>
          <w:szCs w:val="28"/>
          <w:rtl w:val="true"/>
          <w:lang w:bidi="fa-IR"/>
        </w:rPr>
        <w:t xml:space="preserve">» </w:t>
      </w:r>
      <w:r>
        <w:rPr>
          <w:rStyle w:val="FootnoteAnchor"/>
          <w:rtl w:val="true"/>
        </w:rPr>
        <w:footnoteReference w:id="49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لکلّ حقّ حقیقة، و لکلّ صواب نورا</w:t>
      </w:r>
      <w:r>
        <w:rPr>
          <w:rFonts w:eastAsia="Amiri" w:cs="Amiri" w:ascii="Amiri" w:hAnsi="Amiri"/>
          <w:color w:val="111111"/>
          <w:sz w:val="28"/>
          <w:szCs w:val="28"/>
          <w:rtl w:val="true"/>
          <w:lang w:bidi="ar-SA"/>
        </w:rPr>
        <w:t xml:space="preserve">» </w:t>
      </w:r>
      <w:r>
        <w:rPr>
          <w:rStyle w:val="FootnoteAnchor"/>
          <w:rtl w:val="true"/>
        </w:rPr>
        <w:footnoteReference w:id="500"/>
      </w:r>
      <w:r>
        <w:rPr>
          <w:rFonts w:ascii="IRNazanin" w:hAnsi="IRNazanin" w:eastAsia="IRNazanin"/>
          <w:color w:val="111111"/>
          <w:sz w:val="28"/>
          <w:sz w:val="28"/>
          <w:szCs w:val="28"/>
          <w:rtl w:val="true"/>
          <w:lang w:bidi="fa-IR"/>
        </w:rPr>
        <w:t>، و أجمع الفقهاء علی أنّ الحدیث الموافق للعقل مقدّم و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مخالفتها للوجدان، إذ کثیرا ما یری الهلال قبل الزوال </w:t>
      </w:r>
      <w:r>
        <w:rPr>
          <w:rStyle w:val="FootnoteAnchor"/>
          <w:rtl w:val="true"/>
        </w:rPr>
        <w:footnoteReference w:id="501"/>
      </w:r>
      <w:r>
        <w:rPr>
          <w:rFonts w:ascii="IRNazanin" w:hAnsi="IRNazanin" w:eastAsia="IRNazanin"/>
          <w:color w:val="111111"/>
          <w:sz w:val="28"/>
          <w:sz w:val="28"/>
          <w:szCs w:val="28"/>
          <w:rtl w:val="true"/>
          <w:lang w:bidi="fa-IR"/>
        </w:rPr>
        <w:t>، مع أنّ اللیلة السابقة الدنیا صحو، لا غیم و لا غبار أصلا و لم یره أحد، و بالعکس، إذ کثیرا ما یری الهلال فی اللیلة الماضیة إلّا أنّه ضعیف غایة الضعف، فلا یری فی الغد إلّا بعد الزوال، و ربّما قبل الزوال و یصیر الشهر ثلاثین یوما، فیلزم أن یصیر أحدا و ثلاثین، و ربّما یری بعد الزوال و یصیر تسعة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الفرق بین الجنوبی و الشمالی، و عالی الدرجة و خلافه </w:t>
      </w:r>
      <w:r>
        <w:rPr>
          <w:rStyle w:val="FootnoteAnchor"/>
          <w:rtl w:val="true"/>
        </w:rPr>
        <w:footnoteReference w:id="502"/>
      </w:r>
      <w:r>
        <w:rPr>
          <w:rFonts w:ascii="IRNazanin" w:hAnsi="IRNazanin" w:eastAsia="IRNazanin"/>
          <w:color w:val="111111"/>
          <w:sz w:val="28"/>
          <w:sz w:val="28"/>
          <w:szCs w:val="28"/>
          <w:rtl w:val="true"/>
          <w:lang w:bidi="fa-IR"/>
        </w:rPr>
        <w:t xml:space="preserve">محسوس، و مجرّد التفاوت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و لا یری عند خروج الشعاع لا یجعل الأمر کما فی هذه الأخبار دائما، و ذلک ظاهر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کیف یقول المعصوم علیه السّلام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یحصل فی کلامهم التدافع، مضافا إلی مخالفة الوجدان، مع أنّ موضوعات الأحکام إذا لم تکن عبادات لم تکن وظیفة الشرع، کما حقّق فی محلّه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کلّ هذا مضعّف للدلالة، فلا یقاوم غیر المضعّف </w:t>
      </w:r>
      <w:r>
        <w:rPr>
          <w:rStyle w:val="FootnoteAnchor"/>
          <w:rtl w:val="true"/>
        </w:rPr>
        <w:footnoteReference w:id="503"/>
      </w:r>
      <w:r>
        <w:rPr>
          <w:rFonts w:ascii="Amiri" w:hAnsi="Amiri" w:eastAsia="Amiri" w:cs="Amiri"/>
          <w:color w:val="111111"/>
          <w:sz w:val="28"/>
          <w:sz w:val="28"/>
          <w:szCs w:val="28"/>
          <w:rtl w:val="true"/>
          <w:lang w:bidi="ar-SA"/>
        </w:rPr>
        <w:t>، علی أنّ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ذکر قرینة علی أنّه علیه السّلام مراده المظنّة و الظهور،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أدوات الإجمال، فینصرف إلی الأفراد الغالبة، کما هو محقّق و مسلّم، و لأنّ الغالب و الأکثر کما ذکر فی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مراده علیه السّلام اعتبار ذلک فی مقام اعتبار الظنّ و الظهور لا الیقین، و لذا لم یأمروا بصوم و لا فطر، بل قالوا فی غیر واحد من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شهر رمضان فریضة من فرائض اللّه، فلا تؤدّوا بالتظنّی</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تصومن الشکّ، أفطر لرؤیته، و صم لرؤیته</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یدخل فیه الشکّ، صم لرؤیته</w:t>
      </w:r>
      <w:r>
        <w:rPr>
          <w:rFonts w:eastAsia="IRNazanin" w:cs="IRNazanin"/>
          <w:color w:val="111111"/>
          <w:sz w:val="28"/>
          <w:szCs w:val="28"/>
          <w:rtl w:val="true"/>
          <w:lang w:bidi="fa-IR"/>
        </w:rPr>
        <w:t xml:space="preserve">»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لو کان مراده علیه السّلام الصوم و الفطر أیضا بمجرّد الرؤیة قبل الزوال، فلعلّه محمول علی التقیّة، لمناسبته لقواعد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حمل بعض الأصحاب هذه الأخبار علی التقیّة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لعلّه مذهب لبعض العامّة</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ورد فی غیر واحد من الأخبار المعتبرة السند أنّ غیبوبة الهلال بعد الشفق علامة لکونه للیلتین </w:t>
      </w:r>
      <w:r>
        <w:rPr>
          <w:rStyle w:val="FootnoteAnchor"/>
          <w:rtl w:val="true"/>
        </w:rPr>
        <w:footnoteReference w:id="508"/>
      </w:r>
      <w:r>
        <w:rPr>
          <w:rFonts w:ascii="IRNazanin" w:hAnsi="IRNazanin" w:eastAsia="IRNazanin"/>
          <w:color w:val="111111"/>
          <w:sz w:val="28"/>
          <w:sz w:val="28"/>
          <w:szCs w:val="28"/>
          <w:rtl w:val="true"/>
          <w:lang w:bidi="fa-IR"/>
        </w:rPr>
        <w:t xml:space="preserve">، و کذا التطوّق </w:t>
      </w:r>
      <w:r>
        <w:rPr>
          <w:rStyle w:val="FootnoteAnchor"/>
          <w:rtl w:val="true"/>
        </w:rPr>
        <w:footnoteReference w:id="509"/>
      </w:r>
      <w:r>
        <w:rPr>
          <w:rFonts w:ascii="IRNazanin" w:hAnsi="IRNazanin" w:eastAsia="IRNazanin"/>
          <w:color w:val="111111"/>
          <w:sz w:val="28"/>
          <w:sz w:val="28"/>
          <w:szCs w:val="28"/>
          <w:rtl w:val="true"/>
          <w:lang w:bidi="fa-IR"/>
        </w:rPr>
        <w:t xml:space="preserve">، و أنّ رؤیة ظلّ الرأس علامة ثلاث لیال </w:t>
      </w:r>
      <w:r>
        <w:rPr>
          <w:rStyle w:val="FootnoteAnchor"/>
          <w:rtl w:val="true"/>
        </w:rPr>
        <w:footnoteReference w:id="510"/>
      </w:r>
      <w:r>
        <w:rPr>
          <w:rFonts w:ascii="IRNazanin" w:hAnsi="IRNazanin" w:eastAsia="IRNazanin"/>
          <w:color w:val="111111"/>
          <w:sz w:val="28"/>
          <w:sz w:val="28"/>
          <w:szCs w:val="28"/>
          <w:rtl w:val="true"/>
          <w:lang w:bidi="fa-IR"/>
        </w:rPr>
        <w:t>، و هم لا یقولون بمضمون هذه الأخبار، فما یقولون فی الجواب عنها، فهو الجواب عن تلک الأخبار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نعم، الصدوق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 الغیبوبة بعد الشفق و رؤیة ظلّ الرأس </w:t>
      </w:r>
      <w:r>
        <w:rPr>
          <w:rStyle w:val="FootnoteAnchor"/>
          <w:rtl w:val="true"/>
        </w:rPr>
        <w:footnoteReference w:id="511"/>
      </w:r>
      <w:r>
        <w:rPr>
          <w:rFonts w:ascii="IRNazanin" w:hAnsi="IRNazanin" w:eastAsia="IRNazanin"/>
          <w:color w:val="111111"/>
          <w:sz w:val="28"/>
          <w:sz w:val="28"/>
          <w:szCs w:val="28"/>
          <w:rtl w:val="true"/>
          <w:lang w:bidi="fa-IR"/>
        </w:rPr>
        <w:t xml:space="preserve">، و روایة أبی علیّ بن راشد ردّ علیه، مضافا إلی الإطلاقات و العمومات، و غیرهما ممّا أشرنا، و الاحتیاط واضح، و الحمد للّه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مراد المعصوم علیه 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 الهلال قبل الزوال یکون شرعا حکمه حکم ما إذا رئی فی اللیلة الماضیة، و إن کان خروج الشعاع بعد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الهلال اسم للقمر الخارج عن الشعاع، أی القدر الخارج عنه المضی‌ء فی اللیلة الاولی و الثانیة أو الثالثة، و هذا أمر واقعی، و 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للیلة الماضیة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الضمیر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اللّام للاختصاص، و معنی اللیلة الماضیة أیضا معلوم، و کلّ ذلک معان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ما ذکرت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حکمه، و کذا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مذکورین فی العبارة، و لا مدلولین لتلک العبارة لا مطابقة و لا تضمّنا و لا التزاما بحسب اللغة و لا بحسب العرف، و إن شئت فاعرض العبارة علی أهل العرف حتّی یحصل الیقین 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یکون ما ذکرت تأویلا آخر، و توجیها ثالثا بملاحظة ما ذکرنا من أنّه لیس کذلک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ما حکم به الوجدان و أقوال جمیع العلماء و العارفین، و غیر ذلک من جمیع ما مرّ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التوجیهان اللذان ذکرتهما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الحمل علی التقیّة أو المظنّة و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من هذا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أمّا الأوّل، فظهر وجهه، و أیّده جدّی رحمه اللّه </w:t>
      </w:r>
      <w:r>
        <w:rPr>
          <w:rStyle w:val="FootnoteAnchor"/>
          <w:rtl w:val="true"/>
        </w:rPr>
        <w:footnoteReference w:id="513"/>
      </w:r>
      <w:r>
        <w:rPr>
          <w:rFonts w:ascii="IRNazanin" w:hAnsi="IRNazanin" w:eastAsia="IRNazanin"/>
          <w:color w:val="111111"/>
          <w:sz w:val="28"/>
          <w:sz w:val="28"/>
          <w:szCs w:val="28"/>
          <w:rtl w:val="true"/>
          <w:lang w:bidi="fa-IR"/>
        </w:rPr>
        <w:t>بإبهام المعصوم علیه السّلام و کلامه، کما هو عادتهم فی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یظهر من روایة العبیدی </w:t>
      </w:r>
      <w:r>
        <w:rPr>
          <w:rStyle w:val="FootnoteAnchor"/>
          <w:rtl w:val="true"/>
        </w:rPr>
        <w:footnoteReference w:id="514"/>
      </w:r>
      <w:r>
        <w:rPr>
          <w:rFonts w:ascii="IRNazanin" w:hAnsi="IRNazanin" w:eastAsia="IRNazanin"/>
          <w:color w:val="111111"/>
          <w:sz w:val="28"/>
          <w:sz w:val="28"/>
          <w:szCs w:val="28"/>
          <w:rtl w:val="true"/>
          <w:lang w:bidi="fa-IR"/>
        </w:rPr>
        <w:t xml:space="preserve">، و روایة جرّاح </w:t>
      </w:r>
      <w:r>
        <w:rPr>
          <w:rStyle w:val="FootnoteAnchor"/>
          <w:rtl w:val="true"/>
        </w:rPr>
        <w:footnoteReference w:id="515"/>
      </w:r>
      <w:r>
        <w:rPr>
          <w:rFonts w:ascii="IRNazanin" w:hAnsi="IRNazanin" w:eastAsia="IRNazanin"/>
          <w:color w:val="111111"/>
          <w:sz w:val="28"/>
          <w:sz w:val="28"/>
          <w:szCs w:val="28"/>
          <w:rtl w:val="true"/>
          <w:lang w:bidi="fa-IR"/>
        </w:rPr>
        <w:t xml:space="preserve">، و صحیحة محمّد بن قیس </w:t>
      </w:r>
      <w:r>
        <w:rPr>
          <w:rStyle w:val="FootnoteAnchor"/>
          <w:rtl w:val="true"/>
        </w:rPr>
        <w:footnoteReference w:id="516"/>
      </w:r>
      <w:r>
        <w:rPr>
          <w:rFonts w:ascii="IRNazanin" w:hAnsi="IRNazanin" w:eastAsia="IRNazanin"/>
          <w:color w:val="111111"/>
          <w:sz w:val="28"/>
          <w:sz w:val="28"/>
          <w:szCs w:val="28"/>
          <w:rtl w:val="true"/>
          <w:lang w:bidi="fa-IR"/>
        </w:rPr>
        <w:t xml:space="preserve">، و روایة إسحاق </w:t>
      </w:r>
      <w:r>
        <w:rPr>
          <w:rStyle w:val="FootnoteAnchor"/>
          <w:rtl w:val="true"/>
        </w:rPr>
        <w:footnoteReference w:id="517"/>
      </w:r>
      <w:r>
        <w:rPr>
          <w:rFonts w:ascii="IRNazanin" w:hAnsi="IRNazanin" w:eastAsia="IRNazanin"/>
          <w:color w:val="111111"/>
          <w:sz w:val="28"/>
          <w:sz w:val="28"/>
          <w:szCs w:val="28"/>
          <w:rtl w:val="true"/>
          <w:lang w:bidi="fa-IR"/>
        </w:rPr>
        <w:t xml:space="preserve">وجود هذا القول فی العامّة، بل و کونه قولا مشهورا بینهم، مع أنّ العامّة مدارهم علی الظنون فی الأحکام الفقهیّة رأسا و کیف کانت سیّما فی الهلال، کما هو مشاهد محسوس منهم فی الأعصار و الأمصار، و ظاهر أنّه برؤیة الهلال قبل الزوال </w:t>
      </w:r>
      <w:r>
        <w:rPr>
          <w:rStyle w:val="FootnoteAnchor"/>
          <w:rtl w:val="true"/>
        </w:rPr>
        <w:footnoteReference w:id="518"/>
      </w:r>
      <w:r>
        <w:rPr>
          <w:rFonts w:ascii="IRNazanin" w:hAnsi="IRNazanin" w:eastAsia="IRNazanin"/>
          <w:color w:val="111111"/>
          <w:sz w:val="28"/>
          <w:sz w:val="28"/>
          <w:szCs w:val="28"/>
          <w:rtl w:val="true"/>
          <w:lang w:bidi="fa-IR"/>
        </w:rPr>
        <w:t>یحصل ظنّ أقوی من سائر ظنونهم الّتی یعتبرونها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غیر واحد من الأخبار أنّ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أفطرت مع السلطان، و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أنّه من شهر رمضان</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و هذا ینادی بأنّ السلطان و الناس کانوا یبنون أمرهم علی ظنّ، و إلّا فمن البدیهیّات أنّهم ما کانوا یفطرون جهارا من غیر عذر أصلا، مع أنّه لو کانوا یفعلون کذلک فی بعض الأحیان فیکون اعتمادهم علی الظنّ أیضا بطریق الأولی کما لا یخفی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ما ورد فی الأخبار المتواترة من قصر الصوم فی الرؤیة و عدم جواز التظنّی </w:t>
      </w:r>
      <w:r>
        <w:rPr>
          <w:rStyle w:val="FootnoteAnchor"/>
          <w:rtl w:val="true"/>
        </w:rPr>
        <w:footnoteReference w:id="520"/>
      </w:r>
      <w:r>
        <w:rPr>
          <w:rFonts w:ascii="IRNazanin" w:hAnsi="IRNazanin" w:eastAsia="IRNazanin"/>
          <w:color w:val="111111"/>
          <w:sz w:val="28"/>
          <w:sz w:val="28"/>
          <w:szCs w:val="28"/>
          <w:rtl w:val="true"/>
          <w:lang w:bidi="fa-IR"/>
        </w:rPr>
        <w:t>ردّ علی العامّة کما لا یخفی، و ورد فی المتواتر أنّ الرشد فی مخالفة العامّة،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و أنّ ما ذا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ترکه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یقتضی الحکم بما هو مستند المشهور، لأنّ هذه الأخبار موافقة لهم </w:t>
      </w:r>
      <w:r>
        <w:rPr>
          <w:rStyle w:val="FootnoteAnchor"/>
          <w:rtl w:val="true"/>
        </w:rPr>
        <w:footnoteReference w:id="522"/>
      </w:r>
      <w:r>
        <w:rPr>
          <w:rFonts w:ascii="IRNazanin" w:hAnsi="IRNazanin" w:eastAsia="IRNazanin"/>
          <w:color w:val="111111"/>
          <w:sz w:val="28"/>
          <w:sz w:val="28"/>
          <w:szCs w:val="28"/>
          <w:rtl w:val="true"/>
          <w:lang w:bidi="fa-IR"/>
        </w:rPr>
        <w:t>، و مستند المشهور مخالف لهم، بل لیس إلّا ردّا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یظهر من بعضها أنّ ما هو أوفق بمذهبهم و طریقتهم یجب ترکه و ما إلیه حکّامهم أمیل و قضاتهم </w:t>
      </w:r>
      <w:r>
        <w:rPr>
          <w:rStyle w:val="FootnoteAnchor"/>
          <w:rtl w:val="true"/>
        </w:rPr>
        <w:footnoteReference w:id="523"/>
      </w:r>
      <w:r>
        <w:rPr>
          <w:rFonts w:ascii="IRNazanin" w:hAnsi="IRNazanin" w:eastAsia="IRNazanin"/>
          <w:color w:val="111111"/>
          <w:sz w:val="28"/>
          <w:sz w:val="28"/>
          <w:szCs w:val="28"/>
          <w:rtl w:val="true"/>
          <w:lang w:bidi="fa-IR"/>
        </w:rPr>
        <w:t>، و ما هو أبعد منهم یجب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الغلبة، فلبناء العرف غالبا علی التغییر، کذلک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کذا، و یریدون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الشرع، فطریقه مکالماته طریقة العرف، ألا تری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المنی دافق </w:t>
      </w:r>
      <w:r>
        <w:rPr>
          <w:rStyle w:val="FootnoteAnchor"/>
          <w:rtl w:val="true"/>
        </w:rPr>
        <w:footnoteReference w:id="524"/>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الحیض أسود و الاستحاضة أصفر </w:t>
      </w:r>
      <w:r>
        <w:rPr>
          <w:rStyle w:val="FootnoteAnchor"/>
          <w:rtl w:val="true"/>
        </w:rPr>
        <w:footnoteReference w:id="525"/>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من قصاص شعر الرأس إلی الذقن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لا یمکن إحصاؤه، یرید فی کلّ ذلک أنّ الغالب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قیل بأنّ مراده علیه السّلام کون الهلال قبل الزوال للّیلة الماضیة بحسب الواقع یلزم الکذب الصریح،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شبهة فی استحالته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جرم إمّا هو تقیّة، أو الحکم علی سبیل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فی أنّه إن قال صریحا أنّه فی الغالب للّیلة، لم یکن إلّا إخبارا عمّا فی الواقع، و لا یلزم أن یکون فیه ثمر شرعی أصلا، و علی تقدیر اللزوم فثمرته ثمر المظنّة، کما عرفت، و لا شکّ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فی عدم اعتبارها، کالجدول و غیره من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التساوی، أیضا یکون حاله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کونه أجود، أیضا لا ینفع، لأنّ التوجیه و التأویل احتمال خلاف ظاهر کلام المعصوم علیه السّلام، فکیف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الحجّة إنّما هی الظاهر، بل الظهور فی الجملة أیضا لا یکفی للمعارضة،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المشهور </w:t>
      </w:r>
      <w:r>
        <w:rPr>
          <w:rStyle w:val="FootnoteAnchor"/>
          <w:rtl w:val="true"/>
        </w:rPr>
        <w:footnoteReference w:id="527"/>
      </w:r>
      <w:r>
        <w:rPr>
          <w:rFonts w:ascii="IRNazanin" w:hAnsi="IRNazanin" w:eastAsia="IRNazanin"/>
          <w:color w:val="111111"/>
          <w:sz w:val="28"/>
          <w:sz w:val="28"/>
          <w:szCs w:val="28"/>
          <w:rtl w:val="true"/>
          <w:lang w:bidi="fa-IR"/>
        </w:rPr>
        <w:t>هی فی غایة القوّة من الدلالة، علی حسب ما عرفت، بل ربّما کانت قطعیّة کما عرفت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أن یکون الدلالة هنا أقوی من أدلّة المشهور، حتّی یغلب علیها و یقدّم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أنّک عرفت أنّ ما ذکرت خلاف ظاهر عبارة المعصوم علیه السّلام فلا یکون حجّة قطعا، فضلا عن المقاومة، بل الاحتمال المساوی لا یمکن أن یصیر دلیلا بالبدیهة، فکیف یصیر المرجوح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عرفت حال الرجحان، فکیف حال المرجوح؟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حکمه شرعا حکم ما إذا رئی فی اللیلة الماضیة لا یلزم المشارکة فی جمیع الأحکام، بل المشارکة فی الجملة کافیة، و لذا لا یحکم فی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الصلاة کافر</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 و کذا تارک الزکاة </w:t>
      </w:r>
      <w:r>
        <w:rPr>
          <w:rStyle w:val="FootnoteAnchor"/>
          <w:rtl w:val="true"/>
        </w:rPr>
        <w:footnoteReference w:id="530"/>
      </w:r>
      <w:r>
        <w:rPr>
          <w:rFonts w:ascii="Amiri" w:hAnsi="Amiri" w:eastAsia="Amiri" w:cs="Amiri"/>
          <w:color w:val="111111"/>
          <w:sz w:val="28"/>
          <w:sz w:val="28"/>
          <w:szCs w:val="28"/>
          <w:rtl w:val="true"/>
          <w:lang w:bidi="ar-SA"/>
        </w:rPr>
        <w:t xml:space="preserve">، و الحجّ </w:t>
      </w:r>
      <w:r>
        <w:rPr>
          <w:rStyle w:val="FootnoteAnchor"/>
          <w:rtl w:val="true"/>
        </w:rPr>
        <w:footnoteReference w:id="531"/>
      </w:r>
      <w:r>
        <w:rPr>
          <w:rFonts w:ascii="Amiri" w:hAnsi="Amiri" w:eastAsia="Amiri" w:cs="Amiri"/>
          <w:color w:val="111111"/>
          <w:sz w:val="28"/>
          <w:sz w:val="28"/>
          <w:szCs w:val="28"/>
          <w:rtl w:val="true"/>
          <w:lang w:bidi="ar-SA"/>
        </w:rPr>
        <w:t xml:space="preserve">و البرّ </w:t>
      </w:r>
      <w:r>
        <w:rPr>
          <w:rStyle w:val="FootnoteAnchor"/>
          <w:rtl w:val="true"/>
        </w:rPr>
        <w:footnoteReference w:id="532"/>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إطلاقاتهم الّتی لا تحصی المشارکة فی جمیع الأحکام، بل یبنون علی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فعلی هذا، لا یظهر من هذه الأخبار ما یعارض أدلّة المشهور الصریحة فی أنّ وجوب الصوم و الإفطار منحصر فی الرؤیة، فلا شکّ فی أنّ المراد و المتبادر الرؤیة حقیقة، لا حکم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الحال فی ثبوت الرؤیة بشهادة العدلین أو الشیاع، سیّما مع صراحة بعض الأخبار بعدم العبرة برؤیة الهلال قبل الزوال فی وجوب الإفطار و الصوم بالنسبة إلی اللیلة الماضیة، بل یجب الإبقاء إلی اللیل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الباقی فی غایة القوّة من الدلالة، بل لعلّه یحصل الیقین، بل ربّما کان مراد السیّد رحمه اللّه أیضا ذلک، و لذا یحکم بکون المخالف کافرا حقیقیّا بالکفر الإسلامی </w:t>
      </w:r>
      <w:r>
        <w:rPr>
          <w:rStyle w:val="FootnoteAnchor"/>
          <w:rtl w:val="true"/>
        </w:rPr>
        <w:footnoteReference w:id="534"/>
      </w:r>
      <w:r>
        <w:rPr>
          <w:rFonts w:ascii="IRNazanin" w:hAnsi="IRNazanin" w:eastAsia="IRNazanin"/>
          <w:color w:val="111111"/>
          <w:sz w:val="28"/>
          <w:sz w:val="28"/>
          <w:szCs w:val="28"/>
          <w:rtl w:val="true"/>
          <w:lang w:bidi="fa-IR"/>
        </w:rPr>
        <w:t>، و مع ذلک لا یجری فیه جمیع أحکام الکفر، بل أحکامه الظاهرة،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القتل و السبی و استحلال الأموال و أمثال ذلک، بل الأظهر أنّ مراده ذلک إن ثبت هذا القول منه، توفیقا بینه و بین تصانیفه المعروفة و أقوال الشیعة، لأنّه رحمه اللّه فی جمیع کتبه موافق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نقل عنه أنّه قال ذلک فی بعض مسائله،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مذهبنا </w:t>
      </w:r>
      <w:r>
        <w:rPr>
          <w:rStyle w:val="FootnoteAnchor"/>
          <w:rtl w:val="true"/>
        </w:rPr>
        <w:footnoteReference w:id="535"/>
      </w:r>
      <w:r>
        <w:rPr>
          <w:rFonts w:ascii="IRNazanin" w:hAnsi="IRNazanin" w:eastAsia="IRNazanin"/>
          <w:color w:val="111111"/>
          <w:sz w:val="28"/>
          <w:sz w:val="28"/>
          <w:szCs w:val="28"/>
          <w:rtl w:val="true"/>
          <w:lang w:bidi="fa-IR"/>
        </w:rPr>
        <w:t>، و الظاهر منه کونه مذهب الشیعة، و کیف یکون مذهب الشیعة، مع أنّه بنفسه لم یقل به فی کتبه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ظنّک بغیره، إذ لم یوافقه أحد ممّن عاصره، و لا من تقدّم علیه، و لا من تأخّر عنه، بل ادّعوا الإجماع علی خلاف ذلک، و لا شکّ فی أنّه فی زمن السید رحمه اللّه لم یکن ذلک مذهب الشیعة حتّی یقول مذهبنا، إذ لو کان کذلک لشارکه واحد من الشیعة، بل هو ما شارک نفسه فی کتبه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فتعیّن أنّ مراده رحمه اللّه إمّا ذلک أو ما تقدّم من أنّ المراد الغالب کذا، لأنّ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عنایته رحمه اللّه فی کتبه المعروفة و عنایة سائر الفقهاء إنّما هی بشأن الصوم و الفطر لا غیر، و کلّهم متّفقون علی حصول ظنون قویّة من الجدول أو غیره، و أنّه لا عبرة بها فی الصوم و الفطر، و إن جاز اعتبارها فی حکایة أعمال الشهر المستحبّة احتیاطا أو غیر ذلک ممّا یعتبر فیه المظنّة، و لعلّه لهذا ادّعوا الإجماع و لم یتعرّضوا لمخالفته فی بعض مسائله، و لم یعتنوا بشأنه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عدم التعارض أیضا لو کان مرادهم أنّه من اللیلة الماضیة بحسب الواقع، لأنّهم علیهم السّلام جعلوا الرؤیة شرطا لوجوب الصوم و الإفطار، کما صرّح به الأخبار المتواترة المعمول بها عند الفقهاء، و أنّه إن لم یتحقّق الرؤیة یجب الإکمال ثلاثین یوما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یکون الرؤیة من جملة الشرائط الشرعیّة، کالحضر و عدم المرض و عدم الضرر إلی غیر ذلک بالنسبة إلی الصوم و الفطر، ألا تری أنّه إذا حصل لمنجّم الیقین من الجدول بأنّ اللیلة من الشهر، فأیّ مانع فی أنّه لا یجوز و لا یحلّ الصوم و الإفطار إلّا أن یتحقّق الرؤیة، أو تثبت بشیاع أو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 القاضی إن کان له علم من الخارج بأنّ الحقّ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الخصمین </w:t>
      </w:r>
      <w:r>
        <w:rPr>
          <w:rStyle w:val="FootnoteAnchor"/>
          <w:rtl w:val="true"/>
        </w:rPr>
        <w:footnoteReference w:id="536"/>
      </w:r>
      <w:r>
        <w:rPr>
          <w:rFonts w:ascii="IRNazanin" w:hAnsi="IRNazanin" w:eastAsia="IRNazanin"/>
          <w:color w:val="111111"/>
          <w:sz w:val="28"/>
          <w:sz w:val="28"/>
          <w:szCs w:val="28"/>
          <w:rtl w:val="true"/>
          <w:lang w:bidi="fa-IR"/>
        </w:rPr>
        <w:t>وقع النزاع فی أنّه هل یجوز له أن یحکم بما هو یعلم أو لا بدّ من أن یحکم بشهادة العدلین و غیرها من الظنون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المعصوم علیه السّلام إذا صرّح بما ذکرناه فی حدیث واحد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الهلال قبل الزوال فهو للّیلة الماضیة إلّا أنّه لا یجوز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الحکم من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تصوموا و تفطروا بذلک، بل لا بدّ من الصوم و الإفطار من اللیلة فی اللیلة لم یعدّ الکلامان متناقضین، بل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ظاهریهما تناقض، لأنّ</w:t>
      </w:r>
      <w:bookmarkStart w:id="200" w:name="pg2526_25498"/>
    </w:p>
    <w:p>
      <w:pPr>
        <w:pStyle w:val="BookText"/>
        <w:rPr/>
      </w:pPr>
      <w:bookmarkEnd w:id="2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کون اللیلة أوّل الشهر، و کون وجوب الصوم و الإفطار مقصورا بحسب حکم الشرع فی الرؤیة أمر آخر، مع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أدوات الإهمال لا تفید العموم، کما هو المسلّم و المحقّق، فیرجع إلی الغالب، فیکون المعنی أنّه کذا غالبا، و لیس له معنی سوی ذلک، و لا تأمّل لأحد فی أنّ الغالب کذا،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الغالبة تنفع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أنّک عرفت الأدلّة علی عدم الاعتبار بالمظنّة، و أنّ المعتبر هو الرؤیة، و لیس الرؤیة قبل الزوال بالنسبة إلی اللیلة الماضیة من جملتها، لما عرفت مشروحا، و لأنّه علی هذا یکون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اللیلة الماضیة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الیوم من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 لا طائل تحته، بل ینادی ذلک بأنّ العبرة باللیلة الماضیة، و کونه من شوّال، و کونه من رمضان، و اللیلة الماضیة لم تقع فیها الرؤیة، و کذا أوّل شوّال و شهر رمضان،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بل المتعیّن هو ما ذکرناه أوّلا، تنزیها للأئمّة علیهم السّلام عن الکذب، و لأنّ الظاهر أنّ اعتبار الرؤیة لأجل ثبوت الشهر، فتدبّر</w:t>
      </w:r>
      <w:r>
        <w:rPr>
          <w:rFonts w:eastAsia="IRNazanin" w:cs="IRNazanin"/>
          <w:color w:val="111111"/>
          <w:sz w:val="28"/>
          <w:szCs w:val="28"/>
          <w:rtl w:val="true"/>
          <w:lang w:bidi="fa-IR"/>
        </w:rPr>
        <w:t>.</w:t>
      </w:r>
    </w:p>
    <w:p>
      <w:pPr>
        <w:pStyle w:val="Heading3"/>
        <w:numPr>
          <w:ilvl w:val="2"/>
          <w:numId w:val="1"/>
        </w:numPr>
        <w:rPr/>
      </w:pPr>
      <w:bookmarkStart w:id="201" w:name="__RefHeading___Toc4328000_3804643083"/>
      <w:bookmarkStart w:id="202" w:name="_Toc75"/>
      <w:bookmarkEnd w:id="201"/>
      <w:r>
        <w:rPr>
          <w:rtl w:val="true"/>
        </w:rPr>
        <w:t>و خلاصة مرجّحات مستند المشهور</w:t>
      </w:r>
      <w:r>
        <w:rPr>
          <w:rtl w:val="true"/>
        </w:rPr>
        <w:t>:</w:t>
      </w:r>
      <w:bookmarkEnd w:id="202"/>
    </w:p>
    <w:p>
      <w:pPr>
        <w:pStyle w:val="Heading4"/>
        <w:numPr>
          <w:ilvl w:val="3"/>
          <w:numId w:val="1"/>
        </w:numPr>
        <w:rPr/>
      </w:pPr>
      <w:bookmarkStart w:id="203" w:name="__RefHeading___Toc4328002_3804643083"/>
      <w:bookmarkStart w:id="204" w:name="_Toc76"/>
      <w:bookmarkEnd w:id="203"/>
      <w:r>
        <w:rPr>
          <w:rtl w:val="true"/>
        </w:rPr>
        <w:t>اشارة</w:t>
      </w:r>
      <w:bookmarkEnd w:id="204"/>
    </w:p>
    <w:p>
      <w:pPr>
        <w:pStyle w:val="BookText"/>
        <w:rPr/>
      </w:pPr>
      <w:r>
        <w:rPr>
          <w:rFonts w:ascii="IRNazanin" w:hAnsi="IRNazanin" w:eastAsia="IRNazanin"/>
          <w:color w:val="111111"/>
          <w:sz w:val="28"/>
          <w:sz w:val="28"/>
          <w:szCs w:val="28"/>
          <w:rtl w:val="true"/>
          <w:lang w:bidi="fa-IR"/>
        </w:rPr>
        <w:t xml:space="preserve">تواتر الخبر، و الموافقة للقرآن متکرّرا، و الأخبار المتواترة فی أنّ موافق القرآن حجّة و مخالفه لیس بحجّة </w:t>
      </w:r>
      <w:r>
        <w:rPr>
          <w:rStyle w:val="FootnoteAnchor"/>
          <w:rtl w:val="true"/>
        </w:rPr>
        <w:footnoteReference w:id="537"/>
      </w:r>
      <w:r>
        <w:rPr>
          <w:rFonts w:ascii="IRNazanin" w:hAnsi="IRNazanin" w:eastAsia="IRNazanin"/>
          <w:color w:val="111111"/>
          <w:sz w:val="28"/>
          <w:sz w:val="28"/>
          <w:szCs w:val="28"/>
          <w:rtl w:val="true"/>
          <w:lang w:bidi="fa-IR"/>
        </w:rPr>
        <w:t xml:space="preserve">، مضافا إلی الأخبار المتواترة فی حجّیة القرآن </w:t>
      </w:r>
      <w:r>
        <w:rPr>
          <w:rStyle w:val="FootnoteAnchor"/>
          <w:rtl w:val="true"/>
        </w:rPr>
        <w:footnoteReference w:id="538"/>
      </w:r>
      <w:r>
        <w:rPr>
          <w:rFonts w:ascii="IRNazanin" w:hAnsi="IRNazanin" w:eastAsia="IRNazanin"/>
          <w:color w:val="111111"/>
          <w:sz w:val="28"/>
          <w:sz w:val="28"/>
          <w:szCs w:val="28"/>
          <w:rtl w:val="true"/>
          <w:lang w:bidi="fa-IR"/>
        </w:rPr>
        <w:t>، مضافا إلی أنّ القرآن متواترة فی نفسه سندا و متنا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المرجّحات، المخالفة لمذهب العامّة و أنّه أبعد، بل و أنّه فی مقام الردّ علیهم فی مقام أنّ رمضان لیس بالعدد، و اعترف الخصم بأنّ الظاهر منها کون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العدد مذهبا من العامّة فی ذلک الزمان </w:t>
      </w:r>
      <w:r>
        <w:rPr>
          <w:rStyle w:val="FootnoteAnchor"/>
          <w:rtl w:val="true"/>
        </w:rPr>
        <w:footnoteReference w:id="539"/>
      </w:r>
      <w:r>
        <w:rPr>
          <w:rFonts w:ascii="IRNazanin" w:hAnsi="IRNazanin" w:eastAsia="IRNazanin"/>
          <w:color w:val="111111"/>
          <w:sz w:val="28"/>
          <w:sz w:val="28"/>
          <w:szCs w:val="28"/>
          <w:rtl w:val="true"/>
          <w:lang w:bidi="fa-IR"/>
        </w:rPr>
        <w:t>، و کذا فی مقام عدم جواز البناء علی الظنّ کما عرفت، بل و فی خصوص کون رؤیة قبل الزوال لا تصیر منشأ للصوم و الفطر من الحین،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المرجّحات، ما ورد فی الأخبار المتواترة من أنّ ما 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المرجّحات، الأصول الّتی عرفت، و أدلّة کلّها یقینیّة أو ظنّیة مسلّمة ثابتة الحجّیة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المرجّحات، کونها مشهورة بین الأصحاب </w:t>
      </w:r>
      <w:r>
        <w:rPr>
          <w:rStyle w:val="FootnoteAnchor"/>
          <w:rtl w:val="true"/>
        </w:rPr>
        <w:footnoteReference w:id="540"/>
      </w:r>
      <w:r>
        <w:rPr>
          <w:rFonts w:ascii="IRNazanin" w:hAnsi="IRNazanin" w:eastAsia="IRNazanin"/>
          <w:color w:val="111111"/>
          <w:sz w:val="28"/>
          <w:sz w:val="28"/>
          <w:szCs w:val="28"/>
          <w:rtl w:val="true"/>
          <w:lang w:bidi="fa-IR"/>
        </w:rPr>
        <w:t xml:space="preserve">، بل لعلّه لم یوجد مخالف، کما عرفت، مع ما ورد من الأمر بأخذ ما اشتهر بین الأصحاب فی غیر واحد من الأخبار </w:t>
      </w:r>
      <w:r>
        <w:rPr>
          <w:rStyle w:val="FootnoteAnchor"/>
          <w:rtl w:val="true"/>
        </w:rPr>
        <w:footnoteReference w:id="541"/>
      </w:r>
      <w:r>
        <w:rPr>
          <w:rFonts w:ascii="IRNazanin" w:hAnsi="IRNazanin" w:eastAsia="IRNazanin"/>
          <w:color w:val="111111"/>
          <w:sz w:val="28"/>
          <w:sz w:val="28"/>
          <w:szCs w:val="28"/>
          <w:rtl w:val="true"/>
          <w:lang w:bidi="fa-IR"/>
        </w:rPr>
        <w:t>، و هو أیضا من المسلّمات، سیّما مع ما فیها من التعلیل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المرجّحات، الموافقة للإجماع المنقول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المرجّحات، العدالة و الأعدلیّة، مضافا إلی الأخبار الواردة فی اعتبارهما </w:t>
      </w:r>
      <w:r>
        <w:rPr>
          <w:rStyle w:val="FootnoteAnchor"/>
          <w:rtl w:val="true"/>
        </w:rPr>
        <w:footnoteReference w:id="543"/>
      </w:r>
      <w:r>
        <w:rPr>
          <w:rFonts w:ascii="IRNazanin" w:hAnsi="IRNazanin" w:eastAsia="IRNazanin"/>
          <w:color w:val="111111"/>
          <w:sz w:val="28"/>
          <w:sz w:val="28"/>
          <w:szCs w:val="28"/>
          <w:rtl w:val="true"/>
          <w:lang w:bidi="fa-IR"/>
        </w:rPr>
        <w:t xml:space="preserve">و خصوصا </w:t>
      </w:r>
      <w:r>
        <w:rPr>
          <w:rStyle w:val="FootnoteAnchor"/>
          <w:rtl w:val="true"/>
        </w:rPr>
        <w:footnoteReference w:id="544"/>
      </w:r>
      <w:r>
        <w:rPr>
          <w:rFonts w:ascii="IRNazanin" w:hAnsi="IRNazanin" w:eastAsia="IRNazanin"/>
          <w:color w:val="111111"/>
          <w:sz w:val="28"/>
          <w:sz w:val="28"/>
          <w:szCs w:val="28"/>
          <w:rtl w:val="true"/>
          <w:lang w:bidi="fa-IR"/>
        </w:rPr>
        <w:t>أنّ صحاحهم فی غایة الکثرة بالصحّة المتّفق علیها، و مستند الخصم لیس فیه صحیح، فضلا عن الأعدلیّة، فضلا عن المقابلة بالعدد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المرجّحات، قوّة الدلالة، بل صراحة بعضها، و کون ما بقی قریبا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القطع، إن لم نقل قطعی،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المرجّحات، ما ورد منهم من الأخذ بمحکمات أخبارهم دون المتشابهات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مستند الخصم، فکلّ واحد ممّا ذکر یضعّفه، و یمنع عن الاحتجاج، بل عرفت أنّه لا دلالة له أصلا، لاحتمال أنّهم کانوا یخبرون بالواقع، کما صرّح بذلک جدّی رحمه اللّه </w:t>
      </w:r>
      <w:r>
        <w:rPr>
          <w:rStyle w:val="FootnoteAnchor"/>
          <w:rtl w:val="true"/>
        </w:rPr>
        <w:footnoteReference w:id="546"/>
      </w:r>
      <w:r>
        <w:rPr>
          <w:rFonts w:ascii="IRNazanin" w:hAnsi="IRNazanin" w:eastAsia="IRNazanin"/>
          <w:color w:val="111111"/>
          <w:sz w:val="28"/>
          <w:sz w:val="28"/>
          <w:szCs w:val="28"/>
          <w:rtl w:val="true"/>
          <w:lang w:bidi="fa-IR"/>
        </w:rPr>
        <w:t>، و عرفت الوجه، أو أنّ المراد الغالب، و عرفت الوجه أیضا، أو أنّ المراد المشارکة فی الجملة، و عرفت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 ظهر سرّ ما قال جدّی رحمه اللّه مع غیر واحد من المحقّقین من عدم الدلالة أصلا علی وجوب الصوم و الفطر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مع احتمال کونه واردا علی التقیّة، لو لم نقل أنّه أقرب، کما عرفت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کثیرا من المرجّحات حجج شرعیّة بأنفسها، و لا یکاد یوجد مسألة فقهیّة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المثابة من المتانة، کما لا یخفی علی من له 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المراد أنّ حکمه حکم الرؤیة فی اللیلة الماضیة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ظهور، لأنّ الظاهر المشارکة فی جمیع الأحکام، أو الأحکام الشائعة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بأنّ مثل ذلک مجمل لا یمکنه دعوی الظهور، و من قال بما ذکرت فقد عرفت أنّ الأخبار المتواترة و کلام الفقهاء أنّ الرؤیة الحقیقیّة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حسب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لا الحکمیّة، بل صریح بعضها ذلک، مثل روایة العبیدی </w:t>
      </w:r>
      <w:r>
        <w:rPr>
          <w:rStyle w:val="FootnoteAnchor"/>
          <w:rtl w:val="true"/>
        </w:rPr>
        <w:footnoteReference w:id="549"/>
      </w:r>
      <w:r>
        <w:rPr>
          <w:rFonts w:ascii="IRNazanin" w:hAnsi="IRNazanin" w:eastAsia="IRNazanin"/>
          <w:color w:val="111111"/>
          <w:sz w:val="28"/>
          <w:sz w:val="28"/>
          <w:szCs w:val="28"/>
          <w:rtl w:val="true"/>
          <w:lang w:bidi="fa-IR"/>
        </w:rPr>
        <w:t>و ما ماثلها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الروایات المتواترة، فقد عرفت دلالتها علی ذلک أیضا، و کذا الإجماع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یحتمل أن یکون شرطا، فمع الاحتمال لا یمکن الاستدلال، إذ لعلّ حکم اللیلة الماضیة بالنسبة إلی الصوم و الفطر هو تلک الرؤیة، کما اتّفق علیه الفقهاء من دون ظهور خلاف، بل ظهور عدم الخلاف، کما عرفت، و اتّفقت علیه الأدلّة المذکورة الّتی لا یمکن التأمّل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صدر عن قلیل من علماء أمثال زماننا لیس إلّا محض الغفلة، کما ینادی بذلک کلماتهم، فلا 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مجرّد احتمال، بل الظاهر مرجوحیّته بالنسبة إلی الاحتمالین الآخرین، کما لا یخفی علی الفطن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حمل روایة المدائنی علی خصوص ما بعد الزوال، حملا للمطلق علی المقیّد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أنّ ذلک موقوف علی التقاوم و التکافؤ سندا، و قد عرفت المرجّحات للمطلق، و المضعّفات للمقیّد، إذ لا حدّ لها و لا إحصاء، بل لا یبقی بعد ذلک تسامح بما ذکره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المتن، فلا بدّ من التکافؤ أیضا، بل کون المقیّد أقوی، حتّی یقدّم علی المطلق، و معلوم أنّ الأمر هنا بالعکس، بل و أیّ نسبة بینهما، لأنّ المطلق موافق للقرآن فی موضعین و للفتاوی، بل الإجماع و الأخبار المتواترة، بل و صریح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المقیّد، فمع مخالفته للجمیع، غیر واضح الدلالة، و لو سلّم أن یکون فیها دلالة ففی غایة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لو کان المراد من المطلق هو المقیّد، لکان التقیید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لغوا بحسب الظاهر، لأنّ المتعارف الرؤیة بالنهار لا باللیل، و مع ذلک کان حکمه من بدیهیّات الدین فی زمان النقی علیه السّلام، فکیف بعده بمئات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النساء و الأطفال کانوا یعرفون أنّ بالرؤیة المتعارفة لا یمکن الإفطار من الحین، بل لا بدّ من الإتمام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حاجة إلی التنبیه علی مثل هذا البدیهی من دون التعرّض لحال قبل الزوال </w:t>
      </w:r>
      <w:r>
        <w:rPr>
          <w:rStyle w:val="FootnoteAnchor"/>
          <w:rtl w:val="true"/>
        </w:rPr>
        <w:footnoteReference w:id="551"/>
      </w:r>
      <w:r>
        <w:rPr>
          <w:rFonts w:ascii="IRNazanin" w:hAnsi="IRNazanin" w:eastAsia="IRNazanin"/>
          <w:color w:val="111111"/>
          <w:sz w:val="28"/>
          <w:sz w:val="28"/>
          <w:szCs w:val="28"/>
          <w:rtl w:val="true"/>
          <w:lang w:bidi="fa-IR"/>
        </w:rPr>
        <w:t xml:space="preserve">الّذی هو محلّ الإشکال و هو المحتاج إلی التعرّض، و یظهر من غیر واحد من الأخبار أنّه هو الّذی کان محلّ إشکالهم، و کانوا یتعرّضون له فی مقام الجواب و السؤال، بل البدیهة حاکمة بأنّه کان داخلا </w:t>
      </w:r>
      <w:r>
        <w:rPr>
          <w:rStyle w:val="FootnoteAnchor"/>
          <w:rtl w:val="true"/>
        </w:rPr>
        <w:footnoteReference w:id="552"/>
      </w:r>
      <w:r>
        <w:rPr>
          <w:rFonts w:ascii="IRNazanin" w:hAnsi="IRNazanin" w:eastAsia="IRNazanin"/>
          <w:color w:val="111111"/>
          <w:sz w:val="28"/>
          <w:sz w:val="28"/>
          <w:szCs w:val="28"/>
          <w:rtl w:val="true"/>
          <w:lang w:bidi="fa-IR"/>
        </w:rPr>
        <w:t>فی الجواب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الکلّ غایة الظهور وجود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 الرؤیة قبل الزوال من اللیلة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الزمان، و لذا کثر التعرّض لذکره فی الجواب و السؤال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العجائب، أنّه استدلّ بصحیحة محمّد بن قیس </w:t>
      </w:r>
      <w:r>
        <w:rPr>
          <w:rStyle w:val="FootnoteAnchor"/>
          <w:rtl w:val="true"/>
        </w:rPr>
        <w:footnoteReference w:id="553"/>
      </w:r>
      <w:r>
        <w:rPr>
          <w:rFonts w:ascii="IRNazanin" w:hAnsi="IRNazanin" w:eastAsia="IRNazanin"/>
          <w:color w:val="111111"/>
          <w:sz w:val="28"/>
          <w:sz w:val="28"/>
          <w:szCs w:val="28"/>
          <w:rtl w:val="true"/>
          <w:lang w:bidi="fa-IR"/>
        </w:rPr>
        <w:t xml:space="preserve">، و روایة إسحاق بن عمّار </w:t>
      </w:r>
      <w:r>
        <w:rPr>
          <w:rStyle w:val="FootnoteAnchor"/>
          <w:rtl w:val="true"/>
        </w:rPr>
        <w:footnoteReference w:id="554"/>
      </w:r>
      <w:r>
        <w:rPr>
          <w:rFonts w:ascii="IRNazanin" w:hAnsi="IRNazanin" w:eastAsia="IRNazanin"/>
          <w:color w:val="111111"/>
          <w:sz w:val="28"/>
          <w:sz w:val="28"/>
          <w:szCs w:val="28"/>
          <w:rtl w:val="true"/>
          <w:lang w:bidi="fa-IR"/>
        </w:rPr>
        <w:t xml:space="preserve">علی مراده </w:t>
      </w:r>
      <w:r>
        <w:rPr>
          <w:rStyle w:val="FootnoteAnchor"/>
          <w:rtl w:val="true"/>
        </w:rPr>
        <w:footnoteReference w:id="555"/>
      </w:r>
      <w:r>
        <w:rPr>
          <w:rFonts w:ascii="IRNazanin" w:hAnsi="IRNazanin" w:eastAsia="IRNazanin"/>
          <w:color w:val="111111"/>
          <w:sz w:val="28"/>
          <w:sz w:val="28"/>
          <w:szCs w:val="28"/>
          <w:rtl w:val="true"/>
          <w:lang w:bidi="fa-IR"/>
        </w:rPr>
        <w:t>مخالفا لما فعله الفقهاء من زمن الشیخ إلی الآن فی الاستدلال بهما أیضا علی مراد الصوم، و عرفت الوجه، و أنّ الحقّ معهم</w:t>
      </w:r>
      <w:r>
        <w:rPr>
          <w:rFonts w:eastAsia="IRNazanin" w:cs="IRNazanin"/>
          <w:color w:val="111111"/>
          <w:sz w:val="28"/>
          <w:szCs w:val="28"/>
          <w:rtl w:val="true"/>
          <w:lang w:bidi="fa-IR"/>
        </w:rPr>
        <w:t>.</w:t>
      </w:r>
      <w:bookmarkStart w:id="205" w:name="pg2526_25503"/>
    </w:p>
    <w:p>
      <w:pPr>
        <w:pStyle w:val="BookText"/>
        <w:rPr/>
      </w:pPr>
      <w:bookmarkEnd w:id="2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و نزیدک </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روایة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المعصوم علیه السّلام صرّح فی صدر الروایة أنّه إذا غمّ فی تسع و عشرین لا یجوز صوم الغد، و نهی عنه مطلقا، و جعل جواز الصوم مقصورا و منحصرا فی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أنّ المراد من هذه الرؤیة المتعارفة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تشمل رؤیة قبل الزوال أیضا، لما عرفت مشروحا، و 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حسب ما عرفت فی صحیحة ابن قیس، فهذا یدلّ علی مرادهم</w:t>
      </w:r>
      <w:r>
        <w:rPr>
          <w:rFonts w:eastAsia="IRNazanin" w:cs="IRNazanin"/>
          <w:color w:val="111111"/>
          <w:sz w:val="28"/>
          <w:szCs w:val="28"/>
          <w:rtl w:val="true"/>
          <w:lang w:bidi="fa-IR"/>
        </w:rPr>
        <w:t>.</w:t>
      </w:r>
    </w:p>
    <w:p>
      <w:pPr>
        <w:pStyle w:val="Heading4"/>
        <w:numPr>
          <w:ilvl w:val="3"/>
          <w:numId w:val="1"/>
        </w:numPr>
        <w:rPr/>
      </w:pPr>
      <w:bookmarkStart w:id="206" w:name="__RefHeading___Toc4328004_3804643083"/>
      <w:bookmarkStart w:id="207" w:name="_Toc77"/>
      <w:bookmarkEnd w:id="206"/>
      <w:r>
        <w:rPr>
          <w:rtl w:val="true"/>
        </w:rPr>
        <w:t>و لم یظهر من قوله علیه السّلام</w:t>
      </w:r>
      <w:r>
        <w:rPr>
          <w:rtl w:val="true"/>
        </w:rPr>
        <w:t>: «</w:t>
      </w:r>
      <w:r>
        <w:rPr>
          <w:rtl w:val="true"/>
        </w:rPr>
        <w:t>و إذا رأیته</w:t>
      </w:r>
      <w:r>
        <w:rPr>
          <w:rtl w:val="true"/>
        </w:rPr>
        <w:t xml:space="preserve">. </w:t>
      </w:r>
      <w:r>
        <w:rPr>
          <w:rtl w:val="true"/>
        </w:rPr>
        <w:t>إلی آخره</w:t>
      </w:r>
      <w:r>
        <w:rPr>
          <w:rtl w:val="true"/>
        </w:rPr>
        <w:t xml:space="preserve">» </w:t>
      </w:r>
      <w:r>
        <w:rPr>
          <w:rtl w:val="true"/>
        </w:rPr>
        <w:t>ما یخالف ذلک، و ذلک لأنّه یحتمل احتمالات</w:t>
      </w:r>
      <w:r>
        <w:rPr>
          <w:rtl w:val="true"/>
        </w:rPr>
        <w:t>:</w:t>
      </w:r>
      <w:bookmarkEnd w:id="207"/>
    </w:p>
    <w:p>
      <w:pPr>
        <w:pStyle w:val="Heading5"/>
        <w:numPr>
          <w:ilvl w:val="4"/>
          <w:numId w:val="1"/>
        </w:numPr>
        <w:rPr/>
      </w:pPr>
      <w:bookmarkStart w:id="208" w:name="__RefHeading___Toc4328006_3804643083"/>
      <w:bookmarkStart w:id="209" w:name="_Toc78"/>
      <w:bookmarkEnd w:id="208"/>
      <w:r>
        <w:rPr>
          <w:rtl w:val="true"/>
        </w:rPr>
        <w:t>الأوّل</w:t>
      </w:r>
      <w:r>
        <w:rPr>
          <w:rtl w:val="true"/>
        </w:rPr>
        <w:t xml:space="preserve">: </w:t>
      </w:r>
      <w:r>
        <w:rPr>
          <w:rtl w:val="true"/>
        </w:rPr>
        <w:t>ما هو بالنظر إلی ظاهر لفظ الحدیث</w:t>
      </w:r>
      <w:bookmarkEnd w:id="20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هو أنّه منع عن الصوم من تقیید و تخصیص، و لم یظهر أنّ الراوی کان یعلم جوازه بقصد شعبان، إلّا أنّه ما کان یعلم جوازه بقصد رمضان، و کان سؤاله عن الثانی خاصّة، و إلّا فهو کان عارفا بالأوّل البتّة، إذ لا شکّ فی عدم ظهور ذلک من الروایة، لو لم نقل بظهور العدم، لأنّ علم الراوی بجواز خصوص شعبان بلا تأمّل و عدم علمه بجواز رمضان بعید جدّا، بل ربّما لا یتلائمان، لأنّ جواز شعبان یستلزم عدم جواز رمضان، إذ مع جواز رمضان و کونه منه یکون واجبا البتّة، إذ الوجوب لازم صوم رمضان بالضرورة من الدین، کما أنّ الاستحباب لازم صوم شعبان، و الواجب لا یجوز ترکه، فکیف یجوز شعبان حینئذ، سیّما و أن یکون بحیث لا تأمّل للراوی فیه، و یکون متحیّرا فی جواز صوم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مع أنّ الأصل العدم، و لیس ذلک من الضروریّات </w:t>
      </w:r>
      <w:r>
        <w:rPr>
          <w:rStyle w:val="FootnoteAnchor"/>
          <w:rtl w:val="true"/>
        </w:rPr>
        <w:footnoteReference w:id="557"/>
      </w:r>
      <w:r>
        <w:rPr>
          <w:rFonts w:ascii="IRNazanin" w:hAnsi="IRNazanin" w:eastAsia="IRNazanin"/>
          <w:color w:val="111111"/>
          <w:sz w:val="28"/>
          <w:sz w:val="28"/>
          <w:szCs w:val="28"/>
          <w:rtl w:val="true"/>
          <w:lang w:bidi="fa-IR"/>
        </w:rPr>
        <w:t>، سیّما فی ذلک الوقت حتّی نقول أنّ المعصوم علیه السّلام اکتفی بذلک، کیف و صوم یوم الشکّ معرکة للآراء بین المسلمین، أنّه هل یجوز أم لا، و علی تقدیر الجواز هل یجوز بقصد شعبان أو بقصد رمضان أو متردّدا و لا یجوز بعض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 یظهر من الأخبار أیضا، و أنّهم یستشکلون فیسألون فربّما أجیبوا بمرّ الحقّ، و ربّما أجیبوا بالتقیّة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الأخبار أیضا مضطربة فیما ذکرناه، و لعلّ عدم تعرّض المعصوم علیه السّلام للقید بناء علی ذلک، و أنّه علیه السّلام ما کان یری المصلحة فی التعرّض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سماع الراوی النهی المطلق، کیف یتأتّی منه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فرع قصد الامتثال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النهی فی العبادة یقتضی الفساد، فکیف یفرض المعصوم علیه السّلام أنّه صام صوما صحیحا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تصم لکن أتمّه بعد ما اتّفق أنّک رأیت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الرؤیة کیف یتحقّق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شهد فاقض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أنّه ما صام کما اقتضاه نهیه المطلق، لأنّ القضاء </w:t>
      </w:r>
      <w:r>
        <w:rPr>
          <w:rStyle w:val="FootnoteAnchor"/>
          <w:rtl w:val="true"/>
        </w:rPr>
        <w:footnoteReference w:id="558"/>
      </w:r>
      <w:r>
        <w:rPr>
          <w:rFonts w:ascii="IRNazanin" w:hAnsi="IRNazanin" w:eastAsia="IRNazanin"/>
          <w:color w:val="111111"/>
          <w:sz w:val="28"/>
          <w:sz w:val="28"/>
          <w:szCs w:val="28"/>
          <w:rtl w:val="true"/>
          <w:lang w:bidi="fa-IR"/>
        </w:rPr>
        <w:t xml:space="preserve">تدارک، و کونه صام بقصد رمضان لا یجمع </w:t>
      </w:r>
      <w:r>
        <w:rPr>
          <w:rStyle w:val="FootnoteAnchor"/>
          <w:rtl w:val="true"/>
        </w:rPr>
        <w:footnoteReference w:id="559"/>
      </w:r>
      <w:r>
        <w:rPr>
          <w:rFonts w:ascii="IRNazanin" w:hAnsi="IRNazanin" w:eastAsia="IRNazanin"/>
          <w:color w:val="111111"/>
          <w:sz w:val="28"/>
          <w:sz w:val="28"/>
          <w:szCs w:val="28"/>
          <w:rtl w:val="true"/>
          <w:lang w:bidi="fa-IR"/>
        </w:rPr>
        <w:t>مع نهیه قطعا، فکیف یفرض المعصوم علیه السّلام صومه بعد ما نهاه عن الصوم بقصد رمضان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کیف یصیر الفاسد صحیحا بمجرّد الرؤیة، بل یصیر تتمّة للصوم الصحیح، و لا شکّ فی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أنّه صام، و هذا إتمام الصوم و عدم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قطعه، لا أنّه إنشاؤه و إحداثه </w:t>
      </w:r>
      <w:r>
        <w:rPr>
          <w:rStyle w:val="FootnoteAnchor"/>
          <w:rtl w:val="true"/>
        </w:rPr>
        <w:footnoteReference w:id="560"/>
      </w:r>
      <w:r>
        <w:rPr>
          <w:rFonts w:ascii="IRNazanin" w:hAnsi="IRNazanin" w:eastAsia="IRNazanin"/>
          <w:color w:val="111111"/>
          <w:sz w:val="28"/>
          <w:sz w:val="28"/>
          <w:szCs w:val="28"/>
          <w:rtl w:val="true"/>
          <w:lang w:bidi="fa-IR"/>
        </w:rPr>
        <w:t>من أوّل الأمر، فبعد قوله علیه السّلام إن کنت صمت، قبله لا بدّ منه قطعا، و لا شکّ فی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صمت علی نهج الشرع، لما عرفت، و الصوم علی نهج الشرع لا یتصوّر مع النهی المطلق، و البناء علی أنّ الراوی کان یعلم قد علمت فساده، فینحصر عند الراوی فی صوم آخر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کونه صوم یوم الشّک، ففیه أنّه لا یتصوّر إلّا أن یکون إمّا بقصد شعبان، و هو خلاف ظاهر الحدیث علی النهج الّذی قرّر، و إن کان ظاهرا من جهة کونه صوم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إمّا أن یکون المراد الإتمام، کما هو بحاله و بحسب ما صام من دون تغییر و تبدیل، کما هو الظاهر من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فأتمّ صومه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هو المطابق لما فی آخر الروایة،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کلام الراوی، مفهوما من المعصوم علیه السّلام، کما قلنا و صرّح بذلک بعض المحقّقین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یؤیّده، ذکر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فی مقام العدول کانوا یظهرون، و ما کانوا یکتفون بالأمر بالإتمام، کما لا یخفی علی المطّلع مع أنّ الشیخ هو الّذی استدلّ به، فکیف یقول معناه کذا فی مقام استدلاله؟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جدّا</w:t>
      </w:r>
      <w:r>
        <w:rPr>
          <w:rFonts w:eastAsia="IRNazanin" w:cs="IRNazanin"/>
          <w:color w:val="111111"/>
          <w:sz w:val="28"/>
          <w:szCs w:val="28"/>
          <w:rtl w:val="true"/>
          <w:lang w:bidi="fa-IR"/>
        </w:rPr>
        <w:t>.</w:t>
      </w:r>
      <w:bookmarkStart w:id="210" w:name="pg2526_25506"/>
    </w:p>
    <w:p>
      <w:pPr>
        <w:pStyle w:val="BookText"/>
        <w:rPr/>
      </w:pPr>
      <w:bookmarkEnd w:id="2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مع أنّه علیه السّلام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صومک،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راجع إلی شعبان أو إلی النهار، و المفروض أنّه محسوب من شعبان، فیصیر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صوم شعبان، یعنی علی أنّه شعبان، إذ إتمام شعبان لیس معناه النقل إلی ضدّ شعبان، بل انقلاب شعبان إلی ضدّه، مضافا إلی أنّ النقل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فلعلّ المراد أنّه لا یحتاج إلی عدول </w:t>
      </w:r>
      <w:r>
        <w:rPr>
          <w:rStyle w:val="FootnoteAnchor"/>
          <w:rtl w:val="true"/>
        </w:rPr>
        <w:footnoteReference w:id="565"/>
      </w:r>
      <w:r>
        <w:rPr>
          <w:rFonts w:ascii="IRNazanin" w:hAnsi="IRNazanin" w:eastAsia="IRNazanin"/>
          <w:color w:val="111111"/>
          <w:sz w:val="28"/>
          <w:sz w:val="28"/>
          <w:szCs w:val="28"/>
          <w:rtl w:val="true"/>
          <w:lang w:bidi="fa-IR"/>
        </w:rPr>
        <w:t>إلی صوم آخر، و هو کونه من رمضان، أو رفع الید عن الصوم السابق و إحداث صوم لا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المراد علی سبیل الاستحباب المؤکّد، إذ کون المراد من وسط النهار خصوص ما قبل الزوال بحیث لا یدخل فیه شی‌ء ممّا بعد الزوال لو مدّ قبله،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الرجحان، و إظهار کون وسط النهار حاله واحدا و علی حدّ سواء</w:t>
      </w:r>
      <w:r>
        <w:rPr>
          <w:rFonts w:eastAsia="IRNazanin" w:cs="IRNazanin"/>
          <w:color w:val="111111"/>
          <w:sz w:val="28"/>
          <w:szCs w:val="28"/>
          <w:rtl w:val="true"/>
          <w:lang w:bidi="fa-IR"/>
        </w:rPr>
        <w:t>.</w:t>
      </w:r>
    </w:p>
    <w:p>
      <w:pPr>
        <w:pStyle w:val="Heading5"/>
        <w:numPr>
          <w:ilvl w:val="4"/>
          <w:numId w:val="1"/>
        </w:numPr>
        <w:rPr/>
      </w:pPr>
      <w:bookmarkStart w:id="211" w:name="__RefHeading___Toc4328008_3804643083"/>
      <w:bookmarkStart w:id="212" w:name="_Toc79"/>
      <w:bookmarkEnd w:id="211"/>
      <w:r>
        <w:rPr>
          <w:rtl w:val="true"/>
        </w:rPr>
        <w:t xml:space="preserve">و </w:t>
      </w:r>
      <w:r>
        <w:rPr>
          <w:rtl w:val="true"/>
        </w:rPr>
        <w:t>[</w:t>
      </w:r>
      <w:r>
        <w:rPr>
          <w:rtl w:val="true"/>
        </w:rPr>
        <w:t>الثانی</w:t>
      </w:r>
      <w:r>
        <w:rPr>
          <w:rtl w:val="true"/>
        </w:rPr>
        <w:t xml:space="preserve">]: </w:t>
      </w:r>
      <w:r>
        <w:rPr>
          <w:rtl w:val="true"/>
        </w:rPr>
        <w:t>یحتمل کون المراد وجوب الإتمام بعدول القصد، و جعل النیّة من رمضان</w:t>
      </w:r>
      <w:bookmarkEnd w:id="212"/>
    </w:p>
    <w:p>
      <w:pPr>
        <w:pStyle w:val="BookText"/>
        <w:rPr/>
      </w:pPr>
      <w:r>
        <w:rPr>
          <w:rFonts w:ascii="IRNazanin" w:hAnsi="IRNazanin" w:eastAsia="IRNazanin"/>
          <w:color w:val="111111"/>
          <w:sz w:val="28"/>
          <w:sz w:val="28"/>
          <w:szCs w:val="28"/>
          <w:rtl w:val="true"/>
          <w:lang w:bidi="fa-IR"/>
        </w:rPr>
        <w:t xml:space="preserve">، و یکون المراد من وسط النهار خصوص ما قبل الزوال،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العجائب أنّه جعل وسط النهار فی صحیحة ابن قیس خصوص ما بعد الزوال </w:t>
      </w:r>
      <w:r>
        <w:rPr>
          <w:rStyle w:val="FootnoteAnchor"/>
          <w:rtl w:val="true"/>
        </w:rPr>
        <w:footnoteReference w:id="567"/>
      </w:r>
      <w:r>
        <w:rPr>
          <w:rFonts w:ascii="IRNazanin" w:hAnsi="IRNazanin" w:eastAsia="IRNazanin"/>
          <w:color w:val="111111"/>
          <w:sz w:val="28"/>
          <w:sz w:val="28"/>
          <w:szCs w:val="28"/>
          <w:rtl w:val="true"/>
          <w:lang w:bidi="fa-IR"/>
        </w:rPr>
        <w:t>، مع أنّه علیه السّلام تعرّض لذکر آخر النهار، و أنّ من جملة البدیهیّات عدم التفاوت فیما بعد علی حسب ما مرّ، و فی المقام جعله خصوص ما قبل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3" w:name="__RefHeading___Toc4328010_3804643083"/>
      <w:bookmarkStart w:id="214" w:name="_Toc80"/>
      <w:bookmarkEnd w:id="213"/>
      <w:r>
        <w:rPr>
          <w:rtl w:val="true"/>
        </w:rPr>
        <w:t xml:space="preserve">و </w:t>
      </w:r>
      <w:r>
        <w:rPr>
          <w:rtl w:val="true"/>
        </w:rPr>
        <w:t>[</w:t>
      </w:r>
      <w:r>
        <w:rPr>
          <w:rtl w:val="true"/>
        </w:rPr>
        <w:t>الثالث</w:t>
      </w:r>
      <w:r>
        <w:rPr>
          <w:rtl w:val="true"/>
        </w:rPr>
        <w:t xml:space="preserve">]: </w:t>
      </w:r>
      <w:r>
        <w:rPr>
          <w:rtl w:val="true"/>
        </w:rPr>
        <w:t>یحتمل أن یکون قوله علیه السّلام</w:t>
      </w:r>
      <w:r>
        <w:rPr>
          <w:rtl w:val="true"/>
        </w:rPr>
        <w:t xml:space="preserve">: </w:t>
      </w:r>
      <w:r>
        <w:rPr>
          <w:rtl w:val="true"/>
        </w:rPr>
        <w:t>إن کنت صمت صحیحا</w:t>
      </w:r>
      <w:r>
        <w:rPr>
          <w:rtl w:val="true"/>
        </w:rPr>
        <w:t xml:space="preserve">- </w:t>
      </w:r>
      <w:r>
        <w:rPr>
          <w:rtl w:val="true"/>
        </w:rPr>
        <w:t>المقدّر</w:t>
      </w:r>
      <w:r>
        <w:rPr>
          <w:rtl w:val="true"/>
        </w:rPr>
        <w:t>- [</w:t>
      </w:r>
      <w:r>
        <w:rPr>
          <w:rtl w:val="true"/>
        </w:rPr>
        <w:t>إشارة إلی صوم یوم الثلاثین من رمضان</w:t>
      </w:r>
      <w:r>
        <w:rPr>
          <w:rtl w:val="true"/>
        </w:rPr>
        <w:t>]</w:t>
      </w:r>
      <w:bookmarkEnd w:id="21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إشارة إلی صوم یوم الثلاثین من رمضان، علی حسب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عدم لزوم خلاف الظاهر من جهة وسط النهار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أیضا، ملاحظة بعض الأخبار الأخر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لم یظهر من الذیل ما یخالف الصدر، لأنّ کلّ ذلک احتمال، و إن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خیر الاحتمالات أوسطها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یضعف الاحتمال الأخیر، فهم المشایخ و استدلالهم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یضعفه، بل یمنع من التمسّک به، جمیع ما ذکرناه فی الروایات المتضمّنة لکون الهلال الّذی یری قبل الزوال فهو للّیلة الماضیة، فلا 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یضعفه و یؤیّد الأوسط، أنّ الأمر إذا ورد بعد الحظر </w:t>
      </w:r>
      <w:r>
        <w:rPr>
          <w:rStyle w:val="FootnoteAnchor"/>
          <w:rtl w:val="true"/>
        </w:rPr>
        <w:footnoteReference w:id="569"/>
      </w:r>
      <w:r>
        <w:rPr>
          <w:rFonts w:ascii="IRNazanin" w:hAnsi="IRNazanin" w:eastAsia="IRNazanin"/>
          <w:color w:val="111111"/>
          <w:sz w:val="28"/>
          <w:sz w:val="28"/>
          <w:szCs w:val="28"/>
          <w:rtl w:val="true"/>
          <w:lang w:bidi="fa-IR"/>
        </w:rPr>
        <w:t xml:space="preserve">لا یفید سوی رفع المنع، کما حقّق فی محلّه </w:t>
      </w:r>
      <w:r>
        <w:rPr>
          <w:rStyle w:val="FootnoteAnchor"/>
          <w:rtl w:val="true"/>
        </w:rPr>
        <w:footnoteReference w:id="570"/>
      </w:r>
      <w:r>
        <w:rPr>
          <w:rFonts w:ascii="IRNazanin" w:hAnsi="IRNazanin" w:eastAsia="IRNazanin"/>
          <w:color w:val="111111"/>
          <w:sz w:val="28"/>
          <w:sz w:val="28"/>
          <w:szCs w:val="28"/>
          <w:rtl w:val="true"/>
          <w:lang w:bidi="fa-IR"/>
        </w:rPr>
        <w:t>، فتأمّل فی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علی هذا یضرّک 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مقتضاه أنّه إذا لم یر وسط النهار، فیظهر حکمه بطریق أولی، لأنّ وسط النهار أخفی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الراوی لو کان مطّلعا علی صحیحة ابن قیس و غیرها و معتمدا علیها، فلم یسأل عن صوم یوم الشک؟ و لم أجیب مفصّلا مشروحا؟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یکون فهمه ممّا ذکر و من طریق أولی علی حسب ما ذکرت، مع أنّ وسط النهار فی صحیحة ابن قیس جعلته بعد الزوال خاصّة مع ذکر آخر النهار و فی هذه لم یذکر آخر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کیف یفهم أنّ المراد من وسط فی هذه الروایة خصوص قبل الزوال بدلالة صحیحة ابن قیس، من أین إلی أین؟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 ما ذکرت من الفهم بطریق أولی لأنّه أخفی، ففیه أنّ الراوی إن لم یکن مطّلعا علی الأخبار المفصّلة، فقد عرفت أنّه لا یفهم تفاوتا أصلا، سیّما قبل الزوال بدقیقة بالنسبة إلی بعده بدقیقة، و إن کان مطّلعا، فمع ما عرفت من المفسدة یفهم عدم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علی ما ذکرت کان المناسب أن یذکر حال ما لو أفطر قبل الرؤیة وسط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العجائب، أنّه جعله مدلولا للروایة </w:t>
      </w:r>
      <w:r>
        <w:rPr>
          <w:rStyle w:val="FootnoteAnchor"/>
          <w:rtl w:val="true"/>
        </w:rPr>
        <w:footnoteReference w:id="571"/>
      </w:r>
      <w:r>
        <w:rPr>
          <w:rFonts w:ascii="IRNazanin" w:hAnsi="IRNazanin" w:eastAsia="IRNazanin"/>
          <w:color w:val="111111"/>
          <w:sz w:val="28"/>
          <w:sz w:val="28"/>
          <w:szCs w:val="28"/>
          <w:rtl w:val="true"/>
          <w:lang w:bidi="fa-IR"/>
        </w:rPr>
        <w:t>کما هو ظاهر کلامه، و فیه ما فیه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الرسالة</w:t>
      </w:r>
      <w:r>
        <w:rPr>
          <w:rFonts w:eastAsia="Amiri" w:cs="Amiri" w:ascii="Amiri" w:hAnsi="Amiri"/>
          <w:color w:val="111111"/>
          <w:sz w:val="28"/>
          <w:szCs w:val="28"/>
          <w:rtl w:val="true"/>
          <w:lang w:bidi="ar-SA"/>
        </w:rPr>
        <w:t>.</w:t>
      </w:r>
      <w:bookmarkStart w:id="215" w:name="pg2526_25509"/>
    </w:p>
    <w:p>
      <w:pPr>
        <w:pStyle w:val="BookText"/>
        <w:rPr/>
      </w:pPr>
      <w:bookmarkEnd w:id="2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6" w:name="__RefHeading___Toc4328012_3804643083"/>
      <w:bookmarkStart w:id="217" w:name="_Toc81"/>
      <w:bookmarkEnd w:id="216"/>
      <w:r>
        <w:rPr>
          <w:rtl w:val="true"/>
        </w:rPr>
        <w:t>رسالة الإفادة الإجمالیّة</w:t>
      </w:r>
      <w:bookmarkEnd w:id="21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بسم اللّه الرحمن الرحیم لعلّک قد قرع سمعک فی تضاعیف المباحث الفقهیّة ما حکموا به من کراهة بعض العبادات، و ما یشکّک علیه من أنّ العبادة لا بدّ أن تکون راجحة، فکیف تجامع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أن نرسل عنان القلم لتحقیق الأمر فیه، کی لا نخرج فیه عن الصواب، کما اتّفق من کثیر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یرد فی الشرع من العبادات ما تعلّق الکراهة بذاتها من حیث هی، حتّی ینافی رجحانها، بل کلّ ما ورد الحکم فیه بالکراهة علی عبادة فإنّما هو باعتبار الوصف، کالصلاة فی الحمّام </w:t>
      </w:r>
      <w:r>
        <w:rPr>
          <w:rStyle w:val="FootnoteAnchor"/>
          <w:rtl w:val="true"/>
        </w:rPr>
        <w:footnoteReference w:id="572"/>
      </w:r>
      <w:r>
        <w:rPr>
          <w:rFonts w:ascii="IRNazanin" w:hAnsi="IRNazanin" w:eastAsia="IRNazanin"/>
          <w:color w:val="111111"/>
          <w:sz w:val="28"/>
          <w:sz w:val="28"/>
          <w:szCs w:val="28"/>
          <w:rtl w:val="true"/>
          <w:lang w:bidi="fa-IR"/>
        </w:rPr>
        <w:t xml:space="preserve">مثلا، و الصوم فی السفر </w:t>
      </w:r>
      <w:r>
        <w:rPr>
          <w:rStyle w:val="FootnoteAnchor"/>
          <w:rtl w:val="true"/>
        </w:rPr>
        <w:footnoteReference w:id="573"/>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لا إشکال، إذ ذات تلک العبادة من حیث هی یرجّح وجودها علی عدمها، لکن الکراهة إنّما هی فی إیقاعها علی هذا النحو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الفرد المکروه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وجوده راجح علی عدمه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راجحا و قد لا یکون، و لا محذور فی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فی الحمّام، یجوز أن یکون الثواب الّذی بإزاء مطلق الصلاة یزید علی الکراهة الّتی حصلت بسبب الوصف، و حینئذ یکون وجود الصلاة المخصوصة راجحا علی عدمها، إلّا أنّه لمّا لم یکن فی غیر الحمّام تلک الکراهة أیضا وقع النهی التنزیهی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الصوم فی الأیّام المکروهة أو فی السفر مثلا، فالظاهر أنّه لیس براجح، بل یجوز أن یکون مرجوحا، إذ الواجب إنّما هو رجحان أصل العبادة، لا خصوص الفرد، و حینئذ یجوز أن یکون أصل الصوم له فضیلة، لکن کونه فی هذا الیوم کان مرجوحا، لقبح یقابل تلک الفضیلة أو یساویها، فتساقطا أو یرجّح علیها، علی وجه لا ینتهض سببا للعقاب،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خصوص تلک العبادة راجحة، فکیف یمکن نیّة التقرّب بها إلی اللّه تعالی، لأنّها ممّا لا یعقل بدون رجحانها؟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یکن فعلها بتلک النیّة فلا تکون عبادة، إذ لا بدّ فیها من تلک النیّة، بل تکون من قبیل سائر الأشیاء المکروهة، و یکون التقرّب بها محرّما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نیّة التقرّب لا یستلزم إلّا کون مطلق تلک العبادة راجحا، و إن کان کونها فی هذا الوقت موجبا لمرجوحیّتها، مثل الصلاة فی المکان المغصوب، فإنّه لو لم تکن باطلة بدلیل من خارج لکان الظاهر کونها صحیحة، و لکان یکفی فی نیّتها راجحیّة أصل الصلاة، و إن کان وقوعها فی ذلک المکان موجبا لعقاب ربّما کان أزید من ثواب أصل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و حینئذ فلو صام أحد یوم عاشوراء مثلا، طالبا لثواب الصوم متقرّبا إلی اللّه سبحانه، فلعلّ له ذلک، و لکن یقارنه ما یبطل له ذلک الثواب و یبقی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صام معتقدا ترتّب الثواب علیه بخصوصه و طالبا له فیکون حراما، بل ربّما کان تشریعا و کفرا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تخلّص لک بما قرّرنا أنّه یجوز فی العقل أن یکون لبعض العبادات فرد تقارنه خصوصیّة تعارض ثواب تلک العبادة فی ضمنه مرجوحا، لکن لا إلی حدّ ینتهض سببا للعقاب، و لا مجال لإنکار هذا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جاز ذلک، فلیس فی الشرع إلّا الإخبار عن مثل ذلک و التعیین، و لا محذور فیه، فلا إشکال من هذه الجهة، و کذا لا إشکال من حیث إطلاق العبادة علیه، فإنّه لا أقلّ من جوازه، باعتبار أنّ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فرد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کنت تضایق فیه، و تعتبر فی لفظ العبادة أن یکون کلّ شی‌ء أطلقت علیه راجحا وجوده بخصوصه علی عدمه، فلا مشاحّة فی الاصطلاح، و لا جدوی فی النزاع فی اللفظ</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أردت أنّ إثبات مثل ذلک الفرد لمّا لم یکن راجحا وجوده بخصوصه علی عدمه یجب أن یکون التعبّد به محرّما، فلا یتیسّر لک ذلک بعد ما جوّزت أن یکون أمره فی نفس الأمر هو ما ذکرنا من أنّه یقارنه خصوصیّة تعارض ثواب تلک العبادة إذا أتی بها فی ضمنه بحیث یجعلها مرجوحة لا إلی حدّ یوجب العقاب، إذ بعد تسلیم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محید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یبقی لحال کونه محرّما،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هذا، و بعد ما أیقنت ذلک، ظهر لک اندفاع ما یستشکل من أنّه إذا کانت العبادة المکروهة صحیحة راجحة وجودها علی عدمها، فلم کان رسول اللّه صلّی اللّه علیه و آله و سلّم و الأئمّة علیهم السّلام یترکونها و ینهون عنها بالنهی التنزیهی، علی ما نقل عنهم علیهم السّلام؟ و لم فات عنهم تلک الفضیلة و ذلک الثواب؟ إذ قد عرفت أنّه فیما کان له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أصلا، و فیما لا بدل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کالصوم فی الأیّام المکروهة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خصوصه مرجوحا و إن کان أصل الصوم راجحا، فیکون القبح المتحقّق فی تلک الخصوصیّة المقارنة له أزید من ثواب أصل الفعل، بحیث تبقی مع تعارضها و سقوط الثانی کراهة بعد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ترکوه و نهوا عن فعله بالنهی التنزیهی،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 أیضا أنّ ما ادّعاه الفاضل المحقّق الشیخ علی رحمه اللّه من أنّ الکراهة فی العبادات لیست إلّا بمعنی قلّة الثواب </w:t>
      </w:r>
      <w:r>
        <w:rPr>
          <w:rStyle w:val="FootnoteAnchor"/>
          <w:rtl w:val="true"/>
        </w:rPr>
        <w:footnoteReference w:id="574"/>
      </w:r>
      <w:r>
        <w:rPr>
          <w:rFonts w:ascii="IRNazanin" w:hAnsi="IRNazanin" w:eastAsia="IRNazanin"/>
          <w:color w:val="111111"/>
          <w:sz w:val="28"/>
          <w:sz w:val="28"/>
          <w:szCs w:val="28"/>
          <w:rtl w:val="true"/>
          <w:lang w:bidi="fa-IR"/>
        </w:rPr>
        <w:t>، إذ العبادة لا تکون إلّا راجحة أو محرّمة، فإذا کانت العبادة صحیحة مکروهة، فلیست الکراهة فیها إلّا بمعنی قلّة الثواب، ممّا لا حاجة إلی ارتکابه، إذا الکراهة بالمعنی المصطلح ممّا یعقل هاهنا، فلا حاجة إلی العدول عنه بلا دلیل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یرد علیه أنّ قلّة الثواب لو کانت هی الکراهة لزم أن یکون کثیر من العبادات مکروهة ممّا لم یقل بکراهته أحد،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البیت أقلّ ثوابا بالنسبة إلی الصلاة فی مسجد السوق، و فی مسجد السوق بالنسبة إلی مسجد المحلّة، و فی مسجد المحلّة بالنسبة إلی المسجد الجامع، و فی المسجد الجامع بالنسبة إلی مسجد الکوفة و الأقصی، و فیهما بالنسبة إلی مسجد المدینة، و فیه بالنسبة إلی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العبادات المکروهة بمرتبة لا ینتهی إلیها ثواب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شی‌ء من العبادات الغیر المکروهة،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لو کانت الکراهة فیها بمعنی قلّة الثواب، فلم کان رسول اللّه صلّی اللّه علیه و آله و سلّم و الأئمة علیهم السّلام یترکونها أبدا، و ینهون الناس عنها </w:t>
      </w:r>
      <w:r>
        <w:rPr>
          <w:rStyle w:val="FootnoteAnchor"/>
          <w:rtl w:val="true"/>
        </w:rPr>
        <w:footnoteReference w:id="575"/>
      </w:r>
      <w:r>
        <w:rPr>
          <w:rFonts w:ascii="IRNazanin" w:hAnsi="IRNazanin" w:eastAsia="IRNazanin"/>
          <w:color w:val="111111"/>
          <w:sz w:val="28"/>
          <w:sz w:val="28"/>
          <w:szCs w:val="28"/>
          <w:rtl w:val="true"/>
          <w:lang w:bidi="fa-IR"/>
        </w:rPr>
        <w:t>؟ إذ قلّة الثواب لا تقتضی ذلک، سیما فیما لا بدل له، إذ فیه تفویت ثواب بلا عوض، و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الفاضل الکامل المحقّق الأردبیلی رحمه اللّه فی کتاب الصوم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بحث الصوم فی السفر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یجعل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الغیر الواجب فی السفر مکروها، و بیّن ذلک بعضهم بأنّه أقلّ ثوابا، إذ لا تکون العبادات إلّا راجحة أو حراما، فلو کانت جائزة مکروهة لکان بالمعنی الّذی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غیر واضح، إذ العبادة کما یجوز کونها حراما </w:t>
      </w:r>
      <w:r>
        <w:rPr>
          <w:rStyle w:val="FootnoteAnchor"/>
          <w:rtl w:val="true"/>
        </w:rPr>
        <w:footnoteReference w:id="576"/>
      </w:r>
      <w:r>
        <w:rPr>
          <w:rFonts w:ascii="IRNazanin" w:hAnsi="IRNazanin" w:eastAsia="IRNazanin"/>
          <w:color w:val="111111"/>
          <w:sz w:val="28"/>
          <w:sz w:val="28"/>
          <w:szCs w:val="28"/>
          <w:rtl w:val="true"/>
          <w:lang w:bidi="fa-IR"/>
        </w:rPr>
        <w:t xml:space="preserve">یجوز کونها مکروهة بالمعنی المحقّق </w:t>
      </w:r>
      <w:r>
        <w:rPr>
          <w:rStyle w:val="FootnoteAnchor"/>
          <w:rtl w:val="true"/>
        </w:rPr>
        <w:footnoteReference w:id="577"/>
      </w:r>
      <w:r>
        <w:rPr>
          <w:rFonts w:ascii="IRNazanin" w:hAnsi="IRNazanin" w:eastAsia="IRNazanin"/>
          <w:color w:val="111111"/>
          <w:sz w:val="28"/>
          <w:sz w:val="28"/>
          <w:szCs w:val="28"/>
          <w:rtl w:val="true"/>
          <w:lang w:bidi="fa-IR"/>
        </w:rPr>
        <w:t>أیضا، إلّا أن یقال باعتبار النیّة، فیحرم لأنّه تشریع،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فی الصوم سفرا إمّا التحریم مطلقا إلّا ما ثبت استثناؤه، أو الکراهة بمعناها المتعارف فی الأصول، بمعنی أنّه لو لم یصم لکان أحسن من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عدمه خیر من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یعاقب علیه، و لا مانع فی العقل أن یقول </w:t>
      </w:r>
      <w:r>
        <w:rPr>
          <w:rStyle w:val="FootnoteAnchor"/>
          <w:rtl w:val="true"/>
        </w:rPr>
        <w:footnoteReference w:id="578"/>
      </w:r>
      <w:r>
        <w:rPr>
          <w:rFonts w:ascii="IRNazanin" w:hAnsi="IRNazanin" w:eastAsia="IRNazanin"/>
          <w:color w:val="111111"/>
          <w:sz w:val="28"/>
          <w:sz w:val="28"/>
          <w:szCs w:val="28"/>
          <w:rtl w:val="true"/>
          <w:lang w:bidi="fa-IR"/>
        </w:rPr>
        <w:t xml:space="preserve">الشارع ذلک للمکلّف، و قد ثبت فی الأخبار کثیرا النهی عنه سفرا، و لم یثبت ما یدلّ علی الرجحان بخصوصه إلّا ما روی فی خبرین ضعیفین جدّا من فعل أحد الأئمة علیهم السّلام فی صوم شعبان سفرا </w:t>
      </w:r>
      <w:r>
        <w:rPr>
          <w:rStyle w:val="FootnoteAnchor"/>
          <w:rtl w:val="true"/>
        </w:rPr>
        <w:footnoteReference w:id="579"/>
      </w:r>
      <w:r>
        <w:rPr>
          <w:rFonts w:ascii="IRNazanin" w:hAnsi="IRNazanin" w:eastAsia="IRNazanin"/>
          <w:color w:val="111111"/>
          <w:sz w:val="28"/>
          <w:sz w:val="28"/>
          <w:szCs w:val="28"/>
          <w:rtl w:val="true"/>
          <w:lang w:bidi="fa-IR"/>
        </w:rPr>
        <w:t>، و لیس بصریح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أیضا فی المندوب، لاحتمال النذر، و یحتمل اختصاصه به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یبعد الجمع بحمل الأکثر الأصحّ لأجل واحد أو اثنین ضعیفین غیر صریحین علی الکراهة بالمعنی المذکور، إذ یبعد أن یمنع الإمام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البرّ</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 xml:space="preserve">عن صوم مثل یوم الغدیر و أوّل رجب و سائر الأیّام المتبرّکة من یرید صومه و یسأله عن فعله، أولا بمعنی أنّ الثواب أقلّ من ثواب الصیام </w:t>
      </w:r>
      <w:r>
        <w:rPr>
          <w:rStyle w:val="FootnoteAnchor"/>
          <w:rtl w:val="true"/>
        </w:rPr>
        <w:footnoteReference w:id="582"/>
      </w:r>
      <w:r>
        <w:rPr>
          <w:rFonts w:ascii="IRNazanin" w:hAnsi="IRNazanin" w:eastAsia="IRNazanin"/>
          <w:color w:val="111111"/>
          <w:sz w:val="28"/>
          <w:sz w:val="28"/>
          <w:szCs w:val="28"/>
          <w:rtl w:val="true"/>
          <w:lang w:bidi="fa-IR"/>
        </w:rPr>
        <w:t>فی الحضر، أو بمعنی أنّ الثواب فی الإفطار سفرا أکثر من الصوم فیه، إذ لیس الفطر عبادة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المشهور فی غیر الواجب مثل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یبعد أن یکون الإنسان مثابا فی السفر بالإفطار بثواب أکثر من الثواب الّذی یحصل له بالصوم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لا معنی لصومه علیه السّلام فی السفر مع مرجوحیّته من الإفطار، علی ما دلّ علیه الخبران اللذان هما وجه حمل الأخبار الدالّة علی نهی الصوم فی السفر ندبا علی الکراهة،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اللّه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بأنّ الظاهر أنّ مراده أنّه یجوز القول بکراهة العبادة بالمعنی المتعارف و لا محذور فیه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 کأنّه إشارة إلی ما ذکرناه من ورود الإشکال باعتبار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النیّة، لأنّه لا یمکن نیّة التقرّب فیحرم فعلها بهذا النیّة، فیکون تشریعا، إذ فعل ما لم یطلبه الشارع، بل طلب عدمه بقصد أنّه مطلوب الشارع و هو موجب التقرّب إلیه تشریع، فلا یمکن تحقّق عبادة مکروهة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إشارة إلی إمکان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فیما له بدل فظاهر، و أمّا فیما لا بدل له فبما قدرنا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ثمَّ إنّه إشارة إلی أنّ کراهتها بالمعنی المتعارف فی الصوم فی السفر و أمثاله إنّما هو بمعنی أنّ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فعل 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مرجوح لیس فیه فضیلة، بل عدمه خیر من وجوده و إن کان لمطلقه رجحان، لا بمعنی أنّ للفعل المخصوص أیضا ثواب إلّا أنّ ثواب ترکه أکثر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تمسّک فی ذلک بأنّه لیس الفطر عبادة فی السفر فی غیر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یبعد أن یکون الإنسان مثابا بالإفطار فی السفر بثواب أکثر من ثواب الصوم فیه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رحمه اللّه یجوّز القول بحرمة الصوم فی السفر، بل یقوّیه، و حینئذ یکون للفطر فیه ثواب کثیر، علی ما هو المشهور، و کیف یقول بمثل هذا الثواب فیه و یستبعد القول بتحقّق الثواب فیه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بناء کلامه علی عدم تسلیم وجوب ترتّب الثواب علی ترک کلّ محرّم و مکروه، و قد أشرنا إلی وجه ذلک فیما علّقناه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 بعد، و إلّا ظهر أنّ مراده أنّ القول بأنّ الفطر فی السفر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کونه ترک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و یکون الصوم عبادة أخری لکن یکون ثواب الفطر أکثر من ثوابه، بعید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بأنّ فیه ثوابا باعتبار کونه ترک الصوم الحرام، فلا بعد فیه، و کذا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لکراهة الصوم فی السفر،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ثواب فی الجملة علی الفطر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باعتبار ترکه، لکن للصوم ثواب، کأنّه لا بعد فیه أیضا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نقله عن المشهور من أنّ الفطر لیس عبادة فی غیر الواجب، فلعلّه بناء علی أنّهم لم یقولوا بحرمة الصوم المندوب فی السفر، فمن قال بها فلعلّ له أن یجعله عبادة فیه،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أنّهم و إن لم یقولوا بحرمته لکنّهم یقولون بکراهته، فینبغی أیضا أن یجعلوا الفطر عبادة مندوبة، کما هو الظاهر من طریقتهم، حیث یجعلون ترک کلّ محرّم واجبا و ترک کلّ مکروه مندوبا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من قال بأنّ الفطر فی شهر رمضان لیس عبادة أراد أنّ مجرّد الفطر إذا لم یکن قاصدا للصوم و کان فطره باعتبار حرمة الصوم فی السفر أو کراهته، حتّی أنّه لو لم یکن کذلک بل کان مندوبا أیضا لأفطره لیس عبادة، و أمّا إذا کان فطره بذلک الاعتبار و لولاه لصام، فلعلّه یجعله عبادة، و هذا بخلاف شهر رمضان، لأنّه لا بدّ أن یکون الفطر فیه سفرا، باعتبار حرمة الصوم فیه، و لولاها لکان صائما فیه، لوجوبه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لمّا تعیّن الصوم فیه شرعا لغیر المسافر، فإفطار المسافر لیس إلّا لحرمة الصوم بالنسبة إلیه، فیکون عبادة، و أمّا فی غیره فلا، إذ لعلّ إفطاره لعدم إرادته الصوم،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 فرض أنّ أحدا أفطر فیه سفرا لا لأجل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أنّه لو لم یکن واجبا علیه بل حراما أیضا لأفطره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لیس عبادة بالنسبة إلیه، بل لو لم یکن کذلک أیضا و لکن لو لم ینو الإفطار لوجوبه، بل ذهل عن حکم الإفطار و الصوم جمیعا، فکأنّه لیس عبادة بالنسبة إلیه أیضا، فتأمّل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قرّرت یمکن أن یوجّه القول بکون ثواب الصوم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السفر أقلّ من ثواب الفطر فیه، بأن یجعل الأقلیّة بالنسبة إلی الفطر الّذی کان من قصد صاحبه الصوم لو لم یکن الحکم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لم یکن إطلاق المکروه علیه بالمعنی المصطلح، إذ لیس حینئذ ترک الصوم مطلقا خیرا منه، بل ترکه علی نحو خاص، بل لیس ذلک إلّا القول بأنّ معنی کراهته بمعنی أقلیّة ثوابه بالنسبة إلی أمر آخر بدل منه،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الأعاظم حقّق أنّ الکراهة فی العبادات بالمعنی المصطلح بمعنی أنّ ترکها راجح علی فعلها، و وجّه بأنّ فی جمیع العبادات المکروهة یکون أصل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راجحة علی عدمها، و لکن یقارنها خصوصیّة یکون عدمها راجحا علی وجودها، و رجحان عدم الخصوصیّة علی وجودها راجح علی وجود رجحان أصل العبادة علی عدمه، و لذلک صارت مکروهة، فإذا ترک الصلاة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ثواب علی ترک الخصوصیّة و یفوت عنه ما هو بإزاء أصل الصلاة، و إذا صلّی فی الحمّام کان علی عکس ذلک، فأدرک الثواب الّذی بإزاء نفس الصلاة و فات عنه ما هو بإزاء ترک خصوص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فربّما کان الثواب المترتّب علی عدم الخصوصیّة أزید من الثواب المترتّب علی وجود نفس العبادة، و لذلک وقع النهی عنها و ارتکب الأئمّة علیهم السّلام ترک تلک العبادة، لتحصیل تلک الفضیلة و الزیادة و إن فات به ثواب آخر مترتّب علی نفس الفعل لکنّه أقلّ منه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فیظهر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اعتقد أنّ فعل العبادة المکروهة سیکون له ثواب و إن ترک یکون له ثواب أکثر منه، و لعلّ هذا لا یخلو عن بعد، بل الظاهر أنّ الثواب علی ترک المکروه إنّما هو من حیث أنّه ترک، و یکون بإزاء کراهة الفعل، کوقوع الصوم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یقابل ثواب أصل الصوم بل یبقی 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تعارضها ثواب أصل الصوم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أقلّ من بقاء شی‌ء منه، علی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یکون ثواب ترکه من حیث أنّه ترک له أزید من ثواب أصل الصوم، و کأنّه لم یعتقد أنّ الثواب علی ترک المکروه من حیث أنّه ترک و أنّ فی فعله صفة یوجب کراهته و عدم ملائمته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یجعل الصوم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و الفطر فیه عبادة أخری برأسها، و یزعم أنّ ثواب الثانی أکثر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 بعد مخالفته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نقلنا من المحقّق الأردبیلی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القول بکون الکراهة فی العبادة بمعنی قلّة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إن لم یرد علیه شی‌ء ممّا أورده علی المحقّق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یخصّص قلّة الثواب بالنسبة إلی ترکها لا بالنسبة إلی عبادة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ما أوردنا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أنّه یمکن أن یحمل کلام المحقّق المذکور أیضا علی هذا المعنی، بأن یکون أنّه لیست العبادة المکروهة علی قیاس سائر المکروهات من أنّه لا یترتّب ثواب علی فعلها، بل فیه غضاضة و عدم ملائمة، و إنّما یترتّب الثواب علی ترکها، بل الکراهة فیها بمعنی أنّ ثوابها أقلّ من ثواب ترکها، و حینئذ لا یرد علیه شی‌ء ممّا أورد علیه، مع أنّ هذا الفاضل قد أورد علیه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لعلّ فی کلام الفاضل الأردبیلی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أنّ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إمکان حمل کلام المحقّق المذکور علی کلّ من الاحتمالین، فلا تغفل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نقل هذا الفاضل عن بعض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الفاضل الأردبیلی، علی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نقلنا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بعدم جواز بعض العبادات کالصوم المندوب فی السفر، أو کراهته اصطلاحا مع عدم رجحانه بحسب الذات أیضا فلا ینعقد عبادة، و نیّة عبادیّته تشریع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کأنّه رحمه اللّه ظنّ أنّ المعنی المصطلح لا یکاد یجتمع مع رجحان العبادة فی نفسه، فاختار عدم الجواز أو عدم الصحّة عبادة، و قد عرفت تصحیحه، فتدبّر</w:t>
      </w:r>
      <w:r>
        <w:rPr>
          <w:rFonts w:eastAsia="IRNazanin" w:cs="IRNazanin"/>
          <w:color w:val="111111"/>
          <w:sz w:val="28"/>
          <w:szCs w:val="28"/>
          <w:rtl w:val="true"/>
          <w:lang w:bidi="fa-IR"/>
        </w:rPr>
        <w:t xml:space="preserve">)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یذهب علیک أنّ ما نسب إلیه من حدیث النیّة و التشریع فهو و إن کان قد ذکره رحمه اللّه، لکن قد عرفت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إشارة إلی اندفاعه، یشهد بذلک قوله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نسب إلیه من اعتقاد عدم رجحانه بحسب الذات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إن أراد به رجحان أصل العبادة مع قطع النظر عن الخصوصیّة، فلیس فی کلامه منه عین و لا أثر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رجحان أصل العبادة لا یبقی مع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یترتّب علی خصوص العبادة المکروهة ثواب أصل تلک العبادة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استفاد ذلک ممّا ذکره من حدیث النیّة، فقد عرفت حقیقة الأمر، و إن استفاد ممّا ذکره بعده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ففیه، أنّ الظاهر أنّ قوله بالحرمة أو الکراهة بالمعنی المصطلح لکن فی جمیع العبادات بمعنی المرجوحیّة علی الوجه الّذی سبق علی ما هو الظاهر من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لا أنّ فیه ثوابا أیضا لکن أقلّ من ثواب ترکه، إنّما قال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یظهر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الصوم باعتبار ما عرفته، أمّا احتمال الحرمة، فلما أشار إلیه من ورود النهی عنه کثیرا و ظهور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ظهوره فی الحرمة، و أمّا الکراهة بذلک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بمعنی کون ثوابه أقلّ من ثواب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کون الفطر عبادة، و استبعاد زیادة ثوابه علی ثواب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علم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بأنّه لا یجتمع الکراهة فی شی‌ء مع رجحانه أصلا، و لیس فی کلامه إشعار علیه،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ظنّ، کأنّه من بعض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هنا کلام آخر، و هو أنّه یستفاد من کلام هذا الفاضل أنّه أورد الفاضل الأردبیلی رحمه اللّه ها هنا احتمالین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الصوم المندوب مطلقا سواء اعتقده عبادة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کراهته لکن یکون بقصد العبادة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هذا ممّا لا یرجع إلی محصّل، و لا یستفاد ذلک من کلامه رحمه اللّه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احتمال الحرمة، و کذا احتمال الکراهة، و أورد علی احتمال الکراهة ذلک بالمعنی المصطلح علی سبیل الإشکال أنّه حینئذ لا تنعقد العبادة، فیکون حراما، فلا یصحّ حمل الکراهة علی المعنی المصطلح</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أین هذا ممّا فهمه هذا الفاضل رحمه اللّه،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الإفادة الإجمالیّة بالکمال، و للّه الحمد</w:t>
      </w:r>
      <w:r>
        <w:rPr>
          <w:rFonts w:eastAsia="IRNazanin" w:cs="IRNazanin"/>
          <w:color w:val="111111"/>
          <w:sz w:val="28"/>
          <w:szCs w:val="28"/>
          <w:rtl w:val="true"/>
          <w:lang w:bidi="fa-IR"/>
        </w:rPr>
        <w:t>.</w:t>
      </w:r>
      <w:bookmarkStart w:id="218" w:name="pg2526_25523"/>
    </w:p>
    <w:p>
      <w:pPr>
        <w:pStyle w:val="BookText"/>
        <w:rPr/>
      </w:pPr>
      <w:bookmarkEnd w:id="2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Heading2"/>
        <w:numPr>
          <w:ilvl w:val="1"/>
          <w:numId w:val="1"/>
        </w:numPr>
        <w:rPr/>
      </w:pPr>
      <w:bookmarkStart w:id="219" w:name="__RefHeading___Toc4328014_3804643083"/>
      <w:bookmarkStart w:id="220" w:name="_Toc82"/>
      <w:bookmarkEnd w:id="219"/>
      <w:r>
        <w:rPr>
          <w:rtl w:val="true"/>
        </w:rPr>
        <w:t>رسالة فی صحّة الجمع بین الفاطمیّتین</w:t>
      </w:r>
      <w:bookmarkEnd w:id="22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4328016_3804643083"/>
      <w:bookmarkStart w:id="222" w:name="_Toc83"/>
      <w:bookmarkEnd w:id="221"/>
      <w:r>
        <w:rPr>
          <w:rtl w:val="true"/>
        </w:rPr>
        <w:t>اشارة</w:t>
      </w:r>
      <w:bookmarkEnd w:id="22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bookmarkStart w:id="223" w:name="pg2526_25525"/>
    </w:p>
    <w:p>
      <w:pPr>
        <w:pStyle w:val="BookText"/>
        <w:rPr/>
      </w:pPr>
      <w:bookmarkEnd w:id="2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بسم اللّه الرحمن الرحیم و به ثقتی الحمد للّه ربّ العالمین، و صلّی اللّه علی محمّد و آله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وفّقنا لما تحبّ و ترضی، و أیّدنا و أرشدنا بمحمّد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یا أخی، أنّ الجمع بین الفاطمیّتین صحیح بلا شبهة، إجماعیّ عند المسلمین، حتّی الصدوق و الشیخ، کما ستعرف</w:t>
      </w:r>
      <w:r>
        <w:rPr>
          <w:rFonts w:eastAsia="IRNazanin" w:cs="IRNazanin"/>
          <w:color w:val="111111"/>
          <w:sz w:val="28"/>
          <w:szCs w:val="28"/>
          <w:rtl w:val="true"/>
          <w:lang w:bidi="fa-IR"/>
        </w:rPr>
        <w:t>.</w:t>
      </w:r>
    </w:p>
    <w:p>
      <w:pPr>
        <w:pStyle w:val="Heading3"/>
        <w:numPr>
          <w:ilvl w:val="2"/>
          <w:numId w:val="1"/>
        </w:numPr>
        <w:rPr/>
      </w:pPr>
      <w:bookmarkStart w:id="224" w:name="__RefHeading___Toc4328018_3804643083"/>
      <w:bookmarkStart w:id="225" w:name="_Toc84"/>
      <w:bookmarkEnd w:id="224"/>
      <w:r>
        <w:rPr>
          <w:rtl w:val="true"/>
        </w:rPr>
        <w:t>و یدلّ علی الصحّة، بل الحلّیة أیضا</w:t>
      </w:r>
      <w:r>
        <w:rPr>
          <w:rtl w:val="true"/>
        </w:rPr>
        <w:t>:</w:t>
      </w:r>
      <w:bookmarkEnd w:id="225"/>
    </w:p>
    <w:p>
      <w:pPr>
        <w:pStyle w:val="BookText"/>
        <w:rPr/>
      </w:pPr>
      <w:r>
        <w:rPr>
          <w:rFonts w:ascii="IRNazanin" w:hAnsi="IRNazanin" w:eastAsia="IRNazanin"/>
          <w:color w:val="111111"/>
          <w:sz w:val="28"/>
          <w:sz w:val="28"/>
          <w:szCs w:val="28"/>
          <w:rtl w:val="true"/>
          <w:lang w:bidi="fa-IR"/>
        </w:rPr>
        <w:t>إطباق الفقهاء فی فتاواهم، حتّی أنّهم ما عدوّا ذلک من المکروهات، و لا خلاف الآداب أیضا، کما ینادی به فتاواهم، و عمل جمیع المسلمین فی الأعصار و الأمصار، حتّی أنّهم ما کانوا ینزّهون عنه فی مقام الکراهة، و لا ترک الأولویّة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الإجماع مرادف للضروریّ، لأنّ حال هذا الجمع کان حال غیره من المحلّلات بالضرورة عند الفقهاء و المسلمین، من دون تفاوت، کما هو ظاهر علی المتأمّل فی کلماتهم و أحوالهم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عرض فی هذه الأزمان شبهة علی بعض المتوهّمین من اطّلاعه علی بعض الأخبار الّذی یظهر حاله مع غفلته عن حقیقة الحال، و لو لا عروضها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لکان حاله حالهم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کونه نظریّا، فلا خفاء فی الحجّیة، کما هو المسلّم عند الشیعة، و المحقّق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 و الإباحة، فجمیع ما دلّ علیها من الإجماعات المنقولة، و الآیات القرآنیّة، و الأخبار المتواترة، و العقل، و استصحاب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بیّناه فی رسالتنا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علیهما البتّة، بل بیّنا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الإجماعات المنقولة واقعیّة علی القطع و الیقین، فلا حظ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الاستصحاب، إذ فی أوّل الشرع لم یکن حراما بالبدیهة، فکذا بعده، لما ورد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إلّا بالیقین</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 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إلّا بیقین مثله</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 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 أبدا</w:t>
      </w:r>
      <w:r>
        <w:rPr>
          <w:rFonts w:eastAsia="IRNazanin" w:cs="IRNazanin"/>
          <w:color w:val="111111"/>
          <w:sz w:val="28"/>
          <w:szCs w:val="28"/>
          <w:rtl w:val="true"/>
          <w:lang w:bidi="fa-IR"/>
        </w:rPr>
        <w:t xml:space="preserve">» </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کتبناه فی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علیهما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مثل قوله تعالی وَ أُحِلَّ لَکُمْ مٰا وَرٰاءَ ذٰلِکُمْ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تعالی فَإِنْ لَمْ تَکُونُوا دَخَلْتُمْ بِهِنَّ فَلٰا جُنٰاحَ عَلَیْکُمْ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و قوله تعالی وَ أَنْکِحُوا الْأَیٰامیٰ مِنْکُمْ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تعالی فَانْکِحُوا مٰا طٰابَ لَکُمْ مِنَ النِّسٰاءِ مَثْنیٰ وَ ثُلٰاثَ وَ رُبٰاعَ </w:t>
      </w:r>
      <w:r>
        <w:rPr>
          <w:rStyle w:val="FootnoteAnchor"/>
          <w:rtl w:val="true"/>
        </w:rPr>
        <w:footnoteReference w:id="592"/>
      </w:r>
      <w:r>
        <w:rPr>
          <w:rFonts w:ascii="IRNazanin" w:hAnsi="IRNazanin" w:eastAsia="IRNazanin"/>
          <w:color w:val="111111"/>
          <w:sz w:val="28"/>
          <w:sz w:val="28"/>
          <w:szCs w:val="28"/>
          <w:rtl w:val="true"/>
          <w:lang w:bidi="fa-IR"/>
        </w:rPr>
        <w:t>، فإنّ کلّ واحد من العلویّات ممّا طاب، فلا مانع من المثنی و الثلاث و الرباع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وَ أَنْ تَجْمَعُوا بَیْنَ الْأُخْتَیْنِ </w:t>
      </w:r>
      <w:r>
        <w:rPr>
          <w:rStyle w:val="FootnoteAnchor"/>
          <w:rtl w:val="true"/>
        </w:rPr>
        <w:footnoteReference w:id="593"/>
      </w:r>
      <w:r>
        <w:rPr>
          <w:rFonts w:ascii="IRNazanin" w:hAnsi="IRNazanin" w:eastAsia="IRNazanin"/>
          <w:color w:val="111111"/>
          <w:sz w:val="28"/>
          <w:sz w:val="28"/>
          <w:szCs w:val="28"/>
          <w:rtl w:val="true"/>
          <w:lang w:bidi="fa-IR"/>
        </w:rPr>
        <w:t>، فلو کان الجمع بین الفاطمیّتین أیضا حراما لما خصّ ذلک بالأختین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المتواترة </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الزائدة عن حدّ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الأئمّة علیهم السّلام، فإنّهم فی مقامات لا تحصی تعرّضوا لذکر ما یحرم نکاحها، و ما یکره، و ما لا یحسن، و لم یشیروا إلی ذلک أصلا، إذ الشاذّ الّذی نقل أمرونا بترک العمل به من وجوه کثیرة، ستعرفها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بدیهیّات الدین أو المسلّمات عند المسلمین أو المشهورات عندهم تعرّضوا لأمثال ذلک، فکیف لم یتعرّضوا لما هو فی غایة الخفاء و أحالوا علی ما أمروا بعدم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المطلقات من النساء الواردة فی مقام الحمل و الصحّة یزید عن المتواتر بما لا یحصی، و المطلق یرجع إلی العموم، کما هو المحقّق و المسلّم عند الکلّ، و المدار علیه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و نقل تلک الأخبار ممّا لا یفی له الدفاتر،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بناتنا لبنینا</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مشیرا إلی أولاد علیّ علیه السّلام و جعفر، و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بعضهم أکفاء بعض</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یتزوّج فی قریش، و قریش یتزوّج فی بنی هاشم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الصدوق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الفروج المحرّمة فی الکتاب و السنّة علی أربعة و ثلاثین وجها، حدّثنا أبو محمّد الحسن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موسی بن جعفر، عن أبیه جعفر بن محمّد علیهم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أبی علیه السلام عمّا حرّم اللّه عزّ و جلّ من الفروج فی القرآن، و عمّا حرّمه رسول اللّه صلّی اللّه علیه و آله فی سنّته،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حرّم اللّه من ذلک أربعة و ثلاثین وجها </w:t>
      </w:r>
      <w:r>
        <w:rPr>
          <w:rStyle w:val="FootnoteAnchor"/>
          <w:rtl w:val="true"/>
        </w:rPr>
        <w:footnoteReference w:id="598"/>
      </w:r>
      <w:r>
        <w:rPr>
          <w:rFonts w:ascii="Amiri" w:hAnsi="Amiri" w:eastAsia="Amiri" w:cs="Amiri"/>
          <w:color w:val="111111"/>
          <w:sz w:val="28"/>
          <w:sz w:val="28"/>
          <w:szCs w:val="28"/>
          <w:rtl w:val="true"/>
          <w:lang w:bidi="ar-SA"/>
        </w:rPr>
        <w:t>، سبعة عشر فی القرآن، و سبعة عشر فی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الّتی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فالزنا، قال اللّه سبحانه وَ لٰا تَقْرَبُوا الزِّنیٰ </w:t>
      </w:r>
      <w:r>
        <w:rPr>
          <w:rStyle w:val="FootnoteAnchor"/>
          <w:rtl w:val="true"/>
        </w:rPr>
        <w:footnoteReference w:id="599"/>
      </w:r>
      <w:r>
        <w:rPr>
          <w:rFonts w:ascii="Amiri" w:hAnsi="Amiri" w:eastAsia="Amiri" w:cs="Amiri"/>
          <w:color w:val="111111"/>
          <w:sz w:val="28"/>
          <w:sz w:val="28"/>
          <w:szCs w:val="28"/>
          <w:rtl w:val="true"/>
          <w:lang w:bidi="ar-SA"/>
        </w:rPr>
        <w:t xml:space="preserve">، و نکاح امرأة الأب، قال اللّه عزّ و جلّ وَ لٰا تَنْکِحُوا مٰا نَکَحَ آبٰاؤُکُمْ مِنَ النِّسٰاءِ </w:t>
      </w:r>
      <w:r>
        <w:rPr>
          <w:rStyle w:val="FootnoteAnchor"/>
          <w:rtl w:val="true"/>
        </w:rPr>
        <w:footnoteReference w:id="600"/>
      </w:r>
      <w:r>
        <w:rPr>
          <w:rFonts w:ascii="Amiri" w:hAnsi="Amiri" w:eastAsia="Amiri" w:cs="Amiri"/>
          <w:color w:val="111111"/>
          <w:sz w:val="28"/>
          <w:sz w:val="28"/>
          <w:szCs w:val="28"/>
          <w:rtl w:val="true"/>
          <w:lang w:bidi="ar-SA"/>
        </w:rPr>
        <w:t>، أُمَّهٰاتُکُمْ وَ بَنٰاتُکُمْ وَ أَخَوٰاتُکُمْ وَ عَمّٰاتُکُمْ وَ خٰالٰاتُکُمْ وَ بَنٰاتُ الْأَخِ وَ بَنٰاتُ الْأُخْتِ وَ أُمَّهٰاتُکُمُ اللّٰاتِی أَرْضَعْنَکُمْ وَ أَخَوٰاتُکُمْ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وَ أَنْ تَجْمَعُوا بَیْنَ الْأُخْتَیْنِ إِلّٰا مٰا قَدْ سَلَفَ </w:t>
      </w:r>
      <w:r>
        <w:rPr>
          <w:rStyle w:val="FootnoteAnchor"/>
          <w:rtl w:val="true"/>
        </w:rPr>
        <w:footnoteReference w:id="601"/>
      </w:r>
      <w:r>
        <w:rPr>
          <w:rFonts w:ascii="IRNazanin" w:hAnsi="IRNazanin" w:eastAsia="IRNazanin"/>
          <w:color w:val="111111"/>
          <w:sz w:val="28"/>
          <w:sz w:val="28"/>
          <w:szCs w:val="28"/>
          <w:rtl w:val="true"/>
          <w:lang w:bidi="fa-IR"/>
        </w:rPr>
        <w:t>، و الحائض حتّی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تطهر، لقوله تعالی </w:t>
      </w:r>
      <w:r>
        <w:rPr>
          <w:rStyle w:val="FootnoteAnchor"/>
          <w:rtl w:val="true"/>
        </w:rPr>
        <w:footnoteReference w:id="602"/>
      </w:r>
      <w:r>
        <w:rPr>
          <w:rFonts w:ascii="Amiri" w:hAnsi="Amiri" w:eastAsia="Amiri" w:cs="Amiri"/>
          <w:color w:val="111111"/>
          <w:sz w:val="28"/>
          <w:sz w:val="28"/>
          <w:szCs w:val="28"/>
          <w:rtl w:val="true"/>
          <w:lang w:bidi="ar-SA"/>
        </w:rPr>
        <w:t xml:space="preserve">وَ لٰا تَقْرَبُوهُنَّ </w:t>
      </w:r>
      <w:r>
        <w:rPr>
          <w:rStyle w:val="FootnoteAnchor"/>
          <w:rtl w:val="true"/>
        </w:rPr>
        <w:footnoteReference w:id="603"/>
      </w:r>
      <w:r>
        <w:rPr>
          <w:rFonts w:ascii="IRNazanin" w:hAnsi="IRNazanin" w:eastAsia="IRNazanin"/>
          <w:color w:val="111111"/>
          <w:sz w:val="28"/>
          <w:sz w:val="28"/>
          <w:szCs w:val="28"/>
          <w:rtl w:val="true"/>
          <w:lang w:bidi="fa-IR"/>
        </w:rPr>
        <w:t xml:space="preserve">الآیة، و النکاح فی الاعتکاف، لقوله تعالی </w:t>
      </w:r>
      <w:r>
        <w:rPr>
          <w:rStyle w:val="FootnoteAnchor"/>
          <w:rtl w:val="true"/>
        </w:rPr>
        <w:footnoteReference w:id="604"/>
      </w:r>
      <w:r>
        <w:rPr>
          <w:rFonts w:ascii="Amiri" w:hAnsi="Amiri" w:eastAsia="Amiri" w:cs="Amiri"/>
          <w:color w:val="111111"/>
          <w:sz w:val="28"/>
          <w:sz w:val="28"/>
          <w:szCs w:val="28"/>
          <w:rtl w:val="true"/>
          <w:lang w:bidi="ar-SA"/>
        </w:rPr>
        <w:t xml:space="preserve">وَ لٰا تُبَاشِرُوهُنَّ وَ أَنْتُمْ عٰاکِفُونَ فِی الْمَسٰاجِدِ </w:t>
      </w:r>
      <w:r>
        <w:rPr>
          <w:rStyle w:val="FootnoteAnchor"/>
          <w:rtl w:val="true"/>
        </w:rPr>
        <w:footnoteReference w:id="605"/>
      </w:r>
      <w:r>
        <w:rPr>
          <w:rFonts w:ascii="IRNazanin" w:hAnsi="IRNazanin" w:eastAsia="IRNazanin"/>
          <w:color w:val="111111"/>
          <w:sz w:val="28"/>
          <w:sz w:val="28"/>
          <w:szCs w:val="28"/>
          <w:rtl w:val="true"/>
          <w:lang w:bidi="fa-IR"/>
        </w:rPr>
        <w:t xml:space="preserve">،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فالمواقعة فی نهار رمضان، و تزویج الملاعنة بعد اللعان،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التزویج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المواقعة فی الإحرام، و المحرم یتزوّج أو یزوّج، و المظاهر قبل أن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فیه کثیرا و لم یذکر الجمع بین الفاطمیّتین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أیّها الفطن إلی دلالة هذه الروایة المطابقة للآیات الکثیرة، و الأخبار المتواترة، و الأصول الثابتة من الأخبار و الآیات و الإجماع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الرسول صلّی اللّه علیه و آله کان مأمورا بإنذار حضور </w:t>
      </w:r>
      <w:r>
        <w:rPr>
          <w:rStyle w:val="FootnoteAnchor"/>
          <w:rtl w:val="true"/>
        </w:rPr>
        <w:footnoteReference w:id="607"/>
      </w:r>
      <w:r>
        <w:rPr>
          <w:rFonts w:ascii="Amiri" w:hAnsi="Amiri" w:eastAsia="Amiri" w:cs="Amiri"/>
          <w:color w:val="111111"/>
          <w:sz w:val="28"/>
          <w:sz w:val="28"/>
          <w:szCs w:val="28"/>
          <w:rtl w:val="true"/>
          <w:lang w:bidi="ar-SA"/>
        </w:rPr>
        <w:t xml:space="preserve">عشیرته، و أقاربه بالخصوص أیضا، حیث قال تعالی وَ أَنْذِرْ عَشِیرَتَکَ الْأَقْرَبِینَ </w:t>
      </w:r>
      <w:r>
        <w:rPr>
          <w:rStyle w:val="FootnoteAnchor"/>
          <w:rtl w:val="true"/>
        </w:rPr>
        <w:footnoteReference w:id="608"/>
      </w:r>
      <w:r>
        <w:rPr>
          <w:rFonts w:ascii="IRNazanin" w:hAnsi="IRNazanin" w:eastAsia="IRNazanin"/>
          <w:color w:val="111111"/>
          <w:sz w:val="28"/>
          <w:sz w:val="28"/>
          <w:szCs w:val="28"/>
          <w:rtl w:val="true"/>
          <w:lang w:bidi="fa-IR"/>
        </w:rPr>
        <w:t>، و کان یفعل کذلک بلا شبهة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أیضا، قال عزّ و جلّ قُوا أَنْفُسَکُمْ وَ أَهْلِیکُمْ نٰاراً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ورد فی الأخبار ما هو أشدّ من هذا و آکد، و أنّ الرجل مؤاخذ و معاقب بما صدر من أهله إذا لم یبلّغ و لم یبالغ </w:t>
      </w:r>
      <w:r>
        <w:rPr>
          <w:rStyle w:val="FootnoteAnchor"/>
          <w:rtl w:val="true"/>
        </w:rPr>
        <w:footnoteReference w:id="610"/>
      </w:r>
      <w:r>
        <w:rPr>
          <w:rFonts w:ascii="IRNazanin" w:hAnsi="IRNazanin" w:eastAsia="IRNazanin"/>
          <w:color w:val="111111"/>
          <w:sz w:val="28"/>
          <w:sz w:val="28"/>
          <w:szCs w:val="28"/>
          <w:rtl w:val="true"/>
          <w:lang w:bidi="fa-IR"/>
        </w:rPr>
        <w:t>، فلا حظ</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جمیع ذلک لم لم ینذر الرسول صلّی اللّه علیه و آله عشیرته و أولاده عن ذلک و بناته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الاجتماع فی عقد واحد، و کونهنّ تحت حبالته؟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علیّ علیه السّلام مع کونه نائب الرسول صلّی اللّه علیه و آله، قائما مقامه، یجب علیه إبلاغ ما وجب علی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کلّ واحد واحد من الأئمة علیهم السّلام، بل فاطمة علیها السّلام کأنّه کذلک، مع ما عرفت من وجوب حفظ الأهل من النار و الحرمة و الزنا و عدم طیب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مضافا إلی ما ورد و ثبت من وجوب إبلاغ أحکام الشرع باهالیها </w:t>
      </w:r>
      <w:r>
        <w:rPr>
          <w:rStyle w:val="FootnoteAnchor"/>
          <w:rtl w:val="true"/>
        </w:rPr>
        <w:footnoteReference w:id="611"/>
      </w:r>
      <w:r>
        <w:rPr>
          <w:rFonts w:ascii="IRNazanin" w:hAnsi="IRNazanin" w:eastAsia="IRNazanin"/>
          <w:color w:val="111111"/>
          <w:sz w:val="28"/>
          <w:sz w:val="28"/>
          <w:szCs w:val="28"/>
          <w:rtl w:val="true"/>
          <w:lang w:bidi="fa-IR"/>
        </w:rPr>
        <w:t>علیهم علیهم السّلام، و أنّهم علیهم السّلام کانوا مفردین مخلوقین لذلک، و مبعوثین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أو 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القطع بعدم تقصیر واحد منهم علیهم السّلام أصلا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لم یبلّغ الرسول صلّی اللّه علیه و آله و لا علیّ علیه السّلام و لا فاطمة علیها السّلام و لا الحسن علیه السّلام و لا الحسین علیه السّلام و لا غیرهما صلوات اللّه علیهم، و لم ینهوا بناتهم عن الرضا بالعقد المذکور؟ و لم یعرض کلّ واحد منهم ذلک بالنسبة إلی أولادهم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أولادهم إلی یوم القیامة، کما صدر ما صدر منهم بالنسبة إلی الأحکام المختصّة بالعشیرة و الأولاد و الأقارب؟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لم یصدر من الرسول صلّی اللّه علیه و آله، و لا علی علیه السّلام و غیره نهی بناتهم علیهم السّلام عمّا ذکر، و لا الوصیّة بذلک مطلقا، مع أنّ فی أمر الفرج تشدید، بل أشدّ الأمور، و طیب الولادة أهمّ و أولی الأمور، فکیف اتّفقوا علی هذا التقصیر العظیم فی عدم إنذار العشیرة، و عدم وقایتهم عن النار الّتی وقودها الناس و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نقل أنّ الصادق علیه السّلام قال لأجنبی من الرجال الّذین لا دخل لهم بالعشیرة و الأهل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کذا و کذا </w:t>
      </w:r>
      <w:r>
        <w:rPr>
          <w:rStyle w:val="FootnoteAnchor"/>
          <w:rtl w:val="true"/>
        </w:rPr>
        <w:footnoteReference w:id="612"/>
      </w:r>
      <w:r>
        <w:rPr>
          <w:rFonts w:ascii="IRNazanin" w:hAnsi="IRNazanin" w:eastAsia="IRNazanin"/>
          <w:color w:val="111111"/>
          <w:sz w:val="28"/>
          <w:sz w:val="28"/>
          <w:szCs w:val="28"/>
          <w:rtl w:val="true"/>
          <w:lang w:bidi="fa-IR"/>
        </w:rPr>
        <w:t xml:space="preserve">، و لم یظهر ذلک لبنات فاطمة علیها السّلام اللاتی </w:t>
      </w:r>
      <w:r>
        <w:rPr>
          <w:rStyle w:val="FootnoteAnchor"/>
          <w:rtl w:val="true"/>
        </w:rPr>
        <w:footnoteReference w:id="613"/>
      </w:r>
      <w:r>
        <w:rPr>
          <w:rFonts w:ascii="Amiri" w:hAnsi="Amiri" w:eastAsia="Amiri" w:cs="Amiri"/>
          <w:color w:val="111111"/>
          <w:sz w:val="28"/>
          <w:sz w:val="28"/>
          <w:szCs w:val="28"/>
          <w:rtl w:val="true"/>
          <w:lang w:bidi="ar-SA"/>
        </w:rPr>
        <w:t>هنّ عشیرته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و أهله و بناته، أو بنات عشیرته اللاتی أیضا بناته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مانع الحلّیة و منشأ الحرمة إنّما هو من جانب البنات، و أنّ فاطمة علیها السّلام یشقّ علیها اجتماع بناتها تحت رجل، فلم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 بناته عن ذلک، و لا غیره من آبائه علیهم السّلام و أبنائه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واحد منهم ینهی البنات عن ذلک لم یرضین قطعا بذلک، و لو کان یوصی بذلک لم یخالفن الوصیّة، و یشتهر ذلک بین بنات فاطمة علیها السّلام، و بینهم و غیرهم من أهل البیت علیهم السّلام، و ترتفع الفاحشة من العترة الطاهرة، و یصیر مثل سائر خصائصهم علیهم السّلام الطاهرة الشائعة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 هذه الفاحشة من الخصائص الأخر، و 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حلّلنا الخمس لشیعتنا، لطیب ولادتهم </w:t>
      </w:r>
      <w:r>
        <w:rPr>
          <w:rStyle w:val="FootnoteAnchor"/>
          <w:rtl w:val="true"/>
        </w:rPr>
        <w:footnoteReference w:id="61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أرادوا طیب المولد لشیعتهم، و لم یریدوا ذلک لذرّیتهم الطاهرة، مع ما عرفت من وجوب الإنذار للأقربین، و لزوم وقایتهم عن النار، و غیر ذلک ممّا لا یحتاج إلی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التحریم الإلهی للفروج من عدم إعطاء الخمس؟ و أین تأثیر التحریم فی طیب الولادة من تأثیر عدم إعطاء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بالبدیهة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بنات فاطمة علیها السّلام إلی زمان الصادق علیه السّلام من أهل بیته علیهم السّلام، فضلا أن یکنّ من أهله، و مع ذلک کنّ فی غایة الإطاعة له، کما کنّ فی غایة الإطاعة لجدّهنّ الرسول صلّی اللّه علیه و آله، و أبیهنّ علیّ علیه السّلام، و أمّهنّ فاطمة علیها السّلام، و کذا الحسن و الحسین، و علی بن الحسین، و محمّد بن علیّ علیهم السّلام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کانوا علیهم السّلام قد أنذروا العشیرة و وقوا عن النار و أبلغوا إلیهنّ الحکم الّذی قدّر اللّه فیهنّ من عدم إیذائهنّ فاطمة علیها السّلام، و عدم إدخالهنّ الحرمة و الزنا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و الفاحشة فی نسلها و نسبها، و تحصیل طیب الولادة لها، لکنّ فی غایة الإطاعة لهم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إذا أبلغوا إلیهنّ هذا الحکم من حیث کونه حکم اللّه لکنّ کذلک جزما، و إن کان التبلیغ بعنوان الوصیّة إلیهنّ، فضلا عن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الحال بالنسبة إلی ذکور أولاد فاطمة علیها السّلام إذا أنذروهم من تزویج بناتهم لمن تحته بنت من أولاد فاطمة، و أنّهم بأنفسهم أیضا لا یجمعون </w:t>
      </w:r>
      <w:r>
        <w:rPr>
          <w:rStyle w:val="FootnoteAnchor"/>
          <w:rtl w:val="true"/>
        </w:rPr>
        <w:footnoteReference w:id="615"/>
      </w:r>
      <w:r>
        <w:rPr>
          <w:rFonts w:ascii="IRNazanin" w:hAnsi="IRNazanin" w:eastAsia="IRNazanin"/>
          <w:color w:val="111111"/>
          <w:sz w:val="28"/>
          <w:sz w:val="28"/>
          <w:szCs w:val="28"/>
          <w:rtl w:val="true"/>
          <w:lang w:bidi="fa-IR"/>
        </w:rPr>
        <w:t>، و إن کان بعنوان وصیّة الأعقاب و الأصلاب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حصل ذلک من الرسول صلّی اللّه علیه و آله أو أحد من أوصیائه أو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لاشتهر ذلک فی الذرّیة الطاهرة، ثمَّ اشتهر فی الأمّة، کما اشتهر خصائص آل الرسول صلّی اللّه علیه و آله و خصائص نسبهم و أحوالهم، و یذکر ذلک فی کتب أنسابهم و أحوالهم، بل یشتهر ذلک اشتهار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المعلوم عدم اطّلاع بنات فاطمة علیها السّلام علی ذلک إلی زمان شیخنا الحرّ </w:t>
      </w:r>
      <w:r>
        <w:rPr>
          <w:rStyle w:val="FootnoteAnchor"/>
          <w:rtl w:val="true"/>
        </w:rPr>
        <w:footnoteReference w:id="616"/>
      </w:r>
      <w:r>
        <w:rPr>
          <w:rFonts w:ascii="IRNazanin" w:hAnsi="IRNazanin" w:eastAsia="IRNazanin"/>
          <w:color w:val="111111"/>
          <w:sz w:val="28"/>
          <w:sz w:val="28"/>
          <w:szCs w:val="28"/>
          <w:rtl w:val="true"/>
          <w:lang w:bidi="fa-IR"/>
        </w:rPr>
        <w:t>، بل و بعده أیضا إلی الآن، و أنّ المدار کان فی الأعصار و الأمصار علی عدم الفرق بین الذرّیة الطاهرة و غیرهنّ فی جواز الجمع، حتّی أنّه ذکر فی کتب الأنساب أنّ علیّ بن جعفر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فی غایة الطاعة للصادق علیه السّلام و من بعده من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تحته علویّتان، کما نقل </w:t>
      </w:r>
      <w:r>
        <w:rPr>
          <w:rStyle w:val="FootnoteAnchor"/>
          <w:rtl w:val="true"/>
        </w:rPr>
        <w:footnoteReference w:id="617"/>
      </w:r>
      <w:r>
        <w:rPr>
          <w:rFonts w:ascii="IRNazanin" w:hAnsi="IRNazanin" w:eastAsia="IRNazanin"/>
          <w:color w:val="111111"/>
          <w:sz w:val="28"/>
          <w:sz w:val="28"/>
          <w:szCs w:val="28"/>
          <w:rtl w:val="true"/>
          <w:lang w:bidi="fa-IR"/>
        </w:rPr>
        <w:t>، فلا حظ و تتّبع</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جمیع ذلک،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الّتی ذکرنا و غیرها من الروایات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الموافقة لها و الآیات القرآنیّة مطابقة لإجماع المسلمین، فضلا عن الفقهاء، حتّی الصدوق، إذ کلامه ینادی بموافقته لسائر الفقهاء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ینادی بها،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ما أحلّ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حرّم منه</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 ثمَّ شرع فی ذکر الأخبار الدالّة علیها، و هی فی غایة الکثرة، و لم یشر إلی حرمة الجمع المذکور، بل و لا إلی کراهته، و لا کونه من خلاف آداب النکاح مع تعرّضه للکلّ، مع أنّه رحمه اللّه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لا یحضره الفقیه، و مع ذلک قال فی أوّله ما قال، بل أظهر أنّ قصده فیه لیس قصد المصنّفین فی إیرادهم جمیع ما رووه، سواء عملوا و أفتوا به أم لا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صرّح الشیخ أیضا بأنّ عادة المصنّفین کما ذکره </w:t>
      </w:r>
      <w:r>
        <w:rPr>
          <w:rStyle w:val="FootnoteAnchor"/>
          <w:rtl w:val="true"/>
        </w:rPr>
        <w:footnoteReference w:id="621"/>
      </w:r>
      <w:r>
        <w:rPr>
          <w:rFonts w:ascii="IRNazanin" w:hAnsi="IRNazanin" w:eastAsia="IRNazanin"/>
          <w:color w:val="111111"/>
          <w:sz w:val="28"/>
          <w:sz w:val="28"/>
          <w:szCs w:val="28"/>
          <w:rtl w:val="true"/>
          <w:lang w:bidi="fa-IR"/>
        </w:rPr>
        <w:t>، مع أنّا نری عیانا من الخارج کون الأمر علی ما صرّحنا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صرّح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ککتاب فتواه و العمل </w:t>
      </w:r>
      <w:r>
        <w:rPr>
          <w:rStyle w:val="FootnoteAnchor"/>
          <w:rtl w:val="true"/>
        </w:rPr>
        <w:footnoteReference w:id="622"/>
      </w:r>
      <w:r>
        <w:rPr>
          <w:rFonts w:ascii="IRNazanin" w:hAnsi="IRNazanin" w:eastAsia="IRNazanin"/>
          <w:color w:val="111111"/>
          <w:sz w:val="28"/>
          <w:sz w:val="28"/>
          <w:szCs w:val="28"/>
          <w:rtl w:val="true"/>
          <w:lang w:bidi="fa-IR"/>
        </w:rPr>
        <w:t>، کما لا یخفی علی المطّلع المتأمّل، و إن کان یذکر فیه کثیرا ممّا یعمل به، کما هو عادة المصنّفین فی إیرادهم المقبول و المردود عندهم، و عادته فیه فی المقبول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علّة وجوب شی‌ء أو حرمته، أو أمثالهما من الأحکام، ثمَّ یذکر الخبر الدالّ علی ذلک، کما فعل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و غیره،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غیره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ما یشیر إلی اعتقاده و حکمه بحرمة الجمع المذکور و لا کراهته، و لا کونه خلاف الأدب کسائر کتبه، و لم یذکر فی کتاب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النکاح منه ما یشیر إلی شی‌ء من ذلک، بل و لا فی باب نوادر علل النکاح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ذکر فی آخر الکتاب، عند ذکر باب نوادر العلل روایة غیر صحیحة فی جملة روایات ذلک الباب </w:t>
      </w:r>
      <w:r>
        <w:rPr>
          <w:rStyle w:val="FootnoteAnchor"/>
          <w:rtl w:val="true"/>
        </w:rPr>
        <w:footnoteReference w:id="623"/>
      </w:r>
      <w:r>
        <w:rPr>
          <w:rFonts w:ascii="IRNazanin" w:hAnsi="IRNazanin" w:eastAsia="IRNazanin"/>
          <w:color w:val="111111"/>
          <w:sz w:val="28"/>
          <w:sz w:val="28"/>
          <w:szCs w:val="28"/>
          <w:rtl w:val="true"/>
          <w:lang w:bidi="fa-IR"/>
        </w:rPr>
        <w:t>، و مع ذلک لیست واضحة الدلالة فی حرمة الجمع المذکور، کما ستعرفها، فلو کان قائلا بمضمونها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فهمه المتوهّم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یعقد له بابا،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علّة تحریم الجمع بین علویّتین، أو علّة المنع عنه </w:t>
      </w:r>
      <w:r>
        <w:rPr>
          <w:rStyle w:val="FootnoteAnchor"/>
          <w:rtl w:val="true"/>
        </w:rPr>
        <w:footnoteReference w:id="624"/>
      </w:r>
      <w:r>
        <w:rPr>
          <w:rFonts w:ascii="IRNazanin" w:hAnsi="IRNazanin" w:eastAsia="IRNazanin"/>
          <w:color w:val="111111"/>
          <w:sz w:val="28"/>
          <w:sz w:val="28"/>
          <w:szCs w:val="28"/>
          <w:rtl w:val="true"/>
          <w:lang w:bidi="fa-IR"/>
        </w:rPr>
        <w:t xml:space="preserve">، أو علّة کراهته، و أمثال ذلک، ثمَّ یذکر الروایة المذکورة، کما هو عادته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لم یشر إلی الروایة المذکورة فی کتاب النکاح منه بوجه من الوجوه، لا عند ذکره محرّمات النکاح، و لا مکروهاته، و لا غیرهما من أحکامه أصلا و رأسا، بل لم یشر إلیها فی باب نوادر علل النکاح أیضا أصلا و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منه ینادی بأنّ هذه الروایة عنده لا دخل لها فی أحکام النکاح و آدابه أصلا، کما سیذکر عن خالی العلّامة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الشیخ روی فی باب زیادات النکاح هذه الروایة بطریق أضعف </w:t>
      </w:r>
      <w:r>
        <w:rPr>
          <w:rStyle w:val="FootnoteAnchor"/>
          <w:rtl w:val="true"/>
        </w:rPr>
        <w:footnoteReference w:id="626"/>
      </w:r>
      <w:r>
        <w:rPr>
          <w:rFonts w:ascii="IRNazanin" w:hAnsi="IRNazanin" w:eastAsia="IRNazanin"/>
          <w:color w:val="111111"/>
          <w:sz w:val="28"/>
          <w:sz w:val="28"/>
          <w:szCs w:val="28"/>
          <w:rtl w:val="true"/>
          <w:lang w:bidi="fa-IR"/>
        </w:rPr>
        <w:t xml:space="preserve">، و بین صریح فی صحّة هذا النکاح، کما ستعرف، مع تصریحه بأنّه یذکر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المقبول و المردود من الروایات </w:t>
      </w:r>
      <w:r>
        <w:rPr>
          <w:rStyle w:val="FootnoteAnchor"/>
          <w:rtl w:val="true"/>
        </w:rPr>
        <w:footnoteReference w:id="627"/>
      </w:r>
      <w:r>
        <w:rPr>
          <w:rFonts w:ascii="IRNazanin" w:hAnsi="IRNazanin" w:eastAsia="IRNazanin"/>
          <w:color w:val="111111"/>
          <w:sz w:val="28"/>
          <w:sz w:val="28"/>
          <w:szCs w:val="28"/>
          <w:rtl w:val="true"/>
          <w:lang w:bidi="fa-IR"/>
        </w:rPr>
        <w:t xml:space="preserve">، مع تصریحه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خبر الواحد لا یکون حجّة إلّا أن یرویه الثقات و العدول </w:t>
      </w:r>
      <w:r>
        <w:rPr>
          <w:rStyle w:val="FootnoteAnchor"/>
          <w:rtl w:val="true"/>
        </w:rPr>
        <w:footnoteReference w:id="628"/>
      </w:r>
      <w:r>
        <w:rPr>
          <w:rFonts w:ascii="IRNazanin" w:hAnsi="IRNazanin" w:eastAsia="IRNazanin"/>
          <w:color w:val="111111"/>
          <w:sz w:val="28"/>
          <w:sz w:val="28"/>
          <w:szCs w:val="28"/>
          <w:rtl w:val="true"/>
          <w:lang w:bidi="fa-IR"/>
        </w:rPr>
        <w:t>، و ضبط فی کتب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علم الرجال کلّ من کان ثقة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هذه الروایة من غیر الثقات عنده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یظهر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أنّ خبر غیر الثقة إذا کانت منجبرة بجابر یظهر منه صدقه، یکون حجّة أیضا، مثل أن یکون منجبرا بعمل الأصحاب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یظهر من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ظهورا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بعنوان الصراحة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مثل الروایة المذکورة البتّة، کما لا یخفی علی المطّلع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یظهر من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حرمة هذا الجمع، بل و عدم کراهته أیضا، فلاحظ فی جمیع کتب فتاواه صرّح بانحصار حرمة النکاح فی الأمور الّتی عدّها، و لم یذکر من جملتها </w:t>
      </w:r>
      <w:r>
        <w:rPr>
          <w:rStyle w:val="FootnoteAnchor"/>
          <w:rtl w:val="true"/>
        </w:rPr>
        <w:footnoteReference w:id="630"/>
      </w:r>
      <w:r>
        <w:rPr>
          <w:rFonts w:ascii="IRNazanin" w:hAnsi="IRNazanin" w:eastAsia="IRNazanin"/>
          <w:color w:val="111111"/>
          <w:sz w:val="28"/>
          <w:sz w:val="28"/>
          <w:szCs w:val="28"/>
          <w:rtl w:val="true"/>
          <w:lang w:bidi="fa-IR"/>
        </w:rPr>
        <w:t xml:space="preserve">هذا الجمع أصلا، بل و لم یذکر فی المکروهات أیضا، و لا فی الآداب أیضا، موافقا للصدوق و غیره من فقهاء الشیعة من المتقدّمین و المتأخّرین، بل جمیع المسلمین أیضا، مع أنّ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طبق أحادیثه الّتی أوردها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بها، کما هو مسلّم عند المحقّقین، بل بیّن بالوجدان و المشاهدة، فلا حظ و تتبّع و اختبر، حتّی یحصل لک الیقین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سائر کتب فتاواه، علی حسب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عادة فقهائنا المسامحة فی المستحبّات و المکروهات، کما هو معلوم عند کلّ من له فهم و اطّلاع، حتّی أنّهم کثیرا ما یعملون فی المقام المذکور بخبر ضعیف رواه العامّة فی کتبهم، بل و رواه بعض منهم مع نهایة ضعفه، کما لا یخفی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ربّما یکتفون بفتوی فقیه من دون وجدان خبر أصلا، مثل ما صدر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منهم فی الحکم بکراهة الصلاة إلی الباب المفتوح </w:t>
      </w:r>
      <w:r>
        <w:rPr>
          <w:rStyle w:val="FootnoteAnchor"/>
          <w:rtl w:val="true"/>
        </w:rPr>
        <w:footnoteReference w:id="631"/>
      </w:r>
      <w:r>
        <w:rPr>
          <w:rFonts w:ascii="IRNazanin" w:hAnsi="IRNazanin" w:eastAsia="IRNazanin"/>
          <w:color w:val="111111"/>
          <w:sz w:val="28"/>
          <w:sz w:val="28"/>
          <w:szCs w:val="28"/>
          <w:rtl w:val="true"/>
          <w:lang w:bidi="fa-IR"/>
        </w:rPr>
        <w:t>، و غیر ذلک ممّا هو کثیر، کما لا یخفی أیضا علی المطّلع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یکتفون فی المقام المذکور بما هو أضعف من فتوی فقیه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جمیع ما ذکر، معلوم اتّفاق جمیعهم فی عدم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للروایة المذکورة فی مقام مکروهات النکاح، و لا فی خلاف مستحبّاته، و لا خلاف آدابه، لأنّهم یتعرّضون لذکر الکلّ فی کتبهم، و لم یشر واحد منهم إلی کراهة الجمع المذکور، و لا کونه خلاف المستحبّ أو خلاف الأدب، مع أنّهم فی باب النکاح و الفروج یبالغون فی الاحتیاط، و یشدّدون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کلّهم کانوا مطّلعین علی الروایة المذکورة، مثل الشیخ و الصدوق، حتّی أنّ منهم من صرّح فی بعض إجازاته أنّه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أوّله إلی آخره أزید من خمسین مرّة أو أربعین بمراتب </w:t>
      </w:r>
      <w:r>
        <w:rPr>
          <w:rStyle w:val="FootnoteAnchor"/>
          <w:rtl w:val="true"/>
        </w:rPr>
        <w:footnoteReference w:id="632"/>
      </w:r>
      <w:r>
        <w:rPr>
          <w:rFonts w:ascii="IRNazanin" w:hAnsi="IRNazanin" w:eastAsia="IRNazanin"/>
          <w:color w:val="111111"/>
          <w:sz w:val="28"/>
          <w:sz w:val="28"/>
          <w:szCs w:val="28"/>
          <w:rtl w:val="true"/>
          <w:lang w:bidi="fa-IR"/>
        </w:rPr>
        <w:t>، کما لا یخفی علی المطّلع، فإذا کان تدریسه بهذا القدر، فما ظنّک باطّلاعاته و قراءته و ملاحظاته فی مقام التصانیف الکثیرة الصادرة منهم، و الفتاوی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کلّهم أطبقوا علی ما ذکرنا إلی زمان المتوهّم و بعده إلی آن کتابة 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قال خالی العلّامة المجلسی عند ذکر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أجد قائلا بمضمونها أصلا و رأسا</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 مع أنّه کان وحید عصره فی الاطّلاع علی أقوال الفقهاء، بل کان فرید سائر الأعصار، کما لا یخفی علی المطّلع</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الإصفهان کان مملوءا من الفضلاء و الفقهاء، و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فی غایة الاحتیاط فی الفروج، و لذا کانوا یکرّرون کثیرا فی صیغة النکاح، و أزید منه کانوا یحتاطون فی ذلک و غیر ذلک ممّا هو أضعف، و مع ذلک لم یر من واحد منهم احتیاط فی الجمع المذکور، بل و لا کراهة فیه، و لا خلاف استحباب و 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لم یر من واحد منهم عین و لا أثر فی شی‌ء ممّا ذکر، و لا ظنّ منه، و لا احتمل، و لا تخیّل، بل کذلک </w:t>
      </w:r>
      <w:r>
        <w:rPr>
          <w:rStyle w:val="FootnoteAnchor"/>
          <w:rtl w:val="true"/>
        </w:rPr>
        <w:footnoteReference w:id="634"/>
      </w:r>
      <w:r>
        <w:rPr>
          <w:rFonts w:ascii="IRNazanin" w:hAnsi="IRNazanin" w:eastAsia="IRNazanin"/>
          <w:color w:val="111111"/>
          <w:sz w:val="28"/>
          <w:sz w:val="28"/>
          <w:szCs w:val="28"/>
          <w:rtl w:val="true"/>
          <w:lang w:bidi="fa-IR"/>
        </w:rPr>
        <w:t>حال سائر البلدان الّتی کانت مجمع العلماء و الفقهاء، حتّی المشهد المقدّس الرضوی إلی زمان شیخنا المتوهّم رحمه اللّه و ما بعده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الفرقة المحقّة الناجیة لم تکن مجتمعة علی الضلالة إلی زمان المتوهّم رحمه اللّه و بعده أیضا، إذ یظهر فساد هذا من الأخبار المتواترة، مضافا إلی غیرها من أدلّة الإجماع، مضافا إلی شیاعه، و تحقّق اختلاط الأنساب فی أولاد الأئمّة علیهم السّلام و الذرّیة الطاهرة، کما مرّ و سنشیر إلیه، لکون المدار فی الأعصار و الأمصار علی فتاواهم، و هذا أشدّ شی‌ء علی الرسول صلّی اللّه علیه و آله و الأئمّة علیهم السّلام و فاطمة علیها السّلام، و مع ذلک یکونوا مقصّرین فی نشر شرائع الأحکام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علیهم السّلام کما ذکروا فی زیارة الجامعة الکبیرة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فجاهدتم فی اللّه حقّ جهاده، حتّی أعلنتم دعوته، و بیّنتم فرائضه، و أقمتم حدوده، و نشرتم شرائع أحکامه، و سننتم سنّته</w:t>
      </w:r>
      <w:r>
        <w:rPr>
          <w:rFonts w:eastAsia="IRNazanin" w:cs="IRNazanin"/>
          <w:color w:val="111111"/>
          <w:sz w:val="28"/>
          <w:szCs w:val="28"/>
          <w:rtl w:val="true"/>
          <w:lang w:bidi="fa-IR"/>
        </w:rPr>
        <w:t xml:space="preserve">»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فقرات هذه الزیارة، و غیرها ممّا یؤدّی مؤدّاها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فیکف یکونون غیر ناشرین لشرائع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بما هو فی غایة الاهتمام من حفظ أنسابهم الطاهرة عن الحرمة و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ذکر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أحد منهم علیهم السّلام حرمة الجمع المذکور إلّا خصوص الصادق علیه السّلام، و أنّه علیه السّلام ذکر ذلک لرجل بعنوان الشذوذ، و بعنوان یظهر منه غایة الظهور صحّة هذا العقد و هذا الجمع، 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هو علیه السّلام و غیره من الأئمّة علیهم السّلام أمرونا بترک العمل بهذه الروایة من جهة شذوذها، و من جهة مخالفتها للقرآن و السنّة و سائر أحادیثهم، و من جهة أنّ الراوی غیر ثقة،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الأخبار متواترة عنهم علیهم السّلام فیما ذکر، سیّما فی مخالفة الکتاب، حیث ورد منهم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ما خالفه فاضربوه علی الحائط</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زخرف</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 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نقول بما یخالف القرآن</w:t>
      </w:r>
      <w:r>
        <w:rPr>
          <w:rFonts w:eastAsia="IRNazanin" w:cs="IRNazanin"/>
          <w:color w:val="111111"/>
          <w:sz w:val="28"/>
          <w:szCs w:val="28"/>
          <w:rtl w:val="true"/>
          <w:lang w:bidi="fa-IR"/>
        </w:rPr>
        <w:t xml:space="preserve">» </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أمثال ما ذکر، و ربّما ورد مکرّرا کثیرا، کما لا یخفی علی المطّلع، و سنذکر بعض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اللّه و رسوله صلّی اللّه علیه و آله و الأئمّة علیهم السّلام بالغوا فی إظهار حرمة الزنا و إن کان بامرأة الکفّار </w:t>
      </w:r>
      <w:r>
        <w:rPr>
          <w:rStyle w:val="FootnoteAnchor"/>
          <w:rtl w:val="true"/>
        </w:rPr>
        <w:footnoteReference w:id="639"/>
      </w:r>
      <w:r>
        <w:rPr>
          <w:rFonts w:ascii="IRNazanin" w:hAnsi="IRNazanin" w:eastAsia="IRNazanin"/>
          <w:color w:val="111111"/>
          <w:sz w:val="28"/>
          <w:sz w:val="28"/>
          <w:szCs w:val="28"/>
          <w:rtl w:val="true"/>
          <w:lang w:bidi="fa-IR"/>
        </w:rPr>
        <w:t xml:space="preserve">، و وجوب حفظ الأنساب و إن کان نسب کافر </w:t>
      </w:r>
      <w:r>
        <w:rPr>
          <w:rStyle w:val="FootnoteAnchor"/>
          <w:rtl w:val="true"/>
        </w:rPr>
        <w:footnoteReference w:id="640"/>
      </w:r>
      <w:r>
        <w:rPr>
          <w:rFonts w:ascii="IRNazanin" w:hAnsi="IRNazanin" w:eastAsia="IRNazanin"/>
          <w:color w:val="111111"/>
          <w:sz w:val="28"/>
          <w:sz w:val="28"/>
          <w:szCs w:val="28"/>
          <w:rtl w:val="true"/>
          <w:lang w:bidi="fa-IR"/>
        </w:rPr>
        <w:t>، حتّی جعلوا عقوبة الدنیا أیضا فیه من الجلد و الرجم و غیرهما، کما هو معلوم، بل بالغوا فی الاحتیاط فی الفروج،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 الفرج لشدید، و منه یکون الولد، و نحن نحتاط فیه</w:t>
      </w:r>
      <w:r>
        <w:rPr>
          <w:rFonts w:eastAsia="IRNazanin" w:cs="IRNazanin"/>
          <w:color w:val="111111"/>
          <w:sz w:val="28"/>
          <w:szCs w:val="28"/>
          <w:rtl w:val="true"/>
          <w:lang w:bidi="fa-IR"/>
        </w:rPr>
        <w:t xml:space="preserve">» </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فی حفظ نسب آل فاطمة علیها السّلام عنه، و عدم اختلاطه به لم یصدر منه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صدر منه خلافه مکرّرا، و کذلک الرسول صلّی اللّه علیه و آله و الأئمّة علیهم السّلام، سوی ما روی رجل مجهول عن الصادق علیه السّلام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الجمع بین اثنتین من ولد فاطمة، لأنّه یبلغها فیشقّ علیها</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 و أین الشاقّیة علی خصوص فاطمة علیها السّلام من التهدیدات البالغة و العقوبات الشدیدة فی الآخرة، مضافا إلی الدنیا، الصادرة من اللّه و رسوله صلّی اللّه علیه و آله و الأئمّة علیهم السّلام علی سبیل الجزم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الجمع المذکور لو کان حراما، فأیّ معنی للتعلیل بکونه شاقّا علی خصوص فاطمة علیها السّلام و لم یکن شاقّا علی اللّه و لا علی رسوله صلّی اللّه علیه و آله و لا علی أحد من الأئمّة علیهم السّلام، مع أنّ فاطمة علیها السّلام مع اللّه و رسوله صلّی اللّه علیه و آله و الأئمّة علیهم السّلام کلمتهم واحدة، و رضاهم واحد، و عدم رضاهم واحد بالبدیهة؟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الجمع شاقّا علی اللّه و لا علی رسوله و لا علی أحد من الأئمة علیهم السّلام لم یکن شاقّا علی فاطمة علیها السّلام أیضا بالبدیهة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ابنة فاطمة علیها السّلام غیر منحصرة فی بنات ذکور أولادها، بل بنات بناتها إلی یوم القیامة داخلة، کما هو المحقّق المسلّم عند المتوهّم، فلا یکاد یوجد فی بلاد المسلمین و نسلهم بنت لم یکن لها نسب إلی فاطمة نسبا أو رضاعا،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 فشیع التحریم و اختلاط النسب بین عامّة المسلمین، سیّما بملاحظة ما ورد فی تفسیر سورة إِنّٰا أَعْطَیْنٰاکَ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أین ما ذکر من تحلیل الخمس لطیب ولادة الشیعة </w:t>
      </w:r>
      <w:r>
        <w:rPr>
          <w:rStyle w:val="FootnoteAnchor"/>
          <w:rtl w:val="true"/>
        </w:rPr>
        <w:footnoteReference w:id="645"/>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الرسول صلّی اللّه علیه و آله أبو الأئمّة علیهم السّلام، و عزیز علیه مشقّة الأمّة، کما قال عزّ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و جلّ لَقَدْ جٰاءَکُمْ رَسُولٌ مِنْ أَنْفُسِکُمْ عَزِیزٌ عَلَیْهِ مٰا عَنِتُّمْ حَرِیصٌ عَلَیْکُمْ بِالْمُؤْمِنِینَ رَؤُفٌ رَحِیمٌ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أمثال ما ذکر، ممّا ورد فیه، و لم یکن شاقّ علیه الجمع بین أربع من نساء أمّته، و أزید من الأربع، بل إلی حدّ لا یتناهی فی نکاح المتعة، و ملک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فاطمة علیها السّلام أیضا کانت کذلک قطعا، مع کونها بمنزلة أمّ المؤمنین، عزیز علیها ما عنتوا، حریصة علیهم، بالمؤمنین رؤوف رحیم، فکیف لم یشقّ علیها الجمع بین نساء الأمّة آلاف ألوف حتّی یصیر منشأ للتحریم، و مع ذلک یشقّ علیها بخصوصها الجمع بین بنتیها حتّی صار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لا شکّ فی أنّه یشقّ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یأخذ اللوطی الکاولی المؤذی للنساء الضارب لهنّ، غیر الموفی بحقّهنّ، واحدة من بناتها علیها السّلام، کما یشقّ علیها أن یأخذوا واحدة من بنات الأمّة، سیّما الصائنات النجیبات العفیفات الصالحات، سیّما إذا أخذها لتخدم ضرّتها الکاولیّة الرذیلة القاینة </w:t>
      </w:r>
      <w:r>
        <w:rPr>
          <w:rStyle w:val="FootnoteAnchor"/>
          <w:rtl w:val="true"/>
        </w:rPr>
        <w:footnoteReference w:id="647"/>
      </w:r>
      <w:r>
        <w:rPr>
          <w:rFonts w:ascii="IRNazanin" w:hAnsi="IRNazanin" w:eastAsia="IRNazanin"/>
          <w:color w:val="111111"/>
          <w:sz w:val="28"/>
          <w:sz w:val="28"/>
          <w:szCs w:val="28"/>
          <w:rtl w:val="true"/>
          <w:lang w:bidi="fa-IR"/>
        </w:rPr>
        <w:t>الفاحشة المتبرّجة غیر الصالحة و لا الصائنة و لا العفیفة، و مع ذلک هذا العقد صحیح عند المتوهّم بلا شبهة، موقوف رفعه علی الطلاق بلا 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یترتّب علی العقد المذکور فتن شدیدة، و مفاسد غیر عدیدة، من البغضاء و النفرة بین النسائب، بل القتال و المحنة بین الأقارب، بل و إن سرت إلی الأباعد و الأجانب</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سائر العقود، بل الإیقاعات أیضا، مثل الطلاق، و ربّما یحصل فیه أو فی العقد عقوق الآباء و الأمّهات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 أیضا، معلوم أن یشقّ علی الرسول صلّی اللّه علیه و آله و الأئمّة علیهم السّلام أن نضیّع أعمارنا فی غیر تحصیل الآخرة فیما لا یغنی من أمور الدنیا، و إن لم یکن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ممّا ذکرنا و غیره ممّا ستعرف، ما اعتنی أحد من الفقهاء بشأن الروایة المذکورة فی مقام الاستحباب و الکراهة، و الآداب، مع کون عادتهم کمال المسامحة فی أدلّة السنن و الکراهة، کما أنّ عادتهم کمال الاحتیاط فی الفروج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أطبقوا علی عدم الکراهة، فضلا عن الحرمة أو الاحتیاط فی الفروج، کما لا یخفی علی من له أدنی اطّلاع، و أشرنا إلیه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الشاقّیة إن کانت بسبب الأمور الدنیویّة، فغالب ما صار علیها من الدنیا کان فی غایة الشاقیّة علیها،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سجن المؤمن</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 فکیف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یقینا أنّ الحسنین علیهما السّلام إذا کانا یهتزّان یزحفان من الجوع و الضعف، کان ذلک فی غایة الشاقّیة علیها، و معلوم أنّ سبب ذلک إیثار إطعامهم </w:t>
      </w:r>
      <w:r>
        <w:rPr>
          <w:rStyle w:val="FootnoteAnchor"/>
          <w:rtl w:val="true"/>
        </w:rPr>
        <w:footnoteReference w:id="649"/>
      </w:r>
      <w:r>
        <w:rPr>
          <w:rFonts w:ascii="IRNazanin" w:hAnsi="IRNazanin" w:eastAsia="IRNazanin"/>
          <w:color w:val="111111"/>
          <w:sz w:val="28"/>
          <w:sz w:val="28"/>
          <w:szCs w:val="28"/>
          <w:rtl w:val="true"/>
          <w:lang w:bidi="fa-IR"/>
        </w:rPr>
        <w:t xml:space="preserve">المسکین و الیتیم و الأسیر </w:t>
      </w:r>
      <w:r>
        <w:rPr>
          <w:rStyle w:val="FootnoteAnchor"/>
          <w:rtl w:val="true"/>
        </w:rPr>
        <w:footnoteReference w:id="650"/>
      </w:r>
      <w:r>
        <w:rPr>
          <w:rFonts w:ascii="IRNazanin" w:hAnsi="IRNazanin" w:eastAsia="IRNazanin"/>
          <w:color w:val="111111"/>
          <w:sz w:val="28"/>
          <w:sz w:val="28"/>
          <w:szCs w:val="28"/>
          <w:rtl w:val="true"/>
          <w:lang w:bidi="fa-IR"/>
        </w:rPr>
        <w:t>، و قس علی ذلک أمثال ذلک، و لم یصر الشاقیة علیها سببا للحرمة بالبدیهة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من جهة الآخرة و حرمة الجمع شرعا، فاللّه حرّمه، و هو العلّة، و فاطمة علیها السّلام کأبیها و بعلها و بنیها علیهم السّلام، لا یشقّ علیهم إلّا من جهة تحریم اللّه، لا أنّ تحریم اللّه من جهة الشاقیة علی خصوص فاطمة علیها السّلام، فتأمّل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من أسباب الریبة، و ورد منهم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 xml:space="preserve">» </w:t>
      </w:r>
      <w:r>
        <w:rPr>
          <w:rStyle w:val="FootnoteAnchor"/>
          <w:rtl w:val="true"/>
        </w:rPr>
        <w:footnoteReference w:id="651"/>
      </w:r>
      <w:r>
        <w:rPr>
          <w:rFonts w:ascii="Amiri" w:hAnsi="Amiri" w:eastAsia="Amiri" w:cs="Amiri"/>
          <w:color w:val="111111"/>
          <w:sz w:val="28"/>
          <w:sz w:val="28"/>
          <w:szCs w:val="28"/>
          <w:rtl w:val="true"/>
          <w:lang w:bidi="ar-SA"/>
        </w:rPr>
        <w:t>، 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لکلّ حقّ حقیقة، و لکلّ صواب نورا</w:t>
      </w:r>
      <w:r>
        <w:rPr>
          <w:rFonts w:eastAsia="Amiri" w:cs="Amiri" w:ascii="Amiri" w:hAnsi="Amiri"/>
          <w:color w:val="111111"/>
          <w:sz w:val="28"/>
          <w:szCs w:val="28"/>
          <w:rtl w:val="true"/>
          <w:lang w:bidi="ar-SA"/>
        </w:rPr>
        <w:t xml:space="preserve">» </w:t>
      </w:r>
      <w:r>
        <w:rPr>
          <w:rStyle w:val="FootnoteAnchor"/>
          <w:rtl w:val="true"/>
        </w:rPr>
        <w:footnoteReference w:id="652"/>
      </w:r>
      <w:r>
        <w:rPr>
          <w:rFonts w:ascii="IRNazanin" w:hAnsi="IRNazanin" w:eastAsia="IRNazanin"/>
          <w:color w:val="111111"/>
          <w:sz w:val="28"/>
          <w:sz w:val="28"/>
          <w:szCs w:val="28"/>
          <w:rtl w:val="true"/>
          <w:lang w:bidi="fa-IR"/>
        </w:rPr>
        <w:t>، و ورد</w:t>
      </w:r>
      <w:r>
        <w:rPr>
          <w:rFonts w:eastAsia="IRNazanin" w:cs="IRNazanin"/>
          <w:color w:val="111111"/>
          <w:sz w:val="28"/>
          <w:szCs w:val="28"/>
          <w:rtl w:val="true"/>
          <w:lang w:bidi="fa-IR"/>
        </w:rPr>
        <w:t>:</w:t>
      </w:r>
      <w:bookmarkStart w:id="226" w:name="pg2526_25542"/>
    </w:p>
    <w:p>
      <w:pPr>
        <w:pStyle w:val="BookText"/>
        <w:rPr/>
      </w:pPr>
      <w:bookmarkEnd w:id="2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بالدرایات دون الروایات</w:t>
      </w:r>
      <w:r>
        <w:rPr>
          <w:rFonts w:eastAsia="IRNazanin" w:cs="IRNazanin"/>
          <w:color w:val="111111"/>
          <w:sz w:val="28"/>
          <w:szCs w:val="28"/>
          <w:rtl w:val="true"/>
          <w:lang w:bidi="fa-IR"/>
        </w:rPr>
        <w:t xml:space="preserve">» </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الدالّة علی عدم جواز العمل بالروایة المذکورة و حرمته، کما ستعرف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المذکورة یجب عدم العمل بها من وجوه لا تخفی، عرفت و ستعرف کثیرا منها</w:t>
      </w:r>
      <w:r>
        <w:rPr>
          <w:rFonts w:eastAsia="IRNazanin" w:cs="IRNazanin"/>
          <w:color w:val="111111"/>
          <w:sz w:val="28"/>
          <w:szCs w:val="28"/>
          <w:rtl w:val="true"/>
          <w:lang w:bidi="fa-IR"/>
        </w:rPr>
        <w:t>.</w:t>
      </w:r>
    </w:p>
    <w:p>
      <w:pPr>
        <w:pStyle w:val="Heading3"/>
        <w:numPr>
          <w:ilvl w:val="2"/>
          <w:numId w:val="1"/>
        </w:numPr>
        <w:rPr/>
      </w:pPr>
      <w:bookmarkStart w:id="227" w:name="__RefHeading___Toc4328020_3804643083"/>
      <w:bookmarkStart w:id="228" w:name="_Toc85"/>
      <w:bookmarkEnd w:id="227"/>
      <w:r>
        <w:rPr>
          <w:rtl w:val="true"/>
        </w:rPr>
        <w:t>ثمَّ إنّه حدث فی هذه الأزمان قول بحرمة الجمع المذکور</w:t>
      </w:r>
      <w:bookmarkEnd w:id="228"/>
    </w:p>
    <w:p>
      <w:pPr>
        <w:pStyle w:val="Heading4"/>
        <w:numPr>
          <w:ilvl w:val="3"/>
          <w:numId w:val="1"/>
        </w:numPr>
        <w:rPr/>
      </w:pPr>
      <w:bookmarkStart w:id="229" w:name="__RefHeading___Toc4328022_3804643083"/>
      <w:bookmarkStart w:id="230" w:name="_Toc86"/>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 مع غایة بعد العهد عن أوان الشریعة المقدّسة بزمان طویل یزید عن ألف سنة بکثیر، من غیر أن یکون ذلک الزمان قول من فقیه أو فعل من مسلم، بل کون الأمر بخلاف ذلک، مع عدم قول بالکراهة أو فعل، فضلا عن الحرمة،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منشأ إحداثه هذا القول أنّ الشیخ رحمه اللّه فی زیادات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بن الحسن بن فضّال، عن السندی بن ربیع، عن أبی عمیر، عن رجل من أصحابنا،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أن یجمع بین ثنتین من ولد فاطمة علیها السّلام، إنّ ذلک یبلغها فیشقّ علیها،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عن محمّد بن علیّ بن ماجیلویه، عن محمّد بن یحیی، عن أحمد بن محمّد، 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عن أبان بن عثمان، عن حمّاد،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ثمَّ ادّعی أنّ هذه الروایة عنده حجّة البتّة، و أمّا عند المتأخّرین، فطریق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البتّة، و أمّا طریق الشیخ، فمن المعلوم أنّه إنّما نقل أخبار کتبه من الأصول المحقّقة الثبوت، المقطوعة الاتّصال بالأئمة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ثمَّ قال فی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التحریم، و یتبادر منه، و التبادر أمارة الحقیقة، کما علیه محقّقوا الأصول، و یؤکّده التعلیل بالمشقّة، فإنّها أذیتها علیها السّلام، و هی حرام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استدلاله بالروایة، بعد ادّعائه أنّ الصدوق کان قائلا بالحرمة لأنّه ذکرها و لم یطعن و لا وجّه، و ادّعی أنّ عادته الطعن فی کلّ موضع لا یرضی به، و ذکر غیر واحد من المواضع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علی مطلبه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الشیخ العمل بها، لما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یذکر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و ذکر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أوّله من أنّ خبر الواحد إذا لم یعارضه خبر آخر و لم یعلم فتوی الأصحاب بخلافه یجوز العمل به،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معارض، و لم یعلم فتوی الأصحاب بخلافه</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بالاحتیاط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 استدلاله، و إن کان ظاهرا فی نفسه، و ظهر أیضا فساده ممّا ذکرنا، بحیث لا یخفی علی من له أدنی فهم، إلّا أنّه لا بأس بالتطویل، فنقول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ورد فی الکتب الأربعة، و غیرها من الکتب المعتبرة أحادیث لا تحصی ظاهرة فی وجوب قراءة دعاء أو عمل آخر عقیب الصلوات، أو فی یوم کذا أو ساعة أو عند کذا، کلّها ظاهرة فی الوجوب، مثل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أو افعل، أو علیک أن تقرأ أو تفعل، أو وجب علیک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أمثال ذلک، بل و أظهر دلالة و آکدها، و مع ذلک أنت تحکم بالاستحباب من دون وجود معارض، کما هو الحال فی الأکثر، أو من دون ملاحظته إن وجد، أو من دون ملاحظة مقاومته، بل و أنت قاطع بما ذکرنا، و رجحان المعارض لا یحصّل القطع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العلّة الّتی من أجلها یکبّر المصلّی بعد التسلیم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یکبّر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تدعوا هذا التکبیر و هذا القول فی دبر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مکتوبة، فإنّ من فعل هذا </w:t>
      </w:r>
      <w:r>
        <w:rPr>
          <w:rStyle w:val="FootnoteAnchor"/>
          <w:rtl w:val="true"/>
        </w:rPr>
        <w:footnoteReference w:id="658"/>
      </w:r>
      <w:r>
        <w:rPr>
          <w:rFonts w:ascii="IRNazanin" w:hAnsi="IRNazanin" w:eastAsia="IRNazanin"/>
          <w:color w:val="111111"/>
          <w:sz w:val="28"/>
          <w:sz w:val="28"/>
          <w:szCs w:val="28"/>
          <w:rtl w:val="true"/>
          <w:lang w:bidi="fa-IR"/>
        </w:rPr>
        <w:t xml:space="preserve">و قال هذا القول کان قد أدّی ما یجب علیه من شکر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تقویة الإسلام و جنده</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 عنهم علیهم السّلام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سجدة الشکر واجبة علی کلّ مسلم، تتمّ بها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الأخبار فی الکتب المعتبرة المکتوبة للعمل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حقوقنا اللازمة علی الأمّة و الشیعة أن یدعون کذا و کذا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ممّا لا یفی لذکره الدفاتر، مع أنّهم ذکروها للاعتبار و العمل قطعا، و کثیرا ما کان السند قطعیّا أو صحیحا، مع أنّ المصنّف الراوی لا یتعرّض إلی توجیه و تأویل أصلا، و اعتبار کتابه،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أزید من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بمراتب، و مع ذلک لم یظهر من کتابه الآخر أنّه لم یفت بالوجوب، کما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ظهر منه و من کتبه الأخر عدم فتواه بحرمة الجمع المذکور بالبدیهة، بل ربّما کان کلامه صریحا فی عدم الحرمة، کما عرفت ممّا ذکرنا، بل عرفت عدم فتواه بالکراهة و ترک الأولی، فضلا عن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یذکر هو و غیره لهذه الأحادیث عنوانا یظهر منه قوله و اعتقاده بمضامینها، بخلاف الروایة المذکورة، إذ عرفت أنّه لم یذکرها فی باب نوادر علل النکاح، فضلا أن یذکرها فی أبواب النکاح، فضلا أن یذکر لها عنوانا ثمَّ یذکر </w:t>
      </w:r>
      <w:r>
        <w:rPr>
          <w:rStyle w:val="FootnoteAnchor"/>
          <w:rtl w:val="true"/>
        </w:rPr>
        <w:footnoteReference w:id="662"/>
      </w:r>
      <w:r>
        <w:rPr>
          <w:rFonts w:ascii="IRNazanin" w:hAnsi="IRNazanin" w:eastAsia="IRNazanin"/>
          <w:color w:val="111111"/>
          <w:sz w:val="28"/>
          <w:sz w:val="28"/>
          <w:szCs w:val="28"/>
          <w:rtl w:val="true"/>
          <w:lang w:bidi="fa-IR"/>
        </w:rPr>
        <w:t xml:space="preserve">الروایة دلیلا له، کما هو عادته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 الجواب بأنّ هذه الأخبار الّتی لا تحصی فی التعقیب تحمل علی الاستحباب بملاحظة ما یظهر من أخبار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التعقیب بکذا و کذا 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معارضة بلا 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أخبار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التعقیب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وجود ما یظهر منه الشمول لهذه الأخبار، و حتّی لما ورد من أنّ سجدة الشکر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المستدلّ علی تقدیم الخاصّ، و یکون البناء علی التخصیص البتّة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ربّما کان ناقل الخبر لم یبن علی غیر التخصیص، کما ادّعاه فی الروایة المذکورة و بنی أمرها علی ذلک قطعا و أصرّ فی ذلک بالجملة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استدلّ به فی قوله بالحرمة من جهة الروایة المذکورة یلزمه القول بالوجوب فی الروایات المعتبرة و الصحیحة بلا شبهة، بل و بطریق أولی بمراتب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شتّی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کلّما أجاب فی جانب الصحاح فهو بعینه جوابه فی الروایة المذکورة بطریق أولی بمراتب شتّی، کما أشرنا إلی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غیر خفی ربّما نقلوا القائل بالوجوب صریحا، و مع ذلک لا یعتنی بشأنه أصلا، کقول ابن أبی عقیل بوجوب قراءة دعاء هلال شهر رمضان عند رؤیته </w:t>
      </w:r>
      <w:r>
        <w:rPr>
          <w:rStyle w:val="FootnoteAnchor"/>
          <w:rtl w:val="true"/>
        </w:rPr>
        <w:footnoteReference w:id="664"/>
      </w:r>
      <w:r>
        <w:rPr>
          <w:rFonts w:ascii="IRNazanin" w:hAnsi="IRNazanin" w:eastAsia="IRNazanin"/>
          <w:color w:val="111111"/>
          <w:sz w:val="28"/>
          <w:sz w:val="28"/>
          <w:szCs w:val="28"/>
          <w:rtl w:val="true"/>
          <w:lang w:bidi="fa-IR"/>
        </w:rPr>
        <w:t xml:space="preserve">، و قول السیّد بوجوب الأذکار فی یومی العیدین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حکمه بالاستحباب فی غیر ما نقلنا عن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کان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موقوف علی ملاحظة المعارض و کونه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حکمه بعدم قول مصنّف تلک الروایات بوجوب، و قوله بالاستحباب غیر موقوف علی ذلک، مع أنّه علی تقدیر التوقّف و الحصول من ملاحظته و ترجیحه، فالترجیح لا یفید إلّا الترجیح، لا القطع، و غیر خفیّ أنّه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ذکرنا </w:t>
      </w:r>
      <w:r>
        <w:rPr>
          <w:rStyle w:val="FootnoteAnchor"/>
          <w:rtl w:val="true"/>
        </w:rPr>
        <w:footnoteReference w:id="666"/>
      </w:r>
      <w:r>
        <w:rPr>
          <w:rFonts w:ascii="IRNazanin" w:hAnsi="IRNazanin" w:eastAsia="IRNazanin"/>
          <w:color w:val="111111"/>
          <w:sz w:val="28"/>
          <w:sz w:val="28"/>
          <w:szCs w:val="28"/>
          <w:rtl w:val="true"/>
          <w:lang w:bidi="fa-IR"/>
        </w:rPr>
        <w:t>کلّه ینادی بأنّ منشأ فهم الاستحباب لیس إجماع الفقهاء، و ینادی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من المواضع لا یوجد معارض فی کتاب من الکتب، فضلا عن کتاب ناقلها أو کتاب من کتب ناقلها، کما هو الحال فیما ورد من الأمر بقراءة دعاء فی یوم عرفة أو الغدیر أو غیرهما، أو ساعة کذا، و أمثال ذلک، و الأمر حقیقة فی الوجوب</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ورد النهی عن ترکه، و النهی حقیقة فی الحرمة، کما هو المحقّق المسلّم، و المدار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و ربّما یرد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أو وجب، أو غیرهما، فتتّبع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عطفا علی واجب من أفعال الحج أو غیره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الرسالة لا تفی لذکر الکلّ، و لا الجلّ، و لا کثیر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حکمه بصحّة طریق الصدوق علی طریقة المتأخّرین، فلیس إلّا من جهة عدم اطّلاعه علی طریقتهم، و عدم اطّلاعه علی شرائط صحّتهم، و عدم اطّلاعه علی علم الرجال، لأنّ الصحیح عندهم لیس إلّا ما رواه ثقة عن ثقة، و هکذا عن المعصوم علیه السّلام </w:t>
      </w:r>
      <w:r>
        <w:rPr>
          <w:rStyle w:val="FootnoteAnchor"/>
          <w:rtl w:val="true"/>
        </w:rPr>
        <w:footnoteReference w:id="667"/>
      </w:r>
      <w:r>
        <w:rPr>
          <w:rFonts w:ascii="IRNazanin" w:hAnsi="IRNazanin" w:eastAsia="IRNazanin"/>
          <w:color w:val="111111"/>
          <w:sz w:val="28"/>
          <w:sz w:val="28"/>
          <w:szCs w:val="28"/>
          <w:rtl w:val="true"/>
          <w:lang w:bidi="fa-IR"/>
        </w:rPr>
        <w:t xml:space="preserve">، و محمّد بن علی ماجیلویه غیر مذکور فی الرجال إلّا مهملا </w:t>
      </w:r>
      <w:r>
        <w:rPr>
          <w:rStyle w:val="FootnoteAnchor"/>
          <w:rtl w:val="true"/>
        </w:rPr>
        <w:footnoteReference w:id="668"/>
      </w:r>
      <w:r>
        <w:rPr>
          <w:rFonts w:ascii="IRNazanin" w:hAnsi="IRNazanin" w:eastAsia="IRNazanin"/>
          <w:color w:val="111111"/>
          <w:sz w:val="28"/>
          <w:sz w:val="28"/>
          <w:szCs w:val="28"/>
          <w:rtl w:val="true"/>
          <w:lang w:bidi="fa-IR"/>
        </w:rPr>
        <w:t xml:space="preserve">، و إن صحّح العلّامة بعض طریق الصدوق و هو فیه </w:t>
      </w:r>
      <w:r>
        <w:rPr>
          <w:rStyle w:val="FootnoteAnchor"/>
          <w:rtl w:val="true"/>
        </w:rPr>
        <w:footnoteReference w:id="669"/>
      </w:r>
      <w:r>
        <w:rPr>
          <w:rFonts w:ascii="IRNazanin" w:hAnsi="IRNazanin" w:eastAsia="IRNazanin"/>
          <w:color w:val="111111"/>
          <w:sz w:val="28"/>
          <w:sz w:val="28"/>
          <w:szCs w:val="28"/>
          <w:rtl w:val="true"/>
          <w:lang w:bidi="fa-IR"/>
        </w:rPr>
        <w:t xml:space="preserve">، و هذا غیر کاف، لأنّ کثیرا ممّن صحح العلّامة حدیثه لا یعدّ حدیثه صحیحا و إن أکثر تصحیحه، بل ربّما یصحّح بوجه تصحیح علی وجه یحصل القطع بأنّه لیس مراده ما هو المصطلح علیه عندهم، و لذا ربّما یصرّح بفساد مذهبه مع حکمه بتصحیح حدیثه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محمّد بن عیسی الأشعری، فهو من الحسان عندهم بلا شبهة </w:t>
      </w:r>
      <w:r>
        <w:rPr>
          <w:rStyle w:val="FootnoteAnchor"/>
          <w:rtl w:val="true"/>
        </w:rPr>
        <w:footnoteReference w:id="671"/>
      </w:r>
      <w:r>
        <w:rPr>
          <w:rFonts w:ascii="IRNazanin" w:hAnsi="IRNazanin" w:eastAsia="IRNazanin"/>
          <w:color w:val="111111"/>
          <w:sz w:val="28"/>
          <w:sz w:val="28"/>
          <w:szCs w:val="28"/>
          <w:rtl w:val="true"/>
          <w:lang w:bidi="fa-IR"/>
        </w:rPr>
        <w:t xml:space="preserve">، و إن صحّح العلّامة بعض أحادیثه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و أمّا أبان بن عثمان، فالمعروف عند المتأخّرین أنّه من الناووسیّة </w:t>
      </w:r>
      <w:r>
        <w:rPr>
          <w:rStyle w:val="FootnoteAnchor"/>
          <w:rtl w:val="true"/>
        </w:rPr>
        <w:footnoteReference w:id="673"/>
      </w:r>
      <w:r>
        <w:rPr>
          <w:rFonts w:ascii="IRNazanin" w:hAnsi="IRNazanin" w:eastAsia="IRNazanin"/>
          <w:color w:val="111111"/>
          <w:sz w:val="28"/>
          <w:sz w:val="28"/>
          <w:szCs w:val="28"/>
          <w:rtl w:val="true"/>
          <w:lang w:bidi="fa-IR"/>
        </w:rPr>
        <w:t xml:space="preserve">، و اضطرب آراؤهم فی عدّ حدیثه، فمنهم من حکم بضعفة، لکون الکفر أعظم فسق </w:t>
      </w:r>
      <w:r>
        <w:rPr>
          <w:rStyle w:val="FootnoteAnchor"/>
          <w:rtl w:val="true"/>
        </w:rPr>
        <w:footnoteReference w:id="674"/>
      </w:r>
      <w:r>
        <w:rPr>
          <w:rFonts w:ascii="IRNazanin" w:hAnsi="IRNazanin" w:eastAsia="IRNazanin"/>
          <w:color w:val="111111"/>
          <w:sz w:val="28"/>
          <w:sz w:val="28"/>
          <w:szCs w:val="28"/>
          <w:rtl w:val="true"/>
          <w:lang w:bidi="fa-IR"/>
        </w:rPr>
        <w:t xml:space="preserve">، و منهم من حکم بکونه موثّقا، لنقل إجماع العصابة علی تصحیح ما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 تصحیح القدماء لیس تصحیح المتأخّرین، و لذا جعل حدیثه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حکایة إجماع العصابة لم یعتبرها الشیخ فی کتبه أصلا، و لا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أضبط الکلّ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ابن الغضائری، بل الکشّی أیضا لم یحکم بها، بل نقله عن بعض مشایخه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 إجماع العصابة فی عثمان بن عیسی منقول، و لا یعدّ حدیثه صحیحا قطعا، بل و یحکم بضعفة، بملاحظة أنّه ممّن </w:t>
      </w:r>
      <w:r>
        <w:rPr>
          <w:rStyle w:val="FootnoteAnchor"/>
          <w:rtl w:val="true"/>
        </w:rPr>
        <w:footnoteReference w:id="677"/>
      </w:r>
      <w:r>
        <w:rPr>
          <w:rFonts w:ascii="IRNazanin" w:hAnsi="IRNazanin" w:eastAsia="IRNazanin"/>
          <w:color w:val="111111"/>
          <w:sz w:val="28"/>
          <w:sz w:val="28"/>
          <w:szCs w:val="28"/>
          <w:rtl w:val="true"/>
          <w:lang w:bidi="fa-IR"/>
        </w:rPr>
        <w:t xml:space="preserve">جحد موت الکاظم علیه السّلام و أظهر مذهب الوقف طمعا فی المال الّذی کان عنده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هذا الطریق معتبر عند من یفسّر الاعتبارات الظنّیة الضعیفة فیه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حکمه بکونها من الأحادیث القطعیّة الصدور لکونها مأخوذة من الأصول القطعیّة </w:t>
      </w:r>
      <w:r>
        <w:rPr>
          <w:rStyle w:val="FootnoteAnchor"/>
          <w:rtl w:val="true"/>
        </w:rPr>
        <w:footnoteReference w:id="679"/>
      </w:r>
      <w:r>
        <w:rPr>
          <w:rFonts w:ascii="IRNazanin" w:hAnsi="IRNazanin" w:eastAsia="IRNazanin"/>
          <w:color w:val="111111"/>
          <w:sz w:val="28"/>
          <w:sz w:val="28"/>
          <w:szCs w:val="28"/>
          <w:rtl w:val="true"/>
          <w:lang w:bidi="fa-IR"/>
        </w:rPr>
        <w:t>، ففی غایة وضوح الفساد، إذ لو کانت کذلک لکان الکلینی ذکرها و اعتمد علیها، لکونه أقرب عهدا من الکلّ بالنسبة إلی الأصول، و أعرف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بحالها، و أضبط، و لذا صار ثقة الإسلام عند الخاصّة و العامّة، و مع ذلک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عرض عشرین سنة و فی السیاحة فی البلدان، و أحاط بکلّ بلد کان فیه أصل من تلک الأصول، و حقّق، و 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و الانتخاب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لو کانت کما ذکره، لکان الصدوق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صنّفه لمن لا یحضره الفقیه، و قال فی أوّله ما قال، بل لم یذکرها فی کتاب من کتب فتاواه أصلا، بل و أظهر فی الکلّ غایة الإظهار بعدم تحریم الجمع، و عدم کراهته أیضا علی حسب ما نبهناک علیه، سیّما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عرفت أنّه لم یذکرها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النکاح، بل و لا فی نوادر النکاح، و هذا ینادی بأنّه فهم منها معنی آخر، کما سنذکر عن خالی العلّامة المجلسی، بل عرفت أنّ عادته ذکر عنوان لما اعتمد علیه، و لم یذکر لها عنوانا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أنّ الصدوق لم یردّها و لم یوجّهها، و أنّ هذا دلیل علی قوله بمضمونها و فتواه بظاهرها لأنّه فی مقام کذا و مقام کذا فعل کذا، أی تعرّض للردّ أو التوجیه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ما عرفت من أنّه رحمه اللّه کغیره فی مقامات لا تحصی أورد روایات ظاهرة فی الوجوب و متضمّنة لما هو حقیقة فیه، بل ربّما کانت فی غایة الظهور، مع أنّ مراده الاستحباب قطعا، و لم یتعرّض لتوجیه أصلا، و کذا أورد روایات ظاهرة فی الجبر </w:t>
      </w:r>
      <w:r>
        <w:rPr>
          <w:rStyle w:val="FootnoteAnchor"/>
          <w:rtl w:val="true"/>
        </w:rPr>
        <w:footnoteReference w:id="681"/>
      </w:r>
      <w:r>
        <w:rPr>
          <w:rFonts w:ascii="IRNazanin" w:hAnsi="IRNazanin" w:eastAsia="IRNazanin"/>
          <w:color w:val="111111"/>
          <w:sz w:val="28"/>
          <w:sz w:val="28"/>
          <w:szCs w:val="28"/>
          <w:rtl w:val="true"/>
          <w:lang w:bidi="fa-IR"/>
        </w:rPr>
        <w:t xml:space="preserve">، أو التشبیه و جسمیّة الرب </w:t>
      </w:r>
      <w:r>
        <w:rPr>
          <w:rStyle w:val="FootnoteAnchor"/>
          <w:rtl w:val="true"/>
        </w:rPr>
        <w:footnoteReference w:id="682"/>
      </w:r>
      <w:r>
        <w:rPr>
          <w:rFonts w:ascii="IRNazanin" w:hAnsi="IRNazanin" w:eastAsia="IRNazanin"/>
          <w:color w:val="111111"/>
          <w:sz w:val="28"/>
          <w:sz w:val="28"/>
          <w:szCs w:val="28"/>
          <w:rtl w:val="true"/>
          <w:lang w:bidi="fa-IR"/>
        </w:rPr>
        <w:t>، أو کونه فی سمت، أو عدم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حکمته تعالی </w:t>
      </w:r>
      <w:r>
        <w:rPr>
          <w:rStyle w:val="FootnoteAnchor"/>
          <w:rtl w:val="true"/>
        </w:rPr>
        <w:footnoteReference w:id="683"/>
      </w:r>
      <w:r>
        <w:rPr>
          <w:rFonts w:ascii="IRNazanin" w:hAnsi="IRNazanin" w:eastAsia="IRNazanin"/>
          <w:color w:val="111111"/>
          <w:sz w:val="28"/>
          <w:sz w:val="28"/>
          <w:szCs w:val="28"/>
          <w:rtl w:val="true"/>
          <w:lang w:bidi="fa-IR"/>
        </w:rPr>
        <w:t xml:space="preserve">، أو کون الحسن و القبح شرعیّین لا غیر </w:t>
      </w:r>
      <w:r>
        <w:rPr>
          <w:rStyle w:val="FootnoteAnchor"/>
          <w:rtl w:val="true"/>
        </w:rPr>
        <w:footnoteReference w:id="684"/>
      </w:r>
      <w:r>
        <w:rPr>
          <w:rFonts w:ascii="IRNazanin" w:hAnsi="IRNazanin" w:eastAsia="IRNazanin"/>
          <w:color w:val="111111"/>
          <w:sz w:val="28"/>
          <w:sz w:val="28"/>
          <w:szCs w:val="28"/>
          <w:rtl w:val="true"/>
          <w:lang w:bidi="fa-IR"/>
        </w:rPr>
        <w:t xml:space="preserve">، أو بتکلیفه تعالی ما هو خارج عن الوسع </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المسائل الأصولیّة القطعیّة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أنّ فاطمة علیها السّلام ردّت </w:t>
      </w:r>
      <w:r>
        <w:rPr>
          <w:rStyle w:val="FootnoteAnchor"/>
          <w:rtl w:val="true"/>
        </w:rPr>
        <w:footnoteReference w:id="686"/>
      </w:r>
      <w:r>
        <w:rPr>
          <w:rFonts w:ascii="IRNazanin" w:hAnsi="IRNazanin" w:eastAsia="IRNazanin"/>
          <w:color w:val="111111"/>
          <w:sz w:val="28"/>
          <w:sz w:val="28"/>
          <w:szCs w:val="28"/>
          <w:rtl w:val="true"/>
          <w:lang w:bidi="fa-IR"/>
        </w:rPr>
        <w:t>علی اللّه قول بأنّی أعطیک ولدا تقتله الأمّة بأن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أرید هذا الولد و لا حاجة لی فیه</w:t>
      </w:r>
      <w:r>
        <w:rPr>
          <w:rFonts w:eastAsia="IRNazanin" w:cs="IRNazanin"/>
          <w:color w:val="111111"/>
          <w:sz w:val="28"/>
          <w:szCs w:val="28"/>
          <w:rtl w:val="true"/>
          <w:lang w:bidi="fa-IR"/>
        </w:rPr>
        <w:t xml:space="preserve">» </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هو ظاهره فاسد قطعا عند الشیعة، و مع ذلک لا یتعرّض ناقل الروایة لتوجیه أصلا و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المسائل الفروعیّة، و لذا نقیّد أخبار کلّ واحد منهم فی کثیر من المقامات بالخبر الّذی رواه غیره أو بالإجماع أو بدلیل العقل، و کذلک یخصّص أو یحمل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ما ذکرناه غیر خفی علی المطّلع علی أدلّة الفقه و کتب الاستدلال و الأخبار، و ممّا ذکر الأخبار </w:t>
      </w:r>
      <w:r>
        <w:rPr>
          <w:rStyle w:val="FootnoteAnchor"/>
          <w:rtl w:val="true"/>
        </w:rPr>
        <w:footnoteReference w:id="688"/>
      </w:r>
      <w:r>
        <w:rPr>
          <w:rFonts w:ascii="IRNazanin" w:hAnsi="IRNazanin" w:eastAsia="IRNazanin"/>
          <w:color w:val="111111"/>
          <w:sz w:val="28"/>
          <w:sz w:val="28"/>
          <w:szCs w:val="28"/>
          <w:rtl w:val="true"/>
          <w:lang w:bidi="fa-IR"/>
        </w:rPr>
        <w:t>الظنّیة، فإنّ الکلّ اتّفقوا علی نقلها من دون توجیه، و السیّد رحمه اللّه أنکرها رأسا، و غیر السیّد فی غایة الاستشکال فی توجیهاتها، و کذلک الحال فی غیرها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مملوء ممّا ذکر، و کذلک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و غیر ذلک بالبدیهة، حتّی أنّه من المسلّمات عندهم أنّ عادة المصنّفین منهم إیرادهم فی تصانیفهم جمیع ما رووه، قالوا بمضمونه أم لا، رضوا به أم أعرضوا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عنه، و من ذلک قول الصدوق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الشیخ،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ذکر أخبارا کثیرة لا تحصی، غیر قائل بظاهرها قطعا، بل و ربّما لم یقل ببعضها أصلا، و مع ذلک لم یذکر </w:t>
      </w:r>
      <w:r>
        <w:rPr>
          <w:rStyle w:val="FootnoteAnchor"/>
          <w:rtl w:val="true"/>
        </w:rPr>
        <w:footnoteReference w:id="689"/>
      </w:r>
      <w:r>
        <w:rPr>
          <w:rFonts w:ascii="IRNazanin" w:hAnsi="IRNazanin" w:eastAsia="IRNazanin"/>
          <w:color w:val="111111"/>
          <w:sz w:val="28"/>
          <w:sz w:val="28"/>
          <w:szCs w:val="28"/>
          <w:rtl w:val="true"/>
          <w:lang w:bidi="fa-IR"/>
        </w:rPr>
        <w:t>توجیه لها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فی باب علّة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قال لآدم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فإنّ روحک روحی و طبیعتک من خلاف کینونتی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خالفت بین صورهم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صور أولاد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أجسامهم و ألوانهم و أعمارهم و أرزاقهم و طاعتهم و معصیتهم، فجعلت منهم السعید و الشقی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الحدیث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کلّه فی غایة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ذکر و روی أیضا فیه الحدیث المشکل المشهور المتضمّن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تردّدت فی شی‌ء أنا فاعله کتردّدی فی قبض نفس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أحببته کنت له سمعا و بصرا</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إدریس النبیّ علیه السّلام کان إحدی أذنیه أعظم من الأخری</w:t>
      </w:r>
      <w:r>
        <w:rPr>
          <w:rFonts w:eastAsia="IRNazanin" w:cs="IRNazanin"/>
          <w:color w:val="111111"/>
          <w:sz w:val="28"/>
          <w:szCs w:val="28"/>
          <w:rtl w:val="true"/>
          <w:lang w:bidi="fa-IR"/>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ممّا لا یحصی کثرة، و لم یتعرّض لتوجیه، و لا لردّ أصلا، بل أظهر فی مقامات متعدّدة منه أنّ کتابه لیس کتاب فتواه و العمل، بل کلّ روایة تضمّنت علّة </w:t>
      </w:r>
      <w:r>
        <w:rPr>
          <w:rStyle w:val="FootnoteAnchor"/>
          <w:rtl w:val="true"/>
        </w:rPr>
        <w:footnoteReference w:id="693"/>
      </w:r>
      <w:r>
        <w:rPr>
          <w:rFonts w:ascii="IRNazanin" w:hAnsi="IRNazanin" w:eastAsia="IRNazanin"/>
          <w:color w:val="111111"/>
          <w:sz w:val="28"/>
          <w:sz w:val="28"/>
          <w:szCs w:val="28"/>
          <w:rtl w:val="true"/>
          <w:lang w:bidi="fa-IR"/>
        </w:rPr>
        <w:t>أذکرها،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و هذه الرسالة لا تفی لذکر الکلّ، من أراد الاطّلاع فعلیه بملاحظة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مضافا إلی ما عرفت سابقا من عدم ذکره الروایة المذکورة فی کتاب النکاح و لا باب نوادر النکاح، و لم یعنون له بابا، و لم یفت بکراهته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فتاواه، و مرّ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w:t>
      </w:r>
      <w:r>
        <w:rPr>
          <w:rStyle w:val="FootnoteAnchor"/>
          <w:rtl w:val="true"/>
        </w:rPr>
        <w:footnoteReference w:id="695"/>
      </w:r>
      <w:r>
        <w:rPr>
          <w:rFonts w:ascii="Amiri" w:hAnsi="Amiri" w:eastAsia="Amiri" w:cs="Amiri"/>
          <w:color w:val="111111"/>
          <w:sz w:val="28"/>
          <w:sz w:val="28"/>
          <w:szCs w:val="28"/>
          <w:rtl w:val="true"/>
          <w:lang w:bidi="ar-SA"/>
        </w:rPr>
        <w:t>، و غیر ذلک مع أنّ عادة المصنّفین أنّهم ربّما یتوجّهون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الفروع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العلّة الّتی من أجلها إذا استیقظ الرجل من نومه لم یجز له أن یدخل یده فی الماء </w:t>
      </w:r>
      <w:r>
        <w:rPr>
          <w:rStyle w:val="FootnoteAnchor"/>
          <w:rtl w:val="true"/>
        </w:rPr>
        <w:footnoteReference w:id="696"/>
      </w:r>
      <w:r>
        <w:rPr>
          <w:rFonts w:ascii="IRNazanin" w:hAnsi="IRNazanin" w:eastAsia="IRNazanin"/>
          <w:color w:val="111111"/>
          <w:sz w:val="28"/>
          <w:sz w:val="28"/>
          <w:szCs w:val="28"/>
          <w:rtl w:val="true"/>
          <w:lang w:bidi="fa-IR"/>
        </w:rPr>
        <w:t xml:space="preserve">، و باب العلّة الّتی من أجلها لا یجوز الکلام علی الخلاء </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یعنون بابا علی حسب ما ذکر، أو یذکر الروایة فی علل الشرائع، أو علل الوضوء و الآذان و الصلاة و أمثالهما من الأبواب،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698"/>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النور الّذی یشبه نور ربّنا</w:t>
      </w:r>
      <w:r>
        <w:rPr>
          <w:rFonts w:eastAsia="IRNazanin" w:cs="IRNazanin"/>
          <w:color w:val="111111"/>
          <w:sz w:val="28"/>
          <w:szCs w:val="28"/>
          <w:rtl w:val="true"/>
          <w:lang w:bidi="fa-IR"/>
        </w:rPr>
        <w:t xml:space="preserve">»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ذکرناه إنّما هو إشارة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تکفیه الإشارة إلی التوجیه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لا یتوجّهون، فلاحظ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بل ما لا یتوجّهون أکثر، ثمَّ أکثر بمراتب شتّی،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و أمّا ما ذکره من أن ظاهر الشیخ العمل بالروایة الضعیفة معلّلا بما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قاله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ففساده بحیث لا یقبل الاستتار، لأنّ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اشتراط العدالة فی قبول خبر الواحد، و أنّ کلّ خبر واحد لیس بحجّة قطعا، و ادّعی إجماع الشیعة علی ذلک </w:t>
      </w:r>
      <w:r>
        <w:rPr>
          <w:rStyle w:val="FootnoteAnchor"/>
          <w:rtl w:val="true"/>
        </w:rPr>
        <w:footnoteReference w:id="700"/>
      </w:r>
      <w:r>
        <w:rPr>
          <w:rFonts w:ascii="IRNazanin" w:hAnsi="IRNazanin" w:eastAsia="IRNazanin"/>
          <w:color w:val="111111"/>
          <w:sz w:val="28"/>
          <w:sz w:val="28"/>
          <w:szCs w:val="28"/>
          <w:rtl w:val="true"/>
          <w:lang w:bidi="fa-IR"/>
        </w:rPr>
        <w:t xml:space="preserve">، کما ادّعاه غیره من فقهائنا، بل نسبوا الخلاف فیه إلی أبی حنیفة، و معلوم ذلک منهم فی کتب الرجال و غیرها </w:t>
      </w:r>
      <w:r>
        <w:rPr>
          <w:rStyle w:val="FootnoteAnchor"/>
          <w:rtl w:val="true"/>
        </w:rPr>
        <w:footnoteReference w:id="701"/>
      </w:r>
      <w:r>
        <w:rPr>
          <w:rFonts w:ascii="IRNazanin" w:hAnsi="IRNazanin" w:eastAsia="IRNazanin"/>
          <w:color w:val="111111"/>
          <w:sz w:val="28"/>
          <w:sz w:val="28"/>
          <w:szCs w:val="28"/>
          <w:rtl w:val="true"/>
          <w:lang w:bidi="fa-IR"/>
        </w:rPr>
        <w:t>، و لذا کتب الشیخ الرجال و ظهر من رجاله أیضا ذلک کرجال غیره، بل تتبّع کتب الرجال یوجب الیقین البتّة و إن کان رجال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و غیره من المجتهدین یعملون بأخبار الموثّقات أیضا، بناء علی کون العدالة المشترطة بالمعنی الأعمّ، و یعملون أیضا بما انجبر بعمل الأصحاب و نحوه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 xml:space="preserve">، فهو مقتض لعدم عمله بها قطعا من جهتین، من جهة وجود المعارض و الراجح من وجوه 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العمومات و الإطلاقات الّتی أشرنا إلیها و الخصوص الّذی عرفته، و العام معارض للخاص، و المطلق للمقیّد عند الشیخ و جمیع الفقهاء بالبدیهة، کیف و نقیض الموجبة الکلّیة السالبة الجزئیّة نقیض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 السالبة الکلّیة و الموجبة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فی أبواب کتابی حدیثه و غیرهما بناؤه </w:t>
      </w:r>
      <w:r>
        <w:rPr>
          <w:rStyle w:val="FootnoteAnchor"/>
          <w:rtl w:val="true"/>
        </w:rPr>
        <w:footnoteReference w:id="703"/>
      </w:r>
      <w:r>
        <w:rPr>
          <w:rFonts w:ascii="IRNazanin" w:hAnsi="IRNazanin" w:eastAsia="IRNazanin"/>
          <w:color w:val="111111"/>
          <w:sz w:val="28"/>
          <w:sz w:val="28"/>
          <w:szCs w:val="28"/>
          <w:rtl w:val="true"/>
          <w:lang w:bidi="fa-IR"/>
        </w:rPr>
        <w:t xml:space="preserve">علی ذلک قطعا، إذ یجعلهما </w:t>
      </w:r>
      <w:r>
        <w:rPr>
          <w:rStyle w:val="FootnoteAnchor"/>
          <w:rtl w:val="true"/>
        </w:rPr>
        <w:footnoteReference w:id="704"/>
      </w:r>
      <w:r>
        <w:rPr>
          <w:rFonts w:ascii="IRNazanin" w:hAnsi="IRNazanin" w:eastAsia="IRNazanin"/>
          <w:color w:val="111111"/>
          <w:sz w:val="28"/>
          <w:sz w:val="28"/>
          <w:szCs w:val="28"/>
          <w:rtl w:val="true"/>
          <w:lang w:bidi="fa-IR"/>
        </w:rPr>
        <w:t xml:space="preserve">متعارضین بلا شبهة، و ربّما یرفع تعارضهما بالتخصیص أو التقیید،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و ربّما یرفعه بغیرهما، و ربّما یطرح أو یحمل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المطلقات و العمومات من الکثرة خارجة عن حدّ الإحصاء، و مع ذلک مطابقة لظاهر القرآن، بل ظواهره، کما عرفت، و ظاهر القرآن عند الشیخ من القطعیّات و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 الموافق له یکون من القطعیّات عنده و إن لم یکن متواترا، فضلا عن المتواتر، و مع ذلک إجماع المسلمین و الشیعة عنده أیضا من القطعیّات کما صرّح به أیضا هناک، و الخبر الموافق له یکون قطعیّا عنده و إن لم یکن متواترا </w:t>
      </w:r>
      <w:r>
        <w:rPr>
          <w:rStyle w:val="FootnoteAnchor"/>
          <w:rtl w:val="true"/>
        </w:rPr>
        <w:footnoteReference w:id="706"/>
      </w:r>
      <w:r>
        <w:rPr>
          <w:rFonts w:ascii="IRNazanin" w:hAnsi="IRNazanin" w:eastAsia="IRNazanin"/>
          <w:color w:val="111111"/>
          <w:sz w:val="28"/>
          <w:sz w:val="28"/>
          <w:szCs w:val="28"/>
          <w:rtl w:val="true"/>
          <w:lang w:bidi="fa-IR"/>
        </w:rPr>
        <w:t>، فما ظنّک بالمتواتر؟ ثمَّ ما ظنّک بالمتواتر المذکور إذا کان موافقا للقرآن أیضا، فضلا عن مواضع متعدّدة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المطلقات و العمومات کثیر منها أخبار العدول و الثقات، و غیر الأعدل لا یقاومه غیر الأعدل، فما ظنّک إذا لم یکن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یکون بر الأعدل قطعیّا، بل قطعیّات متواترة موافقة الإجماع 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لم یذکر الروایة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مع کون عادته ذکر المتعارضین اللذین أحدهما عام أو مطلق و الآخر خاص أو مقیّد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ذکرها، لکن لم یذکرها للفتوی و العمل، و لم یأت بها فی مقابل المطلقات و العمومات الّتی ذکرها و أفتی بها، و لذا لم یعتن بشأنها أصلا فی مقام فتواه بالمکروهات و المستحبّات للنکاح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غیره فتاواه بالبدیهة، مع غایة مسامحته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السنّة و الکراهة، و قد أشرنا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إلی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أعرض کلّ من وافق الشیخ و تابعه عن الروایة المذکورة بالمرّة، مع کمال مسامحتهم فی أدلّة السنن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صرّح المستدلّ بهذه الروایة علی التحریم فی صدر کلامه بما هذا نصّه </w:t>
      </w:r>
      <w:r>
        <w:rPr>
          <w:rStyle w:val="FootnoteAnchor"/>
          <w:rtl w:val="true"/>
        </w:rPr>
        <w:footnoteReference w:id="7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یخفی أنّ هذه المسألة لم یجر لها ذکر فی کلام أحد من علمائنا المتقدّمین و لا المتأخّرین، و لم یتعرّضوا للبحث عنها فی الکتب الفروعیّة،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حکمها فی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الاستدلالیّة، و لم أقف علی قائل بها </w:t>
      </w:r>
      <w:r>
        <w:rPr>
          <w:rStyle w:val="FootnoteAnchor"/>
          <w:rtl w:val="true"/>
        </w:rPr>
        <w:footnoteReference w:id="708"/>
      </w:r>
      <w:r>
        <w:rPr>
          <w:rFonts w:ascii="IRNazanin" w:hAnsi="IRNazanin" w:eastAsia="IRNazanin"/>
          <w:color w:val="111111"/>
          <w:sz w:val="28"/>
          <w:sz w:val="28"/>
          <w:szCs w:val="28"/>
          <w:rtl w:val="true"/>
          <w:lang w:bidi="fa-IR"/>
        </w:rPr>
        <w:t xml:space="preserve">سوی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فإنّه جزم بالتحریم</w:t>
      </w:r>
      <w:r>
        <w:rPr>
          <w:rFonts w:eastAsia="IRNazanin" w:cs="IRNazanin"/>
          <w:color w:val="111111"/>
          <w:sz w:val="28"/>
          <w:szCs w:val="28"/>
          <w:rtl w:val="true"/>
          <w:lang w:bidi="fa-IR"/>
        </w:rPr>
        <w:t xml:space="preserve">.)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 إن حکم بالتحریم، إلّا أنّه لم یحکم بالفساد أیضا کالمستدلّ، و ستعرف غایة وضوح فساده و أنّ الروایة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مستندهما تنادی بصحّة هذا العقد، 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توقّف فی الحرمة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 و مع ذلک لا عبرة بما فعله أصلا کالمستدلّ، لمخالفته للإجماع، و المتواتر، و القرآن، و السنّة، و غیر ذلک، کما عرفت و ستعرف</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جمیع فقهائنا المتقدّمین و المتأخّرین أفتوا بالحلّیة و عدم الحرمة، بل و عدم الکراهة أیضا، و کلماتهم تنادی بذلک، فما قال المستدلّ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یعلم فتوی الأصحاب بخلافه</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فیه ما فیه، بل الشیخ أفتی بخلافه، فما ظنّک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مع أنّ الشیخ صنّف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لنقل الخلافیّات و الأقوال و الآراء، حتّی أنّه ینقل آراء العامّة و غیرهم من أهل الخلاف، فضلا عن الخاصّة، و وضع کتابه و تألیفه لیس إلّا لذلک، و بذل جهده فی ذلک، فهو مع نهایة قرب عهده بالمتقدّمین، بل و کونه منهم و أدرک أعاظمهم، و اطّلع علی کلام من لم یدرکه بالبدیهة، لکمال مهارته، و مع ذلک لم ینقل من أحد قولا بتحریم الجمع المذکور، بل و لا إشکالا و لا شبهة فی عدمه، بل و لا فی عدم کراهته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کلامه ینادی بإباحته، کإباحة الجمع بین النساء ما عدا الأختین، مع أنّه هو الراوی للروایة المذکورة، و تألیفه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کتبه فی الفقه، ثمَّ ألّف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طبق ما اختار و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تألیفاته، فجمیعها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شبهة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قائلا بحرمة الجمع المذکور، فکیف أظهر فی الخلافیّة خلافه، بل أعرض عن ذکره بالمرّة حتّی فی مقام الکراهة، و ترک الأولی، مع أنّه روی ما روی، و رأیه بالمسامحة فیهما بلا خفاء، و وافق فی جمیع ما ذکره باقی الفقهاء، مع أنّه أظهر عن حال الفقهاء بأجمعهم 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قد أکثر من نقل أقوال شاذّة شدیدة الشذوذ خالیة عن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المقامات الّتی لیس الاهتمام بحالها کالاهتمام بحال الفروج، فکیف لم ینقل قولا بالتحریم المذکور، بل و لم یستشکل أصلا، مع أنّه هو الراوی للروایة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یذکر فیها الأقوال الموردة للاستشکال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مع أنّه، علی فرض تسلیم الغلط الواضح من وجوه کثیرة لا تحصی، و أنّه </w:t>
      </w:r>
      <w:r>
        <w:rPr>
          <w:rStyle w:val="FootnoteAnchor"/>
          <w:rtl w:val="true"/>
        </w:rPr>
        <w:footnoteReference w:id="712"/>
      </w:r>
      <w:r>
        <w:rPr>
          <w:rFonts w:ascii="IRNazanin" w:hAnsi="IRNazanin" w:eastAsia="IRNazanin"/>
          <w:color w:val="111111"/>
          <w:sz w:val="28"/>
          <w:sz w:val="28"/>
          <w:szCs w:val="28"/>
          <w:rtl w:val="true"/>
          <w:lang w:bidi="fa-IR"/>
        </w:rPr>
        <w:t xml:space="preserve">فی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قائلا بالحرمة، فلا شکّ فی رجوعه عنه فی جمیع کتبه، بحیث لم یعتن بشأنه أصلا إلی أن ترک ذکره بالمرّة حتّی فی مقام المستحبّات و المکروهات، بل فی مقام احتمال الاستحباب و الکراهة، فلیس ذلک إلّا لکمال ظهور خطئه إلی أن لم یستأهل للإشارة إلیه فی مقام من المقامات، مع کون عادته کمال الاحتیاط فی الفروج، و کمال المسامحة فی المستحبّات و المکروهات، و کمال اعتنائه بشأن أخبار الآحاد، و غیر ذلک، و مع جمیع ذلک صدر منه فی جمیع کتبه ما صدر،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قس علی کتاب الشیخ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أمثالهما من کتب الفقهاء الّتی ذکروا فیها الأقوال و إن کانت شاذّة، بل و خالیة عن المستند بالمرّة، فضلا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مستنده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فبملاحظة مجموع الکتب المذکورة یحصل القطع بعدم قول بالحرمة أصلا و رأسا، فلو کانت الروایة المذکورة قطعیّة الصدور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ادّعاه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 الحال فیها بذلک المنوال؟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غالب الأخبار الضعاف الموهنة بالموهنات الظاهرة لم یصر بهذا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نفهم کثیرا ممّا تقول، لأنّ الحدیث الّذی رواه شیخ منّا </w:t>
      </w:r>
      <w:r>
        <w:rPr>
          <w:rStyle w:val="FootnoteAnchor"/>
          <w:rtl w:val="true"/>
        </w:rPr>
        <w:footnoteReference w:id="713"/>
      </w:r>
      <w:r>
        <w:rPr>
          <w:rFonts w:ascii="IRNazanin" w:hAnsi="IRNazanin" w:eastAsia="IRNazanin"/>
          <w:color w:val="111111"/>
          <w:sz w:val="28"/>
          <w:sz w:val="28"/>
          <w:szCs w:val="28"/>
          <w:rtl w:val="true"/>
          <w:lang w:bidi="fa-IR"/>
        </w:rPr>
        <w:t>یکون مأخوذا من الأصول القطعیّة الصدور عن الأئمّة علیهم السّلام، و ما صدر من الفقهاء المتأخّرین و القدماء لعلّه اجتهاد منهم، فیجوز خطؤهم و إن اتّفقوا کلّ الاتّفاق</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الخطأ علیهم فی حال إجماعهم، و أنّهم أجمعوا علی الخطأ،</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یجوز الخطأ منهم فی مقام نقل الحدیث أیضا، لعدم عصمتهم، فکیف صاروا فی مقام نقل الحدیث المعصومین و فی غیره غیر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ورد فی أخبار کثیرة وقوع الخطأ من الرواة البتّة فی مقام نقلهم الروایة، و أنّ ذلک ربّما صار منشأ للاختلاف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الأخبار فی شأن عمّار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أجمع الشیعة علی قبول روایته </w:t>
      </w:r>
      <w:r>
        <w:rPr>
          <w:rStyle w:val="FootnoteAnchor"/>
          <w:rtl w:val="true"/>
        </w:rPr>
        <w:footnoteReference w:id="7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یذهب؟ ما قلت کذا، بل قلت له کذا</w:t>
      </w:r>
      <w:r>
        <w:rPr>
          <w:rFonts w:eastAsia="IRNazanin" w:cs="IRNazanin"/>
          <w:color w:val="111111"/>
          <w:sz w:val="28"/>
          <w:szCs w:val="28"/>
          <w:rtl w:val="true"/>
          <w:lang w:bidi="fa-IR"/>
        </w:rPr>
        <w:t xml:space="preserve">»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مثل هذا وقع منه الخطأ، فما ظنّک بغیره ممّن لم تعرفه، بل و ممّن قال علماء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کذّاب، و أمثال ذلک، بل و أشدّ من ذلک، مع أنّ الواسطة جماعة، کلّ واحد منهم یجوز علیه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کون الأصول قطعیّة فی زمان الصدوق و الشیخ مقطوع بفساده، لأنّ الشیخ صرّح بخلاف ذلک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و غیره، و ادّعی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المسلمین علی العمل بالأخبار الظنّیة من زمن الرسول صلّی اللّه علیه و آله إلی زمان القائم علیه السّلام </w:t>
      </w:r>
      <w:r>
        <w:rPr>
          <w:rStyle w:val="FootnoteAnchor"/>
          <w:rtl w:val="true"/>
        </w:rPr>
        <w:footnoteReference w:id="717"/>
      </w:r>
      <w:r>
        <w:rPr>
          <w:rFonts w:ascii="IRNazanin" w:hAnsi="IRNazanin" w:eastAsia="IRNazanin"/>
          <w:color w:val="111111"/>
          <w:sz w:val="28"/>
          <w:sz w:val="28"/>
          <w:szCs w:val="28"/>
          <w:rtl w:val="true"/>
          <w:lang w:bidi="fa-IR"/>
        </w:rPr>
        <w:t xml:space="preserve">، و صرّح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الأخبار الّتی یقع فیها التعارض کلّها ظنّیة </w:t>
      </w:r>
      <w:r>
        <w:rPr>
          <w:rStyle w:val="FootnoteAnchor"/>
          <w:rtl w:val="true"/>
        </w:rPr>
        <w:footnoteReference w:id="718"/>
      </w:r>
      <w:r>
        <w:rPr>
          <w:rFonts w:ascii="IRNazanin" w:hAnsi="IRNazanin" w:eastAsia="IRNazanin"/>
          <w:color w:val="111111"/>
          <w:sz w:val="28"/>
          <w:sz w:val="28"/>
          <w:szCs w:val="28"/>
          <w:rtl w:val="true"/>
          <w:lang w:bidi="fa-IR"/>
        </w:rPr>
        <w:t>، و عرفت معنی التعارض عنده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الصدوق، فقد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تصحیح حدیث بمجرّد أنّ شیخه ابن الولید صحّحه </w:t>
      </w:r>
      <w:r>
        <w:rPr>
          <w:rStyle w:val="FootnoteAnchor"/>
          <w:rtl w:val="true"/>
        </w:rPr>
        <w:footnoteReference w:id="719"/>
      </w:r>
      <w:r>
        <w:rPr>
          <w:rFonts w:ascii="IRNazanin" w:hAnsi="IRNazanin" w:eastAsia="IRNazanin"/>
          <w:color w:val="111111"/>
          <w:sz w:val="28"/>
          <w:sz w:val="28"/>
          <w:szCs w:val="28"/>
          <w:rtl w:val="true"/>
          <w:lang w:bidi="fa-IR"/>
        </w:rPr>
        <w:t>، و هذا ینادی أنّ الأصول لم تکن قطعیّة عنده، و لذا احتاج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إلی تصحیح شیخه، و أنّ الأحادیث الّتی یرویها غیر منحصرة فی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نقله حدیثا عن المسمعی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شیخنا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الرأی فیه، و إنّما أخرجت هذا الخبر لأنّه کان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قرأته علیه، فلم ینکره و رواه لی</w:t>
      </w:r>
      <w:r>
        <w:rPr>
          <w:rFonts w:eastAsia="IRNazanin" w:cs="IRNazanin"/>
          <w:color w:val="111111"/>
          <w:sz w:val="28"/>
          <w:szCs w:val="28"/>
          <w:rtl w:val="true"/>
          <w:lang w:bidi="fa-IR"/>
        </w:rPr>
        <w:t xml:space="preserve">) </w:t>
      </w:r>
      <w:r>
        <w:rPr>
          <w:rStyle w:val="FootnoteAnchor"/>
          <w:rtl w:val="true"/>
        </w:rPr>
        <w:footnoteReference w:id="720"/>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ربّما یصرّح بأنه لم یجد فی شی‌ء من الأصول، و أنّه تفرّد بروایته فلان </w:t>
      </w:r>
      <w:r>
        <w:rPr>
          <w:rStyle w:val="FootnoteAnchor"/>
          <w:rtl w:val="true"/>
        </w:rPr>
        <w:footnoteReference w:id="721"/>
      </w:r>
      <w:r>
        <w:rPr>
          <w:rFonts w:ascii="IRNazanin" w:hAnsi="IRNazanin" w:eastAsia="IRNazanin"/>
          <w:color w:val="111111"/>
          <w:sz w:val="28"/>
          <w:sz w:val="28"/>
          <w:szCs w:val="28"/>
          <w:rtl w:val="true"/>
          <w:lang w:bidi="fa-IR"/>
        </w:rPr>
        <w:t xml:space="preserve">، و مع ذلک یعمل به، لإیراده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قال فی أوّله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هذا الحدیث، لأنّ رواته مجهولین، و غرضه الإرسال و الانقطاع، و مع ذلک یجوّز العمل به من جهة تضمنه الرخصة، و أنّ الرخصة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 کما فعل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الصلاة إلی الصورة </w:t>
      </w:r>
      <w:r>
        <w:rPr>
          <w:rStyle w:val="FootnoteAnchor"/>
          <w:rtl w:val="true"/>
        </w:rPr>
        <w:footnoteReference w:id="723"/>
      </w:r>
      <w:r>
        <w:rPr>
          <w:rFonts w:ascii="IRNazanin" w:hAnsi="IRNazanin" w:eastAsia="IRNazanin"/>
          <w:color w:val="111111"/>
          <w:sz w:val="28"/>
          <w:sz w:val="28"/>
          <w:szCs w:val="28"/>
          <w:rtl w:val="true"/>
          <w:lang w:bidi="fa-IR"/>
        </w:rPr>
        <w:t>،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غیر ذلک ممّا دلّ علی أنّ أحادیثه عنده لم تکن منحصرة فی الأصول القطعیّة، قد ذکرناها فی رسالتنا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 الأخبار</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لو کان کلّ ما یروی منهم </w:t>
      </w:r>
      <w:r>
        <w:rPr>
          <w:rStyle w:val="FootnoteAnchor"/>
          <w:rtl w:val="true"/>
        </w:rPr>
        <w:footnoteReference w:id="725"/>
      </w:r>
      <w:r>
        <w:rPr>
          <w:rFonts w:ascii="IRNazanin" w:hAnsi="IRNazanin" w:eastAsia="IRNazanin"/>
          <w:color w:val="111111"/>
          <w:sz w:val="28"/>
          <w:sz w:val="28"/>
          <w:szCs w:val="28"/>
          <w:rtl w:val="true"/>
          <w:lang w:bidi="fa-IR"/>
        </w:rPr>
        <w:t>یکون من الأصول القطعیّة، فلم لم یرو کلّ منهم جمیع ما رواه الآخرون، و لم لم یرض بما رواه الآخرون، بل ربّما یطعن علیه بأنّه لیس من المعصوم علیه السّلام و أمثال هذه العبارة، و لم یکتف کلّ منهم بما اکتفی به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و بالجملة، لا شبهة فی فساد ما ذکره من الانحصار فی الروایة عن القطعیة، من أراد الاطلاع فعلیه بملاحظة تلک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لا نحتاج إلی منع ما ذکرته </w:t>
      </w:r>
      <w:r>
        <w:rPr>
          <w:rStyle w:val="FootnoteAnchor"/>
          <w:rtl w:val="true"/>
        </w:rPr>
        <w:footnoteReference w:id="726"/>
      </w:r>
      <w:r>
        <w:rPr>
          <w:rFonts w:ascii="IRNazanin" w:hAnsi="IRNazanin" w:eastAsia="IRNazanin"/>
          <w:color w:val="111111"/>
          <w:sz w:val="28"/>
          <w:sz w:val="28"/>
          <w:szCs w:val="28"/>
          <w:rtl w:val="true"/>
          <w:lang w:bidi="fa-IR"/>
        </w:rPr>
        <w:t xml:space="preserve">، بل نسلّمه و نجعل ذلک بعینه حجّة علیک، یضرّک بمراتب شتّی، لانبّه الفطن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منحصرا فی خصوص روایتک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الّتی رواها مشایخنا رحمه اللّه فی منع الأئمّة علیهم السّلام عن العمل بمثل الحدیث الّذی جعلته حجّة کلّ واحد واحد منها حدیث رووه، فإنّهم رووا فی أخبار لا تحصی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حدیث رووه منّا، و لم یکن له شاهد من کتاب اللّه فاضربوه علی الحائط</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تعملوا به</w:t>
      </w:r>
      <w:r>
        <w:rPr>
          <w:rFonts w:eastAsia="IRNazanin" w:cs="IRNazanin"/>
          <w:color w:val="111111"/>
          <w:sz w:val="28"/>
          <w:szCs w:val="28"/>
          <w:rtl w:val="true"/>
          <w:lang w:bidi="fa-IR"/>
        </w:rPr>
        <w:t xml:space="preserve">»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ورد، و هی من الکثرة بحیث لا تفی له هذه الرسالة، لکن نذکر واحدا منها هنا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الکشّی فی کتابه فی ترجمة المغیرة بن سعید حدیثا طریقه الثقات، عن یونس بن عبد الرحمن الثقة الجلیل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بعض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و أنا حاضر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أشدّک فی الحدیث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إنکارک لما یرویه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الّذی حملک </w:t>
      </w:r>
      <w:r>
        <w:rPr>
          <w:rStyle w:val="FootnoteAnchor"/>
          <w:rtl w:val="true"/>
        </w:rPr>
        <w:footnoteReference w:id="730"/>
      </w:r>
      <w:r>
        <w:rPr>
          <w:rFonts w:ascii="IRNazanin" w:hAnsi="IRNazanin" w:eastAsia="IRNazanin"/>
          <w:color w:val="111111"/>
          <w:sz w:val="28"/>
          <w:sz w:val="28"/>
          <w:szCs w:val="28"/>
          <w:rtl w:val="true"/>
          <w:lang w:bidi="fa-IR"/>
        </w:rPr>
        <w:t>علی ردّ الأحادیث؟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هشام بن الحکم أنّه سمع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تقبلوا علینا حدیثا إلّا ما وافق القرآن و السنّة، أو تجدون معه شاهدا من أحادیثنا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لا تقبلوا علینا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خالف قول ربّنا و سنّة نبیّنا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فإنّا إذا حدّثنا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وافیت العراق فوجدت بها قطعة من أصحاب الباقر علیه السّلام، و وجدت أصحاب الصادق علیه السّلام </w:t>
      </w:r>
      <w:r>
        <w:rPr>
          <w:rStyle w:val="FootnoteAnchor"/>
          <w:rtl w:val="true"/>
        </w:rPr>
        <w:footnoteReference w:id="731"/>
      </w:r>
      <w:r>
        <w:rPr>
          <w:rFonts w:ascii="IRNazanin" w:hAnsi="IRNazanin" w:eastAsia="IRNazanin"/>
          <w:color w:val="111111"/>
          <w:sz w:val="28"/>
          <w:sz w:val="28"/>
          <w:szCs w:val="28"/>
          <w:rtl w:val="true"/>
          <w:lang w:bidi="fa-IR"/>
        </w:rPr>
        <w:t xml:space="preserve">متوافرین، فسمعت منهم و أخذت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فعرضت </w:t>
      </w:r>
      <w:r>
        <w:rPr>
          <w:rStyle w:val="FootnoteAnchor"/>
          <w:rtl w:val="true"/>
        </w:rPr>
        <w:footnoteReference w:id="732"/>
      </w:r>
      <w:r>
        <w:rPr>
          <w:rFonts w:ascii="IRNazanin" w:hAnsi="IRNazanin" w:eastAsia="IRNazanin"/>
          <w:color w:val="111111"/>
          <w:sz w:val="28"/>
          <w:sz w:val="28"/>
          <w:szCs w:val="28"/>
          <w:rtl w:val="true"/>
          <w:lang w:bidi="fa-IR"/>
        </w:rPr>
        <w:t xml:space="preserve">من 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فأنکر منها أحادیث کثیرة أن تکون من أحادیث الصادق علیه السّلام </w:t>
      </w:r>
      <w:r>
        <w:rPr>
          <w:rStyle w:val="FootnoteAnchor"/>
          <w:rtl w:val="true"/>
        </w:rPr>
        <w:footnoteReference w:id="733"/>
      </w:r>
      <w:r>
        <w:rPr>
          <w:rFonts w:ascii="IRNazanin" w:hAnsi="IRNazanin" w:eastAsia="IRNazanin"/>
          <w:color w:val="111111"/>
          <w:sz w:val="28"/>
          <w:sz w:val="28"/>
          <w:szCs w:val="28"/>
          <w:rtl w:val="true"/>
          <w:lang w:bidi="fa-IR"/>
        </w:rPr>
        <w:t xml:space="preserve">،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الخطّاب قد کذب علی الصادق علیه السّلام </w:t>
      </w:r>
      <w:r>
        <w:rPr>
          <w:rStyle w:val="FootnoteAnchor"/>
          <w:rtl w:val="true"/>
        </w:rPr>
        <w:footnoteReference w:id="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أبا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کذلک أصحاب أبی الخطّاب یدسّون هذه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أصحاب الصادق علیه السّلام </w:t>
      </w:r>
      <w:r>
        <w:rPr>
          <w:rStyle w:val="FootnoteAnchor"/>
          <w:rtl w:val="true"/>
        </w:rPr>
        <w:footnoteReference w:id="735"/>
      </w:r>
      <w:r>
        <w:rPr>
          <w:rFonts w:ascii="IRNazanin" w:hAnsi="IRNazanin" w:eastAsia="IRNazanin"/>
          <w:color w:val="111111"/>
          <w:sz w:val="28"/>
          <w:sz w:val="28"/>
          <w:szCs w:val="28"/>
          <w:rtl w:val="true"/>
          <w:lang w:bidi="fa-IR"/>
        </w:rPr>
        <w:t>، فلا تقبلوا علینا خلاف القرآن، فإنّا إن تحدّثنا حدّثنا بموافقة القرآن و موافقة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من الحدیث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فردّوه علیه </w:t>
      </w:r>
      <w:r>
        <w:rPr>
          <w:rStyle w:val="FootnoteAnchor"/>
          <w:rtl w:val="true"/>
        </w:rPr>
        <w:footnoteReference w:id="736"/>
      </w:r>
      <w:r>
        <w:rPr>
          <w:rFonts w:ascii="IRNazanin" w:hAnsi="IRNazanin" w:eastAsia="IRNazanin"/>
          <w:color w:val="111111"/>
          <w:sz w:val="28"/>
          <w:sz w:val="28"/>
          <w:szCs w:val="28"/>
          <w:rtl w:val="true"/>
          <w:lang w:bidi="fa-IR"/>
        </w:rPr>
        <w:t>، و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و ما جئت به، فإنّ مع کلّ قول منّا حقیقة، و علیه نورا، فما لا حقیقة معه و لا نور علیه فذلک قول الشیطان</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الأخذ بالسنّة و شواهد الکتاب، روی فی الصحیح عن أیّوب بن الحرّ،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مردود إلی الکتاب و السنّة، و کلّ حدیث لا یوافق کتاب اللّه، فهو زخرف</w:t>
      </w:r>
      <w:r>
        <w:rPr>
          <w:rFonts w:eastAsia="IRNazanin" w:cs="IRNazanin"/>
          <w:color w:val="111111"/>
          <w:sz w:val="28"/>
          <w:szCs w:val="28"/>
          <w:rtl w:val="true"/>
          <w:lang w:bidi="fa-IR"/>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کالصحیح عن ابن أبی یعفور أنّه سأل الصادق علیه السّلام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اختلاف الحدیث یرویه من نثق به و من لا نثق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علیکم حدیث فوجدتم له شاهدا من کتاب اللّه و من قول رسوله صلّی اللّه علیه و آله </w:t>
      </w:r>
      <w:r>
        <w:rPr>
          <w:rStyle w:val="FootnoteAnchor"/>
          <w:rtl w:val="true"/>
        </w:rPr>
        <w:footnoteReference w:id="740"/>
      </w:r>
      <w:r>
        <w:rPr>
          <w:rFonts w:ascii="IRNazanin" w:hAnsi="IRNazanin" w:eastAsia="IRNazanin"/>
          <w:color w:val="111111"/>
          <w:sz w:val="28"/>
          <w:sz w:val="28"/>
          <w:szCs w:val="28"/>
          <w:rtl w:val="true"/>
          <w:lang w:bidi="fa-IR"/>
        </w:rPr>
        <w:t>، و إلّا فالّذی جاءکم به أولی به</w:t>
      </w:r>
      <w:r>
        <w:rPr>
          <w:rFonts w:eastAsia="IRNazanin" w:cs="IRNazanin"/>
          <w:color w:val="111111"/>
          <w:sz w:val="28"/>
          <w:szCs w:val="28"/>
          <w:rtl w:val="true"/>
          <w:lang w:bidi="fa-IR"/>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ممّا ورد فی منع العمل بحدیث یخالف کتاب اللّه، و کذا الحال فیما ورد فیما خالف السنّة، و کذلک الحال فیما ورد فی الحدیث الّذی لم یکن له شاهد من سائر أحادیث الأئمة علیهم السّلام، فإنّها فی غایة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یتّفقون علی تخصیص الکتاب بخبر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علی ذلک، فلیکن فیما نحن فیه من جملة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الفقهاء لا عبرة به عندک أصلا، و لا یجوز بسببه رفع الید عن الحدیث مطلقا، فضلا عن الأحادیث الّتی لا تحصی، لجواز إجماعهم علی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ظاهر أنّ اتّفاقهم علی انحصار ما یحرم عقدها من النساء و ما لا یجوز جمعها فی النکاح منهنّ فیما ذکروه أشدّ و أزید و آکد، و أنت أعسر </w:t>
      </w:r>
      <w:r>
        <w:rPr>
          <w:rStyle w:val="FootnoteAnchor"/>
          <w:rtl w:val="true"/>
        </w:rPr>
        <w:footnoteReference w:id="742"/>
      </w:r>
      <w:r>
        <w:rPr>
          <w:rFonts w:ascii="IRNazanin" w:hAnsi="IRNazanin" w:eastAsia="IRNazanin"/>
          <w:color w:val="111111"/>
          <w:sz w:val="28"/>
          <w:sz w:val="28"/>
          <w:szCs w:val="28"/>
          <w:rtl w:val="true"/>
          <w:lang w:bidi="fa-IR"/>
        </w:rPr>
        <w:t>أصلا و رأسا، و نسبتهم إلی الاتّفاق علی الخطأ و أنّه لیس بحجّة بالنسبة إلی روایة غیر صحیحة شاذّة، غیر واضحة الدلالة، بل واضحة الدلالة علی صحّة الجمع المذکور، و صحّة العقد بلا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مستجمعة لمفاسد أخر، کما ستعرف</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أین هذه الروایة بالنسبة إلی الصحاح، و المعتبرة الّتی لا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بأنّ الحدیث کلّما یکون راویه شیخ من شیوخنا یکون حجّة من الأصول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و أین دلالة هذه الروایة من دلالات الصحاح و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شیخ من الشیوخ بالنسبة إلی جلّ مشایخنا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جمیع ذلک، ما ذکرت من اتّفاقهم علی تخصیص القرآن بخبر الواحد کذب محض، و فریة بلا مریة، کیف و کلماتهم فی کتبهم الأصولیّة و غیرها تنادی بفساد ذلک، و أنّ جمعا منهم لا یرضون بذلک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w:t>
      </w:r>
      <w:r>
        <w:rPr>
          <w:rStyle w:val="FootnoteAnchor"/>
          <w:rtl w:val="true"/>
        </w:rPr>
        <w:footnoteReference w:id="743"/>
      </w:r>
      <w:r>
        <w:rPr>
          <w:rFonts w:ascii="IRNazanin" w:hAnsi="IRNazanin" w:eastAsia="IRNazanin"/>
          <w:color w:val="111111"/>
          <w:sz w:val="28"/>
          <w:sz w:val="28"/>
          <w:szCs w:val="28"/>
          <w:rtl w:val="true"/>
          <w:lang w:bidi="fa-IR"/>
        </w:rPr>
        <w:t xml:space="preserve">، و یستدلّون علی ذلک، و یصرّح بعضهم بأنّ خبر الواحد إنّما یکون حجّة فی موضع لم یکن له دلیل </w:t>
      </w:r>
      <w:r>
        <w:rPr>
          <w:rStyle w:val="FootnoteAnchor"/>
          <w:rtl w:val="true"/>
        </w:rPr>
        <w:footnoteReference w:id="744"/>
      </w:r>
      <w:r>
        <w:rPr>
          <w:rFonts w:ascii="IRNazanin" w:hAnsi="IRNazanin" w:eastAsia="IRNazanin"/>
          <w:color w:val="111111"/>
          <w:sz w:val="28"/>
          <w:sz w:val="28"/>
          <w:szCs w:val="28"/>
          <w:rtl w:val="true"/>
          <w:lang w:bidi="fa-IR"/>
        </w:rPr>
        <w:t>، و مع وجود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أقوی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حجّة، سیّما و أن یعارض القرآن و یغلب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حجّیة خبر الواحد خلاف الأصل، و خلاف مقتضی الآیات و الأخبار المتواترة الدالّة علی عدم حجّیة ما یحتمل الخطأ، و ما لیس بیقین،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حجّیته عند هؤلاء لا تتمّ إلّا فی موضع یحتاج إلی معرفة حکمه من دلیل و لم یکن دلیل 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 خبر من یجوز علیه الخطأ عمّن یجوز علیه الخطأ عمّن یجوز علیه الخطأ، و هکذا إلی أن یصل إلی المعصوم علیه السّلام، إنّ اللّه تعالی قال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أقلّ ما یکون فی الخبر، و إلّا فاحتمال الکذب و غیر ذلک موجود فیه بلا شکّ و لا شبهة، بل ظهر ذلک من الأخبار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السابق </w:t>
      </w:r>
      <w:r>
        <w:rPr>
          <w:rStyle w:val="FootnoteAnchor"/>
          <w:rtl w:val="true"/>
        </w:rPr>
        <w:footnoteReference w:id="745"/>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أین هذا من قول اللّه الیقینی و القطعی الصادر منه تعالی بلا شکّ و 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فکیف یعارض خبر الواحد کتاب اللّه، سیّما بعد ملاحظة أخبار آحاد کثیرة لا تحصی أنّ ما خالف کتاب اللّه یجب ترک العمل به </w:t>
      </w:r>
      <w:r>
        <w:rPr>
          <w:rStyle w:val="FootnoteAnchor"/>
          <w:rtl w:val="true"/>
        </w:rPr>
        <w:footnoteReference w:id="746"/>
      </w:r>
      <w:r>
        <w:rPr>
          <w:rFonts w:ascii="IRNazanin" w:hAnsi="IRNazanin" w:eastAsia="IRNazanin"/>
          <w:color w:val="111111"/>
          <w:sz w:val="28"/>
          <w:sz w:val="28"/>
          <w:szCs w:val="28"/>
          <w:rtl w:val="true"/>
          <w:lang w:bidi="fa-IR"/>
        </w:rPr>
        <w:t>، و غیر ذلک ممّا عرفت من التأکیدات فی منع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القائلون بجواز التخصیص، فلا یرضون بتخصیصه بما ذکرت من الروایة قطعا، کما هو صریح کلماتهم، لادّعائهم الإجماع علی اشتراط العدالة فی قبول خبر الواحد فی نفسه </w:t>
      </w:r>
      <w:r>
        <w:rPr>
          <w:rStyle w:val="FootnoteAnchor"/>
          <w:rtl w:val="true"/>
        </w:rPr>
        <w:footnoteReference w:id="747"/>
      </w:r>
      <w:r>
        <w:rPr>
          <w:rFonts w:ascii="IRNazanin" w:hAnsi="IRNazanin" w:eastAsia="IRNazanin"/>
          <w:color w:val="111111"/>
          <w:sz w:val="28"/>
          <w:sz w:val="28"/>
          <w:szCs w:val="28"/>
          <w:rtl w:val="true"/>
          <w:lang w:bidi="fa-IR"/>
        </w:rPr>
        <w:t xml:space="preserve">، فضلا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یعارض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یغلب علیه، و صرحوا أیضا بأنّ الشک فی الشرط یوجب الشک فی المشروط، فلا بدّ عندهم من ثبوت عدالة کلّ واحد واحد من رواته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الخبر الشاذ لا یکون عندهم حجّة أصلا، فضلا عن أن یغلب علی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روایتک شاذّة بلا شبهة، و اعترفت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جمیع ذلک، صرّحوا بوجوب کون الخبر الواحد قطعیّ الدلالة، حتّی یصحّ تخصیص الکتاب به </w:t>
      </w:r>
      <w:r>
        <w:rPr>
          <w:rStyle w:val="FootnoteAnchor"/>
          <w:rtl w:val="true"/>
        </w:rPr>
        <w:footnoteReference w:id="748"/>
      </w:r>
      <w:r>
        <w:rPr>
          <w:rFonts w:ascii="IRNazanin" w:hAnsi="IRNazanin" w:eastAsia="IRNazanin"/>
          <w:color w:val="111111"/>
          <w:sz w:val="28"/>
          <w:sz w:val="28"/>
          <w:szCs w:val="28"/>
          <w:rtl w:val="true"/>
          <w:lang w:bidi="fa-IR"/>
        </w:rPr>
        <w:t>، حتّی یحصل التعادل و التقاوم بینه و بین الکتاب، لأنّه قطعیّ المتن ظنّی الدلالة من جهة عمومه، و الخبر و إن کان ظنّی المتن إلّا أنّه قطعیّ الدلالة، و من المعلوم أنّ هذا العذر خطأ، لأن الأصل إذا کان غیر یقینی کونه من اللّه، فالدلالة أیّ نفع فیها؟ و أنّ الخبر یخلف فی الدلالة، و الأصل إذا کان یقینا من اللّه، فالظنّ یکفی فی الدلالة، لأنّ إرادة خلاف الظاهر قبیح علی اللّه تعالی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عذرهم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الإجماع الّذی ادّعوه علی کون خبر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الواحد حجّة فی نفسه، إن تمَّ بالنسبة إلی ما یعارض الکتاب، لما عرفت من منع جمع حجّیته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لمّا کان الکتاب اقتضی حجّیة خبر العادل، لقوله تعالی إِنْ جٰاءَکُمْ فٰاسِقٌ بِنَبَإٍ </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بالتقریب الّذی ذکروا، لا جرم یکون تخصیص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بالکتاب، مضافا إلی دلائل أخر علی حجّیة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ما یمکن أن یعتذر لهم، و مع ذلک لا یتمّ الاعتذار بملاحظة الأخبار المتواترة الصریحة الدلالة واضحتها </w:t>
      </w:r>
      <w:r>
        <w:rPr>
          <w:rStyle w:val="FootnoteAnchor"/>
          <w:rtl w:val="true"/>
        </w:rPr>
        <w:footnoteReference w:id="750"/>
      </w:r>
      <w:r>
        <w:rPr>
          <w:rFonts w:ascii="IRNazanin" w:hAnsi="IRNazanin" w:eastAsia="IRNazanin"/>
          <w:color w:val="111111"/>
          <w:sz w:val="28"/>
          <w:sz w:val="28"/>
          <w:szCs w:val="28"/>
          <w:rtl w:val="true"/>
          <w:lang w:bidi="fa-IR"/>
        </w:rPr>
        <w:t xml:space="preserve">فی أنّ ما خالف کتاب اللّه یجب ترک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إن تمَّ، فإنّما هو فی خبر العدول الثابتة العدالة، و کذلک فیما هو دلالته قطعیّة و أقوی من دلالة الکتاب البتّة، بل و بمراتب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 هذا من سند روایتک؟ و من دلالتها أیضا؟ لکونها ضعیفة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السند، فقد عرفت، لأنّ العدالة شرط عندهم جزما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الدلالة، فستعرف یا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اتّفاق جمیعهم علی عدم حرمة الجمع بین علویّتین کان براهین قاطعة، و أنوار ساطعة، کما عرفت و ستعرف أیضا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نفقه کثیرا ممّا تقول، و نسبتهم إلی الإجماع علی الخطأ </w:t>
      </w:r>
      <w:r>
        <w:rPr>
          <w:rStyle w:val="FootnoteAnchor"/>
          <w:rtl w:val="true"/>
        </w:rPr>
        <w:footnoteReference w:id="751"/>
      </w:r>
      <w:r>
        <w:rPr>
          <w:rFonts w:ascii="IRNazanin" w:hAnsi="IRNazanin" w:eastAsia="IRNazanin"/>
          <w:color w:val="111111"/>
          <w:sz w:val="28"/>
          <w:sz w:val="28"/>
          <w:szCs w:val="28"/>
          <w:rtl w:val="true"/>
          <w:lang w:bidi="fa-IR"/>
        </w:rPr>
        <w:t>، فکیف جعلت اتّفاق جمع منهم منشأ لردّ کلمات الرسول صلّی اللّه علیه و آله و الأئمّة علیهم السّلام فی الأخبار المتواترة الّتی کثیر منها صحیح، و کثیر منها فی غایة الاعتبار، أشدّ اعتبارا من روایتکم بمراتب شتّی، کما عرفت و ستعرف، و مع ذلک ظهر حال هذا الاتّفاق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علی حجّیة الأخبار المخالفة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اللّه تعالی کلامه، بل کلماته الّتی هی فی غایة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 علی رسول اللّه صلّی اللّه علیه و آله أیضا ما قاله فی خطبته بمنی،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ما جاءکم عنّی یوافق کتاب اللّه، فأنا قلته، و ما جاءکم یخالف کتاب اللّه، فلم أقله</w:t>
      </w:r>
      <w:r>
        <w:rPr>
          <w:rFonts w:eastAsia="IRNazanin" w:cs="IRNazanin"/>
          <w:color w:val="111111"/>
          <w:sz w:val="28"/>
          <w:szCs w:val="28"/>
          <w:rtl w:val="true"/>
          <w:lang w:bidi="fa-IR"/>
        </w:rPr>
        <w:t xml:space="preserve">» </w:t>
      </w:r>
      <w:r>
        <w:rPr>
          <w:rStyle w:val="FootnoteAnchor"/>
          <w:rtl w:val="true"/>
        </w:rPr>
        <w:footnoteReference w:id="752"/>
      </w:r>
      <w:r>
        <w:rPr>
          <w:rFonts w:ascii="Amiri" w:hAnsi="Amiri" w:eastAsia="Amiri" w:cs="Amiri"/>
          <w:color w:val="111111"/>
          <w:sz w:val="28"/>
          <w:sz w:val="28"/>
          <w:szCs w:val="28"/>
          <w:rtl w:val="true"/>
          <w:lang w:bidi="ar-SA"/>
        </w:rPr>
        <w:t>، و الخطبة مشهورة معروفة عند الکلّ؟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 أیضا علی الأئمّة علیهم السّلام کلماتهم فی أخبار لا تحصی، عرفت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تعتذر فی ردّک علی اللّه و علیهم أنّ المدار علی حجّیة الأخبار المخالفة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یخاف أن یکون یعصی اللّه و رسوله و الأئمة علیهم السّلام و بمجرّد العذر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أنّ من یعص اللّه و رسوله صلّی اللّه علیه و آله فإنّ له نار جهنّم، فضلا أن یعصی الأئمّة علیهم السّلام، و قد ورد فی عصیانهم ما ورد، بل ورد فی عصیان اللّه و المعصومین أشدّ ممّا ذکر و أشدّ، و یجعل هذا العصیان للکلّ حکم اللّه تعالی؟ مع علمک بأنّ مَنْ لَمْ یَحْکُمْ بِمٰا أَنْزَلَ اللّٰهُ فَأُولٰئِکَ هُمُ الْکٰافِرُونَ </w:t>
      </w:r>
      <w:r>
        <w:rPr>
          <w:rStyle w:val="FootnoteAnchor"/>
          <w:rtl w:val="true"/>
        </w:rPr>
        <w:footnoteReference w:id="753"/>
      </w:r>
      <w:r>
        <w:rPr>
          <w:rFonts w:ascii="Amiri" w:hAnsi="Amiri" w:eastAsia="Amiri" w:cs="Amiri"/>
          <w:color w:val="111111"/>
          <w:sz w:val="28"/>
          <w:sz w:val="28"/>
          <w:szCs w:val="28"/>
          <w:rtl w:val="true"/>
          <w:lang w:bidi="ar-SA"/>
        </w:rPr>
        <w:t xml:space="preserve">و هُمُ الظّٰالِمُونَ </w:t>
      </w:r>
      <w:r>
        <w:rPr>
          <w:rStyle w:val="FootnoteAnchor"/>
          <w:rtl w:val="true"/>
        </w:rPr>
        <w:footnoteReference w:id="754"/>
      </w:r>
      <w:r>
        <w:rPr>
          <w:rFonts w:ascii="Amiri" w:hAnsi="Amiri" w:eastAsia="Amiri" w:cs="Amiri"/>
          <w:color w:val="111111"/>
          <w:sz w:val="28"/>
          <w:sz w:val="28"/>
          <w:szCs w:val="28"/>
          <w:rtl w:val="true"/>
          <w:lang w:bidi="ar-SA"/>
        </w:rPr>
        <w:t xml:space="preserve">و هُمُ الْفٰاسِقُونَ </w:t>
      </w:r>
      <w:r>
        <w:rPr>
          <w:rStyle w:val="FootnoteAnchor"/>
          <w:rtl w:val="true"/>
        </w:rPr>
        <w:footnoteReference w:id="755"/>
      </w:r>
      <w:r>
        <w:rPr>
          <w:rFonts w:ascii="Amiri" w:hAnsi="Amiri" w:eastAsia="Amiri" w:cs="Amiri"/>
          <w:color w:val="111111"/>
          <w:sz w:val="28"/>
          <w:sz w:val="28"/>
          <w:szCs w:val="28"/>
          <w:rtl w:val="true"/>
          <w:lang w:bidi="ar-SA"/>
        </w:rPr>
        <w:t xml:space="preserve">أیضا، آللّٰهُ أَذِنَ لَکُمْ أَمْ عَلَی اللّٰهِ تَفْتَرُونَ </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التخویفات الهائلة و التفریعات البالغة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الأخبار أشدّ من ذلک، ثمَّ أشدّ، و منها ما ورد عن علیّ علیه السّلام فی ذمّ فقهاء السوء من المطاعن الشدیدة، و من جملتها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یستحلّ بقضائه الفرج الحرام،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 یحرّم بقضائه الفرج الحلال</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أخی، أما تخاف أن تکون ممّن یحرّم بقضائه الفرج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تحتاط عن ذلک و عن معاصی اللّه و رسوله صلّی اللّه علیه و آله و الأئمّة علیهم السّلام و تجعل معاصیهم حکما شرعیّا داخلا فی دین الرسول صلّی اللّه علیه و آله، مع التحذیرات و التوبیخات و التخویفات و التهدیدات الّتی لا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ترتکب کلّ ذلک بمجرّد عذر کون المدار علی حجّیة ما یخالف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تقول مدار من، و فی أیّ موضع؟ إذ فی موضع الإجماعی هم أمروا و رخّصوا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بالمجمع علیه، فإنّ المجمع علیه لا ریب فیه</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 xml:space="preserve">، و غیر ذلک من الأدلّة الیقینیّة علی حجّیة إجماعهم، و قد حقّقه المحقّقون فی مظانّه، و حقّقنا فی رسالتنا فیه </w:t>
      </w:r>
      <w:r>
        <w:rPr>
          <w:rStyle w:val="FootnoteAnchor"/>
          <w:rtl w:val="true"/>
        </w:rPr>
        <w:footnoteReference w:id="759"/>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و غیرهما، بحیث لا یبقی شبهة و لا سترة و لا 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یظهر حلّیة الجمع بین الفاطمیّتین بلا ریبة، فکما یکون الإجماع عذرا بالنسبة إلی ما یخالف کلام اللّه و کلام رسوله صلّی اللّه علیه و آله و الأئمّة علیهم السّلام فی الأخبار المتواترة، کذلک یصیر عذرا بالنسبة إلی الروایة الضعیفة الواحدة الشاذّة المخالفة للإجماع و الآیات و الأخبار المتواترة، و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و غیره، و غیر ذلک ممّا مرّ و سیجی‌ء</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المدار أیضا علی ردّ الأخبار الشاذّة، و الأخبار المخالفة للأخبار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المتواترة و القرآن و اتّفاق الفقهاء، و غیر ذلک بالبدیهة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علی حجّیة الأخبار المخالفة للقرآن فی المواضع الخلافیّة، فأیّ حجّیة فی المدار المذکور حتّی یخالف اللّه و رسوله صلّی اللّه علیه و آله و الأئمّة علیهم السّلام فی الآیات الکثیرة و الأخبار المتواترة بمجرّد ذلک، و بجعله حکما شرعیّا ننسبه إلی اللّه تعالی، مع کونه خلاف قوله تعالی و قول حججه علی سبیل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الشیعة منهم من لا یعمل بالخبر الواحد مطلقا </w:t>
      </w:r>
      <w:r>
        <w:rPr>
          <w:rStyle w:val="FootnoteAnchor"/>
          <w:rtl w:val="true"/>
        </w:rPr>
        <w:footnoteReference w:id="762"/>
      </w:r>
      <w:r>
        <w:rPr>
          <w:rFonts w:ascii="IRNazanin" w:hAnsi="IRNazanin" w:eastAsia="IRNazanin"/>
          <w:color w:val="111111"/>
          <w:sz w:val="28"/>
          <w:sz w:val="28"/>
          <w:szCs w:val="28"/>
          <w:rtl w:val="true"/>
          <w:lang w:bidi="fa-IR"/>
        </w:rPr>
        <w:t xml:space="preserve">، و منهم من لا یعمل به إذا خالف القرآن </w:t>
      </w:r>
      <w:r>
        <w:rPr>
          <w:rStyle w:val="FootnoteAnchor"/>
          <w:rtl w:val="true"/>
        </w:rPr>
        <w:footnoteReference w:id="763"/>
      </w:r>
      <w:r>
        <w:rPr>
          <w:rFonts w:ascii="IRNazanin" w:hAnsi="IRNazanin" w:eastAsia="IRNazanin"/>
          <w:color w:val="111111"/>
          <w:sz w:val="28"/>
          <w:sz w:val="28"/>
          <w:szCs w:val="28"/>
          <w:rtl w:val="true"/>
          <w:lang w:bidi="fa-IR"/>
        </w:rPr>
        <w:t xml:space="preserve">، و من یعمل فإنّما یعمل فی موضع یحصل التعادل و التقاوم، و القرآن قطعی السند، و قطعی المتن،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متعدّدة، و مطابق للأخبار المتواترة و السنّة النبویّة و الأصول الثابتة و العقل، إذ یلزم أن یکون اللّه تعالی و رسوله صلّی اللّه علیه و آله و الأئمّة علیهم السّلام مقصّرون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الروایة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لا معنی لکون علّة التحریم المشقّة علی خصوص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ورد الأخبار المتواترة فی وجوب التمسّک بالقرآن، منها الأخبار المذکورة، و منها المتواتر عن الرسول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لا یحصی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ورد الأخبار المتواترة بعدم جواز العمل بالروایة الضعیفة المتضمّنة لحرمة الجمع بین علویّتین، و الإجماع من المسلمین وقع علی العمل بالقرآن حینئذ، کما أنّه وقع علی خلاف تلک الروایة الضعیفة، یظهر أنّ العمل بما یخالف القرآن فی المقام متّفق علیه بین الجمیع، و المدار علی خلافه فی أمثال المقام بلا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حجّیة ما ذکرت من المدار، لکن روایتک شاذّة بالبدیهة، و هم علیهم السّلام أمرونا بترک العمل بالشاذ بلا شبهة </w:t>
      </w:r>
      <w:r>
        <w:rPr>
          <w:rStyle w:val="FootnoteAnchor"/>
          <w:rtl w:val="true"/>
        </w:rPr>
        <w:footnoteReference w:id="765"/>
      </w:r>
      <w:r>
        <w:rPr>
          <w:rFonts w:ascii="IRNazanin" w:hAnsi="IRNazanin" w:eastAsia="IRNazanin"/>
          <w:color w:val="111111"/>
          <w:sz w:val="28"/>
          <w:sz w:val="28"/>
          <w:szCs w:val="28"/>
          <w:rtl w:val="true"/>
          <w:lang w:bidi="fa-IR"/>
        </w:rPr>
        <w:t>، و کلامک أیضا ینادی باعترافک به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 العمل بها، فکیف تجعلها حجّة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حکم بالتحریم؟ أما تخاف أن تکون ممّن یقول علی اللّه بعض الأقاویل، و أن تکون ممّن افتری و حکم بغیر ما أنزل،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هذه الروایة مخالفة لسنّة النبی صلّی اللّه علیه و آله، و المراد سنّته المعروفة المشهورة بلا شبهة لا سنّته فی الجفر و الجامعة و أمثالهما، لأنّهم علیهم السّلام أمروا الأصحاب باعتبارهم موافقة السنّة </w:t>
      </w:r>
      <w:r>
        <w:rPr>
          <w:rStyle w:val="FootnoteAnchor"/>
          <w:rtl w:val="true"/>
        </w:rPr>
        <w:footnoteReference w:id="766"/>
      </w:r>
      <w:r>
        <w:rPr>
          <w:rFonts w:ascii="IRNazanin" w:hAnsi="IRNazanin" w:eastAsia="IRNazanin"/>
          <w:color w:val="111111"/>
          <w:sz w:val="28"/>
          <w:sz w:val="28"/>
          <w:szCs w:val="28"/>
          <w:rtl w:val="true"/>
          <w:lang w:bidi="fa-IR"/>
        </w:rPr>
        <w:t>، و عدم مخالفتها لقبول الروایة، و جعلها حجّة و تمیّزها من غیر الحجّة، و بالبدیهة الروایة الضعیفة مخالفة للسنّة المعروفة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ورد منهم علیهم 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حدیث فاعرضوه علی سائر أحادیثنا، فإن وجدتموه لا یشبهها فلا تعملوا به</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 و الروایة الضعیفة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ما روینا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حدیث رواه الصدوق معیّنا بمضمونه صریحا، و مع ذلک مضمونه موافق للقرآن و السنّة و سائر أخبار الأئمّة علیهم السّلام و إجماع الأمّة و الفقهاء</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ذلک من المرجّحات الّتی لا یحصی عددها، و لا یخفی صحّتها أو اعتبارها، أمر المعصوم علیه السّلام فی کلّ واحد واحد منها بترک العمل بمثل الروایة المذکورة، أمر علیه السّلام أمرا صریحا واضحا لائحا موافقا للآثار و الشواهد، و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اعتبار بعد الأدلّة الواضحة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 أمروا بترک العمل بالروایة الّتی وقع فیها ریبة، و معلوم أنّ عدم صحّة روایتک یوجب الریبة، مضافا إلی اتّفاق الفقهاء علی ترک العمل حتّی الّذی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مرّ و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جمیع ذلک، إذا لم یحصل فیها الریبة، ففی أیّ روایة تکون أسوأ حالا منها تکون فیها، مع أنّک تجعل کلّ حدیث رواه الشیخ قطعیّة الصدور خالصة عن 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منعوا علیهم السّلام عن العمل بروایة لم یکن لها نور و حقیقة، و أیّ نور، و أیّ حقیقة </w:t>
      </w:r>
      <w:r>
        <w:rPr>
          <w:rStyle w:val="FootnoteAnchor"/>
          <w:rtl w:val="true"/>
        </w:rPr>
        <w:footnoteReference w:id="768"/>
      </w:r>
      <w:r>
        <w:rPr>
          <w:rFonts w:ascii="IRNazanin" w:hAnsi="IRNazanin" w:eastAsia="IRNazanin"/>
          <w:color w:val="111111"/>
          <w:sz w:val="28"/>
          <w:sz w:val="28"/>
          <w:szCs w:val="28"/>
          <w:rtl w:val="true"/>
          <w:lang w:bidi="fa-IR"/>
        </w:rPr>
        <w:t>فی روایتک لم یکن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قالوا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یرجّح علی ما لا نور فیه </w:t>
      </w:r>
      <w:r>
        <w:rPr>
          <w:rStyle w:val="FootnoteAnchor"/>
          <w:rtl w:val="true"/>
        </w:rPr>
        <w:footnoteReference w:id="769"/>
      </w:r>
      <w:r>
        <w:rPr>
          <w:rFonts w:ascii="IRNazanin" w:hAnsi="IRNazanin" w:eastAsia="IRNazanin"/>
          <w:color w:val="111111"/>
          <w:sz w:val="28"/>
          <w:sz w:val="28"/>
          <w:szCs w:val="28"/>
          <w:rtl w:val="true"/>
          <w:lang w:bidi="fa-IR"/>
        </w:rPr>
        <w:t>، و معلوم أنّ کلّ خبر من الأخبار الّتی تعارض خبرک له نور لیس فی خبرک، بل أنوار خلا عن جمیعها خبرک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ورد فی الأخبار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بالدرایات دون الروایات</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 و القرآن و الأخبار مطابقة له و الأصول مطابق للدرایة، بخلاف خبرک، إذ قد عرفت أنّه لا معنی لکون فاطمة علیها السّلام یشقّ علیها ما هو حلال عند اللّه و عند الرسول صلّی اللّه علیه و آله، مع کونها أرضی الناس بأحکام الشرع، کأبیها و بعلها و بنیها صلوات اللّه علیهم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الشی‌ء حراما عند اللّه و عند الرسول و الأئمة علیهم السّلام، فلا معنی للتعلیل للحرمة بأنّ فاطمة علیها السّلام یشقّ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 أیضا، یلزم علی تقدیر صحّة روایتک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أمروا علیهم السّلام فی الأخبار المتواترة بالمنع عن العمل بها بوجوه کثیرة، و علل غیر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اللّه تعالی و الرسول صلّی اللّه علیه و آله و الأئمّة علیهم السّلام مقصّرین، سیّما فی الفروج، و خصوصا فی فروج آل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یلزم أن یکثر منهم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الحرام، علی حسب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عرفت و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فی القرآن </w:t>
      </w:r>
      <w:r>
        <w:rPr>
          <w:rStyle w:val="FootnoteAnchor"/>
          <w:rtl w:val="true"/>
        </w:rPr>
        <w:footnoteReference w:id="771"/>
      </w:r>
      <w:r>
        <w:rPr>
          <w:rFonts w:ascii="IRNazanin" w:hAnsi="IRNazanin" w:eastAsia="IRNazanin"/>
          <w:color w:val="111111"/>
          <w:sz w:val="28"/>
          <w:sz w:val="28"/>
          <w:szCs w:val="28"/>
          <w:rtl w:val="true"/>
          <w:lang w:bidi="fa-IR"/>
        </w:rPr>
        <w:t xml:space="preserve">و الأخبار </w:t>
      </w:r>
      <w:r>
        <w:rPr>
          <w:rStyle w:val="FootnoteAnchor"/>
          <w:rtl w:val="true"/>
        </w:rPr>
        <w:footnoteReference w:id="772"/>
      </w:r>
      <w:r>
        <w:rPr>
          <w:rFonts w:ascii="IRNazanin" w:hAnsi="IRNazanin" w:eastAsia="IRNazanin"/>
          <w:color w:val="111111"/>
          <w:sz w:val="28"/>
          <w:sz w:val="28"/>
          <w:szCs w:val="28"/>
          <w:rtl w:val="true"/>
          <w:lang w:bidi="fa-IR"/>
        </w:rPr>
        <w:t>و إجماع الشیعة المنع عن قبول خبر الفاسق، بل و غیر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مقتضی الأخبار 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المراد من الفاسق من خرج عن الطاعة واقعا، کالسارق و الزانی و القاتل، و غیر ذلک من المشتقّات، فإذا احتمل أنّ الراوی فاسقا، احتمل کون خبره غیر حجّة مردودا، فإذا جاء الاحتمال بطل الاستدلال بالبدیهة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عرفت أنّ هذه طریقة الشیعة، و خالفها أبو حنیفة، فعمل بروایة المجهول، کما قالوا فی الأصول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الاحتمال فی بعض رواه روایتک موجود بالبدیهة، بل فی غیر واحد منها، فکیف یحتجّ بها، سیّما فی مقابل القرآن و المتواتر و غیر ذلک؟ و نردّ بها کلام اللّه و کلام رسوله صلّی اللّه علیه و آله و الأئمّة علیهم السّلام، علی سبیل العموم و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و مع ذلک تجعله حکم اللّه و تنسبه إلی رسول اللّه صلّی اللّه علیه و آله و الأئمّة علیهم السّلام، مع ما عرفت من التخویفات الهائلة؟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کیف یمکن أن تردّ علی اللّه قوله، و کذا علی رسول اللّه صلّی اللّه علیه و آله و الأئمّة علیهم السّلام أقوالهم الواردة عنهم فی المتواتر من أخبارهم بأنّه لا یجوز العمل بمثل الروایة الّتی عملت بها، و أنّهم أمروا بترک العمل بها من وجوه شتّی غیر عدیدة، و بالغوا فی منع العمل و أنذروا و حذّروا، و شدّدوا و أکّدوا، و مع ذلک أنت لا تسمع قولا واحدا منهم علیهم السّلام، و تردّ علیهم جمیع هذه الأقوال القطعیّة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عندک أنّ کلّ واحد من أخبارهم قطعیّ، فما ظنّک إذا زاد عن التواتر، و وافق العقل و النقل و النور و الحقیقة، علی حسب ما عرفت سابقا، و ستعرف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تخاف من أن تردّ علیهم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تردّ علیهم متواتر کلماتهم الّتی آحادها عندهم کلامهم یقینا، و لا تسمع قولهم، بل أقوالهم فی أنّ مثل روایتک لا یجوز العمل به، و تهدیداتهم فی ذلک، و تشدیداتهم فی عدم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تعلم أنّ من یعص اللّه أو رسوله أو أحدا من الأئمة علیهم السّلام کیف حاله من الوبال و النکال، و العذاب و العقاب، و إن کان القول قولا واحدا، فکیف یعص اللّه و الرسول و الأئمّة علیهم السّلام فیما لا یحصی من أقوالهم، و أعجب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فقهائهم و رواه أحکامهم أیضا، و تردّ علی جمیع کلامهم المجمع علیه، الّذی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 و تنسبهم إلی الإجماع علی الخطإ؟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یلزم أن تنسب إلی اللّه و رسوله صلّی اللّه علیه و آله و سلّم و الأئمة علیهم السّلام کمال التقصیر فی أمر الفروج، سیّما فروج الذرّیة الطاهرة، و أنّهم ما نشروا أحکام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ممّا یثبت بطلانه أخبارهم و الأدلّة العقلیّة، و غیر ذلک ممّا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الرادّ علیهم کالرادّ علینا و علی اللّه تعالی، و أنّه شرک باللّه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مع أنّه ورد منه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یزال طائفة علی الحقّ إلی یوم القیامة</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ورد فی هؤلاء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حجج اللّه علی العباد</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المروّجون لدین الرسول</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المتکفّلون لأیتام الأئمّة علیهم السّلام بعد غیبة صاحب الأمر علیه السّلام</w:t>
      </w:r>
      <w:r>
        <w:rPr>
          <w:rFonts w:eastAsia="IRNazanin" w:cs="IRNazanin"/>
          <w:color w:val="111111"/>
          <w:sz w:val="28"/>
          <w:szCs w:val="28"/>
          <w:rtl w:val="true"/>
          <w:lang w:bidi="fa-IR"/>
        </w:rPr>
        <w:t xml:space="preserve">» </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هذا أن یحمل هذا الّذی یعص اللّه و رسوله صلّی اللّه علیه و آله و سلّم و الأئمّة علیهم السّلام فیه بهذا العصیان المغلّظ الشدید الطویل حکما للّه تعالی و تنسبه إلی اللّه، 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حرّم الجمع بین الفاطمیّتین، و تجعل أنساب الذرّیة الطاهرة إلی یوم القیامة مشوبة بالزنا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ممّن یشیع الفاحشة فیهم، و یطعن فی أنسابهم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أنّک تعرف أنّ من لم یحکم بما أنزل اللّه فهم الکافرون، و الظالمون، و الفاسقون </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ممّا ورد فیهم ما لا یخفی علیک فی الآیات و الأخبار المتواترة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ظنّک إذا کنت جعلت من الذی </w:t>
      </w:r>
      <w:r>
        <w:rPr>
          <w:rStyle w:val="FootnoteAnchor"/>
          <w:rtl w:val="true"/>
        </w:rPr>
        <w:footnoteReference w:id="781"/>
      </w:r>
      <w:r>
        <w:rPr>
          <w:rFonts w:ascii="IRNazanin" w:hAnsi="IRNazanin" w:eastAsia="IRNazanin"/>
          <w:color w:val="111111"/>
          <w:sz w:val="28"/>
          <w:sz w:val="28"/>
          <w:szCs w:val="28"/>
          <w:rtl w:val="true"/>
          <w:lang w:bidi="fa-IR"/>
        </w:rPr>
        <w:t>عصیت اللّه و رسوله و الأئمّة علیهم السّلام بعصیانات لا تحصی و ارتکاب القبائح الشنیعة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بعینه نفس 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تخاف أن تکون ممّن حرّم ما أحلّ اللّه من الفروج، مع</w:t>
      </w:r>
      <w:bookmarkStart w:id="231" w:name="pg2526_25574"/>
    </w:p>
    <w:p>
      <w:pPr>
        <w:pStyle w:val="BookText"/>
        <w:rPr/>
      </w:pPr>
      <w:bookmarkEnd w:id="2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ما ورد فیه من أمیر المؤمنین علیه السّلام </w:t>
      </w:r>
      <w:r>
        <w:rPr>
          <w:rStyle w:val="FootnoteAnchor"/>
          <w:rtl w:val="true"/>
        </w:rPr>
        <w:footnoteReference w:id="782"/>
      </w:r>
      <w:r>
        <w:rPr>
          <w:rFonts w:ascii="Amiri" w:hAnsi="Amiri" w:eastAsia="Amiri" w:cs="Amiri"/>
          <w:color w:val="111111"/>
          <w:sz w:val="28"/>
          <w:sz w:val="28"/>
          <w:szCs w:val="28"/>
          <w:rtl w:val="true"/>
          <w:lang w:bidi="ar-SA"/>
        </w:rPr>
        <w:t xml:space="preserve">، و قال اللّه رسوله لِمَ تُحَرِّمُ مٰا أَحَلَّ اللّٰهُ لَکَ </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ورد فی بعض الأخبار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التمتّع فی أولاد الأئمّة علیهم السّلام </w:t>
      </w:r>
      <w:r>
        <w:rPr>
          <w:rStyle w:val="FootnoteAnchor"/>
          <w:rtl w:val="true"/>
        </w:rPr>
        <w:footnoteReference w:id="784"/>
      </w:r>
      <w:r>
        <w:rPr>
          <w:rFonts w:ascii="IRNazanin" w:hAnsi="IRNazanin" w:eastAsia="IRNazanin"/>
          <w:color w:val="111111"/>
          <w:sz w:val="28"/>
          <w:sz w:val="28"/>
          <w:szCs w:val="28"/>
          <w:rtl w:val="true"/>
          <w:lang w:bidi="fa-IR"/>
        </w:rPr>
        <w:t xml:space="preserve">، و هو أیضا حدیث، مع أنّه من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وجوب دعاء أو عمل عقیب صلاة أو فی ساعة أو فی یوم، أو غیر ذلک، کلّ واحد منها حدیث، و کذلک الآیة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الأخبار الظاهرة فی عدم محرمیّة أمّ الزوجة </w:t>
      </w:r>
      <w:r>
        <w:rPr>
          <w:rStyle w:val="FootnoteAnchor"/>
          <w:rtl w:val="true"/>
        </w:rPr>
        <w:footnoteReference w:id="786"/>
      </w:r>
      <w:r>
        <w:rPr>
          <w:rFonts w:ascii="IRNazanin" w:hAnsi="IRNazanin" w:eastAsia="IRNazanin"/>
          <w:color w:val="111111"/>
          <w:sz w:val="28"/>
          <w:sz w:val="28"/>
          <w:szCs w:val="28"/>
          <w:rtl w:val="true"/>
          <w:lang w:bidi="fa-IR"/>
        </w:rPr>
        <w:t>، أخبار موافقة لظاهر الآیة، و لا تبالون فی ذلک، و تبنون علی المحرمیّة دون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لا تحصی کثرة</w:t>
      </w:r>
      <w:r>
        <w:rPr>
          <w:rFonts w:eastAsia="IRNazanin" w:cs="IRNazanin"/>
          <w:color w:val="111111"/>
          <w:sz w:val="28"/>
          <w:szCs w:val="28"/>
          <w:rtl w:val="true"/>
          <w:lang w:bidi="fa-IR"/>
        </w:rPr>
        <w:t>.</w:t>
      </w:r>
    </w:p>
    <w:p>
      <w:pPr>
        <w:pStyle w:val="Heading4"/>
        <w:numPr>
          <w:ilvl w:val="3"/>
          <w:numId w:val="1"/>
        </w:numPr>
        <w:rPr/>
      </w:pPr>
      <w:bookmarkStart w:id="232" w:name="__RefHeading___Toc4328024_3804643083"/>
      <w:bookmarkStart w:id="233" w:name="_Toc87"/>
      <w:bookmarkEnd w:id="232"/>
      <w:r>
        <w:rPr>
          <w:rtl w:val="true"/>
        </w:rPr>
        <w:t>و أمّا الکلام فی دلالة الروایة الضعیفة</w:t>
      </w:r>
      <w:r>
        <w:rPr>
          <w:rtl w:val="true"/>
        </w:rPr>
        <w:t>:</w:t>
      </w:r>
      <w:bookmarkEnd w:id="23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تقدیر ثبوت الحقیقة الشرعیّة فی لفظ الحلّ الّذی تبادر منه ضدّ الحرمة فی اصطلاح المتشرّعة دون اصطلاح الشارع، ففی غایة الوضوح فی صحّة العقد علی فاطمیّتین، إذ لو لم یکن صحیحا لا جرم وجوده کعدمه، و یکون بنتاها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خالیتین عن الزوج، غیر متزوّجتین أصلا و رأسا، کما کان الحال قبل العقد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جمع بینهما فی عقد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الأخیرة کذلک إن وقع العقد علیها مرتّبا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یبلغ فاطمة علیها السّلام عدم الجمع بین بنتیها فی العقد قطعا، فلم یشقّ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عدم الجمع شاقّا لزم وجوب الجمع لا حرمته، 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فساد الجمع یشقّ علیها لزم صحّته، و قس علیها أمثال التعبیرین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البناء علی أنّ المراد من الجمع هنا الجمع بالمعنی العرفی و اللغوی، حتّی لا یضادّ العلّة فی هذا الخبر معلوله، یحقّق ما ذکرنا من أنّ الصدوق لم یفهم منه معنی النکاح أصلا، و لذا لم یورد هذا الخبر فی باب من أبواب النکاح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حتّی باب علل نوادر النکاح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بعض الفضلاء عن خالی العلّامة المجلسی رحمه اللّه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ابنین</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بلفظ الذکور، و عندی نسخة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بتصحیح خالی العلّامة، و بخطّه الشریف، و صحّح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بحذف</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 xml:space="preserve">مرکز التاء، و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نقله عنه ذلک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الجمع اللغوی بین الابنین متحقّق بأن یجمعهما الزوج فی دار واحد أو حجرة واحدة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أمثال هذا هو المناسب للشاقّة علیها، و لإعراض قاطبة الفقهاء عن تحریم الجمع بینهما فی النکاح، حتّی الصدوق و غیره، و کذلک هو المناسب للآیات و الأخبار و الأدلّة العقلیّة الّتی ذکرناها سابقا من لزوم تقصیر اللّه و رسوله صلّی اللّه علیه و آله و سلّم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العیاذ باللّه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لعدم مناسبة علّة التحریم الشاقّیة علی خصوص فاطمة علیها السّلام، علی حسب ما عرفت،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الموافق لرأی جمع من المحقّقین أنّ مثل العبارة المذکورة مجمل لا یتعیّن إلّا بمعیّن، و لا نعرف المعنی،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من الموافق لرأی الآخرین أنّ المتبادر منه النکاح أو الوطء، من دون تفاوت بینهما أصلا، فکما یمکن أن یکون المراد الجمع فی النکاح کذلک یمکن أن یکون الجمع فی الوطء،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توطئان معا و مجتمعة فی بیت أو حجرة أو فراش،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و إن کان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عدم الاحتیاج إلی تقدیر محلّ الوطء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یترتّب علیه مفاسد لا تحصی، أکثرها قطعیّ الفساد، 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التدافع الّذی عرفت بین العلّة و معلولها، فیصیر الثانی أولی، ثمَّ أولی بمراتب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الأوّل قطعیّ الفساد قطعا،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أنّه یبلغها هذا الفاسد فیشقّ علیها نفس وقوعه،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علیها السّلام کانت عالمة بالأحکام الشرعیّة و أنّ الجمع الفاسد وقوعه و عدمه علی السواء، بل و أنّه لم یقع جمع، و الملائکة أیضا عارفون بحقیقة الحال، فلم یتحقّق حرام، فلم یشقّ علیها، کما عرفت، فإنّ الّذی یجمع فی العقد لا یعرف فساده، و العلویّات أیضا لم یکنّ یعرفن و یرضین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بالفاسد شرعا یحصل بینهما المجامعة و یتحقّق النسل و الولد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ذکرت، نفس الجمع لا یشقّ علیها، بل اعتقاد صحّته و ترتّب ثمرات الصحّة من المجامعة و النسل، و غیر ذلک، و فی الروایة أنّ نفس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الجمع یبلغها و نفس الجمع یشقّ علیها، و ما ذکرت قیود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 ثمرات الصحّة من المجامعة و النسل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قیود، و الأصل عدمها، و أنت ما رضیت بتقدیر قید، فکیف رضیت بتقدیر قیود یترتّب علیها مفاسد شنیعة لا تحصی، کما 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أنّ اللّه أولی بعدم الرضا، و کذلک رسوله صلّی اللّه علیه و آله و سلّم و الأئمة علیهم السّلام نیابة عنه، و کذلک فاطمة علیها السّلام، و کان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وقایتهنّ من النار، و غیر ذلک ممّا مرّ فی صدر الرسالة الإشارة إلی بعض منها، فهم بلّغوا و أنذروا و وصّوا، و مع ذلک ما 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فائدة فی الخبر المذکور؟ و سیّما تعلیل المنع بخصوص الشاقیّة علی خصوص فاطمة علیها السّلام، و أین التحذیرات الهائلة، و التخویفات البالغة، و العذابات الشدیدة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کانوا 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 من تجویزه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علی الصادق علیه السّلام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تجمعوا، بل و یقول لبنات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ترضین، بل و یصرّح بالفساد، و ترکا للّازم </w:t>
      </w:r>
      <w:r>
        <w:rPr>
          <w:rStyle w:val="FootnoteAnchor"/>
          <w:rtl w:val="true"/>
        </w:rPr>
        <w:footnoteReference w:id="790"/>
      </w:r>
      <w:r>
        <w:rPr>
          <w:rFonts w:ascii="IRNazanin" w:hAnsi="IRNazanin" w:eastAsia="IRNazanin"/>
          <w:color w:val="111111"/>
          <w:sz w:val="28"/>
          <w:sz w:val="28"/>
          <w:szCs w:val="28"/>
          <w:rtl w:val="true"/>
          <w:lang w:bidi="fa-IR"/>
        </w:rPr>
        <w:t xml:space="preserve">علیه أن یترک التعلیل المذکور، لکونه موهما </w:t>
      </w:r>
      <w:r>
        <w:rPr>
          <w:rStyle w:val="FootnoteAnchor"/>
          <w:rtl w:val="true"/>
        </w:rPr>
        <w:footnoteReference w:id="791"/>
      </w:r>
      <w:r>
        <w:rPr>
          <w:rFonts w:ascii="IRNazanin" w:hAnsi="IRNazanin" w:eastAsia="IRNazanin"/>
          <w:color w:val="111111"/>
          <w:sz w:val="28"/>
          <w:sz w:val="28"/>
          <w:szCs w:val="28"/>
          <w:rtl w:val="true"/>
          <w:lang w:bidi="fa-IR"/>
        </w:rPr>
        <w:t>لخلاف المقصود، کما عرفت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کونه دلیلا علی صحّة العقد البتّة، لأنّ ظاهر الروایة حینئذ أنّ الجمع بین بنات فاطمة علیها السّلام حرام و صحیح، یصیر بسببه کلّ البنات أو اثنتین منها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زوجة رجل واحد، فیصیر الجمع المؤثّر المذکور شاقّا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نهی والد أو والدة ولده عن تزویج دنیئة رذیلة، و کذا أقرباؤه،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فقد عصیتنا و تکون عاقّا و قاطعا حبّنا، و ربّما یصیر علیه الفتن من القتل و غیره إلی غیر ذلک، و مع ذلک تزوّج بها، فلا شکّ فی حرمة هذا التزویج من وجوه شتّی، و مع ذلک صحیح، بل الحرمة ما نشأت إلّا من الصحّة، بأنّه لو تزوّج تزویجا فاسدا شرعا لم یتحقّق عقوق، و لا فتنة و لا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النهی إذا کان خارجا عن المعاملة لا یبطل المعاملة بالبدیهة، و إجماعا من کلّ من له فهم، بل و حرمتها فرع صحّتها، کما عرفت، بل العبادة أیضا لا تفسد بالاتّفاق، فضلا عن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فالتعلیل المذکور یجعل النهی متعلّقا بشاقّیته علی فاطمة علیها السّلام، فیصیر الحرام هو الشاقّیة، و یصیر فرعا للصحّة، و کون الجمع المذکور هو الجمع الشرعی، کما هو الظاهر و المسلّم عند المستدلّ، بل بناء استدلاله علیه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أنّ النهی فی المعاملات لا یقتضی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النهی إذا وقع فی نفس المعاملة لا یقتضی الفساد، کما حقّق فی محلّه و اختاره المحقّقون منّا </w:t>
      </w:r>
      <w:r>
        <w:rPr>
          <w:rStyle w:val="FootnoteAnchor"/>
          <w:rtl w:val="true"/>
        </w:rPr>
        <w:footnoteReference w:id="792"/>
      </w:r>
      <w:r>
        <w:rPr>
          <w:rFonts w:ascii="IRNazanin" w:hAnsi="IRNazanin" w:eastAsia="IRNazanin"/>
          <w:color w:val="111111"/>
          <w:sz w:val="28"/>
          <w:sz w:val="28"/>
          <w:szCs w:val="28"/>
          <w:rtl w:val="true"/>
          <w:lang w:bidi="fa-IR"/>
        </w:rPr>
        <w:t xml:space="preserve">، إلّا شاذّا و وجهه فی غایة الوضوح، لأنّ معنی النهی و التحریم و عدم الحلّ لیس أزید من طلب الترک، مع عدم تجویز الفعل، و معنی الفساد هو عدم ترتّب ثمر شرعا علی النهی، و بین الأوّل و الثانی امتیاز تامّ، و الثانی زیادة عن الأوّل بالبدیهة، فلیس عین الأوّل و لا جزأه، و لا لازمه، لعدم اللزوم عقلا و لا لغة و لا عرفا، إذ القلب السالم عن الشبهات بمجرّد لفظ التحریم من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یتبادر إلیه سوی المعنی الموضوع له لهذا اللفظ، دون المعنی الّذی له لفظ</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الفساد، کما أنّ باستماع لفظ الفساد لا یفهم سوی معنی نفسه، لا معنی التحریم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لو وطئ رجل الحائض من زوجاته، فلا شکّ </w:t>
      </w:r>
      <w:r>
        <w:rPr>
          <w:rStyle w:val="FootnoteAnchor"/>
          <w:rtl w:val="true"/>
        </w:rPr>
        <w:footnoteReference w:id="793"/>
      </w:r>
      <w:r>
        <w:rPr>
          <w:rFonts w:ascii="IRNazanin" w:hAnsi="IRNazanin" w:eastAsia="IRNazanin"/>
          <w:color w:val="111111"/>
          <w:sz w:val="28"/>
          <w:sz w:val="28"/>
          <w:szCs w:val="28"/>
          <w:rtl w:val="true"/>
          <w:lang w:bidi="fa-IR"/>
        </w:rPr>
        <w:t xml:space="preserve">فی تحریمه، و مع ذلک صحیح شرعا، لاستحقاقها بذلک تمام المهر لزوما، و لزوم العدّة، و صحّة نسب الولد الّذی حصل منه، و ترتّب جمیع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الصحیح، و غیر ذلک من الثمرات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 هذا غیره ممّا لم یفسد بالنهی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فعلی هذا، إدخال معنی الفساد فی معنی مجرّد لفظ التحریم بعد عن قول الشارع بالبدیهة، و حکم بغیر ما أنزل اللّه قطعا، و فهم الفساد فی آیة حُرِّمَتْ عَلَیْکُمْ أُمَّهٰاتُکُمْ </w:t>
      </w:r>
      <w:r>
        <w:rPr>
          <w:rStyle w:val="FootnoteAnchor"/>
          <w:rtl w:val="true"/>
        </w:rPr>
        <w:footnoteReference w:id="794"/>
      </w:r>
      <w:r>
        <w:rPr>
          <w:rFonts w:ascii="IRNazanin" w:hAnsi="IRNazanin" w:eastAsia="IRNazanin"/>
          <w:color w:val="111111"/>
          <w:sz w:val="28"/>
          <w:sz w:val="28"/>
          <w:szCs w:val="28"/>
          <w:rtl w:val="true"/>
          <w:lang w:bidi="fa-IR"/>
        </w:rPr>
        <w:t>الآیة و أمثالها إنّما هو من الإجماع بالبدیهة، لإجماع جمیع المسلمین علی الفساد، بل کونه ضروری الدین، و لذا نعلم الفساد بالبداهة، بل النساء و الجهّال و الأطفال یعلمون الفساد بالبدیهة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محقّقونا یحکمون بالفساد بالبدیهة مع قولهم بعدم اقتضاء النهی الفساد، و الشاذّ القائل ظانّ فی قوله به بالبدیهة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تباحث و قد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الحرّ رحمه اللّه لم یقل بصحّة هذا العقد، بل قال بالحرمة، و مع ذلک نقل أنّه توقّف فیه </w:t>
      </w:r>
      <w:r>
        <w:rPr>
          <w:rStyle w:val="FootnoteAnchor"/>
          <w:rtl w:val="true"/>
        </w:rPr>
        <w:footnoteReference w:id="795"/>
      </w:r>
      <w:r>
        <w:rPr>
          <w:rFonts w:ascii="IRNazanin" w:hAnsi="IRNazanin" w:eastAsia="IRNazanin"/>
          <w:color w:val="111111"/>
          <w:sz w:val="28"/>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 مشایخنا المعاصرین سلّمه اللّه و عافاه، فإنّه حکم بالفساد،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و یحکم بالتفریق لو اتّفق </w:t>
      </w:r>
      <w:r>
        <w:rPr>
          <w:rStyle w:val="FootnoteAnchor"/>
          <w:rtl w:val="true"/>
        </w:rPr>
        <w:footnoteReference w:id="796"/>
      </w:r>
      <w:r>
        <w:rPr>
          <w:rFonts w:ascii="IRNazanin" w:hAnsi="IRNazanin" w:eastAsia="IRNazanin"/>
          <w:color w:val="111111"/>
          <w:sz w:val="28"/>
          <w:sz w:val="28"/>
          <w:szCs w:val="28"/>
          <w:rtl w:val="true"/>
          <w:lang w:bidi="fa-IR"/>
        </w:rPr>
        <w:t>، و إن کان الزوج أیضا من أولاد فاطمة علیها السّلام، و التفریق بالنسبة إلیه و زوجاته فی غایة الشدّة، و نهایة المحنة، و یکون علی الکلّ أعظم مصیبة، کما اتّفق أنّی شاهدت ما 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هذا أنّه یدّعی وفاق جماعة من المتأخّرین معه، و کلمات بعضهم تنادی بخلاف أنّه وافق الفقهاء، و مع ذلک أتعجّب أنّه ما قرع سمع واحد منهم أنّ النهی إذا تعلّق بخارج المعاملة لا یقتضی فسادها بلا شبهة، و أنّه وفاقیّ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یدّعون عدم العبرة بما قاله المجتهدون ما لم یرو فیه حدیث، و لم یرو حدیث أنّ هذا النهی لا یقتضی الفساد،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الحدیث لا یراعی فیه القواعد الأصولیّة، لأنّها من بدع العامّة، لأنّ الأئمّة علیهم السّلام کانت مکالماتهم علی وفق مکالمات أهل العرف العام مع الناس، فالحجّة فی الحدیث فهم العوام، لا العلماء الأعلام، لأنّهم یجتهدون، و علی قواعده یمشون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قالوه من أنّ الأئمّة علیهم السّلام کانت مکالماتهم مکالمات العرف و العوام و الکلام حقّ صدر منهم، و قواعد الأعلام ما شیّدت إلّا لتحصیل هذا الفهم، فأنا متعجّب من أنّ هؤلاء لم لا یراعون ما قالوا، و یشنّعون علی المجتهدین بأنّهم لا یراعون؟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یعرضون فهمهم هذا الحدیث علی طریقة مکالمات أهل العرف و فهمهم فیها، فإنّهم إذا سمعوا واحدا یقول 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تزوّج فلانة، فإنّه یبلغ والدیک و أجدادک الموجودین فیشقّ علیهم و یؤذیهم بحیث لا یکادون یصبرون، فتصیر عاقّا قاطعا من کلّ واحد واحد، فهل یفهم أطفالهم و جهّالهم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القول المذکور سوی التزویج الشرعی، و أنّه إذا صارت فلانة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زوجته شرعا یترتّب علیه الشاقّیة و الأذیّة و العقوق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أنّهم إذا سمعوا واحدا قال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لک أن لا تطلّق </w:t>
      </w:r>
      <w:r>
        <w:rPr>
          <w:rStyle w:val="FootnoteAnchor"/>
          <w:rtl w:val="true"/>
        </w:rPr>
        <w:footnoteReference w:id="797"/>
      </w:r>
      <w:r>
        <w:rPr>
          <w:rFonts w:ascii="IRNazanin" w:hAnsi="IRNazanin" w:eastAsia="IRNazanin"/>
          <w:color w:val="111111"/>
          <w:sz w:val="28"/>
          <w:sz w:val="28"/>
          <w:szCs w:val="28"/>
          <w:rtl w:val="true"/>
          <w:lang w:bidi="fa-IR"/>
        </w:rPr>
        <w:t>ابنة عمّک، فإنّه یبلغ آباءک الموجودین و نسائبک و عمّک فیشقّ علیهم بما لا یصبرون، فتصیر عاقّا قاطعا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الأمثلة،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الفلانیّة، لأنّها مغنّیة فتدخلک النار و یلزمک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الفهم السلیم و الدرک المستقیم، یصیر حدیثهم الّذی استدلّوا به علی بطلان العقد خصما لهم، و حجّة علیهم، و أنّه بخصوصه یکفی للحکم، بالصحّة، من دون حاجة إلی الأدلّة الواضحة الّتی لا تحصی، کلّ واحد منها کالشمس فی الضحی، بل شموس طالعة، و أنوار ساطعة، لا حدّ لها من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لکن من أین یحکم بصحّة العقود و الإیقاعات الّتی تعلّق بخارجها نهی، کما ذکرنا سابقا، بل العبادات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یرو حدیث یدلّ علی أنّ النهی إذا تعلّق بخارج المعاملة لا یقتضی الفساد، لم یرو أیضا حدیث یقتضی الفساد، فمن أیّ سبب رجّحوا الثانی علی الأوّل و أوقعوا أنفسهم فی المهالک الّتی لا تحصی، و خالفوا الأوامر الّتی لا تخفی؟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لمّا نظروا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تَجْمَعُوا بَیْنَ الْأُخْتَیْنِ </w:t>
      </w:r>
      <w:r>
        <w:rPr>
          <w:rStyle w:val="FootnoteAnchor"/>
          <w:rtl w:val="true"/>
        </w:rPr>
        <w:footnoteReference w:id="798"/>
      </w:r>
      <w:r>
        <w:rPr>
          <w:rFonts w:ascii="IRNazanin" w:hAnsi="IRNazanin" w:eastAsia="IRNazanin"/>
          <w:color w:val="111111"/>
          <w:sz w:val="28"/>
          <w:sz w:val="28"/>
          <w:szCs w:val="28"/>
          <w:rtl w:val="true"/>
          <w:lang w:bidi="fa-IR"/>
        </w:rPr>
        <w:t>، و أنّه یدلّ علی الفساد أیضا بالبدیهة و رأوا أنّ هذا الحدیث موافق له فی العبادات، حکموا بالفساد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عدم دلالة الآیة علی الفساد، لأنّه من ضروریّات الدین،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من أنکره أو توقّف فیه یکون منکرا لضرورة الدین کافرا، و إن کان من عوام المسلمین، و أین هذا من دلالة الآیة الّتی لا تکون حجّة عند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المجتهدون، فعندهم أنّ دلالة الألفاظ کلّها ظنّیة، و أنّ القرآن ظنّی الدلالة، و مع ذلک عرفت أنّ النهی لا یقتضی الفساد، کما علیه المجتهدون و الفقهاء إلّا نادر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عرفت غایة وضوح دلیل المعظم، و أنّ الحقّ معهم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عبارة الحدیث عین عبارة القرآن فیه ما فیه، إذ لم یذکر فی القرآن علّة لتحریم الجمع بین الأختین، و ذکر فی الحدیث أنّ علّة الحرمة الشاقیّة علی فاطمة علیها السّلام، لیس نفس العقد، و لا جزؤه بالبدیهة، بل أمر خارج عنه بلا 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فقیاسه بالآیة قیاس مع الفارق، بل مع الفوارق، لما عرفت و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أنّ حمل التزویج فی الحدیث علی الفاسد منه ممّا لا یستقیم، و لا یتلائم ظاهر أجزائه، بخلاف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القیاس لیس بحدیث، بل حرام عند الشیعة بالضرورة، و کونه حراما ضروریّ مذهب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أیضا حرام آخر یزید علی ما مرّ من المحرّمات و الشنائع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القیاس ممّا یتبرّأ عنه أهل السنّة، فضلا عن الشیعة، إذ 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فی حدیث کذا نحمله علی الاستحباب، 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فَکٰاتِبُوهُمْ </w:t>
      </w:r>
      <w:r>
        <w:rPr>
          <w:rStyle w:val="FootnoteAnchor"/>
          <w:rtl w:val="true"/>
        </w:rPr>
        <w:footnoteReference w:id="799"/>
      </w:r>
      <w:r>
        <w:rPr>
          <w:rFonts w:ascii="IRNazanin" w:hAnsi="IRNazanin" w:eastAsia="IRNazanin"/>
          <w:color w:val="111111"/>
          <w:sz w:val="28"/>
          <w:sz w:val="28"/>
          <w:szCs w:val="28"/>
          <w:rtl w:val="true"/>
          <w:lang w:bidi="fa-IR"/>
        </w:rPr>
        <w:t>و غیره ممّا ورد فی استحباب شی‌ء أو الإباحة، لقوله تعالی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فَانْتَشِرُوا </w:t>
      </w:r>
      <w:r>
        <w:rPr>
          <w:rStyle w:val="FootnoteAnchor"/>
          <w:rtl w:val="true"/>
        </w:rPr>
        <w:footnoteReference w:id="800"/>
      </w:r>
      <w:r>
        <w:rPr>
          <w:rFonts w:ascii="IRNazanin" w:hAnsi="IRNazanin" w:eastAsia="IRNazanin"/>
          <w:color w:val="111111"/>
          <w:sz w:val="28"/>
          <w:sz w:val="28"/>
          <w:szCs w:val="28"/>
          <w:rtl w:val="true"/>
          <w:lang w:bidi="fa-IR"/>
        </w:rPr>
        <w:t>، أو التهدید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و کذلک الحال فی سائر الألفاظ و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یقیسون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الحدیث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الأحادیث الأخر، المسلّم عندهم أنّه محمول علی الکراهة، مثل ما رواه الصدوق عنه صلّی اللّه علیه و آله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لامرأة تؤمن باللّه و بالیوم الآخر أن تدع عانتها فوق عشرین یوما</w:t>
      </w:r>
      <w:r>
        <w:rPr>
          <w:rFonts w:eastAsia="IRNazanin" w:cs="IRNazanin"/>
          <w:color w:val="111111"/>
          <w:sz w:val="28"/>
          <w:szCs w:val="28"/>
          <w:rtl w:val="true"/>
          <w:lang w:bidi="fa-IR"/>
        </w:rPr>
        <w:t xml:space="preserve">» </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مع أنّ ذلک غیر واجب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غیره من الأخبار الظاهرة فی الحرمة حملت علی الکراهة، و هذه الکثرة بمکان لا یحصی، کما لا یخفی علی من له أدنی اطّلاع، کما أنّ لفظ الوجوب المحمول علی الاستحباب أیضا کما مرّ، بل الإشارة إلی ذلک، مع أنّ التأکید الّذی فی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تؤمن باللّه و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علی التحریم، و مع ذلک حمل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 المعظم هذا الإیراد فی الجملة، و أجاب عنه بأنّ الأصل حمل الألفاظ علی حقائقها ما لم یصرف عنه صارف، و إلّا لبطلت القواعد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قال، بعد أن استدلّ بالتبادر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فی الحرمة </w:t>
      </w:r>
      <w:r>
        <w:rPr>
          <w:rStyle w:val="FootnoteAnchor"/>
          <w:rtl w:val="true"/>
        </w:rPr>
        <w:footnoteReference w:id="802"/>
      </w:r>
      <w:r>
        <w:rPr>
          <w:rFonts w:ascii="IRNazanin" w:hAnsi="IRNazanin" w:eastAsia="IRNazanin"/>
          <w:color w:val="111111"/>
          <w:sz w:val="28"/>
          <w:sz w:val="28"/>
          <w:szCs w:val="28"/>
          <w:rtl w:val="true"/>
          <w:lang w:bidi="fa-IR"/>
        </w:rPr>
        <w:t>، لأنّ التبادر علامة الحقیقة عند علماء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المتبادر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یکون الحرمة منه أیضا هو عدم الرخصة خاصّة، لأنّ المتبادر من الحلّ هو الرخصة و عدم المنع خاصّة، لا یزید علی ذلک شی‌ء أصلا و رأسا، کما عرفت مبیّنا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 عاقل یمکنه التأمّل فی کون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النفی خاصّة،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منه، و أنّ ما زاد علی ما ذکر لا یتبادر، و أنّ علماء الأصول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أیضا صرّحوا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منهم ادّعی الدلالة الالتزامیّة بالنسبة إلی معنی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الشاذّ ما ادّعی ذلک إلّا فی الموضع الّذی علم تعلّق النهی فیه بنفس المعاملة، و أمّا فی مثل المقام، فقد صرّح هو أیضا بعدم الدلالة الالتزامیّة البتّة، بل ظهر علیک صحّة ذلک، و أنّ النهی عنه فرع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أنّک عرفت الحال فی الدلالة الالتزامیّة،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و أنّها لا أصل لها أصلا، و وضح علیک غایة الوضوح، و الحقّ أحقّ أن یتّبع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الأصول فرقتان، فرقة تدّعی الحقیقة الشرعیّة، و أنّ المتبادر عندنا هو الحقیقة فی کلام الشارع، و فرقة تنکر ذلک </w:t>
      </w:r>
      <w:r>
        <w:rPr>
          <w:rStyle w:val="FootnoteAnchor"/>
          <w:rtl w:val="true"/>
        </w:rPr>
        <w:footnoteReference w:id="803"/>
      </w:r>
      <w:r>
        <w:rPr>
          <w:rFonts w:ascii="IRNazanin" w:hAnsi="IRNazanin" w:eastAsia="IRNazanin"/>
          <w:color w:val="111111"/>
          <w:sz w:val="28"/>
          <w:sz w:val="28"/>
          <w:szCs w:val="28"/>
          <w:rtl w:val="true"/>
          <w:lang w:bidi="fa-IR"/>
        </w:rPr>
        <w:t>، و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التبادر عندنا یقتضی کون ذلک حقیقة عندنا، و کونه حقیقة باصطلاح المعصوم علیه السّلام من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أکثر المحقّقین منهم اختار هذا، و هذا الشیخ المعظّم إلیه غافل عن هذا علی ما نقول </w:t>
      </w:r>
      <w:r>
        <w:rPr>
          <w:rStyle w:val="FootnoteAnchor"/>
          <w:rtl w:val="true"/>
        </w:rPr>
        <w:footnoteReference w:id="804"/>
      </w:r>
      <w:r>
        <w:rPr>
          <w:rFonts w:ascii="IRNazanin" w:hAnsi="IRNazanin" w:eastAsia="IRNazanin"/>
          <w:color w:val="111111"/>
          <w:sz w:val="28"/>
          <w:sz w:val="28"/>
          <w:szCs w:val="28"/>
          <w:rtl w:val="true"/>
          <w:lang w:bidi="fa-IR"/>
        </w:rPr>
        <w:t>لم لم یقل الشیخ و مشارکوه بحرمة ترک العانة علیها أزید من عشرین؟ لأنّه روی الروایة المذکورة و معلوم عامل بها، معتقد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أن یکون موجّها لها بالحمل علی الکراهة و ثبت اتّفاق الکلّ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یلتفت إلیه فی مقابل الحدیث، و لا یرفع عمّا ظهر من الحدیث بسببه، بل الإجماع عنده لا عبرة به أصلا، لأنّ المجمعین غیر معصومین، یجتمعون علی الخطأ</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أیّ فرق عنده بین الحدیث الّذی دلّ علی حرمة الجمع بین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فاطمیّتین و الّذی دلّ علی حرمة ترکها عانتها أزید من عشرین؟ مع أنّ المفاسد الّتی تترتّب علی الاستدلال بالأوّل کثیر منها غیر مترتّب علی الثانی، کما لا یخفی، فاستدلاله بالثانی علی حرمة ترک العانة علیها أولی ثمَّ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الهادی إلی الرشاد و السداد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الرسالة بعون الملک الوهّاب</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bookmarkStart w:id="234" w:name="pg2526_25587"/>
    </w:p>
    <w:p>
      <w:pPr>
        <w:pStyle w:val="BookText"/>
        <w:rPr/>
      </w:pPr>
      <w:bookmarkEnd w:id="2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Heading2"/>
        <w:numPr>
          <w:ilvl w:val="1"/>
          <w:numId w:val="1"/>
        </w:numPr>
        <w:rPr/>
      </w:pPr>
      <w:bookmarkStart w:id="235" w:name="__RefHeading___Toc4328026_3804643083"/>
      <w:bookmarkStart w:id="236" w:name="_Toc88"/>
      <w:bookmarkEnd w:id="235"/>
      <w:r>
        <w:rPr>
          <w:rtl w:val="true"/>
        </w:rPr>
        <w:t>رسالة فی حکم متعة الصغیرة</w:t>
      </w:r>
      <w:bookmarkEnd w:id="23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4328028_3804643083"/>
      <w:bookmarkStart w:id="238" w:name="_Toc89"/>
      <w:bookmarkEnd w:id="237"/>
      <w:r>
        <w:rPr>
          <w:rtl w:val="true"/>
        </w:rPr>
        <w:t>اشارة</w:t>
      </w:r>
      <w:bookmarkEnd w:id="23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بسم اللّه الرّحمن الرّحیم و به نستعین الحمد للّه ربّ العالمین، و صلّی اللّه علی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وفّقنی و أیّدنی و سدّدنی و أرشدنی و اهدنی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 فیمن زوّج بنته الرضیعة لزید متعة یوما أو ساعة، بمهر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محرمیّة أمّها علیه؟</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فقهاءنا اختلفوا فی أنّ تزویج الولی إذا کان أبا أو جدّا، هل یشترط أن یکون علی وجه الغبطة و المصلحة أم لا؟</w:t>
      </w:r>
    </w:p>
    <w:p>
      <w:pPr>
        <w:pStyle w:val="BookText"/>
        <w:rPr/>
      </w:pPr>
      <w:r>
        <w:rPr>
          <w:rFonts w:ascii="IRNazanin" w:hAnsi="IRNazanin" w:eastAsia="IRNazanin"/>
          <w:color w:val="111111"/>
          <w:sz w:val="28"/>
          <w:sz w:val="28"/>
          <w:szCs w:val="28"/>
          <w:rtl w:val="true"/>
          <w:lang w:bidi="fa-IR"/>
        </w:rPr>
        <w:t>فعلی القول بالاشتراط، لا تأمّل فی عدم صحّة هذا العقد، فلا تصیر الام محرما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اشترط بعضهم کونه بمهر المثل أو أزید، و بعضهم کون التزویج بالکف‌ء، فحال هذین الشرطین حال السابق</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تثبت ولایة النکاح </w:t>
      </w:r>
      <w:r>
        <w:rPr>
          <w:rStyle w:val="FootnoteAnchor"/>
          <w:rtl w:val="true"/>
        </w:rPr>
        <w:footnoteReference w:id="805"/>
      </w:r>
      <w:r>
        <w:rPr>
          <w:rFonts w:ascii="IRNazanin" w:hAnsi="IRNazanin" w:eastAsia="IRNazanin"/>
          <w:color w:val="111111"/>
          <w:sz w:val="28"/>
          <w:sz w:val="28"/>
          <w:szCs w:val="28"/>
          <w:rtl w:val="true"/>
          <w:lang w:bidi="fa-IR"/>
        </w:rPr>
        <w:t xml:space="preserve">للأب و الجدّ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الصغیر بالنصوص </w:t>
      </w:r>
      <w:r>
        <w:rPr>
          <w:rStyle w:val="FootnoteAnchor"/>
          <w:rtl w:val="true"/>
        </w:rPr>
        <w:footnoteReference w:id="806"/>
      </w:r>
      <w:r>
        <w:rPr>
          <w:rFonts w:ascii="IRNazanin" w:hAnsi="IRNazanin" w:eastAsia="IRNazanin"/>
          <w:color w:val="111111"/>
          <w:sz w:val="28"/>
          <w:sz w:val="28"/>
          <w:szCs w:val="28"/>
          <w:rtl w:val="true"/>
          <w:lang w:bidi="fa-IR"/>
        </w:rPr>
        <w:t xml:space="preserve">المستفیضة </w:t>
      </w:r>
      <w:r>
        <w:rPr>
          <w:rStyle w:val="FootnoteAnchor"/>
          <w:rtl w:val="true"/>
        </w:rPr>
        <w:footnoteReference w:id="807"/>
      </w:r>
      <w:r>
        <w:rPr>
          <w:rFonts w:ascii="IRNazanin" w:hAnsi="IRNazanin" w:eastAsia="IRNazanin"/>
          <w:color w:val="111111"/>
          <w:sz w:val="28"/>
          <w:sz w:val="28"/>
          <w:szCs w:val="28"/>
          <w:rtl w:val="true"/>
          <w:lang w:bidi="fa-IR"/>
        </w:rPr>
        <w:t>، و علی السفیه و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ذکورا کانوا أو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اتّصال الجنون و السفه بالصغر بلا خلاف، سواء کان فیه مصلحة أم لا، علی المشهور، و مال بعض المتأخّرین إلی اشتراطها، و لا یخلو من قوّة</w:t>
      </w:r>
      <w:r>
        <w:rPr>
          <w:rFonts w:eastAsia="IRNazanin" w:cs="IRNazanin"/>
          <w:color w:val="111111"/>
          <w:sz w:val="28"/>
          <w:szCs w:val="28"/>
          <w:rtl w:val="true"/>
          <w:lang w:bidi="fa-IR"/>
        </w:rPr>
        <w:t xml:space="preserve">) </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عقد علیها الولی من کف بمهر المثل، فإن کان علی وجه المصلحة فلا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 إن کان لا علی وجه المصلحة فوجهان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عقد علیها من کف‌ء بدون مهر المثل،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مطلقا،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الاعتراض فی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زوّجها من غیر کف‌ء بمهر المثل احتمل بطلان العقد، و أن یکون لها الخیار فی العقد، و إن کان بدون مهر المثل ثبت احتمال الخیار فی المسمّی و الرجوع إلی مهر المثل أیضا</w:t>
      </w:r>
      <w:r>
        <w:rPr>
          <w:rFonts w:eastAsia="IRNazanin" w:cs="IRNazanin"/>
          <w:color w:val="111111"/>
          <w:sz w:val="28"/>
          <w:szCs w:val="28"/>
          <w:rtl w:val="true"/>
          <w:lang w:bidi="fa-IR"/>
        </w:rPr>
        <w:t xml:space="preserve">) </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یعتبر المصنّف فی هذا الکتاب فی صحّة عقد الصغیرة وقوعه بمهر المثل، و قد اعتبره جماعة، منهم العلّامة رحمه اللّه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w:t>
      </w:r>
      <w:r>
        <w:rPr>
          <w:rStyle w:val="FootnoteAnchor"/>
          <w:rtl w:val="true"/>
        </w:rPr>
        <w:footnoteReference w:id="810"/>
      </w:r>
      <w:r>
        <w:rPr>
          <w:rFonts w:ascii="IRNazanin" w:hAnsi="IRNazanin" w:eastAsia="IRNazanin"/>
          <w:color w:val="111111"/>
          <w:sz w:val="28"/>
          <w:sz w:val="28"/>
          <w:szCs w:val="28"/>
          <w:rtl w:val="true"/>
          <w:lang w:bidi="fa-IR"/>
        </w:rPr>
        <w:t xml:space="preserve">، و الشهید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المعتمد أنّه إن زوّجها بدون مهر المثل مع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کان لها فسخ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w:t>
      </w:r>
      <w:r>
        <w:rPr>
          <w:rStyle w:val="FootnoteAnchor"/>
          <w:rtl w:val="true"/>
        </w:rPr>
        <w:footnoteReference w:id="812"/>
      </w:r>
      <w:r>
        <w:rPr>
          <w:rFonts w:ascii="Amiri" w:hAnsi="Amiri" w:eastAsia="Amiri" w:cs="Amiri"/>
          <w:color w:val="111111"/>
          <w:sz w:val="28"/>
          <w:sz w:val="28"/>
          <w:szCs w:val="28"/>
          <w:rtl w:val="true"/>
          <w:lang w:bidi="ar-SA"/>
        </w:rPr>
        <w:t>قویّا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بطلانه من رأس، لأنّ العقد جری </w:t>
      </w:r>
      <w:r>
        <w:rPr>
          <w:rStyle w:val="FootnoteAnchor"/>
          <w:rtl w:val="true"/>
        </w:rPr>
        <w:footnoteReference w:id="813"/>
      </w:r>
      <w:r>
        <w:rPr>
          <w:rFonts w:ascii="IRNazanin" w:hAnsi="IRNazanin" w:eastAsia="IRNazanin"/>
          <w:color w:val="111111"/>
          <w:sz w:val="28"/>
          <w:sz w:val="28"/>
          <w:szCs w:val="28"/>
          <w:rtl w:val="true"/>
          <w:lang w:bidi="fa-IR"/>
        </w:rPr>
        <w:t>علی خلاف المصلحة، فلا یکون صحیحا، لأنّ تصرّف الولی منوط بالمصلحة</w:t>
      </w:r>
      <w:r>
        <w:rPr>
          <w:rFonts w:eastAsia="IRNazanin" w:cs="IRNazanin"/>
          <w:color w:val="111111"/>
          <w:sz w:val="28"/>
          <w:szCs w:val="28"/>
          <w:rtl w:val="true"/>
          <w:lang w:bidi="fa-IR"/>
        </w:rPr>
        <w:t xml:space="preserve">) </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شهادة واضحة علی أنّ کون تصرّف الولی منوطا بالمصلحة و بعنوان العموم من الواضحات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منشأ اعتبار الجماعة الوقوع بمهر المثل هو هذا، و لا یتصوّر منشأ غیره،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اشتراط الکف‌ء، فلعلّ المنشإ أیضا ذلک، إذ الظاهر أنّه لیس المراد اشتراط الکفایة الّتی هی شرط لصحّة العقد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علی القول باشتراط الشروط ظهر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بعدمه، فالحکم بصحّة هذا العقد مشکل أیضا، لأنّ الصحّة حکم شرعی یتوقّف علی دلیل شرعی، و لم یوجد کما ستعرف، و ما توهّم کونه دلیلا ستعرف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الصحّة عبارة عن ترتّب أثر شرعی، 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الأصل بقاء ما کان علی ما کان حتّی یثبت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من أنّها لو لم تف بما عقدت علیه یحبس عنها المهر بمقدار ما لم تف، و أنّ مثل الحیض معفوّ عنه </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شکّ فی أنّ هذه الرضیعة لیست بمستأجرة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و أیضا، ظاهر قوله تعالی فَمَا اسْتَمْتَعْتُمْ </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اعتبار الاستمتاع منها، و لا أقلّ بتمکینها من الاستمتاع منها، لأنّ القاعدة المقرّرة فی الشرع فی أمثال هذه العقود بأنّ فی الوفاء بإعطاء العوض یکفی التمکین </w:t>
      </w:r>
      <w:r>
        <w:rPr>
          <w:rStyle w:val="FootnoteAnchor"/>
          <w:rtl w:val="true"/>
        </w:rPr>
        <w:footnoteReference w:id="818"/>
      </w:r>
      <w:r>
        <w:rPr>
          <w:rFonts w:ascii="IRNazanin" w:hAnsi="IRNazanin" w:eastAsia="IRNazanin"/>
          <w:color w:val="111111"/>
          <w:sz w:val="28"/>
          <w:sz w:val="28"/>
          <w:szCs w:val="28"/>
          <w:rtl w:val="true"/>
          <w:lang w:bidi="fa-IR"/>
        </w:rPr>
        <w:t xml:space="preserve">، و التسلیم، و أنّ ظاهرها </w:t>
      </w:r>
      <w:r>
        <w:rPr>
          <w:rStyle w:val="FootnoteAnchor"/>
          <w:rtl w:val="true"/>
        </w:rPr>
        <w:footnoteReference w:id="819"/>
      </w:r>
      <w:r>
        <w:rPr>
          <w:rFonts w:ascii="IRNazanin" w:hAnsi="IRNazanin" w:eastAsia="IRNazanin"/>
          <w:color w:val="111111"/>
          <w:sz w:val="28"/>
          <w:sz w:val="28"/>
          <w:szCs w:val="28"/>
          <w:rtl w:val="true"/>
          <w:lang w:bidi="fa-IR"/>
        </w:rPr>
        <w:t xml:space="preserve">فعلیّة الاستمتاع، لأنّ الشارع جعل حکم ذلک حکم الفعلیّة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خرج ما خرج بالدلیل و 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إذا تعذّرت الحقیقة فالحمل علی أقرب المجازات، فالمستفاد من الإتیان أنّ المهر عوض الاستمتاع و أجرته، و لم یتحقّق شی‌ء من الأمرین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قد عرفت أنّ الصحّة فی المعاملات عبارة عن ترتّب أثر شرعی، و لم نجده فیما نحن فیه أصلا، إذ لا توارث بین هذین الزوجین، علی المذهب الحقّ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رؤیة مثل هذه الرضیعة لم تکن حراما حتّی تصیر حلالا بهذا العقد، و بالقدر المذکور فیه مثل الساعة أو الیوم لا أزید و لا أنقص، و أن یکون استحلال الدرهم المذکور بإزاء هذا القلیل من الرؤیة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الکلام فی القبلة و الملامسة و أمثالهما، بل حال هذه الرضیعة فی هذه الساعة أو الیوم حال قبلهما و حال بعدهما، من دون تفاوت أصلا، و لا خروج أثر من العدم إلی الوجود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 أیضا، الأب لا یقصد بهذا العقد حصول أثر أصلا بین المتعاقدین، بل و ربّما لا یبالی بأخذ الدرهم من الزوج و ضبطه للصغیرة أو صرفه، بل و لا یخطر هذا بباله أصلا، مع أنّه لا یجوز رفع الید عن مال الصغیرة بغیر عوض إجماعا، مع أنّ المهر رکن و لا یجوز المسامحة فیه بأن لا یخطر بالبال أخذه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الدرهم بغیر شی‌ء یجعل فی العقد بإزائه، فیکون مبنیّا علی الغرر و الضرر، و عدم تحقّق الذکر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ذکر المدّة رکن و شرط للصحّة، و قد عرفت أنّ ذکرها لغو بحت لا یراد منها کونها ظرفا لأثر شرعی، فضلا عن أن یکون فی هذه المدّة خاصّة دون ما قبلها 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معانی عبارات العقود لا بدّ أن تکون مقصودة، و إلّا لکانت فاسدة مثل عقود الغافلین و الهازلین، و معنی متّعتک 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جعلتها متعتک، و معنی متعتک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یتمتّع به، تتمتّع بها شرعا، و لم یقصد الأب نوعا من أنواع التمتّع أصلا، و إن فرض جواز الاستمتاع بها و حلّیته بحسب العقد، و خصوصا فی خصوص المدّة و کونه بإزاء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کلّ ما کانت البنت أکبر، و تحقّق الاستمتاع الشرعی أکثر، کان استنکاف الأب و إباؤه عن الاستمتاع أشدّ 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کانت بالغة لا یرضی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هذا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ینظر الزوج إلیها تحت الإزار و الثیاب أیضا، فضلا عن أن یکون فی خصوص المدّة و بإزاء الدرهم، و کذا الکلام فی قصد الزوج</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قصد من هذا العقد حلّیة نظر أمّ البنت علی الزوج، و هذا أثر</w:t>
      </w:r>
      <w:bookmarkStart w:id="239" w:name="pg2526_25594"/>
    </w:p>
    <w:p>
      <w:pPr>
        <w:pStyle w:val="BookText"/>
        <w:rPr/>
      </w:pPr>
      <w:bookmarkEnd w:id="2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من آثار العقد، و یکفی لصحّته، إذ لا یجب قصد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کونه بإزاء الدرهم، فالمفروض صحّة عقد من قصد کونه بإزاء الدرهم و اعتنی بشأن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بالأخذ من الزوج، أو بأن یهب الزوج و یعطیه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الأب أراد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متّعتک بنتی، متّعتک أمّ بنتی علی سبیل المجاز، و تکون الامّ متمتّعا بها و المهر مهر الأب و حلّیة نظر الأمّ فی خصوص المدّة و بإزاء الدرهم، و تکون الامّ غیر ذات البعل، فهذا عقد صحیح علی القول بصحّة العقد باللفظ المجازی و أن یذکر فی متن العقد خصوص هذا النوع من التمتّع، و یکون العقد وکالة عنها، لکنّه غیر مفروض المسألة بغیر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 أنّ الأب یرید أنّ بنته تکون متعة الزوج إلّا أنّ الزوج لا یستمتع بها أصلا، بل یستمتع من أمّها بخصوص النظر إلیها لا غیره من أنواع الاستمتاع، ففیه ما فیه من الفضاعة و الشناعة</w:t>
      </w:r>
      <w:r>
        <w:rPr>
          <w:rFonts w:eastAsia="IRNazanin" w:cs="IRNazanin"/>
          <w:color w:val="111111"/>
          <w:sz w:val="28"/>
          <w:szCs w:val="28"/>
          <w:rtl w:val="true"/>
          <w:lang w:bidi="fa-IR"/>
        </w:rPr>
        <w:t>.</w:t>
      </w:r>
    </w:p>
    <w:p>
      <w:pPr>
        <w:pStyle w:val="Heading3"/>
        <w:numPr>
          <w:ilvl w:val="2"/>
          <w:numId w:val="1"/>
        </w:numPr>
        <w:rPr/>
      </w:pPr>
      <w:bookmarkStart w:id="240" w:name="__RefHeading___Toc4328030_3804643083"/>
      <w:bookmarkStart w:id="241" w:name="_Toc90"/>
      <w:bookmarkEnd w:id="240"/>
      <w:r>
        <w:rPr>
          <w:rtl w:val="true"/>
        </w:rPr>
        <w:t>و وجوه الاعتراض</w:t>
      </w:r>
      <w:r>
        <w:rPr>
          <w:rtl w:val="true"/>
        </w:rPr>
        <w:t>:</w:t>
      </w:r>
      <w:bookmarkEnd w:id="24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الأب لم یقصد من العقد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عقده کعقد الغافل و الهازل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ذکر المدّة لغوا، لأنّ رؤیة الأمّ علی الدوام لا فی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المهر لا بإزاء الاستمتاع، و قد عرفت أنّه بإزائه من الزوجة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القول بأنّه بإزائه من الأمّ إلّا أنّ الحقّ حقّ البنت، فیه ما فیه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حلّیة نظر أمّ الزوجة أمر قهری بحسب الشرع لا مدخلیّة لقصد الأب فیها أصلا، إذ لیست بحیث أنّ قصد الأب یتحقّق شرعا و إلّا فلا، بل موقوفة علی صحّة عقد البنت، فإن ثبت ثبت الحلّیة و إن لم یقصدها الأب، بل و إن قصد عدمها أیضا، فإنّ الحلّیة ثابتة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یثبت صحّة العقد لم تثبت الحلّیة، سواء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قصدها الأب أم لا، أو قصد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فالعبرة بصحّة العقد علی البنت، لا قصد الأب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فی صحّة العقد و حلّیة النظر إلی الأمّ معا، و أنّه لا یحلّ النظر إلی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بثبوت صحّة العقد، دور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العقد عبارة عن تحقّق الأثر بین طرفی العقد، و هما هنا المتمتّع و المتمتّع بها، لا أنّها عبارة عن تحقّق الأثر بین أحد طرفی العقد خاصّة و أمر خارج عن العقد أجنبی بالنظر إلیه و لا یکون بینهما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ظهر فساد الاستدلال علی صحّة هذا العقد بعموم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822"/>
      </w:r>
      <w:r>
        <w:rPr>
          <w:rFonts w:ascii="Amiri" w:hAnsi="Amiri" w:eastAsia="Amiri" w:cs="Amiri"/>
          <w:color w:val="111111"/>
          <w:sz w:val="28"/>
          <w:sz w:val="28"/>
          <w:szCs w:val="28"/>
          <w:rtl w:val="true"/>
          <w:lang w:bidi="ar-SA"/>
        </w:rPr>
        <w:t xml:space="preserve">، و قوله تعالی وَ أَوْفُوا بِالْعَهْدِ </w:t>
      </w:r>
      <w:r>
        <w:rPr>
          <w:rStyle w:val="FootnoteAnchor"/>
          <w:rtl w:val="true"/>
        </w:rPr>
        <w:footnoteReference w:id="823"/>
      </w:r>
      <w:r>
        <w:rPr>
          <w:rFonts w:ascii="IRNazanin" w:hAnsi="IRNazanin" w:eastAsia="IRNazanin"/>
          <w:color w:val="111111"/>
          <w:sz w:val="28"/>
          <w:sz w:val="28"/>
          <w:szCs w:val="28"/>
          <w:rtl w:val="true"/>
          <w:lang w:bidi="fa-IR"/>
        </w:rPr>
        <w:t>، فإنّ الکلام الّذی لیس معناه مقصودا لیس بعقد و لا عهد، سیّما إذا لم یکن تحقّق أثر حادث من جهتها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الأمر بالوفاء تکلیف، و التکلیف لا یکون إلّا فی الأفعال الاختیاریّة، و الصحّة الّتی ثبتت من الآیتین لا تثبت إلّا من هذین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الصحّة لا تثبت إلّا فی الفعل الاختیاری للعاقد الّذی أوقع عقده علیه، و لیس فیما نحن فیه فعل اختیاری للأب أوقع عقده علیه و أمکنه الوفاء و عدم الوفاء، إلّا أنّه أمر شرعی بالوفاء، فتثبت الصحّة من جهة هذا الأمر، و تتبعه و تتفرّع علیه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ظهر فساد الاستدلال بما ورد فی غیر واحد من الأخبار من أنّ الأب إذا زوّج ابنته الصغیرة أو ولده الصغیر و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 ممّا یدلّ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صحّة عقد الأب مطلقا </w:t>
      </w:r>
      <w:r>
        <w:rPr>
          <w:rStyle w:val="FootnoteAnchor"/>
          <w:rtl w:val="true"/>
        </w:rPr>
        <w:footnoteReference w:id="824"/>
      </w:r>
      <w:r>
        <w:rPr>
          <w:rFonts w:ascii="IRNazanin" w:hAnsi="IRNazanin" w:eastAsia="IRNazanin"/>
          <w:color w:val="111111"/>
          <w:sz w:val="28"/>
          <w:sz w:val="28"/>
          <w:szCs w:val="28"/>
          <w:rtl w:val="true"/>
          <w:lang w:bidi="fa-IR"/>
        </w:rPr>
        <w:t>، فإنّه یشمل ما نحن فیه، و ذلک لأنّ التزویج عقد و عهد بلا شبهة، و قد عرفت الحال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فی جلّ تلک الأخبار قرینة واضحة علی إرادة خصوص الدوام، و الشاذّ الّذی لیس فیه قرینة معلوم أنّ الإطلاق ینصرف إلی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أنّک إذا سمعت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زوّج بنته الصغیرة و أطلق، لم یتبادر إلی ذهنک سوی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أنّ لفظ التزویج المطلق الغیر المقیّد بمدّة لا ینصرف إلّا إلی الدوام، و لذا لو أوقع العقد کذلک لم ینصرف إلّا إلی ذلک، کما هو المشهور و ورد فی الخبرین المفتی بهما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ظهر بما ذکرناه أنّ الحکم بصحّة هذا العقد مشکل، بل الحکم بالفساد أولی، إلّا أنّ الأحوط أن لا یتزوّج الزوج أمّ البنت أبدا، بل لا یترک هذا الاحتیاط، لأنّ أمر الفرج شدید، و منه یکون الولد، فاحتط</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الرسالة</w:t>
      </w:r>
      <w:r>
        <w:rPr>
          <w:rFonts w:eastAsia="Amiri" w:cs="Amiri" w:ascii="Amiri" w:hAnsi="Amiri"/>
          <w:color w:val="111111"/>
          <w:sz w:val="28"/>
          <w:szCs w:val="28"/>
          <w:rtl w:val="true"/>
          <w:lang w:bidi="ar-SA"/>
        </w:rPr>
        <w:t>.</w:t>
      </w:r>
      <w:bookmarkStart w:id="242" w:name="pg2526_25597"/>
    </w:p>
    <w:p>
      <w:pPr>
        <w:pStyle w:val="BookText"/>
        <w:rPr/>
      </w:pPr>
      <w:bookmarkEnd w:id="2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Heading2"/>
        <w:numPr>
          <w:ilvl w:val="1"/>
          <w:numId w:val="1"/>
        </w:numPr>
        <w:rPr/>
      </w:pPr>
      <w:bookmarkStart w:id="243" w:name="__RefHeading___Toc4328032_3804643083"/>
      <w:bookmarkStart w:id="244" w:name="_Toc91"/>
      <w:bookmarkEnd w:id="243"/>
      <w:r>
        <w:rPr>
          <w:rtl w:val="true"/>
        </w:rPr>
        <w:t>رسالة فی القرض بشرط المعاملة المحاباتیّة</w:t>
      </w:r>
      <w:bookmarkEnd w:id="24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4328034_3804643083"/>
      <w:bookmarkStart w:id="246" w:name="_Toc92"/>
      <w:bookmarkEnd w:id="245"/>
      <w:r>
        <w:rPr>
          <w:rtl w:val="true"/>
        </w:rPr>
        <w:t>اشارة</w:t>
      </w:r>
      <w:bookmarkEnd w:id="24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بسم اللّه الرحمن الرحیم و به نستعین الحمد للّه ربّ العالمین، و صلّی اللّه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امددنی و أیّدنی و سدّدنی و وفّقنی لما تحبّ و ترضی بمحمّد و آله المعصومین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جمعا من علماء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اعتقدوا حلّیة القرض بشرط المعاملة المحاباتیّة، و مرادی منها هنا أن یبیع المقرض من المقترض بأزید من ثمن المثل أو یشری منه بأنقص منه، أو یؤجر بأزید من اجرة المثل، أو یستأجر منه بأنقص منها، أو یصالح کذلک، أو یعاوض کذلک، أو یملک منه عینا أو منفعة بعقد هبة أو غیره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ادّعی بعضهم عدم الخلاف بین الشیعة فی هذه الحلّیة، و أنّ الخلاف فیها من العامّة </w:t>
      </w:r>
      <w:r>
        <w:rPr>
          <w:rStyle w:val="FootnoteAnchor"/>
          <w:rtl w:val="true"/>
        </w:rPr>
        <w:footnoteReference w:id="826"/>
      </w:r>
      <w:r>
        <w:rPr>
          <w:rFonts w:ascii="IRNazanin" w:hAnsi="IRNazanin" w:eastAsia="IRNazanin"/>
          <w:color w:val="111111"/>
          <w:sz w:val="28"/>
          <w:sz w:val="28"/>
          <w:szCs w:val="28"/>
          <w:rtl w:val="true"/>
          <w:lang w:bidi="fa-IR"/>
        </w:rPr>
        <w:t>، و بهذا السبب شاعت هذه المعاملة و ذاعت، بحیث لا یرون فیها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منعا و لا کراهة، و لا ریبة و لا شبهة، و لا یحتاطون أصلا و مطلقا، و إن کان دیدنهم التجنّب عن الشبهة، مثل أنّهم لا یشربون التتن فی الصوم، و إن کان الصوم مستحبّا، و ترک الشرب مضرّا فی الجملة، مع کون ترکهم إیّاه فی غایة المشقّة، و یورث اختلال دماغ و تشویش ذهن بالنسبة إلی الصلاة و غیرها من العبادات، هذه و غیرها من الشبهات الّتی هی أدون منها شبهة، و ربّما کان الأمر فیها فی غایة السهولة، و لا یحتاطون فی القرض المذکور و 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درهما من الربا أشدّ عند اللّه من سبعین زنیة کلّها بذات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الامّ و الأخت و الخالة و العمّة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جوف الکعبة </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التهدیدات البالغة و التخویفات الهائلة، حتّی أنه تعالی فی القرآن ما اکتفی بتحذیر، أو تحذیرین، أو ثلاثة، أو أربعة، أو خمسة، أو ستّة، بل الّذی عثرت علیه سبع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تحذیراته فیها، فَإِنْ لَمْ تَفْعَلُوا فَأْذَنُوا بِحَرْبٍ مِنَ اللّٰهِ وَ رَسُولِهِ </w:t>
      </w:r>
      <w:r>
        <w:rPr>
          <w:rStyle w:val="FootnoteAnchor"/>
          <w:rtl w:val="true"/>
        </w:rPr>
        <w:footnoteReference w:id="828"/>
      </w:r>
      <w:r>
        <w:rPr>
          <w:rFonts w:ascii="Amiri" w:hAnsi="Amiri" w:eastAsia="Amiri" w:cs="Amiri"/>
          <w:color w:val="111111"/>
          <w:sz w:val="28"/>
          <w:sz w:val="28"/>
          <w:szCs w:val="28"/>
          <w:rtl w:val="true"/>
          <w:lang w:bidi="ar-SA"/>
        </w:rPr>
        <w:t xml:space="preserve">، و منها وَ مَنْ عٰادَ فَأُولٰئِکَ أَصْحٰابُ النّٰارِ هُمْ فِیهٰا خٰالِدُونَ </w:t>
      </w:r>
      <w:r>
        <w:rPr>
          <w:rStyle w:val="FootnoteAnchor"/>
          <w:rtl w:val="true"/>
        </w:rPr>
        <w:footnoteReference w:id="829"/>
      </w:r>
      <w:r>
        <w:rPr>
          <w:rFonts w:ascii="Amiri" w:hAnsi="Amiri" w:eastAsia="Amiri" w:cs="Amiri"/>
          <w:color w:val="111111"/>
          <w:sz w:val="28"/>
          <w:sz w:val="28"/>
          <w:szCs w:val="28"/>
          <w:rtl w:val="true"/>
          <w:lang w:bidi="ar-SA"/>
        </w:rPr>
        <w:t xml:space="preserve">، و منها وَ اللّٰهُ لٰا یُحِبُّ کُلَّ کَفّٰارٍ أَثِیمٍ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الّتی فی السنة، فهی أکثر من أن تحصی، مثل 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أکل الربا ملأ اللّه 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جهنّم بقدر ما أکل، و إن حصل منه بغیر أکل ما قبل اللّه منه عملا، و یکون دائما فی لعنة اللّه و الملائکة ما دام معه قیراط منه</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 و ما 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هلاک بلد أظهر فیه الربا</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 xml:space="preserve">، و غیر ذلک </w:t>
      </w:r>
      <w:r>
        <w:rPr>
          <w:rStyle w:val="FootnoteAnchor"/>
          <w:rtl w:val="true"/>
        </w:rPr>
        <w:footnoteReference w:id="833"/>
      </w:r>
      <w:r>
        <w:rPr>
          <w:rFonts w:ascii="IRNazanin" w:hAnsi="IRNazanin" w:eastAsia="IRNazanin"/>
          <w:color w:val="111111"/>
          <w:sz w:val="28"/>
          <w:sz w:val="28"/>
          <w:szCs w:val="28"/>
          <w:rtl w:val="true"/>
          <w:lang w:bidi="fa-IR"/>
        </w:rPr>
        <w:t xml:space="preserve">، حتّی ورد أنّ الکاتب و الشاهد و المعطی و المعطی شرکاء فی الملعونیّة، و أنّ اللّه تعالی لعنهم </w:t>
      </w:r>
      <w:r>
        <w:rPr>
          <w:rStyle w:val="FootnoteAnchor"/>
          <w:rtl w:val="true"/>
        </w:rPr>
        <w:footnoteReference w:id="834"/>
      </w:r>
      <w:r>
        <w:rPr>
          <w:rFonts w:ascii="IRNazanin" w:hAnsi="IRNazanin" w:eastAsia="IRNazanin"/>
          <w:color w:val="111111"/>
          <w:sz w:val="28"/>
          <w:sz w:val="28"/>
          <w:szCs w:val="28"/>
          <w:rtl w:val="true"/>
          <w:lang w:bidi="fa-IR"/>
        </w:rPr>
        <w:t xml:space="preserve">، و ورد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للربا فی هذه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دبیب</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أخفی من دبیب النمل</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 xml:space="preserve">، و ورد أنّ اللّه تعالی قد عظّم أمر الربا و أکثر و بالغ لأجل حصول المعروف بین الناس، و قرض الحسنة، و بفتح هذا الباب انسدّ باب المعروف بالکلّیة، و اندرس بالمرّة، حتّی لا یوجد رسمه و لا یسمع اسمه </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و ستعرف بعضا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فقهاءنا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بأجمعهم صرّحوا بأنّ القرض بشرط النفع حرام، مطلقین للفظ النفع، غیر مقیّدین بما إذا لم تکن المعاملة محاباتیّة </w:t>
      </w:r>
      <w:r>
        <w:rPr>
          <w:rStyle w:val="FootnoteAnchor"/>
          <w:rtl w:val="true"/>
        </w:rPr>
        <w:footnoteReference w:id="838"/>
      </w:r>
      <w:r>
        <w:rPr>
          <w:rFonts w:ascii="IRNazanin" w:hAnsi="IRNazanin" w:eastAsia="IRNazanin"/>
          <w:color w:val="111111"/>
          <w:sz w:val="28"/>
          <w:sz w:val="28"/>
          <w:szCs w:val="28"/>
          <w:rtl w:val="true"/>
          <w:lang w:bidi="fa-IR"/>
        </w:rPr>
        <w:t xml:space="preserve">، مثل البیع بغیر ثمن المثل، أو الإجارة کذلک، أو غیر ذلک، مثل الهبة و العاریة و غیرهما، بل و خصّصوا الحلّیة بصورة التبرّع لیس إلّا، و اتّفقت عباراتهم علی هذا، و لم تختلف مقالاتهم فیه أصلا و رأسا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جمع منهم صرّحوا بعدم التقیید و التخصیص </w:t>
      </w:r>
      <w:r>
        <w:rPr>
          <w:rStyle w:val="FootnoteAnchor"/>
          <w:rtl w:val="true"/>
        </w:rPr>
        <w:footnoteReference w:id="840"/>
      </w:r>
      <w:r>
        <w:rPr>
          <w:rFonts w:ascii="IRNazanin" w:hAnsi="IRNazanin" w:eastAsia="IRNazanin"/>
          <w:color w:val="111111"/>
          <w:sz w:val="28"/>
          <w:sz w:val="28"/>
          <w:szCs w:val="28"/>
          <w:rtl w:val="true"/>
          <w:lang w:bidi="fa-IR"/>
        </w:rPr>
        <w:t>، أو ظهر منهم ظهورا واضحا أنّ القرض بشرط تلک المعاملة حرام،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 xml:space="preserve">و غیره أیضا، و المحقّق فی رسالته </w:t>
      </w:r>
      <w:r>
        <w:rPr>
          <w:rStyle w:val="FootnoteAnchor"/>
          <w:rtl w:val="true"/>
        </w:rPr>
        <w:footnoteReference w:id="842"/>
      </w:r>
      <w:r>
        <w:rPr>
          <w:rFonts w:ascii="IRNazanin" w:hAnsi="IRNazanin" w:eastAsia="IRNazanin"/>
          <w:color w:val="111111"/>
          <w:sz w:val="28"/>
          <w:sz w:val="28"/>
          <w:szCs w:val="28"/>
          <w:rtl w:val="true"/>
          <w:lang w:bidi="fa-IR"/>
        </w:rPr>
        <w:t xml:space="preserve">، و یظهر ذلک منه من کلام العلّامة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غیرهم أیضا، مثل الفقهاء و المحدّثین الّذین حملوا صحیحة یعقوب بن شعیب </w:t>
      </w:r>
      <w:r>
        <w:rPr>
          <w:rStyle w:val="FootnoteAnchor"/>
          <w:rtl w:val="true"/>
        </w:rPr>
        <w:footnoteReference w:id="844"/>
      </w:r>
      <w:r>
        <w:rPr>
          <w:rFonts w:ascii="IRNazanin" w:hAnsi="IRNazanin" w:eastAsia="IRNazanin"/>
          <w:color w:val="111111"/>
          <w:sz w:val="28"/>
          <w:sz w:val="28"/>
          <w:szCs w:val="28"/>
          <w:rtl w:val="true"/>
          <w:lang w:bidi="fa-IR"/>
        </w:rPr>
        <w:t>علی الشرط، و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أیضا من العلّامة فی بعض کتبه،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 xml:space="preserve">، و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 و الفاضل المحقّق أبو طالب الحسینی فی رسالته الفارسیّة فی حرمة الربا صرّح فیها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المحقّق الشیخ علی أیضا فی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یظهر منه موافقته للمصنّف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مولانا المقدّس الأردبیلی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 xml:space="preserve">، و الشیخ مفلح أیضا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الشروح المذکورة، و من الرسالة عدم کون ذلک خلافیّا، إذ لو 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خلافیّا لتعرّضوا له کما تعرّضوا لسائر الخلافات النادرة فی ذلک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المطّلع علی طریقتهم، و المتأمّل فی کلامهم یظهر له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علیه، ما سنذکر من حمل الفقهاء صحیحة یعقوب بن شعیب علی صورة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یؤیّد أیضا، أنّهم ذکروا الحیلة لجعل المدّة فی القرض لازمة بأن تجعل شرطا فی عقد لازم </w:t>
      </w:r>
      <w:r>
        <w:rPr>
          <w:rStyle w:val="FootnoteAnchor"/>
          <w:rtl w:val="true"/>
        </w:rPr>
        <w:footnoteReference w:id="852"/>
      </w:r>
      <w:r>
        <w:rPr>
          <w:rFonts w:ascii="IRNazanin" w:hAnsi="IRNazanin" w:eastAsia="IRNazanin"/>
          <w:color w:val="111111"/>
          <w:sz w:val="28"/>
          <w:sz w:val="28"/>
          <w:szCs w:val="28"/>
          <w:rtl w:val="true"/>
          <w:lang w:bidi="fa-IR"/>
        </w:rPr>
        <w:t>، و لم یتعرّض واحد منهم لذلک بالنسبة إلی النفع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یؤیّد </w:t>
      </w:r>
      <w:r>
        <w:rPr>
          <w:rStyle w:val="FootnoteAnchor"/>
          <w:rtl w:val="true"/>
        </w:rPr>
        <w:footnoteReference w:id="853"/>
      </w:r>
      <w:r>
        <w:rPr>
          <w:rFonts w:ascii="IRNazanin" w:hAnsi="IRNazanin" w:eastAsia="IRNazanin"/>
          <w:color w:val="111111"/>
          <w:sz w:val="28"/>
          <w:sz w:val="28"/>
          <w:szCs w:val="28"/>
          <w:rtl w:val="true"/>
          <w:lang w:bidi="fa-IR"/>
        </w:rPr>
        <w:t>أیضا، أنّ غیر المصرّحین و المظهرین لم یذکروا لهم اصطلاحا فی لفظ النفع فی المقام، و لم یشر إلی ذلک غیرهم أیضا، بل لا شکّ فی أنّهم ما غیّروا لغتهم فیه و لا أحدثوا اصطلاحا أصلا فی ذلک، مع أنّهم یسمّون المعاملة محاباة، و المحاباة بعینها منفعة، مع أنّهم فی کتاب الربا یذکرون الحیلة، و فی کتاب القرض اتّفقوا علی الحکم بالتحریم مطلقا، و استثنوا صورة التبرّع خاصّة، من دون تعرّض إلی حیلة اخری، و ذلک لأنّهم فی حیلة الربا یشترطون أن لا تقع مشارطة فیها، و لا یبقی سوی التبرّع</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أنّ المظهرین و المصرّحین فی کتبهم المختصرة وافقوا غیرهم فی الإطلاق المذکور، فعلم أنّ مرادهم ما یطلق علیه لفظ النفع لغة و عرفا مطلقا، لأنّ الأصل حمل اللفظ علی حقیقته و حمل المطلق علی إطلاقه، سیّما کلام الفقیه فی مقام فتواه، إذ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ما هو نفع عند الناس، حیث ما ینبّه علی خلاف ذلک، خصوصا مع اتّفاق کلّهم فی مقام الفتوی علی الإطلاق إلّا قلیلا منهم، و ذلک القلیل أیضا صرّح بالعموم و الشمول لتلک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المعاملة، و الشرّاح صدر منهم ما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ممّا مرّ و سیجی‌ء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المعاملة المحاباتیّة نفع عند الناس، فاستعلم الحال منهم، و لا شکّ فی أنّ ما یجعل الفلس ألف تومان أو آلاف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نفعا، فلو کان قرض مائة ألف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فلس یکون حراما، لکون الفلس نفعا، بل و نصف الفلس أو عشرة، فکیف لو أقرض مائة ألف تومان بشرط أن یهب عشرین ألف تومان أو یشتری فلسا منه بعشرین ألف تومان أو أزید لا یکون قرضا بشرط نفع بحسب العرف و اللغة، و یکون </w:t>
      </w:r>
      <w:r>
        <w:rPr>
          <w:rStyle w:val="FootnoteAnchor"/>
          <w:rtl w:val="true"/>
        </w:rPr>
        <w:footnoteReference w:id="855"/>
      </w:r>
      <w:r>
        <w:rPr>
          <w:rFonts w:ascii="IRNazanin" w:hAnsi="IRNazanin" w:eastAsia="IRNazanin"/>
          <w:color w:val="111111"/>
          <w:sz w:val="28"/>
          <w:sz w:val="28"/>
          <w:szCs w:val="28"/>
          <w:rtl w:val="true"/>
          <w:lang w:bidi="fa-IR"/>
        </w:rPr>
        <w:t>داخلا فی القرض الخالی عن النفع مطلقا عند أهل العرف و اللغة، و أیّ عاقل یمکنه أن یقول هذا و یدّعیه و یجوّزه؟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تسمیة النفع بالهبة أو المحاباة لا یخرجه عن کونه نفعا، و لا یمنع عن تسمیته بالنفع، إذ لا منافاة بین الإطلاقین و التسمیتین، بل النفع الحرام القطعی ربّما یکون له أسام أخر، و أقلّه أنّه مأخوذ من مسلم بطیب نفسه، أو إعطاء منه بطیب نفسه، و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مال المسلم بطیب النفس منه حلال </w:t>
      </w:r>
      <w:r>
        <w:rPr>
          <w:rStyle w:val="FootnoteAnchor"/>
          <w:rtl w:val="true"/>
        </w:rPr>
        <w:footnoteReference w:id="856"/>
      </w:r>
      <w:r>
        <w:rPr>
          <w:rFonts w:ascii="IRNazanin" w:hAnsi="IRNazanin" w:eastAsia="IRNazanin"/>
          <w:color w:val="111111"/>
          <w:sz w:val="28"/>
          <w:sz w:val="28"/>
          <w:szCs w:val="28"/>
          <w:rtl w:val="true"/>
          <w:lang w:bidi="fa-IR"/>
        </w:rPr>
        <w:t>، و لم یشترط فی النفع الحرام أن لا یکون له اسم آخر و عبارة أخری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القرض لم یقع بشرط نفس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حیث هی هی مع قطع النظر عن نفعها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بشرط نفعها، فالشرط یرجع إلی القید أو المقیّد مع القید لا المقیّد فقط، و 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شرط النفع حرم، أعمّ من أن یکون النفع منضما 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شی‌ء أم لا، و کذا </w:t>
      </w:r>
      <w:r>
        <w:rPr>
          <w:rStyle w:val="FootnoteAnchor"/>
          <w:rtl w:val="true"/>
        </w:rPr>
        <w:footnoteReference w:id="857"/>
      </w:r>
      <w:r>
        <w:rPr>
          <w:rFonts w:ascii="IRNazanin" w:hAnsi="IRNazanin" w:eastAsia="IRNazanin"/>
          <w:color w:val="111111"/>
          <w:sz w:val="28"/>
          <w:sz w:val="28"/>
          <w:szCs w:val="28"/>
          <w:rtl w:val="true"/>
          <w:lang w:bidi="fa-IR"/>
        </w:rPr>
        <w:t xml:space="preserve">انضمام النفع الحرام القطعیّ بشی‌ء لا یجعله حلالا، و لو کان الشرط راجعا إلی خصوص المقیّد من دون اعتبار القید فی الشرط أصلا یکون حلالا عند العلّامة </w:t>
      </w:r>
      <w:r>
        <w:rPr>
          <w:rStyle w:val="FootnoteAnchor"/>
          <w:rtl w:val="true"/>
        </w:rPr>
        <w:footnoteReference w:id="858"/>
      </w:r>
      <w:r>
        <w:rPr>
          <w:rFonts w:ascii="IRNazanin" w:hAnsi="IRNazanin" w:eastAsia="IRNazanin"/>
          <w:color w:val="111111"/>
          <w:sz w:val="28"/>
          <w:sz w:val="28"/>
          <w:szCs w:val="28"/>
          <w:rtl w:val="true"/>
          <w:lang w:bidi="fa-IR"/>
        </w:rPr>
        <w:t xml:space="preserve">، و عندی، لما حقّقته فی حاشیتی علی شرح مولانا الأردبیلی رحمه اللّه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یقول بحرمة شرط مطلق المنفعة،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أیضا، اتّفاقهم علی أنّ الشرط فی المعاملة جزء العوض </w:t>
      </w:r>
      <w:r>
        <w:rPr>
          <w:rStyle w:val="FootnoteAnchor"/>
          <w:rtl w:val="true"/>
        </w:rPr>
        <w:footnoteReference w:id="860"/>
      </w:r>
      <w:r>
        <w:rPr>
          <w:rFonts w:ascii="IRNazanin" w:hAnsi="IRNazanin" w:eastAsia="IRNazanin"/>
          <w:color w:val="111111"/>
          <w:sz w:val="28"/>
          <w:sz w:val="28"/>
          <w:szCs w:val="28"/>
          <w:rtl w:val="true"/>
          <w:lang w:bidi="fa-IR"/>
        </w:rPr>
        <w:t>، فثمن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عشرین تومانا بشرط هبة بستان معیّن أو مصالحة بدرهم، أو شرائه به، لم یکن الثمن مجرّد عشرین، بل هو مع الشرط جمیعا ثمن، و هکذا الحال فی النکاح و الصلح و غیرهما، حتّی أنّهم فی الحیل الشرعیّة للتخلّص عن الربا صرّحوا بأن لا یجعل هبة الزائد و غیرها شرطا، و علّلوا بأنّ الشرط جزء العوض، فیلزم المحذور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مرادهم من الربا ما یشمل القرض بشرط المنفعة، فهو صریح فیما ذکرنا، و إلّا فهو أیضا کالصریح </w:t>
      </w:r>
      <w:r>
        <w:rPr>
          <w:rStyle w:val="FootnoteAnchor"/>
          <w:rtl w:val="true"/>
        </w:rPr>
        <w:footnoteReference w:id="862"/>
      </w:r>
      <w:r>
        <w:rPr>
          <w:rFonts w:ascii="IRNazanin" w:hAnsi="IRNazanin" w:eastAsia="IRNazanin"/>
          <w:color w:val="111111"/>
          <w:sz w:val="28"/>
          <w:sz w:val="28"/>
          <w:szCs w:val="28"/>
          <w:rtl w:val="true"/>
          <w:lang w:bidi="fa-IR"/>
        </w:rPr>
        <w:t>، لاتّفاقهم جمیعا فی مبحث الربا علی ذکر التخلّص المذکور، و اتّفاقهم جمیعا فی عدم الذکر فی القرض، بل ذکر المنع مطلقا، و تخصیص الحلّیة بصورة التبرّع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هذا، مع أنّ الحلال واحد، إذ لا وجه للزوم المحذور لو جعل شرطا هناک و عدم اللزوم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ها هنا 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یکون قرض؟ فإنّ الّذی یعطیه القرض یرید عوضه، بل المشهور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یمکنه أخذ عین ماله و إن کانت موجودة </w:t>
      </w:r>
      <w:r>
        <w:rPr>
          <w:rStyle w:val="FootnoteAnchor"/>
          <w:rtl w:val="true"/>
        </w:rPr>
        <w:footnoteReference w:id="863"/>
      </w:r>
      <w:r>
        <w:rPr>
          <w:rFonts w:ascii="IRNazanin" w:hAnsi="IRNazanin" w:eastAsia="IRNazanin"/>
          <w:color w:val="111111"/>
          <w:sz w:val="28"/>
          <w:sz w:val="28"/>
          <w:szCs w:val="28"/>
          <w:rtl w:val="true"/>
          <w:lang w:bidi="fa-IR"/>
        </w:rPr>
        <w:t xml:space="preserve">، و غیر المشهور، و إن کان یجوّز ذلک </w:t>
      </w:r>
      <w:r>
        <w:rPr>
          <w:rStyle w:val="FootnoteAnchor"/>
          <w:rtl w:val="true"/>
        </w:rPr>
        <w:footnoteReference w:id="864"/>
      </w:r>
      <w:r>
        <w:rPr>
          <w:rFonts w:ascii="IRNazanin" w:hAnsi="IRNazanin" w:eastAsia="IRNazanin"/>
          <w:color w:val="111111"/>
          <w:sz w:val="28"/>
          <w:sz w:val="28"/>
          <w:szCs w:val="28"/>
          <w:rtl w:val="true"/>
          <w:lang w:bidi="fa-IR"/>
        </w:rPr>
        <w:t>، إلّا أنّه یجعل طلب العین فسخ المعاملة، من جهة أنّ المعاملة لیست بلازمة، و ذکروا صیغة القرض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أقرضک کذا،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 علیک ردّ عوضه،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بمثله،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أنّک عرفت أنّ جمعا کثیرا من الفقهاء قالوا بأنّ القرض بشرط تلک المعاملة حرام </w:t>
      </w:r>
      <w:r>
        <w:rPr>
          <w:rStyle w:val="FootnoteAnchor"/>
          <w:rtl w:val="true"/>
        </w:rPr>
        <w:footnoteReference w:id="865"/>
      </w:r>
      <w:r>
        <w:rPr>
          <w:rFonts w:ascii="IRNazanin" w:hAnsi="IRNazanin" w:eastAsia="IRNazanin"/>
          <w:color w:val="111111"/>
          <w:sz w:val="28"/>
          <w:sz w:val="28"/>
          <w:szCs w:val="28"/>
          <w:rtl w:val="true"/>
          <w:lang w:bidi="fa-IR"/>
        </w:rPr>
        <w:t>، فالباقون من الفقهاء إن کانوا مخالفین لهم فی ذلک، فکیف یمکنهم الحکم بحرمة شرط مطلق النفع من دون تقیید بعدم تلک المعاملة و لا تعرّض أصلا، سیّما و أن یتّفقوا علی ذلک، و خصوصا بعد ملاحظة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 ربّما یحکمون بحرمة اشتراط الرهن علی دین آخر، أو الکفیل أو الضامن أو الاستقراض أو البیع بثمن المثل، و أمثال ذلک </w:t>
      </w:r>
      <w:r>
        <w:rPr>
          <w:rStyle w:val="FootnoteAnchor"/>
          <w:rtl w:val="true"/>
        </w:rPr>
        <w:footnoteReference w:id="866"/>
      </w:r>
      <w:r>
        <w:rPr>
          <w:rFonts w:ascii="IRNazanin" w:hAnsi="IRNazanin" w:eastAsia="IRNazanin"/>
          <w:color w:val="111111"/>
          <w:sz w:val="28"/>
          <w:sz w:val="28"/>
          <w:szCs w:val="28"/>
          <w:rtl w:val="true"/>
          <w:lang w:bidi="fa-IR"/>
        </w:rPr>
        <w:t>، و هذا ینادی ببقاء الإطلاق فی کلامهم علی حاله، و أنّه یشمل العقود، لأنّ کلّ واحد من الکفالة و الضمان و أمثالهما عقد، فضلا عن البیع، و ینادی أیضا بأنّهم یحرّمون شرط تلک المعاملة أیضا، بل بطریق أولی بمراتب</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الهبة و غیرها من العقود الجائزة لا تنحصر صیغتها 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و ما أفاد مفاده أیضا هبة، فلا یبقی ربا 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عند هؤلاء الأعلام، بمقتضی ما یلزمهم من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یؤیّد الإطلاق، أنّ المحقّق رحمه اللّه و بعض من وافقه لا یرضون بالمعاملة المحاباتیّة بشرط القرض، کما سنذکر </w:t>
      </w:r>
      <w:r>
        <w:rPr>
          <w:rStyle w:val="FootnoteAnchor"/>
          <w:rtl w:val="true"/>
        </w:rPr>
        <w:footnoteReference w:id="867"/>
      </w:r>
      <w:r>
        <w:rPr>
          <w:rFonts w:ascii="IRNazanin" w:hAnsi="IRNazanin" w:eastAsia="IRNazanin"/>
          <w:color w:val="111111"/>
          <w:sz w:val="28"/>
          <w:sz w:val="28"/>
          <w:szCs w:val="28"/>
          <w:rtl w:val="true"/>
          <w:lang w:bidi="fa-IR"/>
        </w:rPr>
        <w:t>، و مع ذلک فی مبحث القرض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شرط النفع حرم،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بعضهم ذکر من جملة الحیل فی الربا ضمّ الضمیمة </w:t>
      </w:r>
      <w:r>
        <w:rPr>
          <w:rStyle w:val="FootnoteAnchor"/>
          <w:rtl w:val="true"/>
        </w:rPr>
        <w:footnoteReference w:id="868"/>
      </w:r>
      <w:r>
        <w:rPr>
          <w:rFonts w:ascii="IRNazanin" w:hAnsi="IRNazanin" w:eastAsia="IRNazanin"/>
          <w:color w:val="111111"/>
          <w:sz w:val="28"/>
          <w:sz w:val="28"/>
          <w:szCs w:val="28"/>
          <w:rtl w:val="true"/>
          <w:lang w:bidi="fa-IR"/>
        </w:rPr>
        <w:t>، فلم لا یجوز ذلک فی القرض؟</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ضمّها هناک لأجل الخروج عن المثلیّة، و فی المقام یحرم المثل و غیر المثل لو کان زیادة، مع أنّ الضمیمة هناک تجعل جزء العوض الواحد فی المعاملة الواحدة، فالثمن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توأمین فضّة و فلس، و المبیع عشرین تومانا فضّة، فلو جعل الثمن عشر توأمین بشرط أن یعطی عشر توأمین أخر بإزاء فلس، یکون حراما عندهم، لأنّ المبیع لیس مجرّد عشر توأمین مطلقا، بل مشروطا بمعاملة أخری، فیکون المجموع عوضا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جعل ذلک معاملتین فی صیغة واحدة یجوز ذلک عندهم، لو لم تکن إحداهما شرطا للأخری، و لا یتحقّق سفاهة أیضا، إذ مع السفاهة تکون المعاملة باطلة، و هذا یتحقّق فی القرض أیضا، و لو جعل کلّ واحد من العشر توأمین و الفلس عوضا مستقلّا بإزاء عوض واحد و هو عشرون تومانا، یکون هذا أیضا حراما عندهم، لأنّ بناء هذا التقسیط بالنسبة إلی القیمة السوقیّة،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ثمَّ اعلم أنّ الحیلة الشرعیّة إنّما هو متحقّق بالنسبة إلی موضوعات الأحکام لا نفس الأحکام، لأنّها علی حسب ما حکم به الشارع، فأیّ حیلة لنا فیها؟</w:t>
      </w:r>
    </w:p>
    <w:p>
      <w:pPr>
        <w:pStyle w:val="BookText"/>
        <w:rPr/>
      </w:pPr>
      <w:r>
        <w:rPr>
          <w:rFonts w:ascii="IRNazanin" w:hAnsi="IRNazanin" w:eastAsia="IRNazanin"/>
          <w:color w:val="111111"/>
          <w:sz w:val="28"/>
          <w:sz w:val="28"/>
          <w:szCs w:val="28"/>
          <w:rtl w:val="true"/>
          <w:lang w:bidi="fa-IR"/>
        </w:rPr>
        <w:t>فالنفع المحرّم فی القرض بحسب الشرع لو کان أعمّ من المعاملة المحاباتیّة فأیّ حیلة لنا فیه؟ و النفع لو کان مختصّا بغیره فکیف یکون المعاملة حیلة؟ بل هی أمر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عرفت ممّا ذکرنا أنّ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یحرّمون القرض المذکور، و یؤکّد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دیدنهم التعرّض للاحتمالات و إن کانت بعیدة، و الفروض و إن کانت نادرة، بل ربّما کان مجرّد فرض الفقیه، فکیف اتّفقوا غایة الاتّفاق فی عدم التعرّض للقید أصلا، بل و إظهار خلاف ذلک، سیّما بالنحو الّذی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یؤیّد، أنّه وقع منهم اختلاف فی بعض المواقع </w:t>
      </w:r>
      <w:r>
        <w:rPr>
          <w:rStyle w:val="FootnoteAnchor"/>
          <w:rtl w:val="true"/>
        </w:rPr>
        <w:footnoteReference w:id="869"/>
      </w:r>
      <w:r>
        <w:rPr>
          <w:rFonts w:ascii="IRNazanin" w:hAnsi="IRNazanin" w:eastAsia="IRNazanin"/>
          <w:color w:val="111111"/>
          <w:sz w:val="28"/>
          <w:sz w:val="28"/>
          <w:szCs w:val="28"/>
          <w:rtl w:val="true"/>
          <w:lang w:bidi="fa-IR"/>
        </w:rPr>
        <w:t>، و تصریح فی الخلاف، و لم یظهر بالنسبة إلی ما نحن فیه أصلا، بل أظهروا خلاف ذلک،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عدم التحریم، حیث نسب المنع إلی العلّامة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لأنّه بعد ما ذکر أنّ صیغة القرض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 بمثله، أو علیک ردّ عوضه</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اشتراط الزیادة فی العین أو الصفة، ربویّا کان أو غیره </w:t>
      </w:r>
      <w:r>
        <w:rPr>
          <w:rStyle w:val="FootnoteAnchor"/>
          <w:rtl w:val="true"/>
        </w:rPr>
        <w:footnoteReference w:id="871"/>
      </w:r>
      <w:r>
        <w:rPr>
          <w:rFonts w:ascii="IRNazanin" w:hAnsi="IRNazanin" w:eastAsia="IRNazanin"/>
          <w:color w:val="111111"/>
          <w:sz w:val="28"/>
          <w:sz w:val="28"/>
          <w:szCs w:val="28"/>
          <w:rtl w:val="true"/>
          <w:lang w:bidi="fa-IR"/>
        </w:rPr>
        <w:t>، للنهی عن قرض جرّ 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رهنا علی دین آخر أو کفیلا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فللفاضل قولان، أجودهما المنع، و جوّز أن یشترط</w:t>
      </w:r>
      <w:bookmarkStart w:id="247" w:name="pg2526_25609"/>
    </w:p>
    <w:p>
      <w:pPr>
        <w:pStyle w:val="BookText"/>
        <w:rPr/>
      </w:pPr>
      <w:bookmarkEnd w:id="2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علیه إجارة أو بیعا أو إقراضا، إلّا أن یشترط إجارة أو بیعا بدون </w:t>
      </w:r>
      <w:r>
        <w:rPr>
          <w:rStyle w:val="FootnoteAnchor"/>
          <w:rtl w:val="true"/>
        </w:rPr>
        <w:footnoteReference w:id="872"/>
      </w:r>
      <w:r>
        <w:rPr>
          <w:rFonts w:ascii="IRNazanin" w:hAnsi="IRNazanin" w:eastAsia="IRNazanin"/>
          <w:color w:val="111111"/>
          <w:sz w:val="28"/>
          <w:sz w:val="28"/>
          <w:szCs w:val="28"/>
          <w:rtl w:val="true"/>
          <w:lang w:bidi="fa-IR"/>
        </w:rPr>
        <w:t xml:space="preserve">عوض المثل </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نسب </w:t>
      </w:r>
      <w:r>
        <w:rPr>
          <w:rStyle w:val="FootnoteAnchor"/>
          <w:rtl w:val="true"/>
        </w:rPr>
        <w:footnoteReference w:id="874"/>
      </w:r>
      <w:r>
        <w:rPr>
          <w:rFonts w:ascii="IRNazanin" w:hAnsi="IRNazanin" w:eastAsia="IRNazanin"/>
          <w:color w:val="111111"/>
          <w:sz w:val="28"/>
          <w:sz w:val="28"/>
          <w:szCs w:val="28"/>
          <w:rtl w:val="true"/>
          <w:lang w:bidi="fa-IR"/>
        </w:rPr>
        <w:t>تجویز شرط البیع بثمن المثل، و کذا الإجارة و الإقراض إلی العلّامة، فلو کان نسبة التجویز إلیه دلیلا علی عدم ارتضائه، فکیف لا یرضی به و یرضی باشتراط البیع و الإجارة بدون عوض المثل؟ سیما مع حکمه بالمنع من اشتراط الرهن و الکفیل علی دین آخر تفریعا علی عدم جواز اشتراط الزیادة المعلّل بالنهی عن قرض جرّ منفعة، و خصوصا بعد أن ذکر الصیغة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یظهر منه موافقته للمشهور، من تحریم مطلق النفع و أنّ البیع بالمثل و الإجارة کذلک و الإقراض منفعة داخل فی زیادة الصفة، لکن العلّامة لا یجعل مثل ذلک داخلا فیه، و یخصّص المنفعة المحرّمة بإحدی الزیادتین، لکن الکلّ متّفقون علی جواز اشتراط الرهن أو الضامن أو الکفیل علی ذلک القرض، و فی الحقیقة لیس شرطا زائدا، بل هو استئناف رأس المال، و حفظ العوض و المثل من التلف</w:t>
      </w:r>
      <w:r>
        <w:rPr>
          <w:rFonts w:eastAsia="IRNazanin" w:cs="IRNazanin"/>
          <w:color w:val="111111"/>
          <w:sz w:val="28"/>
          <w:szCs w:val="28"/>
          <w:rtl w:val="true"/>
          <w:lang w:bidi="fa-IR"/>
        </w:rPr>
        <w:t>.</w:t>
      </w:r>
    </w:p>
    <w:p>
      <w:pPr>
        <w:pStyle w:val="Heading3"/>
        <w:numPr>
          <w:ilvl w:val="2"/>
          <w:numId w:val="1"/>
        </w:numPr>
        <w:rPr/>
      </w:pPr>
      <w:bookmarkStart w:id="248" w:name="__RefHeading___Toc4328036_3804643083"/>
      <w:bookmarkStart w:id="249" w:name="_Toc93"/>
      <w:bookmarkEnd w:id="248"/>
      <w:r>
        <w:rPr>
          <w:rtl w:val="true"/>
        </w:rPr>
        <w:t>[</w:t>
      </w:r>
      <w:r>
        <w:rPr>
          <w:rtl w:val="true"/>
        </w:rPr>
        <w:t>أخبار تدل علی مطلوب الفقهاء القائلون بالحرمة</w:t>
      </w:r>
      <w:r>
        <w:rPr>
          <w:rtl w:val="true"/>
        </w:rPr>
        <w:t>]</w:t>
      </w:r>
      <w:bookmarkEnd w:id="249"/>
    </w:p>
    <w:p>
      <w:pPr>
        <w:pStyle w:val="Heading4"/>
        <w:numPr>
          <w:ilvl w:val="3"/>
          <w:numId w:val="1"/>
        </w:numPr>
        <w:rPr/>
      </w:pPr>
      <w:bookmarkStart w:id="250" w:name="__RefHeading___Toc4328038_3804643083"/>
      <w:bookmarkStart w:id="251" w:name="_Toc94"/>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 إن اتّفقوا علی الحرمة، لکن لیس اتّفاقهم حجّة ما لم یکشف عن دخول المعصوم علیه السّلام، أو عن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أخبار کثیرة تدلّ علی مطلوبهم</w:t>
      </w:r>
      <w:r>
        <w:rPr>
          <w:rFonts w:eastAsia="IRNazanin" w:cs="IRNazanin"/>
          <w:color w:val="111111"/>
          <w:sz w:val="28"/>
          <w:szCs w:val="28"/>
          <w:rtl w:val="true"/>
          <w:lang w:bidi="fa-IR"/>
        </w:rPr>
        <w:t>.</w:t>
      </w:r>
    </w:p>
    <w:p>
      <w:pPr>
        <w:pStyle w:val="Heading4"/>
        <w:numPr>
          <w:ilvl w:val="3"/>
          <w:numId w:val="1"/>
        </w:numPr>
        <w:rPr/>
      </w:pPr>
      <w:bookmarkStart w:id="252" w:name="__RefHeading___Toc4328040_3804643083"/>
      <w:bookmarkStart w:id="253" w:name="_Toc95"/>
      <w:bookmarkEnd w:id="252"/>
      <w:r>
        <w:rPr>
          <w:rtl w:val="true"/>
        </w:rPr>
        <w:t>منها</w:t>
      </w:r>
      <w:r>
        <w:rPr>
          <w:rtl w:val="true"/>
        </w:rPr>
        <w:t xml:space="preserve">: </w:t>
      </w:r>
      <w:r>
        <w:rPr>
          <w:rtl w:val="true"/>
        </w:rPr>
        <w:t>الصحیح</w:t>
      </w:r>
      <w:r>
        <w:rPr>
          <w:rtl w:val="true"/>
        </w:rPr>
        <w:t>: «</w:t>
      </w:r>
      <w:r>
        <w:rPr>
          <w:rtl w:val="true"/>
        </w:rPr>
        <w:t xml:space="preserve">من أقرض </w:t>
      </w:r>
      <w:r>
        <w:rPr>
          <w:rtl w:val="true"/>
        </w:rPr>
        <w:t>[</w:t>
      </w:r>
      <w:r>
        <w:rPr>
          <w:rtl w:val="true"/>
        </w:rPr>
        <w:t>رجلا</w:t>
      </w:r>
      <w:r>
        <w:rPr>
          <w:rtl w:val="true"/>
        </w:rPr>
        <w:t xml:space="preserve">] </w:t>
      </w:r>
      <w:r>
        <w:rPr>
          <w:rtl w:val="true"/>
        </w:rPr>
        <w:t>ورقا فلا یشترط إلّا مثلها</w:t>
      </w:r>
      <w:bookmarkEnd w:id="25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جوزی بأجود منها فلیقبل، و لا یأخذ أحد منکم رکوب دابّة أو عاریة متاع یشترطه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أجل قرض ورقه</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 فإنّه علیه السّلام نهی عن کلّ شرط سوی شرط عوضه، و أخذ مثله، و حصر الشرط الجائز فیه فقط، و أکّد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أکّد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 خفی أنّ العاریة من العقود و المعاملات، فلا ینفع تسمیته عاریة،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 الدلالة، ما ذکرنا من أنّ الشروط جزء العوضین، بالتقریب الّذی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کیف یجوّز عاقل أنّه إذا أقرض ألف تومان بشرط أن یعطی فوق الألف عشر معشار فلس یکون شرطا زائدا علی ما أقرض فیکون حراما و ربا البتّة، لکن إذا بدّل لفظ یعطی بلفظ یهب و أمثاله لا یکون شرطا زائدا أصلا،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أقرضت ألف تومان بشرط أن تهب خمسین ألف تومان زائدا علی ألف تومان القرض الّذی أقرضت، لا یکون ها هنا شرطا زائدا أصلا و رأسا، و یکون القرض بشرط ردّ نفس ما أقرض خالیا عن شرط زائد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أقرضت الألف بشرط أن تردّه علیّ و تهب لی بعد ذلک خمسین ألف تومان بإزاء فلس منّی یکون لک،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تشتری فلسا منّی بألف ألف تومان، و یشترط </w:t>
      </w:r>
      <w:r>
        <w:rPr>
          <w:rStyle w:val="FootnoteAnchor"/>
          <w:rtl w:val="true"/>
        </w:rPr>
        <w:footnoteReference w:id="876"/>
      </w:r>
      <w:r>
        <w:rPr>
          <w:rFonts w:ascii="IRNazanin" w:hAnsi="IRNazanin" w:eastAsia="IRNazanin"/>
          <w:color w:val="111111"/>
          <w:sz w:val="28"/>
          <w:sz w:val="28"/>
          <w:szCs w:val="28"/>
          <w:rtl w:val="true"/>
          <w:lang w:bidi="fa-IR"/>
        </w:rPr>
        <w:t>ذلک فی عقد القرض، هذا و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أضعافه بمراتب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جمیع ذلک قرضا خالیا عن شرط زائد علی شرط ردّ نفس مال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المجنون لا یرضی بذلک، فضلا عن العاقل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ما عرفت من عدم الفرق بین لفظ یعطی و لفظ یهب، لا عند الفقهاء و لا بحسب الواقع، فیکون الربا عند هؤلاء مجرّد اللفظ، و الحرام محض حروف</w:t>
      </w:r>
      <w:bookmarkStart w:id="254" w:name="pg2526_25611"/>
    </w:p>
    <w:p>
      <w:pPr>
        <w:pStyle w:val="BookText"/>
        <w:rPr/>
      </w:pPr>
      <w:bookmarkEnd w:id="2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و ترکیبها مثلا، لا أخذ الزیادة المخصوصة من عین أو منفعة، و من البدیهیّات أنّ الربا أمر معنوی، و هو ذلک الأخذ</w:t>
      </w:r>
      <w:r>
        <w:rPr>
          <w:rFonts w:eastAsia="IRNazanin" w:cs="IRNazanin"/>
          <w:color w:val="111111"/>
          <w:sz w:val="28"/>
          <w:szCs w:val="28"/>
          <w:rtl w:val="true"/>
          <w:lang w:bidi="fa-IR"/>
        </w:rPr>
        <w:t>.</w:t>
      </w:r>
    </w:p>
    <w:p>
      <w:pPr>
        <w:pStyle w:val="Heading4"/>
        <w:numPr>
          <w:ilvl w:val="3"/>
          <w:numId w:val="1"/>
        </w:numPr>
        <w:rPr/>
      </w:pPr>
      <w:bookmarkStart w:id="255" w:name="__RefHeading___Toc4328042_3804643083"/>
      <w:bookmarkStart w:id="256" w:name="_Toc96"/>
      <w:bookmarkEnd w:id="255"/>
      <w:r>
        <w:rPr>
          <w:rtl w:val="true"/>
        </w:rPr>
        <w:t>و منها</w:t>
      </w:r>
      <w:r>
        <w:rPr>
          <w:rtl w:val="true"/>
        </w:rPr>
        <w:t xml:space="preserve">: </w:t>
      </w:r>
      <w:r>
        <w:rPr>
          <w:rtl w:val="true"/>
        </w:rPr>
        <w:t>صحیح آخر</w:t>
      </w:r>
      <w:r>
        <w:rPr>
          <w:rtl w:val="true"/>
        </w:rPr>
        <w:t>: «</w:t>
      </w:r>
      <w:r>
        <w:rPr>
          <w:rtl w:val="true"/>
        </w:rPr>
        <w:t xml:space="preserve">الرجل یستقرض الدراهم </w:t>
      </w:r>
      <w:r>
        <w:rPr>
          <w:rtl w:val="true"/>
        </w:rPr>
        <w:t>[</w:t>
      </w:r>
      <w:r>
        <w:rPr>
          <w:rtl w:val="true"/>
        </w:rPr>
        <w:t>البیض</w:t>
      </w:r>
      <w:r>
        <w:rPr>
          <w:rtl w:val="true"/>
        </w:rPr>
        <w:t xml:space="preserve">] </w:t>
      </w:r>
      <w:r>
        <w:rPr>
          <w:rtl w:val="true"/>
        </w:rPr>
        <w:t>عددا، و یقضی سودا وزنا</w:t>
      </w:r>
      <w:bookmarkEnd w:id="256"/>
    </w:p>
    <w:p>
      <w:pPr>
        <w:pStyle w:val="BookText"/>
        <w:rPr/>
      </w:pPr>
      <w:r>
        <w:rPr>
          <w:rFonts w:ascii="IRNazanin" w:hAnsi="IRNazanin" w:eastAsia="IRNazanin"/>
          <w:color w:val="111111"/>
          <w:sz w:val="28"/>
          <w:sz w:val="28"/>
          <w:szCs w:val="28"/>
          <w:rtl w:val="true"/>
          <w:lang w:bidi="fa-IR"/>
        </w:rPr>
        <w:t>، و قد عرف أنّها أثقل ممّا أخذ، و تطیب نفسه أن یجعل فضلها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لم یکن فیه شرط، و لو وهبها له کلّها صلح</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 و النکرة فی سیاق النفی تفید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یؤکّده، عدوله علیه السّلام عن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یکن فیه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سیّما بملاحظة ازدیاد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عدم الاقتصار علی قوله علیه السّلام ما لم یکن شرطا </w:t>
      </w:r>
      <w:r>
        <w:rPr>
          <w:rStyle w:val="FootnoteAnchor"/>
          <w:rtl w:val="true"/>
        </w:rPr>
        <w:footnoteReference w:id="878"/>
      </w:r>
      <w:r>
        <w:rPr>
          <w:rFonts w:ascii="Amiri" w:hAnsi="Amiri" w:eastAsia="Amiri" w:cs="Amiri"/>
          <w:color w:val="111111"/>
          <w:sz w:val="28"/>
          <w:sz w:val="28"/>
          <w:szCs w:val="28"/>
          <w:rtl w:val="true"/>
          <w:lang w:bidi="ar-SA"/>
        </w:rPr>
        <w:t>، فتأمّل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یؤکّده أیضا، التصریح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أنّها أیضا من المعاملات مثل البیع، فلا ینفع التسمیة بالهبة، مع أنّ المعاملة لو کانت مصحّحة أو محلّلة، فإن کانت بالشرط لکان المناسب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شرطا و معاملة، فالإخلال غیر مناسب، سیّما مع تعبیره بالنحو الّذی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یؤکّده أیضا، ما ذکرنا من أنّ الشروط من تتمّة العوض</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غیر ذلک ممّا ذکرنا فی الصحیحة الأولی، فإنّ جمیعه جار هنا فی الأخبار الآتیة أیضا، إذ کیف یجوّز عاقل أنّه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یعطی، و ما ماثله یکون شرطا،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تهب أو أن تهب بإزاء فلس أو ببیع کذلک، لا یکون ها هنا شرطا أصلا و رأسا، مع ما عرفت من عدم الفرق، و أنّ الربا لیس</w:t>
      </w:r>
      <w:bookmarkStart w:id="257" w:name="pg2526_25612"/>
    </w:p>
    <w:p>
      <w:pPr>
        <w:pStyle w:val="BookText"/>
        <w:rPr/>
      </w:pPr>
      <w:bookmarkEnd w:id="2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مجرّد عبارة، بل أمر معنوی، و هو زیادة مخصوصة تؤخذ علی سبیل التسلّط من جهة المشارطة، و لیس مخصوصا بهذه العبارات أیضا، بل یجوز تعبیره بعبارات أخر، مثل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الاکتساب فی الأیّام الجاهلیّة، أو ازدیاد العوض بنحو معلوم معهود، أو یحصل المال و المنفعة بالطریقة المخصوصة، أو بالنهج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4"/>
        <w:numPr>
          <w:ilvl w:val="3"/>
          <w:numId w:val="1"/>
        </w:numPr>
        <w:rPr/>
      </w:pPr>
      <w:bookmarkStart w:id="258" w:name="__RefHeading___Toc4328044_3804643083"/>
      <w:bookmarkStart w:id="259" w:name="_Toc97"/>
      <w:bookmarkEnd w:id="258"/>
      <w:r>
        <w:rPr>
          <w:rtl w:val="true"/>
        </w:rPr>
        <w:t>و منها، صحیح آخر</w:t>
      </w:r>
      <w:r>
        <w:rPr>
          <w:rtl w:val="true"/>
        </w:rPr>
        <w:t>: «</w:t>
      </w:r>
      <w:r>
        <w:rPr>
          <w:rtl w:val="true"/>
        </w:rPr>
        <w:t>إذا أقرضت الدراهم ثمَّ أتاک بخیر منها فلا بأس</w:t>
      </w:r>
      <w:bookmarkEnd w:id="259"/>
    </w:p>
    <w:p>
      <w:pPr>
        <w:pStyle w:val="BookText"/>
        <w:rPr/>
      </w:pPr>
      <w:r>
        <w:rPr>
          <w:rFonts w:ascii="IRNazanin" w:hAnsi="IRNazanin" w:eastAsia="IRNazanin"/>
          <w:color w:val="111111"/>
          <w:sz w:val="28"/>
          <w:sz w:val="28"/>
          <w:szCs w:val="28"/>
          <w:rtl w:val="true"/>
          <w:lang w:bidi="fa-IR"/>
        </w:rPr>
        <w:t>، إذا لم یکن بینکما شرط</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 و التقریب ما مرّ</w:t>
      </w:r>
      <w:r>
        <w:rPr>
          <w:rFonts w:eastAsia="IRNazanin" w:cs="IRNazanin"/>
          <w:color w:val="111111"/>
          <w:sz w:val="28"/>
          <w:szCs w:val="28"/>
          <w:rtl w:val="true"/>
          <w:lang w:bidi="fa-IR"/>
        </w:rPr>
        <w:t>.</w:t>
      </w:r>
    </w:p>
    <w:p>
      <w:pPr>
        <w:pStyle w:val="Heading4"/>
        <w:numPr>
          <w:ilvl w:val="3"/>
          <w:numId w:val="1"/>
        </w:numPr>
        <w:rPr/>
      </w:pPr>
      <w:bookmarkStart w:id="260" w:name="__RefHeading___Toc4328046_3804643083"/>
      <w:bookmarkStart w:id="261" w:name="_Toc98"/>
      <w:bookmarkEnd w:id="260"/>
      <w:r>
        <w:rPr>
          <w:rtl w:val="true"/>
        </w:rPr>
        <w:t>و منها، صحیح آخر</w:t>
      </w:r>
      <w:r>
        <w:rPr>
          <w:rtl w:val="true"/>
        </w:rPr>
        <w:t>: «</w:t>
      </w:r>
      <w:r>
        <w:rPr>
          <w:rtl w:val="true"/>
        </w:rPr>
        <w:t xml:space="preserve">الرجل یستقرض </w:t>
      </w:r>
      <w:r>
        <w:rPr>
          <w:rtl w:val="true"/>
        </w:rPr>
        <w:t>[</w:t>
      </w:r>
      <w:r>
        <w:rPr>
          <w:rtl w:val="true"/>
        </w:rPr>
        <w:t>من الرجل الدرهم</w:t>
      </w:r>
      <w:r>
        <w:rPr>
          <w:rtl w:val="true"/>
        </w:rPr>
        <w:t xml:space="preserve">] </w:t>
      </w:r>
      <w:r>
        <w:rPr>
          <w:rtl w:val="true"/>
        </w:rPr>
        <w:t>فیردّ علیه المثقال</w:t>
      </w:r>
      <w:bookmarkEnd w:id="2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شرط فلا بأس</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 و التقریب أیضا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تنبّه لحکایة العدول عن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المنصوب إلی الشرط المرفوع، و اتّفاق الأخبار، مع کثرتها و وفورها، و صحّة أکثرها فی هذا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الشرط تتمّة العوض، و لغیر ذلک ممّا مرّ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قریب من الصحیحین، الروایات المتعدّدة المرویّة عن إسحاق بن عمّار، عن الکاظم علیه السّلام بمتون مختلفة </w:t>
      </w:r>
      <w:r>
        <w:rPr>
          <w:rStyle w:val="FootnoteAnchor"/>
          <w:rtl w:val="true"/>
        </w:rPr>
        <w:footnoteReference w:id="881"/>
      </w:r>
      <w:r>
        <w:rPr>
          <w:rFonts w:ascii="IRNazanin" w:hAnsi="IRNazanin" w:eastAsia="IRNazanin"/>
          <w:color w:val="111111"/>
          <w:sz w:val="28"/>
          <w:sz w:val="28"/>
          <w:szCs w:val="28"/>
          <w:rtl w:val="true"/>
          <w:lang w:bidi="fa-IR"/>
        </w:rPr>
        <w:t>، و یوجد غیرها أیضا</w:t>
      </w:r>
      <w:r>
        <w:rPr>
          <w:rFonts w:eastAsia="IRNazanin" w:cs="IRNazanin"/>
          <w:color w:val="111111"/>
          <w:sz w:val="28"/>
          <w:szCs w:val="28"/>
          <w:rtl w:val="true"/>
          <w:lang w:bidi="fa-IR"/>
        </w:rPr>
        <w:t>.</w:t>
      </w:r>
      <w:bookmarkStart w:id="262" w:name="pg2526_25613"/>
    </w:p>
    <w:p>
      <w:pPr>
        <w:pStyle w:val="BookText"/>
        <w:rPr/>
      </w:pPr>
      <w:bookmarkEnd w:id="2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Heading4"/>
        <w:numPr>
          <w:ilvl w:val="3"/>
          <w:numId w:val="1"/>
        </w:numPr>
        <w:rPr/>
      </w:pPr>
      <w:bookmarkStart w:id="263" w:name="__RefHeading___Toc4328048_3804643083"/>
      <w:bookmarkStart w:id="264" w:name="_Toc99"/>
      <w:bookmarkEnd w:id="263"/>
      <w:r>
        <w:rPr>
          <w:rtl w:val="true"/>
        </w:rPr>
        <w:t>و منها</w:t>
      </w:r>
      <w:r>
        <w:rPr>
          <w:rtl w:val="true"/>
        </w:rPr>
        <w:t xml:space="preserve">: </w:t>
      </w:r>
      <w:r>
        <w:rPr>
          <w:rtl w:val="true"/>
        </w:rPr>
        <w:t>معتبر آخر</w:t>
      </w:r>
      <w:r>
        <w:rPr>
          <w:rtl w:val="true"/>
        </w:rPr>
        <w:t>: «</w:t>
      </w:r>
      <w:r>
        <w:rPr>
          <w:rtl w:val="true"/>
        </w:rPr>
        <w:t>الرجل کانت لی علیه مائة درهم عددا قضانیها وزنا،</w:t>
      </w:r>
      <w:bookmarkEnd w:id="26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الرجل کانت لی علیه مائة درهم عددا قضانیها </w:t>
      </w:r>
      <w:r>
        <w:rPr>
          <w:rStyle w:val="FootnoteAnchor"/>
          <w:rtl w:val="true"/>
        </w:rPr>
        <w:footnoteReference w:id="882"/>
      </w:r>
      <w:r>
        <w:rPr>
          <w:rFonts w:ascii="IRNazanin" w:hAnsi="IRNazanin" w:eastAsia="IRNazanin"/>
          <w:color w:val="111111"/>
          <w:sz w:val="28"/>
          <w:sz w:val="28"/>
          <w:szCs w:val="28"/>
          <w:rtl w:val="true"/>
          <w:lang w:bidi="fa-IR"/>
        </w:rPr>
        <w:t>وزنا،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یشترط،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الربا من قبل الشروط، إنّما یفسده الشروط</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 و الجمع المحلّی باللام یفید العموم، مع أنّ فی العدول عن المفرد إلی الجمع تنبیه واضح، و إلّا فالشرط عندکم أمر واحد لا تعدّد فیه، و لا یناسبه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أیضا شهادة واضحة، علی أنّ المعیار و ما به الاعتبار فی تحقیق الربا و فساده إنّما هو الشرط لیس إلّا، و هذا عین ما ذکره الفقهاء، فتدبّر</w:t>
      </w:r>
      <w:r>
        <w:rPr>
          <w:rFonts w:eastAsia="IRNazanin" w:cs="IRNazanin"/>
          <w:color w:val="111111"/>
          <w:sz w:val="28"/>
          <w:szCs w:val="28"/>
          <w:rtl w:val="true"/>
          <w:lang w:bidi="fa-IR"/>
        </w:rPr>
        <w:t>.</w:t>
      </w:r>
    </w:p>
    <w:p>
      <w:pPr>
        <w:pStyle w:val="Heading4"/>
        <w:numPr>
          <w:ilvl w:val="3"/>
          <w:numId w:val="1"/>
        </w:numPr>
        <w:rPr/>
      </w:pPr>
      <w:bookmarkStart w:id="265" w:name="__RefHeading___Toc4328050_3804643083"/>
      <w:bookmarkStart w:id="266" w:name="_Toc100"/>
      <w:bookmarkEnd w:id="265"/>
      <w:r>
        <w:rPr>
          <w:rtl w:val="true"/>
        </w:rPr>
        <w:t>و منها</w:t>
      </w:r>
      <w:r>
        <w:rPr>
          <w:rtl w:val="true"/>
        </w:rPr>
        <w:t xml:space="preserve">: </w:t>
      </w:r>
      <w:r>
        <w:rPr>
          <w:rtl w:val="true"/>
        </w:rPr>
        <w:t>ما رواه علی بن إبراهیم</w:t>
      </w:r>
      <w:r>
        <w:rPr>
          <w:rtl w:val="true"/>
        </w:rPr>
        <w:t xml:space="preserve">- </w:t>
      </w:r>
      <w:r>
        <w:rPr>
          <w:rtl w:val="true"/>
        </w:rPr>
        <w:t xml:space="preserve">فی </w:t>
      </w:r>
      <w:r>
        <w:rPr>
          <w:rtl w:val="true"/>
        </w:rPr>
        <w:t>«</w:t>
      </w:r>
      <w:r>
        <w:rPr>
          <w:rtl w:val="true"/>
        </w:rPr>
        <w:t>تفسیره</w:t>
      </w:r>
      <w:r>
        <w:rPr>
          <w:rtl w:val="true"/>
        </w:rPr>
        <w:t xml:space="preserve">»- </w:t>
      </w:r>
      <w:r>
        <w:rPr>
          <w:rtl w:val="true"/>
        </w:rPr>
        <w:t>عن الصادق علیه السّلام</w:t>
      </w:r>
      <w:r>
        <w:rPr>
          <w:rtl w:val="true"/>
        </w:rPr>
        <w:t>: «</w:t>
      </w:r>
      <w:r>
        <w:rPr>
          <w:rtl w:val="true"/>
        </w:rPr>
        <w:t>الربا رباءان</w:t>
      </w:r>
      <w:r>
        <w:rPr>
          <w:rtl w:val="true"/>
        </w:rPr>
        <w:t>:</w:t>
      </w:r>
      <w:bookmarkEnd w:id="266"/>
    </w:p>
    <w:p>
      <w:pPr>
        <w:pStyle w:val="BookText"/>
        <w:rPr/>
      </w:pPr>
      <w:r>
        <w:rPr>
          <w:rFonts w:ascii="IRNazanin" w:hAnsi="IRNazanin" w:eastAsia="IRNazanin"/>
          <w:color w:val="111111"/>
          <w:sz w:val="28"/>
          <w:sz w:val="28"/>
          <w:szCs w:val="28"/>
          <w:rtl w:val="true"/>
          <w:lang w:bidi="fa-IR"/>
        </w:rPr>
        <w:t>أحدهما حلال، و الآخر حرام، أمّا الحلال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یقرض الرجل قرضا طمعا أن یزیده و یعوّضه بأکثر ممّا أخذ بلا شرط بینهما، فإن أعطاه أکثر بلا شرط فهو مباح له و لیس له عند اللّه ثواب، و أمّا الحرام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یقرض و یشرط أن یردّ أکثر ممّا أخذه</w:t>
      </w:r>
      <w:r>
        <w:rPr>
          <w:rFonts w:eastAsia="IRNazanin" w:cs="IRNazanin"/>
          <w:color w:val="111111"/>
          <w:sz w:val="28"/>
          <w:szCs w:val="28"/>
          <w:rtl w:val="true"/>
          <w:lang w:bidi="fa-IR"/>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شهادة واضحة علی أنّ المعیار إنّما هو الشرط، و أنّ الربا هو مطلق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الحلال ما هو بمحض الطمع، و هذا هو الّذی عبّر الفقهاء بکونه من نیّتهما، و یعبّر عنه بالداعی و السبب</w:t>
      </w:r>
      <w:r>
        <w:rPr>
          <w:rFonts w:eastAsia="IRNazanin" w:cs="IRNazanin"/>
          <w:color w:val="111111"/>
          <w:sz w:val="28"/>
          <w:szCs w:val="28"/>
          <w:rtl w:val="true"/>
          <w:lang w:bidi="fa-IR"/>
        </w:rPr>
        <w:t>.</w:t>
      </w:r>
      <w:bookmarkStart w:id="267" w:name="pg2526_25614"/>
    </w:p>
    <w:p>
      <w:pPr>
        <w:pStyle w:val="BookText"/>
        <w:rPr/>
      </w:pPr>
      <w:bookmarkEnd w:id="2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و لو کان بشرط المعاملة أیضا حلالا لما خصّص المعصوم علیه السّلام الحلال بصورة الطمع، سیّما مع کون نظر آکلی الربا إلی المشارطة، لا یرضون بغیرها، و خصوصا إذا لم یکن فی المعاملة کراهة أیضا، کما یظهر من هؤلاء الأعلام</w:t>
      </w:r>
      <w:r>
        <w:rPr>
          <w:rFonts w:eastAsia="IRNazanin" w:cs="IRNazanin"/>
          <w:color w:val="111111"/>
          <w:sz w:val="28"/>
          <w:szCs w:val="28"/>
          <w:rtl w:val="true"/>
          <w:lang w:bidi="fa-IR"/>
        </w:rPr>
        <w:t>.</w:t>
      </w:r>
    </w:p>
    <w:p>
      <w:pPr>
        <w:pStyle w:val="Heading4"/>
        <w:numPr>
          <w:ilvl w:val="3"/>
          <w:numId w:val="1"/>
        </w:numPr>
        <w:rPr/>
      </w:pPr>
      <w:bookmarkStart w:id="268" w:name="__RefHeading___Toc4328052_3804643083"/>
      <w:bookmarkStart w:id="269" w:name="_Toc101"/>
      <w:bookmarkEnd w:id="268"/>
      <w:r>
        <w:rPr>
          <w:rtl w:val="true"/>
        </w:rPr>
        <w:t>و منها</w:t>
      </w:r>
      <w:r>
        <w:rPr>
          <w:rtl w:val="true"/>
        </w:rPr>
        <w:t xml:space="preserve">: </w:t>
      </w:r>
      <w:r>
        <w:rPr>
          <w:rtl w:val="true"/>
        </w:rPr>
        <w:t xml:space="preserve">الخطبة المذکورة فی </w:t>
      </w:r>
      <w:r>
        <w:rPr>
          <w:rtl w:val="true"/>
        </w:rPr>
        <w:t>«</w:t>
      </w:r>
      <w:r>
        <w:rPr>
          <w:rtl w:val="true"/>
        </w:rPr>
        <w:t>نهج البلاغة</w:t>
      </w:r>
      <w:r>
        <w:rPr>
          <w:rtl w:val="true"/>
        </w:rPr>
        <w:t>»: «</w:t>
      </w:r>
      <w:r>
        <w:rPr>
          <w:rtl w:val="true"/>
        </w:rPr>
        <w:t>أنّ رسول اللّه صلّی اللّه علیه و آله قال</w:t>
      </w:r>
      <w:r>
        <w:rPr>
          <w:rtl w:val="true"/>
        </w:rPr>
        <w:t xml:space="preserve">: </w:t>
      </w:r>
      <w:r>
        <w:rPr>
          <w:rtl w:val="true"/>
        </w:rPr>
        <w:t>یا علی، إنّ القوم سیفتنون بأموالهم</w:t>
      </w:r>
      <w:bookmarkEnd w:id="2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یستحلّون حرامه بالشبهات الکاذبة، و الأهواء الساهیة، فیستحلّون الخمر بالنبیذ، و السحت بالهدیّة، و الربا بالبیع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خبر آخر، ذکره شرّاح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القوم ستفتن من بعدی، فیؤوّل القرآن، و یعمل بالرأی، و یستحلّ الخمر بالنبیذ، و السحت بالهدیّة، و الربا بالبیع، و یحرّف الکتاب عن مواضعه</w:t>
      </w:r>
      <w:r>
        <w:rPr>
          <w:rFonts w:eastAsia="IRNazanin" w:cs="IRNazanin"/>
          <w:color w:val="111111"/>
          <w:sz w:val="28"/>
          <w:szCs w:val="28"/>
          <w:rtl w:val="true"/>
          <w:lang w:bidi="fa-IR"/>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فلاحظ کلّ واحدة من الخطبتین من أوّلهما إلی آخرهما، حتّی یحصل العلم لک بعدم إمکان التأویل بالحمل علی الکراهة، و عدم إمکان الحمل علی التقیّة، مع أنّ رسول اللّه صلّی اللّه علیه و آله و سلّم ما کان یتّقی، سیّما فی مثل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یحصل العلم بصدورهما عن المعصوم علیه السّلام، بل الظاهر ذلک بعد ملاحظة الخطبة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الدلالة فی غایة الوضوح، بل عند التأمّل یظهر أنّه الّذی حلّله هؤلاء الإعلام لا غیر</w:t>
      </w:r>
      <w:r>
        <w:rPr>
          <w:rFonts w:eastAsia="IRNazanin" w:cs="IRNazanin"/>
          <w:color w:val="111111"/>
          <w:sz w:val="28"/>
          <w:szCs w:val="28"/>
          <w:rtl w:val="true"/>
          <w:lang w:bidi="fa-IR"/>
        </w:rPr>
        <w:t>.</w:t>
      </w:r>
      <w:bookmarkStart w:id="270" w:name="pg2526_25615"/>
    </w:p>
    <w:p>
      <w:pPr>
        <w:pStyle w:val="BookText"/>
        <w:rPr/>
      </w:pPr>
      <w:bookmarkEnd w:id="2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و علی تقدیر العموم، خرج منها الحلّیة فی الربا البیعی، لمجرّد تصحیح المعاملة بالنصّ و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یحلّلون الربا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الربا من غیر نوع البیع، و البیع من غیر نوع ذلک الربا، مع أنّ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سیفتنون بأموالهم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قرینة علی أنّ مقصودهم زیادة المال و تربیته، لا مجرّد تصحیح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الفرد المتعارف من الربا إنّما هو لزیادة المال، بل فی مقام المذمّة لا یتبادر إلّا ذلک</w:t>
      </w:r>
      <w:r>
        <w:rPr>
          <w:rFonts w:eastAsia="IRNazanin" w:cs="IRNazanin"/>
          <w:color w:val="111111"/>
          <w:sz w:val="28"/>
          <w:szCs w:val="28"/>
          <w:rtl w:val="true"/>
          <w:lang w:bidi="fa-IR"/>
        </w:rPr>
        <w:t>.</w:t>
      </w:r>
    </w:p>
    <w:p>
      <w:pPr>
        <w:pStyle w:val="Heading4"/>
        <w:numPr>
          <w:ilvl w:val="3"/>
          <w:numId w:val="1"/>
        </w:numPr>
        <w:rPr/>
      </w:pPr>
      <w:bookmarkStart w:id="271" w:name="__RefHeading___Toc4328054_3804643083"/>
      <w:bookmarkStart w:id="272" w:name="_Toc102"/>
      <w:bookmarkEnd w:id="271"/>
      <w:r>
        <w:rPr>
          <w:rtl w:val="true"/>
        </w:rPr>
        <w:t>و منها</w:t>
      </w:r>
      <w:r>
        <w:rPr>
          <w:rtl w:val="true"/>
        </w:rPr>
        <w:t xml:space="preserve">: </w:t>
      </w:r>
      <w:r>
        <w:rPr>
          <w:rtl w:val="true"/>
        </w:rPr>
        <w:t>ما رواه الفقهاء عن النبی صلّی اللّه علیه و آله و سلّم</w:t>
      </w:r>
      <w:r>
        <w:rPr>
          <w:rtl w:val="true"/>
        </w:rPr>
        <w:t>: «</w:t>
      </w:r>
      <w:r>
        <w:rPr>
          <w:rtl w:val="true"/>
        </w:rPr>
        <w:t>إنّ کلّ قرض یجرّ منفعة فهو حرام</w:t>
      </w:r>
      <w:r>
        <w:rPr>
          <w:rtl w:val="true"/>
        </w:rPr>
        <w:t>»</w:t>
      </w:r>
      <w:r>
        <w:rPr>
          <w:rtl w:val="true"/>
        </w:rPr>
        <w:t>،</w:t>
      </w:r>
      <w:bookmarkEnd w:id="27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الفقهاء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قرض یجرّ منفعة فهو حرام</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جملة الأحادیث الّتی رووها عنه صلّی اللّه علیه و آله و سلّم معتقدین به، معتمدین علیه،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 و غیره ممّا کتبوا فیه أحکاما کثیرة، معمولا بها من غیر تأمّل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نهایة اهتمامهم و اعتمادهم علی هذا الحدیث أنّهم ربّما لا یستدلّون علی حرمة شرط المنفعة فی القرض إلّا به، و لا یذکرون مستندا سواه، و یعبّرون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الحرام بقرض یجرّ المنفعة </w:t>
      </w:r>
      <w:r>
        <w:rPr>
          <w:rStyle w:val="FootnoteAnchor"/>
          <w:rtl w:val="true"/>
        </w:rPr>
        <w:footnoteReference w:id="888"/>
      </w:r>
      <w:r>
        <w:rPr>
          <w:rFonts w:ascii="IRNazanin" w:hAnsi="IRNazanin" w:eastAsia="IRNazanin"/>
          <w:color w:val="111111"/>
          <w:sz w:val="28"/>
          <w:sz w:val="28"/>
          <w:szCs w:val="28"/>
          <w:rtl w:val="true"/>
          <w:lang w:bidi="fa-IR"/>
        </w:rPr>
        <w:t>، و منفعة القرض، علی وجه یظهر أنّ اعتمادهم فی الحقیقة علیه،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شرط النفع، و یعلّلون بورود النهی عن قرض یجرّ المنفعة </w:t>
      </w:r>
      <w:r>
        <w:rPr>
          <w:rStyle w:val="FootnoteAnchor"/>
          <w:rtl w:val="true"/>
        </w:rPr>
        <w:footnoteReference w:id="889"/>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bookmarkStart w:id="273" w:name="pg2526_25616"/>
    </w:p>
    <w:p>
      <w:pPr>
        <w:pStyle w:val="BookText"/>
        <w:rPr/>
      </w:pPr>
      <w:bookmarkEnd w:id="2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فالضعف منجبر بعمل الأصحاب، علی قیاس الأحادیث الواردة فی الکتب الأربعة المرویّة بطریق العامّة </w:t>
      </w:r>
      <w:r>
        <w:rPr>
          <w:rStyle w:val="FootnoteAnchor"/>
          <w:rtl w:val="true"/>
        </w:rPr>
        <w:footnoteReference w:id="890"/>
      </w:r>
      <w:r>
        <w:rPr>
          <w:rFonts w:ascii="IRNazanin" w:hAnsi="IRNazanin" w:eastAsia="IRNazanin"/>
          <w:color w:val="111111"/>
          <w:sz w:val="28"/>
          <w:sz w:val="28"/>
          <w:szCs w:val="28"/>
          <w:rtl w:val="true"/>
          <w:lang w:bidi="fa-IR"/>
        </w:rPr>
        <w:t>، أو الزیدیّة، أو الفطحیّة، أو غیر ذلک، مع أنّه یظهر من الأحادیث الصحیحة ما یشیر إلی صحّة هذه الروایة،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بعض الأخبار أنّ راویا قال 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عندنا یروون أنّ کل قرض یجرّ منفعة فهو فاسد، فأجابوا علیهم السّلام </w:t>
      </w:r>
      <w:r>
        <w:rPr>
          <w:rStyle w:val="FootnoteAnchor"/>
          <w:rtl w:val="true"/>
        </w:rPr>
        <w:footnoteReference w:id="891"/>
      </w:r>
      <w:r>
        <w:rPr>
          <w:rFonts w:ascii="IRNazanin" w:hAnsi="IRNazanin" w:eastAsia="IRNazanin"/>
          <w:color w:val="111111"/>
          <w:sz w:val="28"/>
          <w:sz w:val="28"/>
          <w:szCs w:val="28"/>
          <w:rtl w:val="true"/>
          <w:lang w:bidi="fa-IR"/>
        </w:rPr>
        <w:t>أو لیس خیر القرض ما جرّ منفعة؟</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 xml:space="preserve">، لا یظهر منه أنّ مرادهم علیهم السّلام تکذیب الراوی، بل المراد تخطئة فهمه، و ما یفهم من ظاهره من حیث أنّه مقیّد بالشرط، کما أثبتناه مشروحا فی حاشیتنا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المقدّس الأردبیلی رضی اللّه عنه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4328056_3804643083"/>
      <w:bookmarkStart w:id="275" w:name="_Toc103"/>
      <w:bookmarkEnd w:id="274"/>
      <w:r>
        <w:rPr>
          <w:rtl w:val="true"/>
        </w:rPr>
        <w:t>و منها</w:t>
      </w:r>
      <w:r>
        <w:rPr>
          <w:rtl w:val="true"/>
        </w:rPr>
        <w:t xml:space="preserve">: </w:t>
      </w:r>
      <w:r>
        <w:rPr>
          <w:rtl w:val="true"/>
        </w:rPr>
        <w:t>صحیحة یعقوب بن شعیب، عن الصادق علیه السّلام</w:t>
      </w:r>
      <w:r>
        <w:rPr>
          <w:rtl w:val="true"/>
        </w:rPr>
        <w:t>: «</w:t>
      </w:r>
      <w:r>
        <w:rPr>
          <w:rtl w:val="true"/>
        </w:rPr>
        <w:t>عن الرجل یسلم فی بیع أو تمر عشرین دینارا</w:t>
      </w:r>
      <w:bookmarkEnd w:id="275"/>
    </w:p>
    <w:p>
      <w:pPr>
        <w:pStyle w:val="BookText"/>
        <w:rPr/>
      </w:pPr>
      <w:r>
        <w:rPr>
          <w:rFonts w:ascii="IRNazanin" w:hAnsi="IRNazanin" w:eastAsia="IRNazanin"/>
          <w:color w:val="111111"/>
          <w:sz w:val="28"/>
          <w:sz w:val="28"/>
          <w:szCs w:val="28"/>
          <w:rtl w:val="true"/>
          <w:lang w:bidi="fa-IR"/>
        </w:rPr>
        <w:t xml:space="preserve">، و یقرض صاحب السلم عشرة دنانیر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إذا کان قرضا یجرّ شیئا فلا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رجل یأتی حریفه و خلیطه فیستقرض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فیقرضه، فلو لا أن یخالطه و یحارفه و یصیب علیه لم یقرضه،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معروفا بینهما فلا بأس، و إن کان إنّما یقرضه من أجل أنّه یصیب علیه فلا یصلح</w:t>
      </w:r>
      <w:r>
        <w:rPr>
          <w:rFonts w:eastAsia="IRNazanin" w:cs="IRNazanin"/>
          <w:color w:val="111111"/>
          <w:sz w:val="28"/>
          <w:szCs w:val="28"/>
          <w:rtl w:val="true"/>
          <w:lang w:bidi="fa-IR"/>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السؤال لیس عن حکم القرض علی حدة و حکم السلم علی حدة، و إلّا لأجاب المعصوم علیه السّلام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حدة، مع أنّه ما أجاب عن حال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السلم أصلا، و أمّا القرض فما أجاب فیه غیر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یجرّ نفعا فلا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 شهادة واضحة علی أنّ السؤال کان عن حکم القرض لأجل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أیضا، باقی الحدیث، فظاهر أنّ السؤال کان عن صحّة المعاملة و فسادها بقرینة الجواب،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یجرّ نفعا فلا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الصلاح لغة مقابل للفساد، مع أنّ المقام </w:t>
      </w:r>
      <w:r>
        <w:rPr>
          <w:rStyle w:val="FootnoteAnchor"/>
          <w:rtl w:val="true"/>
        </w:rPr>
        <w:footnoteReference w:id="895"/>
      </w:r>
      <w:r>
        <w:rPr>
          <w:rFonts w:ascii="IRNazanin" w:hAnsi="IRNazanin" w:eastAsia="IRNazanin"/>
          <w:color w:val="111111"/>
          <w:sz w:val="28"/>
          <w:sz w:val="28"/>
          <w:szCs w:val="28"/>
          <w:rtl w:val="true"/>
          <w:lang w:bidi="fa-IR"/>
        </w:rPr>
        <w:t>من المعاملات، و لذا فهم الکلّ من الحدیث الحرمة و الفساد، و لذا حملوه علی الشرط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 الدلالة، تکریر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الظاهر من العبارة الإشارة إلی ما اشتهر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قرض جرّ منفعة فهو فاسد</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کما سمعت، و أنّ الظاهر أنّ السائلین فی أمثال هذا المقام لیس سؤالهم عن معرفة تحقّق خصوص الکراهة، فالجواب بالنحو المذکور مریدا خصوص الکراهة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أیضا آخر الحدیث، حیث قال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أن یصیب علیه لم یقرضه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 علیه السّلام عن ذلک بعنوان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معروفا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الّذی سألت، و یمکن أن یکون المراد أنّه إن کان الّذی سألت مجرّد المعروفیّة و المعهودیّة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و إن کان إنّما یقرضه من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المراد أزید من المعهودیّة، و هو الاطمئنان، فیکون ظاهره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یقوّیه حصر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یقرضه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یظهر من الأخبار أنّ المحرّم هو الشرط </w:t>
      </w:r>
      <w:r>
        <w:rPr>
          <w:rStyle w:val="FootnoteAnchor"/>
          <w:rtl w:val="true"/>
        </w:rPr>
        <w:footnoteReference w:id="89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ثمَّ إنّ الفقهاء لمّا رأوا دلالته علی الحرمة و الفساد مطلقا من غیر قید الاشتراط، توجّهوا إلی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 علی الاشتراط فقط، کمولانا الأردبیلی رضی اللّه عنه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 علی الشرط تارة، و علی الکراهة أخری، کالشیخ </w:t>
      </w:r>
      <w:r>
        <w:rPr>
          <w:rStyle w:val="FootnoteAnchor"/>
          <w:rtl w:val="true"/>
        </w:rPr>
        <w:footnoteReference w:id="899"/>
      </w:r>
      <w:r>
        <w:rPr>
          <w:rFonts w:ascii="IRNazanin" w:hAnsi="IRNazanin" w:eastAsia="IRNazanin"/>
          <w:color w:val="111111"/>
          <w:sz w:val="28"/>
          <w:sz w:val="28"/>
          <w:szCs w:val="28"/>
          <w:rtl w:val="true"/>
          <w:lang w:bidi="fa-IR"/>
        </w:rPr>
        <w:t xml:space="preserve">و من تبعه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علی الحملین التقیّة أیضا، کبعض مقاربی عصرنا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فالکل اتّفقوا علی الحمل علی الشرط، و هذا ینادی بأعلی، صوته علی أنّ الشرط عندهم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الحمل أولی من الحمل علی الکراهة و التقیّة، لأنّه تخصیص، و ما من عام إلّا و قد خصّ، و مؤیّد بما ذکرنا من وجوه التأکید فی الدلالة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 أنّ الغالب من حال السائلین السؤال عن الشرط و التسلّط، لا مجرّد التبرّع، و لذا أجاب المعصوم علیه السّلام بأنّه فاسد، مع أنّ البناء علی کون السؤال عن خصوص غیر الشرط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الحمل علی الکراهة یقتضی التخصیص أیضا، أی التخصیص بغیر صورة الشرط، لما عرفت من اتّفاقهم علی حرمة الشرط</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الحمل علی الشرط غیر مختصّ بهذا الحدیث، بل لعلّ نظیره مکرّر، فتأمّل</w:t>
      </w:r>
      <w:r>
        <w:rPr>
          <w:rFonts w:eastAsia="IRNazanin" w:cs="IRNazanin"/>
          <w:color w:val="111111"/>
          <w:sz w:val="28"/>
          <w:szCs w:val="28"/>
          <w:rtl w:val="true"/>
          <w:lang w:bidi="fa-IR"/>
        </w:rPr>
        <w:t>.</w:t>
      </w:r>
      <w:bookmarkStart w:id="276" w:name="pg2526_25619"/>
    </w:p>
    <w:p>
      <w:pPr>
        <w:pStyle w:val="BookText"/>
        <w:rPr/>
      </w:pPr>
      <w:bookmarkEnd w:id="2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و أیضا، ورد أخبار کثیرة فی أنّ الفارق بین الحلال و الحرام هو الشرط لیس إلّا </w:t>
      </w:r>
      <w:r>
        <w:rPr>
          <w:rStyle w:val="FootnoteAnchor"/>
          <w:rtl w:val="true"/>
        </w:rPr>
        <w:footnoteReference w:id="902"/>
      </w:r>
      <w:r>
        <w:rPr>
          <w:rFonts w:ascii="IRNazanin" w:hAnsi="IRNazanin" w:eastAsia="IRNazanin"/>
          <w:color w:val="111111"/>
          <w:sz w:val="28"/>
          <w:sz w:val="28"/>
          <w:szCs w:val="28"/>
          <w:rtl w:val="true"/>
          <w:lang w:bidi="fa-IR"/>
        </w:rPr>
        <w:t>، و الحمل علی التقیّة طرح للخبر لا یرتکب مهما أمکن، مع أنّ التأکیدات الّتی فی الخبر لا تلائم التقیّة،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ربّما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التقیّة فی ذلک </w:t>
      </w:r>
      <w:r>
        <w:rPr>
          <w:rStyle w:val="FootnoteAnchor"/>
          <w:rtl w:val="true"/>
        </w:rPr>
        <w:footnoteReference w:id="903"/>
      </w:r>
      <w:r>
        <w:rPr>
          <w:rFonts w:ascii="IRNazanin" w:hAnsi="IRNazanin" w:eastAsia="IRNazanin"/>
          <w:color w:val="111111"/>
          <w:sz w:val="28"/>
          <w:sz w:val="28"/>
          <w:szCs w:val="28"/>
          <w:rtl w:val="true"/>
          <w:lang w:bidi="fa-IR"/>
        </w:rPr>
        <w:t>، مع أنّ فقهاءنا ما نقلوا عن العامّة سوی أنّهم یجعلون العادة بمنزلة الشرط، و هذا ظاهر فی عدم المخالفة بین الخاصّة و العامّة فی المقام، فتأمّل جدّا</w:t>
      </w:r>
      <w:r>
        <w:rPr>
          <w:rFonts w:eastAsia="IRNazanin" w:cs="IRNazanin"/>
          <w:color w:val="111111"/>
          <w:sz w:val="28"/>
          <w:szCs w:val="28"/>
          <w:rtl w:val="true"/>
          <w:lang w:bidi="fa-IR"/>
        </w:rPr>
        <w:t>.</w:t>
      </w:r>
    </w:p>
    <w:p>
      <w:pPr>
        <w:pStyle w:val="Heading4"/>
        <w:numPr>
          <w:ilvl w:val="3"/>
          <w:numId w:val="1"/>
        </w:numPr>
        <w:rPr/>
      </w:pPr>
      <w:bookmarkStart w:id="277" w:name="__RefHeading___Toc4328058_3804643083"/>
      <w:bookmarkStart w:id="278" w:name="_Toc104"/>
      <w:bookmarkEnd w:id="277"/>
      <w:r>
        <w:rPr>
          <w:rtl w:val="true"/>
        </w:rPr>
        <w:t>و منها</w:t>
      </w:r>
      <w:r>
        <w:rPr>
          <w:rtl w:val="true"/>
        </w:rPr>
        <w:t xml:space="preserve">: </w:t>
      </w:r>
      <w:r>
        <w:rPr>
          <w:rtl w:val="true"/>
        </w:rPr>
        <w:t xml:space="preserve">ما رواه الصدوق فی </w:t>
      </w:r>
      <w:r>
        <w:rPr>
          <w:rtl w:val="true"/>
        </w:rPr>
        <w:t>«</w:t>
      </w:r>
      <w:r>
        <w:rPr>
          <w:rtl w:val="true"/>
        </w:rPr>
        <w:t>الفقیه</w:t>
      </w:r>
      <w:r>
        <w:rPr>
          <w:rtl w:val="true"/>
        </w:rPr>
        <w:t xml:space="preserve">»- </w:t>
      </w:r>
      <w:r>
        <w:rPr>
          <w:rtl w:val="true"/>
        </w:rPr>
        <w:t>مع ضمانه صحّة ما فیه</w:t>
      </w:r>
      <w:bookmarkEnd w:id="27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ضمانه صحّة ما فیه </w:t>
      </w:r>
      <w:r>
        <w:rPr>
          <w:rStyle w:val="FootnoteAnchor"/>
          <w:rtl w:val="true"/>
        </w:rPr>
        <w:footnoteReference w:id="9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الفقه ثمَّ المتجر، الفقه ثمَّ المتجر، الفقه ثمَّ المتجر، فإنّ للربا فی هذه الأمّة دبیبا أخفی من دبیب النملة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غیر خفی أنّ الربا عند هؤلاء الأعلام حرمته منحصرة فیما هو ضروری الدین، یعرفه جمیع المسلمین، بل و غیرهم من أهل العرف و اللغة، لأنّه من المعاملات کالبیع و الهبة، فلذا کانوا یقولون إِنَّمَا الْبَیْعُ مِثْلُ الرِّبٰا </w:t>
      </w:r>
      <w:r>
        <w:rPr>
          <w:rStyle w:val="FootnoteAnchor"/>
          <w:rtl w:val="true"/>
        </w:rPr>
        <w:footnoteReference w:id="905"/>
      </w:r>
      <w:r>
        <w:rPr>
          <w:rFonts w:ascii="IRNazanin" w:hAnsi="IRNazanin" w:eastAsia="IRNazanin"/>
          <w:color w:val="111111"/>
          <w:sz w:val="28"/>
          <w:sz w:val="28"/>
          <w:szCs w:val="28"/>
          <w:rtl w:val="true"/>
          <w:lang w:bidi="fa-IR"/>
        </w:rPr>
        <w:t>، فإنّ هؤلاء الأعلام بمجرّد تزویر و حیلة للخروج عمّا هو حرام بالبدیهة، یحکمون بعدم الحرمة البتّة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أین هذا من الخفاء، بل و کونه أخفی من دبیب النملة، و من الحثّ الشدید،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و التأکید و التشدید فی معرفة مخایلة الدقیقة، و الاحتراز عن غوائله الخفیّة، الّتی لا تکاد تحسّ و تدرک کما لا تحسّ دبیب النملة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الربا عند الشارع أخفی من دبیب النملة، و عند هؤلاء أجلی و أظهر من الشمس، و الحرام شرعا فی غایة الخفاء، بنصّ سیّد الأوصیاء، و عند هؤلاء متی ما عرض أدنی شائبة من الخفاء یکون حلالا البتّة، بل متی ما توهّم أدنی شائبة منه یصیر حلالا بلا 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مئال أمرهم عند التحقیق إلی تحلیل الربا و تحریم مجرّد لفظ و عبارة، کما عرفت، إذ من البدیهیّات علی جهّال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عقلاء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الربا أمر معنوی، زیادة مخصوصة من العین أو المنفعة و نموّ فی المال علی سبیل المشارطة و السلطنة، لا أنّه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أو تعطنی، أو تزید لی، و أمثال هذه، و أنّه لو بدّل العبارة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تهب لی، أو تعوّضنی أو تعطی بإزاء الفلس أو أقلّ منه کذا و کذا، یصیر حلالا، مع کون الزیادة فی الصورتین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ما عرفت من عدم تفاوت أصلا بین العبارات المذکورة 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من الأخبار و کلام الأخیار، مضافا إلی ما مرّ من النصوص الصریحة، و الظاهرة فی عدم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الشروط الّتی هم اعتبروها فی تحقّق الربا لا تزید عمّا به یتمیّز الربا عن غیره لغة و عرفا، و لو سلّم زیادتها، فلا تزید عمّا هو ضروری الدین، و لو سلّم زیادتها فظاهر أنّها أشهر و أعرف من سائر شروط التجارة، و هو علیه السّلام فی مقام التأکید فی معرفة التجارة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 أنّها لیست بأعرف و أشهر، فمعلوم أنّ فی معرفتها یکفی أدنی إشارة، لکونها فی غایة القرب من الفهم، و نهایة سهولة المعرفة</w:t>
      </w:r>
      <w:r>
        <w:rPr>
          <w:rFonts w:eastAsia="IRNazanin" w:cs="IRNazanin"/>
          <w:color w:val="111111"/>
          <w:sz w:val="28"/>
          <w:szCs w:val="28"/>
          <w:rtl w:val="true"/>
          <w:lang w:bidi="fa-IR"/>
        </w:rPr>
        <w:t>.</w:t>
      </w:r>
      <w:bookmarkStart w:id="279" w:name="pg2526_25621"/>
    </w:p>
    <w:p>
      <w:pPr>
        <w:pStyle w:val="BookText"/>
        <w:rPr/>
      </w:pPr>
      <w:bookmarkEnd w:id="2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و أین هذا من کونها أخفی من دبیب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الریاء الّذی هو الشرک باللّه تعالی جعل شریکا للربا فی العلّة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علی هؤلاء الأعلام أن یسلکوا فی الربا و التجنّب عن أخذ الزیادة فی المال مسلکهم فی الریاء الّذی هو الشرک باللّه تعالی، و ما أراهم یرتکبون الحیل لتصحیح الریاء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الشرک 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استحلالها مقدار ذرّة، و لا عشر معشار رأس شعرة بالقیاس إلی ما یرتکبونها فی استحلال الربا و أخذ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یکفی فی استحلال الشرک باللّه تعالی مجرّد شائبة تغیّر التسمیة الّتی توهّموها فی الربا، أم لا بد من الاجتناب عن دبیبة الّذی هو أخفی من دبیب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أعجب من هذا أنّهم لا یجعلون حیلهم من الشبهات أیضا، بل یصرّحون بأنّه لا شبهة لنا أصلا، و یجتنبون عن الشبهات مثل شرب التتن فی الصوم،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أضعف منه شبهة، و لا مبالاة لهم فی الحیل الّتی یرتکبونها أصلا و بوجه من الوجوه، مع أنّک رأیت الفتاوی و عرفت أدلّتهم و ستعرف أیضا، و سمعت عظم الخطر، و شدّة الضرر، و ستعرف أیضا</w:t>
      </w:r>
      <w:r>
        <w:rPr>
          <w:rFonts w:eastAsia="IRNazanin" w:cs="IRNazanin"/>
          <w:color w:val="111111"/>
          <w:sz w:val="28"/>
          <w:szCs w:val="28"/>
          <w:rtl w:val="true"/>
          <w:lang w:bidi="fa-IR"/>
        </w:rPr>
        <w:t>.</w:t>
      </w:r>
    </w:p>
    <w:p>
      <w:pPr>
        <w:pStyle w:val="Heading4"/>
        <w:numPr>
          <w:ilvl w:val="3"/>
          <w:numId w:val="1"/>
        </w:numPr>
        <w:rPr/>
      </w:pPr>
      <w:bookmarkStart w:id="280" w:name="__RefHeading___Toc4328060_3804643083"/>
      <w:bookmarkStart w:id="281" w:name="_Toc105"/>
      <w:bookmarkEnd w:id="280"/>
      <w:r>
        <w:rPr>
          <w:rtl w:val="true"/>
        </w:rPr>
        <w:t>و منها</w:t>
      </w:r>
      <w:r>
        <w:rPr>
          <w:rtl w:val="true"/>
        </w:rPr>
        <w:t xml:space="preserve">: </w:t>
      </w:r>
      <w:r>
        <w:rPr>
          <w:rtl w:val="true"/>
        </w:rPr>
        <w:t>ما ورد فی أخبار کثیرة معتبرة أنّ اللّه تعالی حرّم الربا</w:t>
      </w:r>
      <w:bookmarkEnd w:id="281"/>
    </w:p>
    <w:p>
      <w:pPr>
        <w:pStyle w:val="BookText"/>
        <w:rPr/>
      </w:pPr>
      <w:r>
        <w:rPr>
          <w:rFonts w:ascii="IRNazanin" w:hAnsi="IRNazanin" w:eastAsia="IRNazanin"/>
          <w:color w:val="111111"/>
          <w:sz w:val="28"/>
          <w:sz w:val="28"/>
          <w:szCs w:val="28"/>
          <w:rtl w:val="true"/>
          <w:lang w:bidi="fa-IR"/>
        </w:rPr>
        <w:t xml:space="preserve">، و عظّم أمر الربا، و أکثر من ذکره و التهدید و التخویف، لأجل تحقّق المعروف، و قرض الحسنة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هؤلاء الأعلام بتصحیحهم حیلهم و ارتکابهم إیّاها، و نشرها بین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المسلمین سدّوا باب ما أراد اللّه فتحه و بالغ و أکثر فیها، و فتحوا الباب الّذی أراد اللّه سدّه و بالغ و أکثر فی المبالغة، و یقتضی فتحه سدّ ذلک الباب بالمرّة و اندراس المعروف و قرض الحسنة بالکلّیة إلی أن لا یسمع الاسم، و لا یوجد الرسم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 ذلک فتحوا باب الحیلة و سهّلوها فی نظر العالمین، و أشاعوها بینهم، إلی أن صار المدار فی الأعصار و الأمصار علیها، من دون تفاوت عندهم بینها و بین غیرها من المباحات، مع أنّه تعالی مسخ طائفة من بنی إسرائیل بارتکابهم الحیلة فی صید البحر، و قال تعالی فَجَعَلْنٰاهٰا نَکٰالًا لِمٰا بَیْنَ یَدَیْهٰا وَ مٰا خَلْفَهٰا وَ مَوْعِظَةً لِلْمُتَّقِینَ </w:t>
      </w:r>
      <w:r>
        <w:rPr>
          <w:rStyle w:val="FootnoteAnchor"/>
          <w:rtl w:val="true"/>
        </w:rPr>
        <w:footnoteReference w:id="908"/>
      </w:r>
      <w:r>
        <w:rPr>
          <w:rFonts w:ascii="Amiri" w:hAnsi="Amiri" w:eastAsia="Amiri" w:cs="Amiri"/>
          <w:color w:val="111111"/>
          <w:sz w:val="28"/>
          <w:sz w:val="28"/>
          <w:szCs w:val="28"/>
          <w:rtl w:val="true"/>
          <w:lang w:bidi="ar-SA"/>
        </w:rPr>
        <w:t>، و المراد ب لِمٰا بَیْنَ یَدَیْهٰا الجماعة الموجودون فی ذلک الزمان، و ب مٰا خَلْفَهٰا الجماعة الآتون بعدهم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عجائب الاتّفاقات أنّی لمّا أوردت الاعتراض علی بعض المحلّلین بهذه الحیل حین استدلاله بقوله تعالی أَحَلَّ اللّٰهُ الْبَیْعَ </w:t>
      </w:r>
      <w:r>
        <w:rPr>
          <w:rStyle w:val="FootnoteAnchor"/>
          <w:rtl w:val="true"/>
        </w:rPr>
        <w:footnoteReference w:id="909"/>
      </w:r>
      <w:r>
        <w:rPr>
          <w:rFonts w:ascii="IRNazanin" w:hAnsi="IRNazanin" w:eastAsia="IRNazanin"/>
          <w:color w:val="111111"/>
          <w:sz w:val="28"/>
          <w:sz w:val="28"/>
          <w:szCs w:val="28"/>
          <w:rtl w:val="true"/>
          <w:lang w:bidi="fa-IR"/>
        </w:rPr>
        <w:t>بأنّه تعالی قال أیضا وَ حَرَّمَ الرِّبٰا، فمن أین ظهر دخول ما ذکرت فی الأوّل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 ذلک إلی أن یلاحظ قول المفسّرین، فأخذ القرآن لینظر أنّ الآیة فی أیّ موضع، فأوّل ما فتح القرآن وقع نظره علی حکایة بنی إسرائیل و استحلالهم الصید، و ما صار علیهم من النکال، و أنّه نکال غیرهم إلی یوم القیامة، تغیّر وجه ذلک الفاضل و اضطرب، و شرع فی الاستغفار، ثمَّ ذکر بعد ذلک بمدة أنّه رجع عن اعتقاده، و حکم بفساد هذه الحیلة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عظم خطر هذه الحیل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مضی 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المواضع المباحة منع الشرع عنها بسبب التشبّه بالربا، بل و ربّما أکّد إلی أن قال الفقهاء بحرمته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الموضع الّذی لا شبهة فیه و لا شباهة، مثل إعطاء الزیادة من دون شرط و لا نیّة و لا عادة أصلا کره الشرع أخذها، بل و ربّما أمر بعد الأخذ باحتسابها من أصل الدین </w:t>
      </w:r>
      <w:r>
        <w:rPr>
          <w:rStyle w:val="FootnoteAnchor"/>
          <w:rtl w:val="true"/>
        </w:rPr>
        <w:footnoteReference w:id="910"/>
      </w:r>
      <w:r>
        <w:rPr>
          <w:rFonts w:ascii="IRNazanin" w:hAnsi="IRNazanin" w:eastAsia="IRNazanin"/>
          <w:color w:val="111111"/>
          <w:sz w:val="28"/>
          <w:sz w:val="28"/>
          <w:szCs w:val="28"/>
          <w:rtl w:val="true"/>
          <w:lang w:bidi="fa-IR"/>
        </w:rPr>
        <w:t xml:space="preserve">، و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الحیلة الّتی هم یصحّحوها بلا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یرتکب هذه الحیلة إلّا لضرورة </w:t>
      </w:r>
      <w:r>
        <w:rPr>
          <w:rStyle w:val="FootnoteAnchor"/>
          <w:rtl w:val="true"/>
        </w:rPr>
        <w:footnoteReference w:id="911"/>
      </w:r>
      <w:r>
        <w:rPr>
          <w:rFonts w:ascii="IRNazanin" w:hAnsi="IRNazanin" w:eastAsia="IRNazanin"/>
          <w:color w:val="111111"/>
          <w:sz w:val="28"/>
          <w:sz w:val="28"/>
          <w:szCs w:val="28"/>
          <w:rtl w:val="true"/>
          <w:lang w:bidi="fa-IR"/>
        </w:rPr>
        <w:t xml:space="preserve">، و تبعه فی ذلک مولانا المقدّس الأردبیلی رحمه اللّه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حزازة </w:t>
      </w:r>
      <w:r>
        <w:rPr>
          <w:rStyle w:val="FootnoteAnchor"/>
          <w:rtl w:val="true"/>
        </w:rPr>
        <w:footnoteReference w:id="913"/>
      </w:r>
      <w:r>
        <w:rPr>
          <w:rFonts w:ascii="IRNazanin" w:hAnsi="IRNazanin" w:eastAsia="IRNazanin"/>
          <w:color w:val="111111"/>
          <w:sz w:val="28"/>
          <w:sz w:val="28"/>
          <w:szCs w:val="28"/>
          <w:rtl w:val="true"/>
          <w:lang w:bidi="fa-IR"/>
        </w:rPr>
        <w:t xml:space="preserve">هذه الحیل ما هو مشاهد محسوس مجرّب من أنّ المستقرض بها لا یفلح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فی القرض، و إن بذل جهده فی الأداء، بل و دینه فی الزیادة إلی أن یذهب ملکه و مستقلّاته مثل الدار و البستان و غیره من یده، أمّا مرهونة أو مبیعة، و کان فی بلدی جمع بهذه الحالة فمنعتهم، فمن سمع قولی جاءنی بعد مدّة قلیلة یشکر اللّه تعالی علی أداء جمیع دیونه، و شراء الدار و الدکان و أمتعة الدکّان و غیر ذلک، مصرّحا بأنّه من سماع قولی متیقّنا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المقرضون، و إن کانوا من أوّل أمرهم یحصل لهم، إلّا أنّهم یعرض أموالهم و أنفسهم حوادث تذهب ما لهم، و دائما فی الخسارات و تذهب منهم البرکة، و ربّما صاروا 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حسب حالهم فی السعادة و الشقاوة، کلّما کانوا أحسن حالا کانت الحوادث إلیهم أسرع، بل البلد الّذی تشیع فیه هذه الحیل تشیع فیه</w:t>
      </w:r>
      <w:bookmarkStart w:id="282" w:name="pg2526_25624"/>
    </w:p>
    <w:p>
      <w:pPr>
        <w:pStyle w:val="BookText"/>
        <w:rPr/>
      </w:pPr>
      <w:bookmarkEnd w:id="2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تلک الحوادث، و لذا شاعت فی البلدان فی هذه الأزمان إلی أن خربت، و مرّ فی الحدیث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تعالی هلاک بلد أظهر فیه الربا</w:t>
      </w:r>
      <w:r>
        <w:rPr>
          <w:rFonts w:eastAsia="IRNazanin" w:cs="IRNazanin"/>
          <w:color w:val="111111"/>
          <w:sz w:val="28"/>
          <w:szCs w:val="28"/>
          <w:rtl w:val="true"/>
          <w:lang w:bidi="fa-IR"/>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یا أخی إلی ما ذکرنا من صدر الرسالة إلی هاهنا، و ما سنذکر أیضا، و أمعن النظر حتّی یتّضح لک أنّه تعالی فی غایة التشدید فی أمر الربا، و نهایة الاهتمام فی ترکه و الاحتراز عنه، و إن کان مجهولا، بل و لو کان خفیّا غایة الخفاء، لا أنّه یسعی فی استحلاله و یرتکب الحیل فی ذلک مهما أمکن من توهّم شائبة خفاء، بل و بمجرّد تبدیل عبارة، و إن لم یکن فی العبارات فرق بالنسبة إلی المانع و المقتضی الثابتین من الأدلّة و کلام الفقهاء الأجلّاء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أصلح اللّه تعالی أحوالنا بمحمّد و آله الطاهرین</w:t>
      </w:r>
      <w:r>
        <w:rPr>
          <w:rFonts w:eastAsia="IRNazanin" w:cs="IRNazanin"/>
          <w:color w:val="111111"/>
          <w:sz w:val="28"/>
          <w:szCs w:val="28"/>
          <w:rtl w:val="true"/>
          <w:lang w:bidi="fa-IR"/>
        </w:rPr>
        <w:t>.</w:t>
      </w:r>
    </w:p>
    <w:p>
      <w:pPr>
        <w:pStyle w:val="Heading4"/>
        <w:numPr>
          <w:ilvl w:val="3"/>
          <w:numId w:val="1"/>
        </w:numPr>
        <w:rPr/>
      </w:pPr>
      <w:bookmarkStart w:id="283" w:name="__RefHeading___Toc4328062_3804643083"/>
      <w:bookmarkStart w:id="284" w:name="_Toc106"/>
      <w:bookmarkEnd w:id="283"/>
      <w:r>
        <w:rPr>
          <w:rtl w:val="true"/>
        </w:rPr>
        <w:t>و منها</w:t>
      </w:r>
      <w:r>
        <w:rPr>
          <w:rtl w:val="true"/>
        </w:rPr>
        <w:t xml:space="preserve">: </w:t>
      </w:r>
      <w:r>
        <w:rPr>
          <w:rtl w:val="true"/>
        </w:rPr>
        <w:t>ما رواه الشیخ بسنده عن الصادق علیه السّلام</w:t>
      </w:r>
      <w:r>
        <w:rPr>
          <w:rtl w:val="true"/>
        </w:rPr>
        <w:t>: «</w:t>
      </w:r>
      <w:r>
        <w:rPr>
          <w:rtl w:val="true"/>
        </w:rPr>
        <w:t>الرجل یبیع البیع</w:t>
      </w:r>
      <w:bookmarkEnd w:id="28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البائع یعلم أنّه لا یسوی، و المشتری یعلم أنّه لا یسوی إلّا أنّه یعلم أنّه سیرجع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فیشتریه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قال لجابر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إذا أورثتم الذلّ </w:t>
      </w:r>
      <w:r>
        <w:rPr>
          <w:rStyle w:val="FootnoteAnchor"/>
          <w:rtl w:val="true"/>
        </w:rPr>
        <w:footnoteReference w:id="915"/>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أبقیت </w:t>
      </w:r>
      <w:r>
        <w:rPr>
          <w:rStyle w:val="FootnoteAnchor"/>
          <w:rtl w:val="true"/>
        </w:rPr>
        <w:footnoteReference w:id="916"/>
      </w:r>
      <w:r>
        <w:rPr>
          <w:rFonts w:ascii="IRNazanin" w:hAnsi="IRNazanin" w:eastAsia="IRNazanin"/>
          <w:color w:val="111111"/>
          <w:sz w:val="28"/>
          <w:sz w:val="28"/>
          <w:szCs w:val="28"/>
          <w:rtl w:val="true"/>
          <w:lang w:bidi="fa-IR"/>
        </w:rPr>
        <w:t xml:space="preserve">إلی ذلک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یکون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الربا، فإن لم تشتره یردّه علیه </w:t>
      </w:r>
      <w:r>
        <w:rPr>
          <w:rStyle w:val="FootnoteAnchor"/>
          <w:rtl w:val="true"/>
        </w:rPr>
        <w:footnoteReference w:id="917"/>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تقربنّه</w:t>
      </w:r>
      <w:r>
        <w:rPr>
          <w:rFonts w:eastAsia="IRNazanin" w:cs="IRNazanin"/>
          <w:color w:val="111111"/>
          <w:sz w:val="28"/>
          <w:szCs w:val="28"/>
          <w:rtl w:val="true"/>
          <w:lang w:bidi="fa-IR"/>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و هذا الحدیث موافق لما ذکرنا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وقوع هذه الحیل بعد الرسول صلّی اللّه علیه و آله و سلّم من أعدائه المحدثین فی الدین، و الخبر محمول علی صورة الشرط، لما سبق، و لما فی الأخبار المتعدّدة فی خصوص المقام،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الحمیری بسنده إلی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باع ثوبا بعشرة دراهم، ثمَّ اشتراه بخمسة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 أ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یشترط و رضیه </w:t>
      </w:r>
      <w:r>
        <w:rPr>
          <w:rStyle w:val="FootnoteAnchor"/>
          <w:rtl w:val="true"/>
        </w:rPr>
        <w:footnoteReference w:id="919"/>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الکلینی رحمه اللّه و الشیخ بسندهما إلی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یجیئنی الرجل فیطلب العینة، فأشتری له المتاع مرابحة ثمَّ أبیعه إیّاه، ثمَّ أشتریه منه مکانی،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w:t>
      </w:r>
      <w:r>
        <w:rPr>
          <w:rStyle w:val="FootnoteAnchor"/>
          <w:rtl w:val="true"/>
        </w:rPr>
        <w:footnoteReference w:id="921"/>
      </w:r>
      <w:r>
        <w:rPr>
          <w:rFonts w:ascii="IRNazanin" w:hAnsi="IRNazanin" w:eastAsia="IRNazanin"/>
          <w:color w:val="111111"/>
          <w:sz w:val="28"/>
          <w:sz w:val="28"/>
          <w:szCs w:val="28"/>
          <w:rtl w:val="true"/>
          <w:lang w:bidi="fa-IR"/>
        </w:rPr>
        <w:t>بالخیار، إن شاء باع و إن شاء لم یبع، و کنت أنت بالخیار، إن شئت اشتریت، و إن شئت لم تشتر، فلا بأس</w:t>
      </w:r>
      <w:r>
        <w:rPr>
          <w:rFonts w:eastAsia="IRNazanin" w:cs="IRNazanin"/>
          <w:color w:val="111111"/>
          <w:sz w:val="28"/>
          <w:szCs w:val="28"/>
          <w:rtl w:val="true"/>
          <w:lang w:bidi="fa-IR"/>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أنّ المراد عدم تحقّق مشارطة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 یا أخی هذا القدر الّذی عثرت علیه من الأخبار التی تصلح لکونها مستند الفقهاء، و أمّا غیر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دلّ علی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کثیر، سنشیر إلی طائفة منها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تأمّل فی دخول محلّ النزاع فی الأخبار الّتی تدلّ علی التحریم، و فی دلالة بعضها علی حرمته بالخصوص، أو ظهوره فیها، لکن عموم ما دلّ علی حلّیة العقود و صحّتها یشمله أیضا، و خصوص بعض الأخبار أیضا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یدلّ علیها بالخصوص، فما وجه ترجیح ما دلّ علی الحرمة، مع أنّ الأصل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دلّ علی الحلّ بالخصوص فسیجی‌ء فیه الکلام مشروحا، و أمّا الجواب عن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بالقرض بشرط النفع الّذی لا یکون عقدا، لأنّه داخل فی عموم ما دلّ علی حلّیة مال المسلم و غیره إذا کان بطیب نفسه، و عن تراض،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هذا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المخرج لیس إلّا الأخبار و کلام الفقهاء، إذ لیس فی القرآن إلّا أنّ الربا حرام، و أمّا أنّه لیس بعقد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العقل، فلا شکّ فی أنّه لا فرق عنده بین عبارة و عبارة، مع أنّ أثرهما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فقد عرفت الحال فیها، و کذا کلام الفقهاء، و أنت سلّمت، و أمّا غیر الفقهاء فإمّا یقولون بعدم التفاوت و أنّه حیلة غیر مؤثرة، بل الحیلة عندهم فسخ مطلقا، و تراهم یستهزئون و یضحکون، و إمّا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الحال، و یسکتون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یعرفون، فإن کان فیهم من یقول بالصحّة، فإنّما هو بنقله و بتقلیدهم هؤلاء الأعلام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هو أنّ ما دلّ علی صحّة العقود یدلّ علی صحّتها بأنفسها و من حیث هی هی، لا أنّه إذا عرفها من الخارج ما حرّمها و أدخلها فی الأدلّة الدالّة علی التحریم و أفتی بها الفقهاء یکون حلالا أیضا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هذه الأخبار بالنظر إلی العمومات الدالّة علی صحّة العقود خاص بالبدیهة، و إذا تعارض العام و الخاص فالخاص مقدّم وفاقا، و برهن علیه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أیضا، و بناء هؤلاء الأعلام علی ذلک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مرجّحات کثیرة غایة الکثرة لجانب الحرمة، قد عرفت البعض و ستعرف البعض، بل و ربّما یحصل منها الجزم و الیقین، بل و إنّ هؤلاء لا یحرّمون الربا الّذی هو أمر معنوی و طلب زیادة مال أو منفعة، علی سبیل التسلّط من جهة المشارطة، بل لا یحرّمون إلّا لفظا و عبارة، مع ما عرفت من عدم الفرق بین الألفاظ و العبارات أیضا أصلا و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یکون اشتراط المعاملة حراما، و أمّا نفس المعاملة فتکون حلالا؟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المرتکب یعذّب عذابا واحدا لا أنّه یعذّب ثلاث عذابات، أحدها بإزاء القرض، و الثانی بإزاء الشرط، و الثالث بإزاء المبیع،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علی ما ذکرت، إلّا أنّ العذاب من یطیقه؟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أن یکون درهم منه أشدّ عند اللّه من سبعین زنیة بذات محرم فی جوف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الحیلة إنّما هی للخلاص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 أنّ المعاملة تکون صحیحة بناء علی أنّ النهی وقع من خارج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الحقّ أنّ النهی فی المعاملات لا یقتضی الفساد، و إن وقع فی نفس المعاملة، لکن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الضرورة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الفساد فی الربا، و ضروری الدین أنّ نفع القرض إن کان حراما یکون ربا، و یظهر من الأخبار أیضا، فلا حظ و تأمّل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الکلام فی أنّ هؤلاء الأعلام یستحلّون القرض بشرط المنفعة إذا کانت</w:t>
      </w:r>
      <w:bookmarkStart w:id="285" w:name="pg2526_25628"/>
    </w:p>
    <w:p>
      <w:pPr>
        <w:pStyle w:val="BookText"/>
        <w:rPr/>
      </w:pPr>
      <w:bookmarkEnd w:id="2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عقدا أو معاوضة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أنّ الکلام فی صحّة هذه المعاملة، أو عدم صحّتها سیجی‌ء، فانتظر</w:t>
      </w:r>
      <w:r>
        <w:rPr>
          <w:rFonts w:eastAsia="IRNazanin" w:cs="IRNazanin"/>
          <w:color w:val="111111"/>
          <w:sz w:val="28"/>
          <w:szCs w:val="28"/>
          <w:rtl w:val="true"/>
          <w:lang w:bidi="fa-IR"/>
        </w:rPr>
        <w:t>.</w:t>
      </w:r>
    </w:p>
    <w:p>
      <w:pPr>
        <w:pStyle w:val="Heading3"/>
        <w:numPr>
          <w:ilvl w:val="2"/>
          <w:numId w:val="1"/>
        </w:numPr>
        <w:rPr/>
      </w:pPr>
      <w:bookmarkStart w:id="286" w:name="__RefHeading___Toc4328064_3804643083"/>
      <w:bookmarkStart w:id="287" w:name="_Toc107"/>
      <w:bookmarkEnd w:id="286"/>
      <w:r>
        <w:rPr>
          <w:rtl w:val="true"/>
        </w:rPr>
        <w:t>و أمّا ما دلّ علی فتوی الفقهاء من غیر جهة الخبر</w:t>
      </w:r>
      <w:r>
        <w:rPr>
          <w:rtl w:val="true"/>
        </w:rPr>
        <w:t>:</w:t>
      </w:r>
      <w:bookmarkEnd w:id="287"/>
    </w:p>
    <w:p>
      <w:pPr>
        <w:pStyle w:val="Heading4"/>
        <w:numPr>
          <w:ilvl w:val="3"/>
          <w:numId w:val="1"/>
        </w:numPr>
        <w:rPr/>
      </w:pPr>
      <w:bookmarkStart w:id="288" w:name="__RefHeading___Toc4328066_3804643083"/>
      <w:bookmarkStart w:id="289" w:name="_Toc108"/>
      <w:bookmarkEnd w:id="288"/>
      <w:r>
        <w:rPr>
          <w:rtl w:val="true"/>
        </w:rPr>
        <w:t>فمنها</w:t>
      </w:r>
      <w:r>
        <w:rPr>
          <w:rtl w:val="true"/>
        </w:rPr>
        <w:t xml:space="preserve">: </w:t>
      </w:r>
      <w:r>
        <w:rPr>
          <w:rtl w:val="true"/>
        </w:rPr>
        <w:t>ما استدلّ به لما ذهب إلیه فقهاؤنا</w:t>
      </w:r>
      <w:r>
        <w:rPr>
          <w:rtl w:val="true"/>
        </w:rPr>
        <w:t xml:space="preserve">- </w:t>
      </w:r>
      <w:r>
        <w:rPr>
          <w:rtl w:val="true"/>
        </w:rPr>
        <w:t>سوی العلّامة</w:t>
      </w:r>
      <w:r>
        <w:rPr>
          <w:rtl w:val="true"/>
        </w:rPr>
        <w:t xml:space="preserve">- </w:t>
      </w:r>
      <w:r>
        <w:rPr>
          <w:rtl w:val="true"/>
        </w:rPr>
        <w:t>من عدم اختصاص الربا بالبیع و القرض</w:t>
      </w:r>
      <w:bookmarkEnd w:id="289"/>
    </w:p>
    <w:p>
      <w:pPr>
        <w:pStyle w:val="BookText"/>
        <w:rPr/>
      </w:pPr>
      <w:r>
        <w:rPr>
          <w:rFonts w:ascii="Amiri" w:hAnsi="Amiri" w:eastAsia="Amiri" w:cs="Amiri"/>
          <w:color w:val="111111"/>
          <w:sz w:val="28"/>
          <w:sz w:val="28"/>
          <w:szCs w:val="28"/>
          <w:rtl w:val="true"/>
          <w:lang w:bidi="ar-SA"/>
        </w:rPr>
        <w:t xml:space="preserve">، بل هو جار فی جمیع المعاملات أیضا، من أنّه لو کان مختصّا بهما لما وقع آکلو الربا فی الضیق الشدید، و ما صاروا معرضا للوعید و التهدید، و ما خالفوا اللّه تعالی و رسوله صلّی اللّه علیه و آله و سلّم، مع ما فی المخالفة من خطر الدنیا و الآخرة، و لما بقوا علی مخالفتهم إلی أن نزل فیهم فَإِنْ لَمْ تَفْعَلُوا فَأْذَنُوا بِحَرْبٍ مِنَ اللّٰهِ وَ رَسُولِهِ </w:t>
      </w:r>
      <w:r>
        <w:rPr>
          <w:rStyle w:val="FootnoteAnchor"/>
          <w:rtl w:val="true"/>
        </w:rPr>
        <w:footnoteReference w:id="923"/>
      </w:r>
      <w:r>
        <w:rPr>
          <w:rFonts w:ascii="IRNazanin" w:hAnsi="IRNazanin" w:eastAsia="IRNazanin"/>
          <w:color w:val="111111"/>
          <w:sz w:val="28"/>
          <w:sz w:val="28"/>
          <w:szCs w:val="28"/>
          <w:rtl w:val="true"/>
          <w:lang w:bidi="fa-IR"/>
        </w:rPr>
        <w:t>، و غیر ذلک، إذ غرضهم ما کان إلّا تحصیل المنفعة من دون مضایقة فی حصولها من المصالحة أو الهبة أو القرض أو المبایعة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امّة الرسول صلّی اللّه علیه و آله و سلّم و غیرهم، کانوا مشغوفین بأکل الربا، حریصین علیه علی عاداتهم الجاهلیّة، فلمّا أنزل حرمة الربا فمنهم من أطاع اللّه، أو خوفا منه، أو خوفا من مؤاخذة الرسول صلّی اللّه علیه و آله و سلّم، علی تفاوت حالاتهم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الترک شاقّا علیهم، حتّی أن بعضهم من شدّة المشقّة ما ترک أصلا، و ما أطاع الرسول صلّی اللّه علیه و آله و سلّم، مع کونه من أمّته و اختیاره إطاعته فی جمیع الأمور، و اختار عظیم خطر المؤاخذة الدنیویّة و العقوبة الأخرویّة علی تلک المشقّة إلی أن نزل فیهم ما نزل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بقی جمع من الأمّة علی التمرّد و العصیان، فی البلدان و الأزمان، إلی هذا الزمان، فلو کان أهل الصدر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المخاطبون فی التکلیفات،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 الحاضرون فی مجلس التهدیدات و التخویفات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یفهمون اختصاص الربا بخصوص البیع أو القرض، و عدم التعدّی إلی غیرهما من المعاملات، فلم کان المطیع یرفع یده بالمرّة، و العاصی یلقی بیده إلی التهلکة و خزی الدنیا و الآخرة، مع أنّ غرضهما لم یکن إلّا زیادة المال و تحصیل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هذا الغرض تفاوت أصلا و بالمرّة بین البیع و القرض، و بین غیرهما مثل الصلح و الهبة، و المسائل الشرعیّة کلّها مبنیّة علی انسداد طریق و انفتاح طریق، و لم یسدّ أحد الطریق المفتوح بسبب انسداد طریق آخر فی تلک المسائل، فکیف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قد عرفت </w:t>
      </w:r>
      <w:r>
        <w:rPr>
          <w:rStyle w:val="FootnoteAnchor"/>
          <w:rtl w:val="true"/>
        </w:rPr>
        <w:footnoteReference w:id="924"/>
      </w:r>
      <w:r>
        <w:rPr>
          <w:rFonts w:ascii="IRNazanin" w:hAnsi="IRNazanin" w:eastAsia="IRNazanin"/>
          <w:color w:val="111111"/>
          <w:sz w:val="28"/>
          <w:sz w:val="28"/>
          <w:szCs w:val="28"/>
          <w:rtl w:val="true"/>
          <w:lang w:bidi="fa-IR"/>
        </w:rPr>
        <w:t>من شدّة مشقّة الترک و إلقاء النفس إلی التهلکة، و لا یرتکب السفهاء و البلهاء مثل ذلک، فضلا عن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الرسول صلّی اللّه علیه و آله و سلّم کان رحمة للعالمین، عزیز علیه مشقّة أمّته، حریص علیهم، بالمؤمنین رؤوف رحیم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 کان مبعوثا لتبلیغ أحکام الشرع و تکمیل دینه المتین فی الخلق، فلم ما بیّن و ما أمرهم بأن یبدّلوا لفظا بلفظ و یستریحوا من شرّ الدنیا و الآخرة، مع بقاء غرضهم بعینه من دون تفاوت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اللازم علیه صلّی اللّه علیه و آله و سلّم أن یبلّغ و یبالغ و لا یقنع، و لا یترکهم فی مضائقهم الجاریة، بل المشعرة بعدم المبالاة بالدین، و الاستخفاف المشیر إلی الکفر، لأنّه بلا تفاوت أصلا بفعل الحرام، بل ربّما کانت معاملاتهم باطلة من جهة سفاهتهم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کانوا ترکوا الطریق الممنوع، و أقبلوا إلی الطریق المفتوح، و هجموا إلی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تحصیل الزیادة بمثل الهبة و المصالحة لشاع و ذاع، علی حدّ نظائره من المسائل الشرعیّة، بل الأمر فیما نحن فیه أشدّ، لما عرفت من شدّة الرغبة و نهایة المشقّة، مع رغبة المستقرضین لاحتیاجهم، و تشابه أجزاء الزمان، و بنی نوع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استدلالهم علی تعمیهم الربا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لو تأمّلت وجدت أنّ هذا الدلیل کما یدلّ علی ذلک التعمیم 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بطلان الحیل الّتی یرتکبها هؤلاء الأعلام، بل و دلالته أشدّ و أظهر، لوجود الخلاف فی ذلک بین المسلمین، و عدم وجدان خلاف هاهنا، فأیّ عاقل یرضی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أقرضک ألف تومان علی أن تعطینی تومانا زائدا، أو بشرط أن تعطینی عشر معشار فلس، و یعرّض نفسه لهلکات الدنیا و الآخرة، و لا یرضی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تهب لی تومانا،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تعطینی تومانا، و لیس فیه حزازة أصلا لا فی الدنیا و لا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لا یرضی أن یقول موضع تعطینی تومانا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تهب لی مائة تومان أو ألف تومان، أو یقول تهب لی ألف تومان بإزاء فلس تأخذ منّی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الشاهدون أعرف بالخطاب من الغائبین، أ تظنّ أنّهم بأجمعهم کانوا عشّاق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ماثله؟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و کانوا محبّین للمال، و عرض الدنیا من دون تعب فی تحصیله، و لا خوف فی تلف أو خسران، لأنّ التجارة لا تخلو من التعب و خوف الخسارة، و مع ذلک لا شکّ فی أنّ اللّه تعالی أشفق علی عباده منکم، و کذلک رسوله صلّی اللّه علیه و آله و سلّم، مع أنّهما یحبّان الیسر و التوسعة فی الدین و السهولة و السماحة، فلم أبقیا العباد فی الضیق و الشدّة، و ما أرشداهم إلی طریقة التخلّص و الحیلة، و ترکاهم عاصین متمرّدین، و فی الطغیان متمادین؟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و أعجب من ذلک أنّه تعالی منع عن الحیلة، بل و جعل مرتکبیها قردة خاسئین، و جعل ذلک نکالا للعالمین، و موعظة للمتّقین، و رسوله صلّی اللّه علیه و آله و سلّم صرّح بالمنع عن استحلال الربا بالبیع، و أخبر بأنّه سیحدث ذلک من المبتدعین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عن الأئمّة علیهم السّلام أیضا ما ظهر من حرمة اشتراط ما زاد علی مثل الّذی أقرض أیّ شرط یکون، بل و حرمة اشتراط الهبة و العاریة و البیع المحاباتیة، و غیر ذلک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الفقهاء أیضا ظهر منهم ما ظهر، و الشواهد أیضا قد کثرت علی ذلک، علی حسب ما مرّ الإشارة إلی بعض منها، و سیجی‌ء أیضا، و ربّما یحصل من ملاحظتها القطع، بل و أنّ هؤلاء استحلّوا الربا و حرّموا بعض الألفاظ و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إن کان ورد عنهم علیهم السّلام بعض ما لعلّه ظاهر فی التجویز أیضا، إلّا أنّک ستعرف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أحدا من الفقهاء لم یفت بالجواز، بل اتّفقوا علی المنع، و أنّ المراد من ذلک الخبر غیر ما نحن فیه،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الربا مختصّا بالمنفعة الّتی لا تکون معاملة، لصار الأمر من اللّه تعالی و رسوله صلّی اللّه علیه و آله و سلّم و الأئمة علیهم السّلام و فقهائهم بخلاف ما ذکره البتّة، و کذلک صار المسلمون فی الأعصار و الأمصار یرتکبون علی قیاس ما ذکر فی جریان الربا فی غیر البیع و القرض</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الحیلة لمجرّد تصحیح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لتحصیل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ممّا لا یرغب إلیها آکلو الربا، لأنّ غرضهم من الربا تحصیل الزیادة فی المال، و قد عرفت</w:t>
      </w:r>
      <w:bookmarkStart w:id="290" w:name="pg2526_25632"/>
    </w:p>
    <w:p>
      <w:pPr>
        <w:pStyle w:val="BookText"/>
        <w:rPr/>
      </w:pPr>
      <w:bookmarkEnd w:id="2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أنّ الحیلة المصحّحة لتحصیل الزیادة منحصرة فی عدم الشرط عند الفقهاء، و البناء علی عدم الشرط و وکول الأمر إلی المستقرض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إنّه إن کان یرید أن یعطی و إلّا فلا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یرضی به الآکلون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فی مثل المقام یشکل الاستناد إلی ظاهر أخبار الآحاد، سیّما و أن تکون قاصرة سندا و دلالة، و معارضة لأخبار و أدلّة کثیرة تکون مفتی بها بین الفقهاء، بل و لعلّه یحصل الیقین، و تلک الظواهر مهجورة عندهم لو کانت تلک الظواهر متحقّقة، و سیجی‌ء الکلام</w:t>
      </w:r>
      <w:r>
        <w:rPr>
          <w:rFonts w:eastAsia="IRNazanin" w:cs="IRNazanin"/>
          <w:color w:val="111111"/>
          <w:sz w:val="28"/>
          <w:szCs w:val="28"/>
          <w:rtl w:val="true"/>
          <w:lang w:bidi="fa-IR"/>
        </w:rPr>
        <w:t>.</w:t>
      </w:r>
    </w:p>
    <w:p>
      <w:pPr>
        <w:pStyle w:val="Heading4"/>
        <w:numPr>
          <w:ilvl w:val="3"/>
          <w:numId w:val="1"/>
        </w:numPr>
        <w:rPr/>
      </w:pPr>
      <w:bookmarkStart w:id="291" w:name="__RefHeading___Toc4328068_3804643083"/>
      <w:bookmarkStart w:id="292" w:name="_Toc109"/>
      <w:bookmarkEnd w:id="291"/>
      <w:r>
        <w:rPr>
          <w:rtl w:val="true"/>
        </w:rPr>
        <w:t>و منها</w:t>
      </w:r>
      <w:r>
        <w:rPr>
          <w:rtl w:val="true"/>
        </w:rPr>
        <w:t xml:space="preserve">: </w:t>
      </w:r>
      <w:r>
        <w:rPr>
          <w:rtl w:val="true"/>
        </w:rPr>
        <w:t>أنّ تلک المعاملة لم یثبت بعد صحّتها، و کونها حیلة شرعیّة فرع ثبوت الصحّة من دلیل شرعی</w:t>
      </w:r>
      <w:bookmarkEnd w:id="292"/>
    </w:p>
    <w:p>
      <w:pPr>
        <w:pStyle w:val="BookText"/>
        <w:rPr/>
      </w:pPr>
      <w:r>
        <w:rPr>
          <w:rFonts w:ascii="IRNazanin" w:hAnsi="IRNazanin" w:eastAsia="IRNazanin"/>
          <w:color w:val="111111"/>
          <w:sz w:val="28"/>
          <w:sz w:val="28"/>
          <w:szCs w:val="28"/>
          <w:rtl w:val="true"/>
          <w:lang w:bidi="fa-IR"/>
        </w:rPr>
        <w:t>، لأنّ الصحّة حکم شرعی، لأنّها عبارة عن ترتّب الأثر الشرعی، فما لم یثبت من دلیل شرعیّ فالأصل عدمها حتّی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یقول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الصحّة، مرادهم من الأصل عموم دلیل شرعی أو قاعدة شرعیّة ثابتة من دلیل شرعی، و إلّا فلا شکّ فی أنّ الأصل عدم الحکم الشرعی حتّی یثبت بدلیل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فی المقام مفقود قطعا، لو لم نقل بالإجماع علی عدم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مثل قوله تعالی وَ أَحَلَّ اللّٰهُ الْبَیْعَ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فیه، أنّه و إن قال ذلک، إلّا أنّه قال أیضا وَ حَرَّمَ الرِّبٰا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و ورد أیضا أنّ القرض بشرط المنفعة حرام،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نحن فیه من أین ظهر دخوله فی الأوّل، و عدم دخوله فی الثانی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دخوله فی الأوّل معلوم، و فی الأخیرین مشکوک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المراد بالبیع المعنی اللغوی، فالربا أیضا لغة مطلق الزیادة، و قد ذکرنا عن تفسیر علی بن إبراهیم ما یؤکّد ذلک، و کذا یظهر من موارد الاستعمالات، مثل قوله تعالی یَمْحَقُ اللّٰهُ الرِّبٰا وَ یُرْبِی الصَّدَقٰاتِ </w:t>
      </w:r>
      <w:r>
        <w:rPr>
          <w:rStyle w:val="FootnoteAnchor"/>
          <w:rtl w:val="true"/>
        </w:rPr>
        <w:footnoteReference w:id="928"/>
      </w:r>
      <w:r>
        <w:rPr>
          <w:rFonts w:ascii="IRNazanin" w:hAnsi="IRNazanin" w:eastAsia="IRNazanin"/>
          <w:color w:val="111111"/>
          <w:sz w:val="28"/>
          <w:sz w:val="28"/>
          <w:szCs w:val="28"/>
          <w:rtl w:val="true"/>
          <w:lang w:bidi="fa-IR"/>
        </w:rPr>
        <w:t>،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القرض بشرط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أظهر دلالة،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إلّا مثل ورقه </w:t>
      </w:r>
      <w:r>
        <w:rPr>
          <w:rStyle w:val="FootnoteAnchor"/>
          <w:rtl w:val="true"/>
        </w:rPr>
        <w:footnoteReference w:id="929"/>
      </w:r>
      <w:r>
        <w:rPr>
          <w:rFonts w:ascii="Amiri" w:hAnsi="Amiri" w:eastAsia="Amiri" w:cs="Amiri"/>
          <w:color w:val="111111"/>
          <w:sz w:val="28"/>
          <w:sz w:val="28"/>
          <w:szCs w:val="28"/>
          <w:rtl w:val="true"/>
          <w:lang w:bidi="ar-SA"/>
        </w:rPr>
        <w:t>، و غیر ذلک ممّا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اللغوی لیس بحرام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اللغوی أیضا لیس بحلال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العموم حلّیة کلّ بیع لغوی، خرج ما خرج بالدلیل و 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الحال فی الربا، مع أنّ شمول العموم للفروض النادرة محلّ کلام، و کون ما نحن فیه من الصور المتعارفة فی زمان نزول الآیة محلّ کلام، بل الظاهر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عرّفوا البیع بکذا و کذا، و هو شامل له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فکلامهم فی منفعة القرض أیضا شامل، بل و صرّح بعضهم، و قد</w:t>
      </w:r>
      <w:bookmarkStart w:id="293" w:name="pg2526_25634"/>
    </w:p>
    <w:p>
      <w:pPr>
        <w:pStyle w:val="BookText"/>
        <w:rPr/>
      </w:pPr>
      <w:bookmarkEnd w:id="2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سبق الکلام فی ذلک، مع أنّکم لا تعتبرون تعریف الفقهاء أصلا، و لا ترجعون اللفظ إلیه مطلقا، و لذا تؤاخذونهم فی کلّ قید بإثباته بدلیل و تنکرون اعتباره لو لم تجدوا دلیلا، و منه اعتبار الصیغة المعهودة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کلّ شی‌ء یقولون فی أَحَلَّ اللّٰهُ الْبَیْعَ نقول فی حَرَّمَ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عرفت الأخبار الصحاح الکثیرة و المعتبرة الوافرة و غیرها، و أنّها تقتضی البطلان، و قد عرفت أنّها المفتی 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تسلیم أن یکون هذه الأخبار یعارضها أخبار أخر و تقاومها أیضا، غایة الأمر التصادم، فمن أین ثبت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 الأصل عدم الصحّة، و عدم انتقال الملک من المستقرض، و عدم دخوله فی ملک المقرض، و عدم تسلّط المقرض، و بقاء الملک المقترض، و هو العوض الّذی یعطی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یعارض دلیلا و إن کان الدلیل هو الأصل، و کذا لا یثبت صحّة، مع أنّ الأصل براءة ذمّة المقترض من لزوم إعطاء الزیادة، مع أنّ الکلام فی صحّة هذه المعاملة و الاحتیاج إلی الحیلة و کون الأخذ و الإعطاء بسبب هذه الحیلة، فتدبّر</w:t>
      </w:r>
      <w:r>
        <w:rPr>
          <w:rFonts w:eastAsia="IRNazanin" w:cs="IRNazanin"/>
          <w:color w:val="111111"/>
          <w:sz w:val="28"/>
          <w:szCs w:val="28"/>
          <w:rtl w:val="true"/>
          <w:lang w:bidi="fa-IR"/>
        </w:rPr>
        <w:t>.</w:t>
      </w:r>
    </w:p>
    <w:p>
      <w:pPr>
        <w:pStyle w:val="Heading4"/>
        <w:numPr>
          <w:ilvl w:val="3"/>
          <w:numId w:val="1"/>
        </w:numPr>
        <w:rPr/>
      </w:pPr>
      <w:bookmarkStart w:id="294" w:name="__RefHeading___Toc4328070_3804643083"/>
      <w:bookmarkStart w:id="295" w:name="_Toc110"/>
      <w:bookmarkEnd w:id="294"/>
      <w:r>
        <w:rPr>
          <w:rtl w:val="true"/>
        </w:rPr>
        <w:t>و منها</w:t>
      </w:r>
      <w:r>
        <w:rPr>
          <w:rtl w:val="true"/>
        </w:rPr>
        <w:t xml:space="preserve">: </w:t>
      </w:r>
      <w:r>
        <w:rPr>
          <w:rtl w:val="true"/>
        </w:rPr>
        <w:t>ما أشرنا سابقا من أنّ الحیلة لا تتحقّق إلّا فی موضوعات الأحکام لا نفسها</w:t>
      </w:r>
      <w:bookmarkEnd w:id="29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هذا بدیهی</w:t>
      </w:r>
      <w:r>
        <w:rPr>
          <w:rFonts w:eastAsia="IRNazanin" w:cs="IRNazanin"/>
          <w:color w:val="111111"/>
          <w:sz w:val="28"/>
          <w:szCs w:val="28"/>
          <w:rtl w:val="true"/>
          <w:lang w:bidi="fa-IR"/>
        </w:rPr>
        <w:t>.</w:t>
      </w:r>
      <w:bookmarkStart w:id="296" w:name="pg2526_25635"/>
    </w:p>
    <w:p>
      <w:pPr>
        <w:pStyle w:val="BookText"/>
        <w:rPr/>
      </w:pPr>
      <w:bookmarkEnd w:id="2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فإن کان الحرام شرعا أعمّ من العقد و المعاملة، فکیف یمکن الإخراج؟</w:t>
      </w:r>
    </w:p>
    <w:p>
      <w:pPr>
        <w:pStyle w:val="BookText"/>
        <w:rPr/>
      </w:pPr>
      <w:r>
        <w:rPr>
          <w:rFonts w:ascii="IRNazanin" w:hAnsi="IRNazanin" w:eastAsia="IRNazanin"/>
          <w:color w:val="111111"/>
          <w:sz w:val="28"/>
          <w:sz w:val="28"/>
          <w:szCs w:val="28"/>
          <w:rtl w:val="true"/>
          <w:lang w:bidi="fa-IR"/>
        </w:rPr>
        <w:t>و إن کان مختصّا بما لیس بعقد أو معاملة، فلم سمّیتموه بالحیلة؟ و لا شبهة فی أنّها حیلة، و لا یمکن إنکار ذلک، و لا یرضی بالإنکار أحد من المتشرّعة، و لا أحد من غیرهم من العقلاء و أهل العرف، و لیس ذلک إلّا من ظهور أمر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العام المخصّص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 بالنسبة إلی عامّة حیلة،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غسالة الاستنجاء أو القلیل من المطر أو الجاری حیلة بالنسبة إلی ما دلّ علی انفعال القلیل، و علی هذا الحال أوّل الفقه إلی آخره، بل و أوضح، و مع ذلک هؤلاء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حرمة النفع لا شمول له للمعاملة و العقد من أوّل الأمر، بل من أوّل الأمر مخصوص بغیر العقد، فکیف یصیر العقد حیلة؟</w:t>
      </w:r>
      <w:r>
        <w:rPr>
          <w:rFonts w:eastAsia="IRNazanin" w:cs="IRNazanin"/>
          <w:color w:val="111111"/>
          <w:sz w:val="28"/>
          <w:szCs w:val="28"/>
          <w:rtl w:val="true"/>
          <w:lang w:bidi="fa-IR"/>
        </w:rPr>
        <w:t>!</w:t>
      </w:r>
    </w:p>
    <w:p>
      <w:pPr>
        <w:pStyle w:val="Heading4"/>
        <w:numPr>
          <w:ilvl w:val="3"/>
          <w:numId w:val="1"/>
        </w:numPr>
        <w:rPr/>
      </w:pPr>
      <w:bookmarkStart w:id="297" w:name="__RefHeading___Toc4328072_3804643083"/>
      <w:bookmarkStart w:id="298" w:name="_Toc111"/>
      <w:bookmarkEnd w:id="297"/>
      <w:r>
        <w:rPr>
          <w:rtl w:val="true"/>
        </w:rPr>
        <w:t>و منها</w:t>
      </w:r>
      <w:r>
        <w:rPr>
          <w:rtl w:val="true"/>
        </w:rPr>
        <w:t xml:space="preserve">: </w:t>
      </w:r>
      <w:r>
        <w:rPr>
          <w:rtl w:val="true"/>
        </w:rPr>
        <w:t>ما أشرنا من عدم الفرق بین عبارة الهبة و العطیّة و النحلة و التبرّع</w:t>
      </w:r>
      <w:bookmarkEnd w:id="298"/>
    </w:p>
    <w:p>
      <w:pPr>
        <w:pStyle w:val="BookText"/>
        <w:rPr/>
      </w:pPr>
      <w:r>
        <w:rPr>
          <w:rFonts w:ascii="IRNazanin" w:hAnsi="IRNazanin" w:eastAsia="IRNazanin"/>
          <w:color w:val="111111"/>
          <w:sz w:val="28"/>
          <w:sz w:val="28"/>
          <w:szCs w:val="28"/>
          <w:rtl w:val="true"/>
          <w:lang w:bidi="fa-IR"/>
        </w:rPr>
        <w:t>، و غیر ذلک ممّا دلّ علی نقل الملک لا بعنوان اللزوم، و کذا مثل بیع خمسین ألفا بفلس یقتضی النقل بعنوان اللزوم، لأنّ جمیع ما ذکر نفع لغة و عرفا، و واقعا وقع القرض بشرطه، فیکون حراما بمقتضی الأدلّة السابقة و کلام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أقرضت بشرط هبة کذا، یکون معناه أنّه لا یکون بإزاء القرض، لأنّ شرط ما هو بإزاء القرض حرام، و کذا الحال فی البیع، بأن یکون خمسین ألف بإزاء الفلس لا بإزاء القرض</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ما ذکرت لم یحتج إلی حیلة، بل یکفی أن أقرضک بشرط أن تعطی کذا لا بإزاء القرض مع أنّه معلوم یقینا أنّه لا یهب إلّا بإزاء و لا یعطی</w:t>
      </w:r>
      <w:bookmarkStart w:id="299" w:name="pg2526_25636"/>
    </w:p>
    <w:p>
      <w:pPr>
        <w:pStyle w:val="BookText"/>
        <w:rPr/>
      </w:pPr>
      <w:bookmarkEnd w:id="2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الخمسین ألف تومان إلّا بإزاء القرض، و لو لا القرض لم یعط نصف فلس، مع أنّه لو أعطی خمسین بإزاء فلس لکان سفیها قطعا، و معاملته باطلة جزما، و لا یخرجه عن السفاهة إلّا کون ذلک بإزاء القرض، مع أنّه فی العقد أیضا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قرضی إلّا بهذا الشرط، و المستقرض قبل کذلک، و وقع المشارطة کذلک، فیکون بإزاء القرض قطعا، سیّما مع ما عرفت من أنّ الشروط فی العقود أجزاء العوضین، مع أنّ العقود لیس إلّا شروطا، فالعقد فیه تدافع واضح، بل فی الحقیقة بإزاء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یساوی فلسا لعلّه بإزاء الفلس، و الباقی لیس بإزائه جزما، بل بإزاء القرض قطعا کما عرفت، علی أنّک عرفت من کلام الفقهاء و من الأخبار أنّ القرض بشرط مطلق النفع حرام، سواء کان عقدا أو معاوضة و سواء کان نفع عقد أو معاوضة، إذا کان النفع جزء الشرط أو نفس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شرط به العقد لا بشرط المحاباة و النفع، ثمَّ حصل النفع من العقد، فهو حلال عندی و عند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 زیادة المال و النفع، أمّا عند من یقول بحرمة کلّ نفع یکون هذا أیضا حراما عنده، بعد کونه نفعا لغة و عرفا</w:t>
      </w:r>
      <w:r>
        <w:rPr>
          <w:rFonts w:eastAsia="IRNazanin" w:cs="IRNazanin"/>
          <w:color w:val="111111"/>
          <w:sz w:val="28"/>
          <w:szCs w:val="28"/>
          <w:rtl w:val="true"/>
          <w:lang w:bidi="fa-IR"/>
        </w:rPr>
        <w:t>.</w:t>
      </w:r>
    </w:p>
    <w:p>
      <w:pPr>
        <w:pStyle w:val="Heading4"/>
        <w:numPr>
          <w:ilvl w:val="3"/>
          <w:numId w:val="1"/>
        </w:numPr>
        <w:rPr/>
      </w:pPr>
      <w:bookmarkStart w:id="300" w:name="__RefHeading___Toc4328074_3804643083"/>
      <w:bookmarkStart w:id="301" w:name="_Toc112"/>
      <w:bookmarkEnd w:id="300"/>
      <w:r>
        <w:rPr>
          <w:rtl w:val="true"/>
        </w:rPr>
        <w:t>و منها</w:t>
      </w:r>
      <w:r>
        <w:rPr>
          <w:rtl w:val="true"/>
        </w:rPr>
        <w:t xml:space="preserve">: </w:t>
      </w:r>
      <w:r>
        <w:rPr>
          <w:rtl w:val="true"/>
        </w:rPr>
        <w:t>ما أشرنا من أنّ اللّه مسخ أصحاب السبت</w:t>
      </w:r>
      <w:bookmarkEnd w:id="301"/>
    </w:p>
    <w:p>
      <w:pPr>
        <w:pStyle w:val="BookText"/>
        <w:rPr/>
      </w:pPr>
      <w:r>
        <w:rPr>
          <w:rFonts w:ascii="IRNazanin" w:hAnsi="IRNazanin" w:eastAsia="IRNazanin"/>
          <w:color w:val="111111"/>
          <w:sz w:val="28"/>
          <w:sz w:val="28"/>
          <w:szCs w:val="28"/>
          <w:rtl w:val="true"/>
          <w:lang w:bidi="fa-IR"/>
        </w:rPr>
        <w:t>و جعله نکالا لما بین یدیها و ما خلفها، مع أنّ حیلتهم کانت أحسن من حیلتکم،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أشرنا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منع أمورا کثیرة بشباهتها بالربا، بل و ربّما حرّم، و أین هذا من نقلکم </w:t>
      </w:r>
      <w:r>
        <w:rPr>
          <w:rStyle w:val="FootnoteAnchor"/>
          <w:rtl w:val="true"/>
        </w:rPr>
        <w:footnoteReference w:id="930"/>
      </w:r>
      <w:r>
        <w:rPr>
          <w:rFonts w:ascii="IRNazanin" w:hAnsi="IRNazanin" w:eastAsia="IRNazanin"/>
          <w:color w:val="111111"/>
          <w:sz w:val="28"/>
          <w:sz w:val="28"/>
          <w:szCs w:val="28"/>
          <w:rtl w:val="true"/>
          <w:lang w:bidi="fa-IR"/>
        </w:rPr>
        <w:t>؟ هذا و غیر ذلک ممّا أشرت و سنشیر أیضا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هؤلاء الأعلام علی الحیلة و الصحّة، بالأصل و العمومات، مثل</w:t>
      </w:r>
      <w:r>
        <w:rPr>
          <w:rFonts w:eastAsia="IRNazanin" w:cs="IRNazanin"/>
          <w:color w:val="111111"/>
          <w:sz w:val="28"/>
          <w:szCs w:val="28"/>
          <w:rtl w:val="true"/>
          <w:lang w:bidi="fa-IR"/>
        </w:rPr>
        <w:t>:</w:t>
      </w:r>
      <w:bookmarkStart w:id="302" w:name="pg2526_25637"/>
    </w:p>
    <w:p>
      <w:pPr>
        <w:pStyle w:val="BookText"/>
        <w:rPr/>
      </w:pPr>
      <w:bookmarkEnd w:id="3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أَحَلَّ اللّٰهُ الْبَیْعَ </w:t>
      </w:r>
      <w:r>
        <w:rPr>
          <w:rStyle w:val="FootnoteAnchor"/>
          <w:rtl w:val="true"/>
        </w:rPr>
        <w:footnoteReference w:id="931"/>
      </w:r>
      <w:r>
        <w:rPr>
          <w:rFonts w:ascii="IRNazanin" w:hAnsi="IRNazanin" w:eastAsia="IRNazanin"/>
          <w:color w:val="111111"/>
          <w:sz w:val="28"/>
          <w:sz w:val="28"/>
          <w:szCs w:val="28"/>
          <w:rtl w:val="true"/>
          <w:lang w:bidi="fa-IR"/>
        </w:rPr>
        <w:t>، و قد عرفت الجواب، و بقوله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 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امرئ مسلم إلّا من طیب نفسه</w:t>
      </w:r>
      <w:r>
        <w:rPr>
          <w:rFonts w:eastAsia="IRNazanin" w:cs="IRNazanin"/>
          <w:color w:val="111111"/>
          <w:sz w:val="28"/>
          <w:szCs w:val="28"/>
          <w:rtl w:val="true"/>
          <w:lang w:bidi="fa-IR"/>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الجواب، أنّ المقترض إن أعطی بطیب النفس، فلا حاجة إلی الحیلة، فلا فائدة فیها أصلا، و إلّا فلا وجه للتمسّک بمثل هذه الأخبار، إذ مقتضاها أنّ الإنسان ما دام المال ماله، له أن یتصرّف فیه بالطرق الشرعیّة، لا أنّ له </w:t>
      </w:r>
      <w:r>
        <w:rPr>
          <w:rStyle w:val="FootnoteAnchor"/>
          <w:rtl w:val="true"/>
        </w:rPr>
        <w:footnoteReference w:id="934"/>
      </w:r>
      <w:r>
        <w:rPr>
          <w:rFonts w:ascii="IRNazanin" w:hAnsi="IRNazanin" w:eastAsia="IRNazanin"/>
          <w:color w:val="111111"/>
          <w:sz w:val="28"/>
          <w:sz w:val="28"/>
          <w:szCs w:val="28"/>
          <w:rtl w:val="true"/>
          <w:lang w:bidi="fa-IR"/>
        </w:rPr>
        <w:t>أن ینقله عن ملکه بغیر النواقل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من طیب النفس، لکن لمّا کان حراما لکونه نفع القرض یرتکب حیلة لإخراجه عن نفع القرض و إدخاله فی نفع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ثبوت مقدّمتین حتّی یتأتّی لک هذه الحیلة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نفع القرض الحرام مختصّ بغیر المعاملة، و أنّی لک بإثباته؟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مرّ ما یظهر منه عدم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صحّة هذه الحیلة و المعاملة من دلیل شرعی،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فیه</w:t>
      </w:r>
      <w:r>
        <w:rPr>
          <w:rFonts w:eastAsia="IRNazanin" w:cs="IRNazanin"/>
          <w:color w:val="111111"/>
          <w:sz w:val="28"/>
          <w:szCs w:val="28"/>
          <w:rtl w:val="true"/>
          <w:lang w:bidi="fa-IR"/>
        </w:rPr>
        <w:t>.</w:t>
      </w:r>
    </w:p>
    <w:p>
      <w:pPr>
        <w:pStyle w:val="Heading3"/>
        <w:numPr>
          <w:ilvl w:val="2"/>
          <w:numId w:val="1"/>
        </w:numPr>
        <w:rPr/>
      </w:pPr>
      <w:bookmarkStart w:id="303" w:name="__RefHeading___Toc4328076_3804643083"/>
      <w:bookmarkStart w:id="304" w:name="_Toc113"/>
      <w:bookmarkEnd w:id="303"/>
      <w:r>
        <w:rPr>
          <w:rtl w:val="true"/>
        </w:rPr>
        <w:t>و استدلّوا أیضا، بالأخبار</w:t>
      </w:r>
      <w:bookmarkEnd w:id="304"/>
    </w:p>
    <w:p>
      <w:pPr>
        <w:pStyle w:val="Heading4"/>
        <w:numPr>
          <w:ilvl w:val="3"/>
          <w:numId w:val="1"/>
        </w:numPr>
        <w:rPr/>
      </w:pPr>
      <w:bookmarkStart w:id="305" w:name="__RefHeading___Toc4328078_3804643083"/>
      <w:bookmarkStart w:id="306" w:name="_Toc114"/>
      <w:bookmarkEnd w:id="305"/>
      <w:r>
        <w:rPr>
          <w:rtl w:val="true"/>
        </w:rPr>
        <w:t>اشارة</w:t>
      </w:r>
      <w:bookmarkEnd w:id="306"/>
    </w:p>
    <w:p>
      <w:pPr>
        <w:pStyle w:val="BookText"/>
        <w:rPr/>
      </w:pP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محمّد بن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سلسبیل طلبت منّی مائة ألف درهم علی أن تربحنی عشرة آلاف درهم، فأقرضها تسعین ألف و أبیعها ثوب و شی‌ء </w:t>
      </w:r>
      <w:r>
        <w:rPr>
          <w:rStyle w:val="FootnoteAnchor"/>
          <w:rtl w:val="true"/>
        </w:rPr>
        <w:footnoteReference w:id="935"/>
      </w:r>
      <w:r>
        <w:rPr>
          <w:rFonts w:ascii="Amiri" w:hAnsi="Amiri" w:eastAsia="Amiri" w:cs="Amiri"/>
          <w:color w:val="111111"/>
          <w:sz w:val="28"/>
          <w:sz w:val="28"/>
          <w:szCs w:val="28"/>
          <w:rtl w:val="true"/>
          <w:lang w:bidi="ar-SA"/>
        </w:rPr>
        <w:t>تقوّم بألف درهم بعشرة آلاف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أعطها مائة ألف و بعها الثوب بعشرة آلاف، و اکتب علیها کتابین</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و عن سلیمان الدیلمی، عن رجل کتب إلی العبد الصالح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أعامل قوما أبیعهم الدقیق، أربح علیهم فی القفیز درهمین إلی أجل معلوم، و أنّهم سألونی أن أعطیهم عن نصف الدقیق دراهم، فهل من حیلة لا أدخل فی الحرام؟</w:t>
      </w:r>
    </w:p>
    <w:p>
      <w:pPr>
        <w:pStyle w:val="BookText"/>
        <w:rPr/>
      </w:pPr>
      <w:r>
        <w:rPr>
          <w:rFonts w:ascii="IRNazanin" w:hAnsi="IRNazanin" w:eastAsia="IRNazanin"/>
          <w:color w:val="111111"/>
          <w:sz w:val="28"/>
          <w:sz w:val="28"/>
          <w:szCs w:val="28"/>
          <w:rtl w:val="true"/>
          <w:lang w:bidi="fa-IR"/>
        </w:rPr>
        <w:t xml:space="preserve">فکتب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أقرضهم الدراهم قرضا و ازدد علیهم فی نصف القفیز بقدر ما کنت تربح علیهم</w:t>
      </w:r>
      <w:r>
        <w:rPr>
          <w:rFonts w:eastAsia="IRNazanin" w:cs="IRNazanin"/>
          <w:color w:val="111111"/>
          <w:sz w:val="28"/>
          <w:szCs w:val="28"/>
          <w:rtl w:val="true"/>
          <w:lang w:bidi="fa-IR"/>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محمّد بن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لی علی الرجل دین </w:t>
      </w:r>
      <w:r>
        <w:rPr>
          <w:rStyle w:val="FootnoteAnchor"/>
          <w:rtl w:val="true"/>
        </w:rPr>
        <w:footnoteReference w:id="939"/>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أخّرنی بها و أنا أربحک، فأبیعه جبّة تقوّم علیّ بألف درهم بعشرة آلاف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أؤخّره بالمال،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مسعدة بن صدقة،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له مال علی رجل من قبل عینة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عیّنها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حلّ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عنده ما یعطیه،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أن یقلب علیه و یربح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 یبیعه لؤلؤا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ذلک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یسوی مائة درهم بألف درهم و یؤخّره؟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bookmarkStart w:id="307" w:name="pg2526_25639"/>
    </w:p>
    <w:p>
      <w:pPr>
        <w:pStyle w:val="BookText"/>
        <w:rPr/>
      </w:pPr>
      <w:bookmarkEnd w:id="3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أبی علیه السّلام </w:t>
      </w:r>
      <w:r>
        <w:rPr>
          <w:rStyle w:val="FootnoteAnchor"/>
          <w:rtl w:val="true"/>
        </w:rPr>
        <w:footnoteReference w:id="941"/>
      </w:r>
      <w:r>
        <w:rPr>
          <w:rFonts w:ascii="IRNazanin" w:hAnsi="IRNazanin" w:eastAsia="IRNazanin"/>
          <w:color w:val="111111"/>
          <w:sz w:val="28"/>
          <w:sz w:val="28"/>
          <w:szCs w:val="28"/>
          <w:rtl w:val="true"/>
          <w:lang w:bidi="fa-IR"/>
        </w:rPr>
        <w:t>و أمرنی أن أفعل ذلک فی شی‌ء کان علیه</w:t>
      </w:r>
      <w:r>
        <w:rPr>
          <w:rFonts w:eastAsia="IRNazanin" w:cs="IRNazanin"/>
          <w:color w:val="111111"/>
          <w:sz w:val="28"/>
          <w:szCs w:val="28"/>
          <w:rtl w:val="true"/>
          <w:lang w:bidi="fa-IR"/>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عبد الملک بن عتبة،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یرید أن أعینه المال، أو یکون لی علیه مال قبل ذلک فیطلب منّی مالا أزیده علی مالی الّذی لی علیه، أ یستقیم أن أزیده مالا و أزیده </w:t>
      </w:r>
      <w:r>
        <w:rPr>
          <w:rStyle w:val="FootnoteAnchor"/>
          <w:rtl w:val="true"/>
        </w:rPr>
        <w:footnoteReference w:id="943"/>
      </w:r>
      <w:r>
        <w:rPr>
          <w:rFonts w:ascii="IRNazanin" w:hAnsi="IRNazanin" w:eastAsia="IRNazanin"/>
          <w:color w:val="111111"/>
          <w:sz w:val="28"/>
          <w:sz w:val="28"/>
          <w:szCs w:val="28"/>
          <w:rtl w:val="true"/>
          <w:lang w:bidi="fa-IR"/>
        </w:rPr>
        <w:t xml:space="preserve">لؤلؤة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درهم بألف درهم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أبیعک هذه اللؤلؤة بألف درهم علی أن أؤخّرک بثمنها و بما لی علیک کذا و کذا شهرا؟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4328080_3804643083"/>
      <w:bookmarkStart w:id="309" w:name="_Toc115"/>
      <w:bookmarkEnd w:id="308"/>
      <w:r>
        <w:rPr>
          <w:rtl w:val="true"/>
        </w:rPr>
        <w:t>و الجواب عن هذه الأخبار</w:t>
      </w:r>
      <w:bookmarkEnd w:id="309"/>
    </w:p>
    <w:p>
      <w:pPr>
        <w:pStyle w:val="Heading5"/>
        <w:numPr>
          <w:ilvl w:val="4"/>
          <w:numId w:val="1"/>
        </w:numPr>
        <w:rPr/>
      </w:pPr>
      <w:bookmarkStart w:id="310" w:name="__RefHeading___Toc4328082_3804643083"/>
      <w:bookmarkStart w:id="311" w:name="_Toc116"/>
      <w:bookmarkEnd w:id="310"/>
      <w:r>
        <w:rPr>
          <w:rtl w:val="true"/>
        </w:rPr>
        <w:t>أمّا مجملا</w:t>
      </w:r>
      <w:r>
        <w:rPr>
          <w:rtl w:val="true"/>
        </w:rPr>
        <w:t>:</w:t>
      </w:r>
      <w:bookmarkEnd w:id="311"/>
    </w:p>
    <w:p>
      <w:pPr>
        <w:pStyle w:val="BookText"/>
        <w:rPr/>
      </w:pPr>
      <w:r>
        <w:rPr>
          <w:rFonts w:ascii="IRNazanin" w:hAnsi="IRNazanin" w:eastAsia="IRNazanin"/>
          <w:color w:val="111111"/>
          <w:sz w:val="28"/>
          <w:sz w:val="28"/>
          <w:szCs w:val="28"/>
          <w:rtl w:val="true"/>
          <w:lang w:bidi="fa-IR"/>
        </w:rPr>
        <w:t>فبأنّها 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القصور من حیث السند، و هو تعالی منع عن العمل بخبر غیر العادل، کما یظهر من الآیة </w:t>
      </w:r>
      <w:r>
        <w:rPr>
          <w:rStyle w:val="FootnoteAnchor"/>
          <w:rtl w:val="true"/>
        </w:rPr>
        <w:footnoteReference w:id="945"/>
      </w:r>
      <w:r>
        <w:rPr>
          <w:rFonts w:ascii="IRNazanin" w:hAnsi="IRNazanin" w:eastAsia="IRNazanin"/>
          <w:color w:val="111111"/>
          <w:sz w:val="28"/>
          <w:sz w:val="28"/>
          <w:szCs w:val="28"/>
          <w:rtl w:val="true"/>
          <w:lang w:bidi="fa-IR"/>
        </w:rPr>
        <w:t xml:space="preserve">، و الأخبار </w:t>
      </w:r>
      <w:r>
        <w:rPr>
          <w:rStyle w:val="FootnoteAnchor"/>
          <w:rtl w:val="true"/>
        </w:rPr>
        <w:footnoteReference w:id="946"/>
      </w:r>
      <w:r>
        <w:rPr>
          <w:rFonts w:ascii="IRNazanin" w:hAnsi="IRNazanin" w:eastAsia="IRNazanin"/>
          <w:color w:val="111111"/>
          <w:sz w:val="28"/>
          <w:sz w:val="28"/>
          <w:szCs w:val="28"/>
          <w:rtl w:val="true"/>
          <w:lang w:bidi="fa-IR"/>
        </w:rPr>
        <w:t xml:space="preserve">، و إجماع الشیعة فی الأعصار و الأمصار، و نقل ذلک الإجماع الشیخ </w:t>
      </w:r>
      <w:r>
        <w:rPr>
          <w:rStyle w:val="FootnoteAnchor"/>
          <w:rtl w:val="true"/>
        </w:rPr>
        <w:footnoteReference w:id="947"/>
      </w:r>
      <w:r>
        <w:rPr>
          <w:rFonts w:ascii="Amiri" w:hAnsi="Amiri" w:eastAsia="Amiri" w:cs="Amiri"/>
          <w:color w:val="111111"/>
          <w:sz w:val="28"/>
          <w:sz w:val="28"/>
          <w:szCs w:val="28"/>
          <w:rtl w:val="true"/>
          <w:lang w:bidi="ar-SA"/>
        </w:rPr>
        <w:t>و غیره، و حقّق فی محلّه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غیر العادل إنّما یکون حجّة إذا انجبر بالشهرة أو ما ماثلها، و هنا الأمر بالعکس، بل و أشدّ، و فی مقام التعارض أمرنا الأئمة علیهم السّلام بالأخذ بروایة الأعدل </w:t>
      </w:r>
      <w:r>
        <w:rPr>
          <w:rStyle w:val="FootnoteAnchor"/>
          <w:rtl w:val="true"/>
        </w:rPr>
        <w:footnoteReference w:id="948"/>
      </w:r>
      <w:r>
        <w:rPr>
          <w:rFonts w:ascii="IRNazanin" w:hAnsi="IRNazanin" w:eastAsia="IRNazanin"/>
          <w:color w:val="111111"/>
          <w:sz w:val="28"/>
          <w:sz w:val="28"/>
          <w:szCs w:val="28"/>
          <w:rtl w:val="true"/>
          <w:lang w:bidi="fa-IR"/>
        </w:rPr>
        <w:t>، لا بروایة غیر العادل و ترک أخبار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و أیضا، الخبر إذا کان مخالفا للمشتهر بین الأصحاب أمرونا بترکه، و العمل بما اشتهر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أیضا، الخبر إذا لم یوافق ظاهر القرآن أمرونا بترک العمل به </w:t>
      </w:r>
      <w:r>
        <w:rPr>
          <w:rStyle w:val="FootnoteAnchor"/>
          <w:rtl w:val="true"/>
        </w:rPr>
        <w:footnoteReference w:id="950"/>
      </w:r>
      <w:r>
        <w:rPr>
          <w:rFonts w:ascii="IRNazanin" w:hAnsi="IRNazanin" w:eastAsia="IRNazanin"/>
          <w:color w:val="111111"/>
          <w:sz w:val="28"/>
          <w:sz w:val="28"/>
          <w:szCs w:val="28"/>
          <w:rtl w:val="true"/>
          <w:lang w:bidi="fa-IR"/>
        </w:rPr>
        <w:t>، و هو تعالی فی ستّة آیات أو سبعة هدّد علی أکل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الربا أمر معنوی، لا أنّه لفظ و عبارة، و عرفت ظهورها فی حرمة کلّ منفعة مشروطة، کما کان دأب الفقهاء و اللغة و العرف، و عند آکلی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أمرونا بترک الخبر الّذی یخالف العقل و الدریّة </w:t>
      </w:r>
      <w:r>
        <w:rPr>
          <w:rStyle w:val="FootnoteAnchor"/>
          <w:rtl w:val="true"/>
        </w:rPr>
        <w:footnoteReference w:id="951"/>
      </w:r>
      <w:r>
        <w:rPr>
          <w:rFonts w:ascii="IRNazanin" w:hAnsi="IRNazanin" w:eastAsia="IRNazanin"/>
          <w:color w:val="111111"/>
          <w:sz w:val="28"/>
          <w:sz w:val="28"/>
          <w:szCs w:val="28"/>
          <w:rtl w:val="true"/>
          <w:lang w:bidi="fa-IR"/>
        </w:rPr>
        <w:t>، کما حقّق فی محلّه، و قد عرفت حال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العامّة، فلم یظهر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المخالفة للشیعة، کما عرفت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سیجی‌ء بعض جوابات </w:t>
      </w:r>
      <w:r>
        <w:rPr>
          <w:rStyle w:val="FootnoteAnchor"/>
          <w:rtl w:val="true"/>
        </w:rPr>
        <w:footnoteReference w:id="952"/>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کلّها مشترک فی القصور من حیث الدلالة،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معارضة لما هو أکثر عددا و أصحّ سندا و أقوی دلالة، و هو المفتی به بین الفقهاء، و المعتضد بأدلة أخری، علی حسب ما مرّ مفصّلا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 أنّ مسألة من مسائل الفقه لم تسلم عن تعارض الأخبار و الأدلّة، بل مسائل أصول الدین أیضا، بل ورد الآیات و الأخبار الظاهرة فی الجبر و التشبیه، و غیر ذلک ممّا لا یحصی کثرة، فلا یحسن الأخذ بمجرّد ما یظنّ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بعض الأخبار، سیّما أن یکون ضعیفا سندا 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تسلیم الدلالة، فیکون مهجورا عند الفقهاء، و مع ذلک یعارضه ما هو أقوی منه بمراتب شتّی، مع أنّ المسائل الفقهیّة مبنیّة علی مرجّح واحد، فکیف ما نحن فیه لا ینفع فیه المرجّحات، مع أنّ من المرجّحات فتوی الفقهاء، سیّما و اتّفاقهم فی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هؤلاء الأعلام و غیرهم یحکمون بأنّ رضاع 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و لیس دلیله سوی خبر غیر صحیح موافق لمذهب العامّة أو أوفق بمذهبهم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ورد من أنّه لا یحرم ما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حولین </w:t>
      </w:r>
      <w:r>
        <w:rPr>
          <w:rStyle w:val="FootnoteAnchor"/>
          <w:rtl w:val="true"/>
        </w:rPr>
        <w:footnoteReference w:id="954"/>
      </w:r>
      <w:r>
        <w:rPr>
          <w:rFonts w:ascii="IRNazanin" w:hAnsi="IRNazanin" w:eastAsia="IRNazanin"/>
          <w:color w:val="111111"/>
          <w:sz w:val="28"/>
          <w:sz w:val="28"/>
          <w:szCs w:val="28"/>
          <w:rtl w:val="true"/>
          <w:lang w:bidi="fa-IR"/>
        </w:rPr>
        <w:t>صحیح، متعدّد، مخالف لمذهب العامّة، و مع ذلک لا یفتون به، و کذا الحال فی غالب الفقه، و غیر خفی أنّ المنشأ هو فتوی الفقهاء، فکیف لا یعتبر فی المقام؟ سیّما مع الانضمام بمرجّحات أخر کثیرة کلّ واحد منها یعتبرونه فی الفقه علی حدة علی حدة، و یبنون الأمر علیه، بل عرفت أنّ الأمر یؤول إلی العلم بعد التأمّل الصادق</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أعجب من هذا أنّهم فی غیر المقام، و إن رجّحوا حکما إلّا أنّهم یحتاطون احتیاطا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کشرب التتن فی الصوم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المقام لا یحتاطون أصلا، و لا یبالون مطلقا، مع عظم خطره و شدّة ضرره، بل قد عرفت أنّه مع عدم الترجیح فی المقام لا یمکن الحکم بالصحّة، فکیف مع المرجّحات الکثیرة فی جانب الفساد یحکمون بالصحّة البتّة من دون شائبة تأمّل أو احتیاط أو تجنّب عن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یضعّف دلالة هذه الأخبار، أنّ المحدّثین من الأخباریّین أیضا فهموا من</w:t>
      </w:r>
      <w:bookmarkStart w:id="312" w:name="pg2526_25642"/>
    </w:p>
    <w:p>
      <w:pPr>
        <w:pStyle w:val="BookText"/>
        <w:rPr/>
      </w:pPr>
      <w:bookmarkEnd w:id="3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هذه الأخبار عکس ما نحن فیه، و هو ارتکاب المعاملة بشرط القرض، و هذا حلال عند العلّامة و کثیر ممّن وافقه، و سیجی‌ء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المحدّث الماهر الشیخ محمّد الحرّ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أنّه یجوز أن یبیع الشی‌ء بأضعاف قیمته و یشترط قرضا أو تأجیل دین، ثمَّ أتی بهذه الأخبار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4328084_3804643083"/>
      <w:bookmarkStart w:id="314" w:name="_Toc117"/>
      <w:bookmarkEnd w:id="313"/>
      <w:r>
        <w:rPr>
          <w:rtl w:val="true"/>
        </w:rPr>
        <w:t>و أمّا الجواب مفصّلا</w:t>
      </w:r>
      <w:r>
        <w:rPr>
          <w:rtl w:val="true"/>
        </w:rPr>
        <w:t>:</w:t>
      </w:r>
      <w:bookmarkEnd w:id="314"/>
    </w:p>
    <w:p>
      <w:pPr>
        <w:pStyle w:val="BookText"/>
        <w:rPr/>
      </w:pPr>
      <w:r>
        <w:rPr>
          <w:rFonts w:ascii="IRNazanin" w:hAnsi="IRNazanin" w:eastAsia="IRNazanin"/>
          <w:color w:val="111111"/>
          <w:sz w:val="28"/>
          <w:sz w:val="28"/>
          <w:szCs w:val="28"/>
          <w:rtl w:val="true"/>
          <w:lang w:bidi="fa-IR"/>
        </w:rPr>
        <w:t>فلأنّ روایة 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دلالة علی تحقّق الشرط من طرف المقرض، إذ لم یزد فیها علی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فأقرضها سبعین، و أبیعها شیئا</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 فلو کان شرطا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أقرضها بشرط أن أبیع، مع أنّه أیضا غیر مناسب، بل المناسب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أقرضها کذا بشرط أن تقبل منّی شیئا أو أن تشتری منّی کذا بکذا،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اکتب علیها کتابین</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کنایة عن جعلها معاملتین، کلّ واحدة منهما برأسه من دون أن یکون الثانی شرطا فی الأوّل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یؤیّد ذلک أیضا ما یظهر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سلسبیل کانت تعطی بلا مضایقة، بل کان الإعطاء بالتماس منها لا بسبب شرط المقرض الّذی کانت ترید أن تعطی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ربح معاملة </w:t>
      </w:r>
      <w:r>
        <w:rPr>
          <w:rStyle w:val="FootnoteAnchor"/>
          <w:rtl w:val="true"/>
        </w:rPr>
        <w:footnoteReference w:id="958"/>
      </w:r>
      <w:r>
        <w:rPr>
          <w:rFonts w:ascii="IRNazanin" w:hAnsi="IRNazanin" w:eastAsia="IRNazanin"/>
          <w:color w:val="111111"/>
          <w:sz w:val="28"/>
          <w:sz w:val="28"/>
          <w:szCs w:val="28"/>
          <w:rtl w:val="true"/>
          <w:lang w:bidi="fa-IR"/>
        </w:rPr>
        <w:t>،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تربحنی، و الربح ظاهر فیه، و 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فأقرضها و أبیعها کذا و کذا، و اختیار البیع لأجل اللزوم و الاستحکام، و عدم الاختیار فی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نعم، یظهر منها کون الإقراض بطمع الربح، و لا مانع منه، بل المانع عند الفقهاء کونه بشرط الربح، و قد مرّ ما نقلناه عن تفسیر علی بن إبراهیم، و سیجی‌ء الفرق بین الطمع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تربحنی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غیر ظاهر فی الشرط، بل الظاهر منه التطمیع، أو أعمّ منه و من الشرط، و العام لا یدلّ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تسلیم دلالته علی الشرط، فهو من طرف المستقرض لا المقرض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الفاضل المحقّق أبو طالب الحسینی فی رسالته الفارسیة فی حرمة الربا ما هذا لفظه </w:t>
      </w:r>
      <w:r>
        <w:rPr>
          <w:rStyle w:val="FootnoteAnchor"/>
          <w:rtl w:val="true"/>
        </w:rPr>
        <w:footnoteReference w:id="9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پنج تومان قرض می‌دهند، و دستمالی که پنجاه دینار ارزش دارد به یک تومان می‌فروشند، و مقترض پنج تومان می‌گیرد، و دستمال را می‌خرد به مبلغ مزبور، و شش تومان سند می‌نویسد، این خوب است، و اگر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تومان بتو قرض می‌دهم به شرط آنکه دستمال مرا به یک تومان بخری و أو قبول کند، ربا حکمی و حرام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اگر گوید مبلغ یک تومان قرض می‌دهم به تو بشرطی که منافع فلان ملک با من صلح کنی به ده دینار فلوس، و نیز قبول کند جائز نیست، به جهت آنکه ربای حکمی است، و اما اگر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کردم منافع فلان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ملک را با تو مدت یک سال بده دینار بشرط آنکه مبلغ یک تومان قرض دهی به وعدۀ یک سال بعد از آن مبلغ قرض را دهد بوعدۀ مزبوره و شرطی نکند خوب است</w:t>
      </w:r>
      <w:r>
        <w:rPr>
          <w:rFonts w:eastAsia="IRNazanin" w:cs="IRNazanin"/>
          <w:color w:val="111111"/>
          <w:sz w:val="28"/>
          <w:szCs w:val="28"/>
          <w:rtl w:val="true"/>
          <w:lang w:bidi="fa-IR"/>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فتأمّل فیما ذکره، حتّی یتّضح لک الحال، فإنّه رحمه اللّه ذکر أربع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وفاقیّة، و هی حیلة صحیحة عند جمیع الفقهاء </w:t>
      </w:r>
      <w:r>
        <w:rPr>
          <w:rStyle w:val="FootnoteAnchor"/>
          <w:rtl w:val="true"/>
        </w:rPr>
        <w:footnoteReference w:id="961"/>
      </w:r>
      <w:r>
        <w:rPr>
          <w:rFonts w:ascii="IRNazanin" w:hAnsi="IRNazanin" w:eastAsia="IRNazanin"/>
          <w:color w:val="111111"/>
          <w:sz w:val="28"/>
          <w:sz w:val="28"/>
          <w:szCs w:val="28"/>
          <w:rtl w:val="true"/>
          <w:lang w:bidi="fa-IR"/>
        </w:rPr>
        <w:t xml:space="preserve">، لعدم الشرط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وفاقیّة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رسالته مضمون هاتین المسألتین، و حکمه بالحرمة مکرّرا متکثّرا، و هذا هو الّذی ذکرنا اتّفاق الأصحاب علی حرمته، و محلّ النزاع بینی و بین هؤلاء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محلّ النزاع بین المحقّق </w:t>
      </w:r>
      <w:r>
        <w:rPr>
          <w:rStyle w:val="FootnoteAnchor"/>
          <w:rtl w:val="true"/>
        </w:rPr>
        <w:footnoteReference w:id="963"/>
      </w:r>
      <w:r>
        <w:rPr>
          <w:rFonts w:ascii="Amiri" w:hAnsi="Amiri" w:eastAsia="Amiri" w:cs="Amiri"/>
          <w:color w:val="111111"/>
          <w:sz w:val="28"/>
          <w:sz w:val="28"/>
          <w:szCs w:val="28"/>
          <w:rtl w:val="true"/>
          <w:lang w:bidi="ar-SA"/>
        </w:rPr>
        <w:t xml:space="preserve">، و العلّامة </w:t>
      </w:r>
      <w:r>
        <w:rPr>
          <w:rStyle w:val="FootnoteAnchor"/>
          <w:rtl w:val="true"/>
        </w:rPr>
        <w:footnoteReference w:id="964"/>
      </w:r>
      <w:r>
        <w:rPr>
          <w:rFonts w:ascii="IRNazanin" w:hAnsi="IRNazanin" w:eastAsia="IRNazanin"/>
          <w:color w:val="111111"/>
          <w:sz w:val="28"/>
          <w:sz w:val="28"/>
          <w:szCs w:val="28"/>
          <w:rtl w:val="true"/>
          <w:lang w:bidi="fa-IR"/>
        </w:rPr>
        <w:t xml:space="preserve">و من وافقه حتّی الشیخ الحرّ رحمه اللّه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ذکرنا أنّهم یفهمون من هذه الأخبار هذه الصورة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کلام السیّد المذکور أنّ شرط المقرض فی هذه الصورة أیضا حرام، فتأمّل، حتّی تجد أنّ روایة سلسبیل ظاهرة إمّا فی هذه الصورة أو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الصورة الأولی الوفاقیّة، لا فی الثانیة الوفاقیّة، فکیف یمکن لهؤلاء الأعلام الاستدلال بها علی بطلان فتوی الفقهاء، و المعارضة بها لأدلّتهم الکثیرة الصحیحة الواضحة ظاهرة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یقدّموا هذه الروایة علی جمیع أدلّتهم، و یرجّحوها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روایة الدیلمی، مع أنّ فی سندها ضعفا زائدا، إذ بعد التأمّل یظهر لک أنّ حالها حال روایة سلسبیل، و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أقرضهم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 و ازدد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أقرضهم بشرط أن تزداد، مع أنّ المناسب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یشتری المستقرض کذا و کذا،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المتبادر من لفظ الإقراض علی الإطلاق لعلّه هو الإتیان بنفس القرض من حیث هو هو، من دون التعدّی إلی معاملة أخری، کما هو الحال فی جمیع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من و کلّ غیره بفعل معاملة یکون مأذونا فی خصوص تلک المعاملة، أمّا التعدّی إلی معاملة أخری فلا، و إن کان بعنوان الشرط فی تلک المعاملة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قال لوکیله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 أو استقرض لی لم یکن للوکیل سوی نفس الإقراض أو بحت الإقراض، لا أنّه یشترط معاملة أخری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 ما ذکرنا، تأکیده علیه السّلام بقرضه 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حال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ازدد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یؤیّده، أنّه علیه السّلام أمر بجعل هذا النصف حال النصف الّذی کان یربح، و لا شکّ فی أنّه ما کان مشروطا بالقرض، فتأمّل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فظهر ممّا ذکرنا أنّه ربّما کان الظاهر من الروایة عدم الاشتراط، بل الظاهر منها أن لا یجعل الربح الّذی زید </w:t>
      </w:r>
      <w:r>
        <w:rPr>
          <w:rStyle w:val="FootnoteAnchor"/>
          <w:rtl w:val="true"/>
        </w:rPr>
        <w:footnoteReference w:id="967"/>
      </w:r>
      <w:r>
        <w:rPr>
          <w:rFonts w:ascii="IRNazanin" w:hAnsi="IRNazanin" w:eastAsia="IRNazanin"/>
          <w:color w:val="111111"/>
          <w:sz w:val="28"/>
          <w:sz w:val="28"/>
          <w:szCs w:val="28"/>
          <w:rtl w:val="true"/>
          <w:lang w:bidi="fa-IR"/>
        </w:rPr>
        <w:t xml:space="preserve">شرطا فی القرض و جزء لعوض ما أقرضت، إذ عرفت أن الشرط فی العقد جزء له و من تتمّة العوض، فإذا جعله شرطا فی القرض لا جرم یصیر القرض بشرط المنفعة </w:t>
      </w:r>
      <w:r>
        <w:rPr>
          <w:rStyle w:val="FootnoteAnchor"/>
          <w:rtl w:val="true"/>
        </w:rPr>
        <w:footnoteReference w:id="968"/>
      </w:r>
      <w:r>
        <w:rPr>
          <w:rFonts w:ascii="IRNazanin" w:hAnsi="IRNazanin" w:eastAsia="IRNazanin"/>
          <w:color w:val="111111"/>
          <w:sz w:val="28"/>
          <w:sz w:val="28"/>
          <w:szCs w:val="28"/>
          <w:rtl w:val="true"/>
          <w:lang w:bidi="fa-IR"/>
        </w:rPr>
        <w:t>، و لذا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ازدد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کالصریح فی جعل الربح المذکور شرطا فی معاملة الدقیق لا غیر، فیکون شرط نفع فی المعاملة، فیکون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عدم الظهور، لکن ظهور الاشتراط من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کون هذا الظهور بحیث یقاوم أدلّة الفقهاء و یترجّح علیها من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باقی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إسحاق بن عمّار، إذ بالتأمّل یظهر أنّ حالها حال روایة سلسبیل، و یزید علیها أنّها فی غایة الظهور فی صورة العکس، کما فهمه الأصحاب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أنّه یتوقّف استدلالهم بها علی ثبوت عدم التفاوت بین تأجیل الدین الحالّ الّذی ظاهره اللزوم، و بین القرض الّذی هو محض التبرّع</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تعالی سدّ باب الربا لأجل حصول هذا القرض، و أنّ الفقهاء اتّفقوا علی حرمة شرط النفع مطلقا فی القرض، 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قرض یجرّ المنفعة فهو حرام</w:t>
      </w:r>
      <w:r>
        <w:rPr>
          <w:rFonts w:eastAsia="IRNazanin" w:cs="IRNazanin"/>
          <w:color w:val="111111"/>
          <w:sz w:val="28"/>
          <w:szCs w:val="28"/>
          <w:rtl w:val="true"/>
          <w:lang w:bidi="fa-IR"/>
        </w:rPr>
        <w:t xml:space="preserve">» </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مرّ، و أنّ کلامنا إنّما هو فی شرط المقرض المنفعة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فی قرضه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هؤلاء الأعلام طریقتهم و دعواهم عدم التعدّی عن النصوص، فأیّ نصّ ورد فی اتّحاد حالهما؟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العدم فکیف یستدلّون بأمثال هذه الروایة؟ سیّما و یبطلون بها ما دلّ علیه أدلّة الفقهاء الکثیرة الصحیحة الواضحة الدلالة،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مسعدة بن صدقة، إذ بالتأمّل یظهر أنّ حالها حال روایة محمّد بن إسحاق بن عمّار، بل و أسوأ حالا، إذ لیس فیها ما یشیر إلی مشارطة أصلا و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فیها إشکالا آخر من جهة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أمرنی أن أفعل ذلک</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 لأنّ الشیعة ما کانوا یتعاملون مع إمامهم هذه المعاملة و هذه المضایقة بلا شبهة، کما لا یخفی علی المتأمّل المنصف، لأنّهم ما کانوا یضایقون فی تأخیر دینهم الّذی علی إمامهم مع أنّهم کانوا یعتقدون بأنّه أولی منهم بأنفسهم و أموالهم، سیّما عوامّهم، فإنّ حمیّتهم فی دینهم و سماحتهم فی مالهم بالنسبة إلی سیّدهم و مولاهم و من کان أعزّ عندهم من أموالهم و أولادهم، بل و أنفسهم أیضا کانت أزید من حمیّة فضلائهم، و سماحتهم أکثر من سماحة فقهائهم و علمائهم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یبعد فی النظر غایة البعد أنّ علماءهم کانوا یفعلون بالنسبة إلیهم هذه الأمور، سیّما و هم کانوا یخرجون أموالا و یصرفونها فی طریق محبّتهم و سلوک سبیل إرادتهم، مثل زیارتهم و صلاتهم و غیرهما ممّا کانوا یتوصّلون به إلی قربهم و مودّتهم و رضاهم و فرحهم، و خصوصا بعد ملاحظة أنّ طریقة النبی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و الأئمّة علیهم السّلام أنّهم علیهم السّلام إذا استقرضوا أو وقع علیهم دین کانوا یتبرّعون و یتفضّلون بإعطاء الزیادة فی غایة الطوع و نهایة الرغبة، بل و ربّما کان الدیّانون یضایقون عن الأخذ و هم صلوات اللّه علیهم یأبون عن عدم الأخذ و لا یرضون إلّا أن یعطوا، و کانوا یعدّون هذا إحسانا و مستحبّا شرعا، و یحثّون غیرهم علیه أیضا، فهم صلوات اللّه علیهم کانوا یعطون و یحسنون، و إذا وعدوا یوفون البتّة، فأیّ داع و حاجة إلی هذه الحیلة و المعاملة، سیّما و أن یکون بعنوان المشارطة للتأخیر و القرض و بالعقود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أمثال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کانوا یعاملون أمثال هذه المعاملات مع الجاحدین لإمامتهم، و الجاهلین بعلوّ مرتبتهم و همّتهم، و هذا لا یلائم ما ادّعاه هؤلاء الأعلام من أنّ أدلّة الفقهاء و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مستندهم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محمولة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أشرنا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 xml:space="preserve">ممّا لا یمکن حملها علی التقیّة، فلیلاحظ تلک الخطبة، و کذا بعض الأخبار و الأدلّة أیضا ممّا لا یناسبه التقیّة، فلیراجع و لیتأمّل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 القول بأنّ الحیلة بعنوان الشرط حرام لیس من خصائص العامّة، بل الشیعة أیضا یوافقونهم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القول بأنّ ما لا شرط فیها أیضا حرام من خصائص العامّة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مضافا إلی ما عرفت من أنّ الحیلة لا تتأتّی فی الأحکام الشرعیّة، بل تتأتّی فی موضوعات الأحکام، فلا یمکن تحقّق الحیلة بعنوان الشرط، کما عرفت من أنّ المنفعة المحرّمة لو کانت شاملة للمعاملة المحاباتیّة فلا یمکن الحیلة، و إلّا فلا تتحقّق الحیلة، بل هو تخصیص أو تقیید و حکم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الأعلام یدّعون أنّ حیلتهم لیست بحیلة بل یسمّونه حیلة، و إلّا ففی الواقع حکم شرعی برأسه، مع أنّ الظاهر من أخبارهم کونها حیلة، سیّما روایة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أمثال هذه الأخبار لا تلائم ما ادّعاه هؤلاء الأعلام من احتمال الکراهة فی الأخبار المخالفة لهذه الأخبار، إذ کیف یصیر أنّهم علیهم السّلام فی الأخبار الصحیحة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أقرض ورقا فلا یشترط شرطا سوی ورقه الّذی أعطاه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القرض و السلم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إذا کان قرضا یجرّ شیئا فلا یصلح</w:t>
      </w:r>
      <w:r>
        <w:rPr>
          <w:rFonts w:eastAsia="IRNazanin" w:cs="IRNazanin"/>
          <w:color w:val="111111"/>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 xml:space="preserve">، بهذا التأکید یقولون، بل فی استحلال الربا فی البیع </w:t>
      </w:r>
      <w:r>
        <w:rPr>
          <w:rStyle w:val="FootnoteAnchor"/>
          <w:rtl w:val="true"/>
        </w:rPr>
        <w:footnoteReference w:id="977"/>
      </w:r>
      <w:r>
        <w:rPr>
          <w:rFonts w:ascii="IRNazanin" w:hAnsi="IRNazanin" w:eastAsia="IRNazanin"/>
          <w:color w:val="111111"/>
          <w:sz w:val="28"/>
          <w:sz w:val="28"/>
          <w:szCs w:val="28"/>
          <w:rtl w:val="true"/>
          <w:lang w:bidi="fa-IR"/>
        </w:rPr>
        <w:t>قالوا ما به یظهر أنّه فی أعلی درجات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مرّ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الأخبار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مطلقا، لأنّه نکرة فی سیاق النفی، و لا یکتفون به أیضا، بل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أیضا نفعله، و حاشاهم علیهم السّلام أن یکونوا ممّن یأمرون الناس بالبرّ و ینسون أنفسهم، و ممّن یقولون ما لا یفعلون، و یعظون بما لا یتّعظون، و ینهون عمّا لا ینتهون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ثمَّ إنّه من التأمّل فی جمیع ما ذکرناه ظهر حال روایة عبد الملک من أنّ الظاهر هو استحلال القرض بشرط المعاملة المحاباتیّة، و مفاد الروایة هو حیلة المعاملة المحاباتیّة بشرط تأخیر أجل الدین، و أین هذا من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بعد تسلیم وضوح الدلالة علی الشرط، و کونه واقعا من الطرفین بحیث یرفع الید عن جمیع أدلّة الفقهاء و فتاواهم بمجرّد هذا الوضوح، سیّما و أن لا یبقی شبهة أصلا و رأسا، و لا یحتاج إلی الاحتیاط مطلقا، و خصوصا أنّ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أیضا، و لیس الراوی من الثقات و الأجلّة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مثله لا یروی عن غیر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أیّها العاقل إلی حالة الأدلّة من الطرفین، و اتّفاق الفقهاء، و اتّفاق هؤلاء علی خلافهم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التأمّل فی الأدلّة یظهر أنّ استحلال صورة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محلّ النزاع بین المحقّق و العلّامة 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محلّ الإشکال، لضعف هذه الأخبار سندا، بل و دلالة أیضا، لما عرفت من الإشکال فی کون وضوحها بحیث یترجّح علی إطلاق الأدلّة المانعة، بل و کون بعضها فی صورة العکس أظهر، مثل صحیحة یعقوب </w:t>
      </w:r>
      <w:r>
        <w:rPr>
          <w:rStyle w:val="FootnoteAnchor"/>
          <w:rtl w:val="true"/>
        </w:rPr>
        <w:footnoteReference w:id="978"/>
      </w:r>
      <w:r>
        <w:rPr>
          <w:rFonts w:ascii="IRNazanin" w:hAnsi="IRNazanin" w:eastAsia="IRNazanin"/>
          <w:color w:val="111111"/>
          <w:sz w:val="28"/>
          <w:sz w:val="28"/>
          <w:szCs w:val="28"/>
          <w:rtl w:val="true"/>
          <w:lang w:bidi="fa-IR"/>
        </w:rPr>
        <w:t>، لأنّ ترک الاستفصال یفید العموم، و المذکور فی السؤال بالترتیب المذکور أظهر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الظاهر أنّ السؤال نقل حکایة، و لعلّ مثل ذلک یکون ظاهرا فی مطابقة النقل المحکی بحسب الترتیب أیضا، فتأمّل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ظهر أنّ المحقّق غیر متفرّد، بل کلّ من حمل صحیحة یعقوب علی الشرط لم یوافق العلّامة رحمه اللّه، و یکون شریکا للمحقّق، سیّما إذا کان رأیه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الترتیب الذکری یفید الترتیب، أو کلمة الواو تفیده، کالشیخ </w:t>
      </w:r>
      <w:r>
        <w:rPr>
          <w:rStyle w:val="FootnoteAnchor"/>
          <w:rtl w:val="true"/>
        </w:rPr>
        <w:footnoteReference w:id="979"/>
      </w:r>
      <w:r>
        <w:rPr>
          <w:rFonts w:ascii="IRNazanin" w:hAnsi="IRNazanin" w:eastAsia="IRNazanin"/>
          <w:color w:val="111111"/>
          <w:sz w:val="28"/>
          <w:sz w:val="28"/>
          <w:szCs w:val="28"/>
          <w:rtl w:val="true"/>
          <w:lang w:bidi="fa-IR"/>
        </w:rPr>
        <w:t>و من 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الإشکال، عظم الخطر فی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استبعاد الفرق فی النظر بین ما إذا تقدّم المحاباة أو تأخّر، مع أنّ الفقهاء یستبعدون مع ورود النصّ، و یستشکلون فی حکایة العتق بشرط التزویج، و کونه مهرا، و حکایة کفالة المال و البدن، و غیر ذلک،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أیضا، أنّ المستقرض لو شرط المنفعة الّتی لیست بمعاملة، و المقرض أقرض، هذا الشرط یکون حراما البتّة، و أیّ فرق فی ذلک بین أن یکون المنفعة معاملة محاباتیّة أو غیرها؟ و لعلّهم فی الغیر لا ینکرون،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العلماء اعتقد حرمة المشارطة، لکن یجعل الحیلة ذکر المشارطة و المقاولة سابقا علی الإقراض و الإعطاء، زعما منه أنّ الشرط إذا لم یذکر فی ضمن العقد یکون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حقّ لو لم یکن الإقراض و الإعطاء بناء علی الشرط السابق، و إلّا فلا شکّ فی کونه شرط القرض لغة و عرفا، و عند الفقهاء أیضا، لعدم التزامهم فی العقود الجائزة ما یلتزمونه فی اللازمة، سیّما بالنسبة إلی الشروط و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کان کما زعم لکان معاملة باطلة، لأنّ ما وقع به التراضی لم تدلّ علیه الصیغة، و ما دلّت علیه الصیغة لم یقع به التراضی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إن قرؤوا الصیغة، و الغالب عدم القراءة بالنحو الّذی اعتبر، مع أنّها لو کانت صحیحة لم یکن فرق بینهما و بین النفع بغیر معاملة، فلم یحتج إلی معاملة أصلا، بل یکفی تقدیم الشرط للصحّة و إن لم یکن معاملة أصلا، مع أنّه علی 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لا یکاد یتحقّق، لأنّه لیس المتعارف قراءة الصیغة، و لا ذکر الشرط حال الإعطاء و تسلیم القرض،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الطمع و النیّة هو مثل ما یهدی الفقیر إلی الأغنیاء طمعا منهم فی العوض بأزید، بل بأضعافه، و مثل ما یرشی إلی الحکّام و القضاة للحکم لهم، و مثل أن تؤخذ بنت رجل بعنوان النکاح طمعا فی البکارة أو الوجاهة من دون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عالم بأحکامه و رسوله المطهّر و خلفاؤه الاثنا عشر، صلوات اللّه علیهم صلاة تنفعنا یوم المحشر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الرسالة بعونه و توفیقه</w:t>
      </w:r>
      <w:r>
        <w:rPr>
          <w:rFonts w:eastAsia="IRNazanin" w:cs="IRNazanin"/>
          <w:color w:val="111111"/>
          <w:sz w:val="28"/>
          <w:szCs w:val="28"/>
          <w:rtl w:val="true"/>
          <w:lang w:bidi="fa-IR"/>
        </w:rPr>
        <w:t>.</w:t>
      </w:r>
      <w:bookmarkStart w:id="315" w:name="pg2526_25653"/>
    </w:p>
    <w:p>
      <w:pPr>
        <w:pStyle w:val="BookText"/>
        <w:rPr/>
      </w:pPr>
      <w:bookmarkEnd w:id="3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Heading2"/>
        <w:numPr>
          <w:ilvl w:val="1"/>
          <w:numId w:val="1"/>
        </w:numPr>
        <w:rPr/>
      </w:pPr>
      <w:bookmarkStart w:id="316" w:name="__RefHeading___Toc4328086_3804643083"/>
      <w:bookmarkStart w:id="317" w:name="_Toc118"/>
      <w:bookmarkEnd w:id="316"/>
      <w:r>
        <w:rPr>
          <w:rtl w:val="true"/>
        </w:rPr>
        <w:t>رسالة فی أصالة عدم الصحّة فی المعاملات</w:t>
      </w:r>
      <w:bookmarkEnd w:id="31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4328088_3804643083"/>
      <w:bookmarkStart w:id="319" w:name="_Toc119"/>
      <w:bookmarkEnd w:id="318"/>
      <w:r>
        <w:rPr>
          <w:rtl w:val="true"/>
        </w:rPr>
        <w:t>اشارة</w:t>
      </w:r>
      <w:bookmarkEnd w:id="31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 صلّی اللّه علی محمّد و آله الطاهرین، اللّهم إیّاک نعبد، و إیّاک نستعین و نستهدی، فلا تکلنا إلی أنفسنا القاصرة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فی المعاملات عبارة عن ترتّب أثر شرعی علیها، و هی حکم شرعی یتوقّف علی دلیل شرعی، فلو لم یکن دلیل فالأصل عدم الصحّة حتّی یثبت بدلیل، لأصالة العدم، و أصالة بقاء ما کان علی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الثمن کان ملکا للمشتری، و المبیع ملکا للبائع، فالأصل عدم النقل و الأصل بقاؤهما علی حالهما حتّی یثبت الخلاف، للاستصحاب و العمومات و الإطلاقات المقتضیة لذلک </w:t>
      </w:r>
      <w:r>
        <w:rPr>
          <w:rStyle w:val="FootnoteAnchor"/>
          <w:rtl w:val="true"/>
        </w:rPr>
        <w:footnoteReference w:id="980"/>
      </w:r>
      <w:r>
        <w:rPr>
          <w:rFonts w:ascii="IRNazanin" w:hAnsi="IRNazanin" w:eastAsia="IRNazanin"/>
          <w:color w:val="111111"/>
          <w:sz w:val="28"/>
          <w:sz w:val="28"/>
          <w:szCs w:val="28"/>
          <w:rtl w:val="true"/>
          <w:lang w:bidi="fa-IR"/>
        </w:rPr>
        <w:t>، و الإجماع علی ذلک، کما لا یخفی علی المطّلع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الحکم الشرعی بالنسبة إلینا منوط بالدلیل بلا شبهة، فعدم الدلیل دلیل عدمه بالنسبة إلینا، لأنّ عدم العلّة علّة للعدم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الأصل براءة الذمّة عن لزوم أمر من الأمور الشرعیّة و آثارها</w:t>
      </w:r>
      <w:r>
        <w:rPr>
          <w:rFonts w:eastAsia="IRNazanin" w:cs="IRNazanin"/>
          <w:color w:val="111111"/>
          <w:sz w:val="28"/>
          <w:szCs w:val="28"/>
          <w:rtl w:val="true"/>
          <w:lang w:bidi="fa-IR"/>
        </w:rPr>
        <w:t>.</w:t>
      </w:r>
      <w:bookmarkStart w:id="320" w:name="pg2526_25656"/>
    </w:p>
    <w:p>
      <w:pPr>
        <w:pStyle w:val="BookText"/>
        <w:rPr/>
      </w:pPr>
      <w:bookmarkEnd w:id="3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و أیضا، ورد فی الکتاب و السنّة المنع عن الحکم الشرعی بغیر ثبوت من الشرع، مثل آللّٰهُ أَذِنَ لَکُمْ أَمْ عَلَی اللّٰهِ تَفْتَرُونَ </w:t>
      </w:r>
      <w:r>
        <w:rPr>
          <w:rStyle w:val="FootnoteAnchor"/>
          <w:rtl w:val="true"/>
        </w:rPr>
        <w:footnoteReference w:id="982"/>
      </w:r>
      <w:r>
        <w:rPr>
          <w:rFonts w:ascii="IRNazanin" w:hAnsi="IRNazanin" w:eastAsia="IRNazanin"/>
          <w:color w:val="111111"/>
          <w:sz w:val="28"/>
          <w:sz w:val="28"/>
          <w:szCs w:val="28"/>
          <w:rtl w:val="true"/>
          <w:lang w:bidi="fa-IR"/>
        </w:rPr>
        <w:t xml:space="preserve">، و غیر ذلک </w:t>
      </w:r>
      <w:r>
        <w:rPr>
          <w:rStyle w:val="FootnoteAnchor"/>
          <w:rtl w:val="true"/>
        </w:rPr>
        <w:footnoteReference w:id="983"/>
      </w:r>
      <w:r>
        <w:rPr>
          <w:rFonts w:ascii="IRNazanin" w:hAnsi="IRNazanin" w:eastAsia="IRNazanin"/>
          <w:color w:val="111111"/>
          <w:sz w:val="28"/>
          <w:sz w:val="28"/>
          <w:szCs w:val="28"/>
          <w:rtl w:val="true"/>
          <w:lang w:bidi="fa-IR"/>
        </w:rPr>
        <w:t>ممّا لا یحصی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إجماع المسلمین قاطبة واقع علی ذلک، سیّما الفرقة الناجیة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تأمّل فی أنّ الأصل عدم الصحّة حتّی تثبت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مرادهم منه العمومات الدالّة علی الصحّة مثل أَحَلَّ اللّٰهُ الْبَیْعَ </w:t>
      </w:r>
      <w:r>
        <w:rPr>
          <w:rStyle w:val="FootnoteAnchor"/>
          <w:rtl w:val="true"/>
        </w:rPr>
        <w:footnoteReference w:id="984"/>
      </w:r>
      <w:r>
        <w:rPr>
          <w:rFonts w:ascii="IRNazanin" w:hAnsi="IRNazanin" w:eastAsia="IRNazanin"/>
          <w:color w:val="111111"/>
          <w:sz w:val="28"/>
          <w:sz w:val="28"/>
          <w:szCs w:val="28"/>
          <w:rtl w:val="true"/>
          <w:lang w:bidi="fa-IR"/>
        </w:rPr>
        <w:t>و غیره، و لا شکّ فی أنّه إذا دلّ عموم علی الصحّة تکون صحیحة البتّة، فالعموم دلیل، و الکلام فی أنّه ما لم یکن دلیل علی الصحّة فالأصل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فائدة فی هذا الأصل بعد تحقّق العموم؟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أنّه کثیرا ما لا یثبت الصحّة من العموم،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إثبات صحّة بیع من عموم أَحَلَّ اللّٰهُ الْبَیْعَ </w:t>
      </w:r>
      <w:r>
        <w:rPr>
          <w:rStyle w:val="FootnoteAnchor"/>
          <w:rtl w:val="true"/>
        </w:rPr>
        <w:footnoteReference w:id="985"/>
      </w:r>
      <w:r>
        <w:rPr>
          <w:rFonts w:ascii="IRNazanin" w:hAnsi="IRNazanin" w:eastAsia="IRNazanin"/>
          <w:color w:val="111111"/>
          <w:sz w:val="28"/>
          <w:sz w:val="28"/>
          <w:szCs w:val="28"/>
          <w:rtl w:val="true"/>
          <w:lang w:bidi="fa-IR"/>
        </w:rPr>
        <w:t>،</w:t>
      </w:r>
    </w:p>
    <w:p>
      <w:pPr>
        <w:pStyle w:val="Heading3"/>
        <w:numPr>
          <w:ilvl w:val="2"/>
          <w:numId w:val="1"/>
        </w:numPr>
        <w:rPr/>
      </w:pPr>
      <w:bookmarkStart w:id="321" w:name="__RefHeading___Toc4328090_3804643083"/>
      <w:bookmarkStart w:id="322" w:name="_Toc120"/>
      <w:bookmarkEnd w:id="321"/>
      <w:r>
        <w:rPr>
          <w:rtl w:val="true"/>
        </w:rPr>
        <w:t>فلا شکّ فی أنّ إثباتها یتوقّف علی أمور</w:t>
      </w:r>
      <w:r>
        <w:rPr>
          <w:rtl w:val="true"/>
        </w:rPr>
        <w:t>:</w:t>
      </w:r>
      <w:bookmarkEnd w:id="322"/>
    </w:p>
    <w:p>
      <w:pPr>
        <w:pStyle w:val="Heading4"/>
        <w:numPr>
          <w:ilvl w:val="3"/>
          <w:numId w:val="1"/>
        </w:numPr>
        <w:rPr/>
      </w:pPr>
      <w:bookmarkStart w:id="323" w:name="__RefHeading___Toc4328092_3804643083"/>
      <w:bookmarkStart w:id="324" w:name="_Toc121"/>
      <w:bookmarkEnd w:id="323"/>
      <w:r>
        <w:rPr>
          <w:rtl w:val="true"/>
        </w:rPr>
        <w:t>الأوّل</w:t>
      </w:r>
      <w:r>
        <w:rPr>
          <w:rtl w:val="true"/>
        </w:rPr>
        <w:t xml:space="preserve">: </w:t>
      </w:r>
      <w:r>
        <w:rPr>
          <w:rtl w:val="true"/>
        </w:rPr>
        <w:t>ثبوت کون ذلک بیعا حقیقة فی اصطلاح الشرع</w:t>
      </w:r>
      <w:bookmarkEnd w:id="324"/>
    </w:p>
    <w:p>
      <w:pPr>
        <w:pStyle w:val="BookText"/>
        <w:rPr/>
      </w:pPr>
      <w:r>
        <w:rPr>
          <w:rFonts w:ascii="IRNazanin" w:hAnsi="IRNazanin" w:eastAsia="IRNazanin"/>
          <w:color w:val="111111"/>
          <w:sz w:val="28"/>
          <w:sz w:val="28"/>
          <w:szCs w:val="28"/>
          <w:rtl w:val="true"/>
          <w:lang w:bidi="fa-IR"/>
        </w:rPr>
        <w:t>، فیحتاج إلی استفراغ الوسع، و بذل الجهد بحسب الطاقة فی تحصیل اصطلاح الشارع و ما هو الحقیقة فی محاوراته فی ذلک الزمان، فلا یمکن الإثبات لغیر المجتهد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المجتهد، فإن حصّل الاصطلاح فذلک، و إن لم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w:t>
      </w:r>
      <w:bookmarkStart w:id="325" w:name="pg2526_25657"/>
    </w:p>
    <w:p>
      <w:pPr>
        <w:pStyle w:val="BookText"/>
        <w:rPr/>
      </w:pPr>
      <w:bookmarkEnd w:id="3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من أنّه لا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تحصیل المعرفة بکونها بیعا حقیقة، عرفا أو لغة، و المعرفة إنّما تکون بالأمارات المذکورة فی أصول الفقه، إذ مجرّد إطلاق البیع علیه لا یقتضی أن یکون حقیقة، لأنّ الاستعمال أعمّ من الحقیقة عند معظم المحقّقین من الفقهاء، و المجاز خیر من الاشتراک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الاشتراک أیضا لا ینفع مجرّدا عن القرینة بالنسبة إلی اللفظ، کما أنّ المجاز لا ینفع بالنسبة إلی اللفظ مجرّدا عن القرینة، فلا یتأتّی الإثبات من هذه الجهة أیضا إلّا للمجتهد العارف بالأمارات الأصولیة، و حجّیة تلک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ربّما لا یتأتّی فی موضع أمارة من تلک الأمارات، فلا یثبت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تحقّق الأمارة، و ثبتت الحقیقة العرفیّة أو اللغویّة، فلا یکفی ذلک ما لم یضمّ إلیه أصالة عدم التغیّر و التعدّد، حتّی یثبت کون ذلک اصطلاح الشارع أیضا، لأنّ المعتبر هو اصطلاح زمان صدور ذلک الکلام، کما هو الظاهر و محقّق فی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لا یتأتّی أصالة عدم التعدّد و التغیّر، لثبوت التعدّد، أو ظهور التغیّر مع عدم مرجّح و معیّن</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4328094_3804643083"/>
      <w:bookmarkStart w:id="327" w:name="_Toc122"/>
      <w:bookmarkEnd w:id="326"/>
      <w:r>
        <w:rPr>
          <w:rtl w:val="true"/>
        </w:rPr>
        <w:t>الثانی</w:t>
      </w:r>
      <w:r>
        <w:rPr>
          <w:rtl w:val="true"/>
        </w:rPr>
        <w:t xml:space="preserve">: </w:t>
      </w:r>
      <w:r>
        <w:rPr>
          <w:rtl w:val="true"/>
        </w:rPr>
        <w:t>ثبوت کونه من الأفراد المتعارفة للبیع الحقیقی</w:t>
      </w:r>
      <w:bookmarkEnd w:id="327"/>
    </w:p>
    <w:p>
      <w:pPr>
        <w:pStyle w:val="BookText"/>
        <w:rPr/>
      </w:pPr>
      <w:r>
        <w:rPr>
          <w:rFonts w:ascii="IRNazanin" w:hAnsi="IRNazanin" w:eastAsia="IRNazanin"/>
          <w:color w:val="111111"/>
          <w:sz w:val="28"/>
          <w:sz w:val="28"/>
          <w:szCs w:val="28"/>
          <w:rtl w:val="true"/>
          <w:lang w:bidi="fa-IR"/>
        </w:rPr>
        <w:t xml:space="preserve">، لأنّ المفرد المحلّی باللام غیر موضوع للعموم، فالعموم الحاصل منه لا یزید عن الأفراد المتعارفة </w:t>
      </w:r>
      <w:r>
        <w:rPr>
          <w:rStyle w:val="FootnoteAnchor"/>
          <w:rtl w:val="true"/>
        </w:rPr>
        <w:footnoteReference w:id="986"/>
      </w:r>
      <w:r>
        <w:rPr>
          <w:rFonts w:ascii="IRNazanin" w:hAnsi="IRNazanin" w:eastAsia="IRNazanin"/>
          <w:color w:val="111111"/>
          <w:sz w:val="28"/>
          <w:sz w:val="28"/>
          <w:szCs w:val="28"/>
          <w:rtl w:val="true"/>
          <w:lang w:bidi="fa-IR"/>
        </w:rPr>
        <w:t>، و لا یشمل الفروض النادرة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علی تقدیر کون عمومه من قبیل عموم الموضوع للعموم، فربّما یتأمّل فی شموله للفروض النادرة أیضا، فتأمّل</w:t>
      </w:r>
      <w:r>
        <w:rPr>
          <w:rFonts w:eastAsia="IRNazanin" w:cs="IRNazanin"/>
          <w:color w:val="111111"/>
          <w:sz w:val="28"/>
          <w:szCs w:val="28"/>
          <w:rtl w:val="true"/>
          <w:lang w:bidi="fa-IR"/>
        </w:rPr>
        <w:t>.</w:t>
      </w:r>
      <w:bookmarkStart w:id="328" w:name="pg2526_25658"/>
    </w:p>
    <w:p>
      <w:pPr>
        <w:pStyle w:val="BookText"/>
        <w:rPr/>
      </w:pPr>
      <w:bookmarkEnd w:id="3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Heading4"/>
        <w:numPr>
          <w:ilvl w:val="3"/>
          <w:numId w:val="1"/>
        </w:numPr>
        <w:rPr/>
      </w:pPr>
      <w:bookmarkStart w:id="329" w:name="__RefHeading___Toc4328096_3804643083"/>
      <w:bookmarkStart w:id="330" w:name="_Toc123"/>
      <w:bookmarkEnd w:id="329"/>
      <w:r>
        <w:rPr>
          <w:rtl w:val="true"/>
        </w:rPr>
        <w:t>الثالث</w:t>
      </w:r>
      <w:r>
        <w:rPr>
          <w:rtl w:val="true"/>
        </w:rPr>
        <w:t xml:space="preserve">: </w:t>
      </w:r>
      <w:r>
        <w:rPr>
          <w:rtl w:val="true"/>
        </w:rPr>
        <w:t>ثبوت أنّ الحلّیة تستلزم الصحّة فی المقام</w:t>
      </w:r>
      <w:bookmarkEnd w:id="330"/>
    </w:p>
    <w:p>
      <w:pPr>
        <w:pStyle w:val="BookText"/>
        <w:rPr/>
      </w:pPr>
      <w:r>
        <w:rPr>
          <w:rFonts w:ascii="IRNazanin" w:hAnsi="IRNazanin" w:eastAsia="IRNazanin"/>
          <w:color w:val="111111"/>
          <w:sz w:val="28"/>
          <w:sz w:val="28"/>
          <w:szCs w:val="28"/>
          <w:rtl w:val="true"/>
          <w:lang w:bidi="fa-IR"/>
        </w:rPr>
        <w:t>، و الظاهر ثبوته کما لا یخفی علی المتأمّل، إذ ظاهر أنّ المراد لیس حلّیة قراءة صیغة البیع، بل المراد حلّیة نفس البیع، و هو أمر کانوا یرتکبونه بعنوان الانتقال و اللزوم، فاللّه تعالی قرّرهم علی ذلک، فتدبّر</w:t>
      </w:r>
      <w:r>
        <w:rPr>
          <w:rFonts w:eastAsia="IRNazanin" w:cs="IRNazanin"/>
          <w:color w:val="111111"/>
          <w:sz w:val="28"/>
          <w:szCs w:val="28"/>
          <w:rtl w:val="true"/>
          <w:lang w:bidi="fa-IR"/>
        </w:rPr>
        <w:t>.</w:t>
      </w:r>
    </w:p>
    <w:p>
      <w:pPr>
        <w:pStyle w:val="Heading4"/>
        <w:numPr>
          <w:ilvl w:val="3"/>
          <w:numId w:val="1"/>
        </w:numPr>
        <w:rPr/>
      </w:pPr>
      <w:bookmarkStart w:id="331" w:name="__RefHeading___Toc4328098_3804643083"/>
      <w:bookmarkStart w:id="332" w:name="_Toc124"/>
      <w:bookmarkEnd w:id="331"/>
      <w:r>
        <w:rPr>
          <w:rtl w:val="true"/>
        </w:rPr>
        <w:t>الرابع</w:t>
      </w:r>
      <w:r>
        <w:rPr>
          <w:rtl w:val="true"/>
        </w:rPr>
        <w:t xml:space="preserve">: </w:t>
      </w:r>
      <w:r>
        <w:rPr>
          <w:rtl w:val="true"/>
        </w:rPr>
        <w:t>عدم تحقّق نهی من الشارع علیه السّلام عن الّذی یراد إثبات صحّته</w:t>
      </w:r>
      <w:bookmarkEnd w:id="332"/>
    </w:p>
    <w:p>
      <w:pPr>
        <w:pStyle w:val="Heading5"/>
        <w:numPr>
          <w:ilvl w:val="4"/>
          <w:numId w:val="1"/>
        </w:numPr>
        <w:rPr/>
      </w:pPr>
      <w:bookmarkStart w:id="333" w:name="__RefHeading___Toc4328100_3804643083"/>
      <w:bookmarkStart w:id="334" w:name="_Toc125"/>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 لا بعنوان الخصوص و لا بعنوان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المناهی الخاصّة لا ضبط لها، بل هی مذکورة فی مواضعها، و أمّا العامّة فسنشیر إلیها</w:t>
      </w:r>
      <w:r>
        <w:rPr>
          <w:rFonts w:eastAsia="IRNazanin" w:cs="IRNazanin"/>
          <w:color w:val="111111"/>
          <w:sz w:val="28"/>
          <w:szCs w:val="28"/>
          <w:rtl w:val="true"/>
          <w:lang w:bidi="fa-IR"/>
        </w:rPr>
        <w:t>.</w:t>
      </w:r>
    </w:p>
    <w:p>
      <w:pPr>
        <w:pStyle w:val="Heading5"/>
        <w:numPr>
          <w:ilvl w:val="4"/>
          <w:numId w:val="1"/>
        </w:numPr>
        <w:rPr/>
      </w:pPr>
      <w:bookmarkStart w:id="335" w:name="__RefHeading___Toc4328102_3804643083"/>
      <w:bookmarkStart w:id="336" w:name="_Toc126"/>
      <w:bookmarkEnd w:id="335"/>
      <w:r>
        <w:rPr>
          <w:rtl w:val="true"/>
        </w:rPr>
        <w:t>فساد المعاملة بالنهی</w:t>
      </w:r>
      <w:bookmarkEnd w:id="336"/>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نهی من الشارع لأنّ الفقهاء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النهی فی المعاملات یقتضی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الأقلّون </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فالمعاملة المنهی عنها فاسدة عندهم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القائلون بعدم اقتضائه الفساد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الأکثرون </w:t>
      </w: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یقولون بذلک فیما إذا ثبت صحّته من دلیل لا ینافیه النهی، و لا یضاده التحریم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لم یثبت صحّته أصلا لم یکن صحیحا، مع قطع النظر عن ورود النهی عنه، فکیف إذا ورد النهی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شکّ فی فساد مثله عندهم، لما عرفت،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و کذا إذا ثبت صحّته من خصوص مثل أَحَلَّ اللّٰهُ الْبَیْعَ </w:t>
      </w:r>
      <w:r>
        <w:rPr>
          <w:rStyle w:val="FootnoteAnchor"/>
          <w:rtl w:val="true"/>
        </w:rPr>
        <w:footnoteReference w:id="989"/>
      </w:r>
      <w:r>
        <w:rPr>
          <w:rFonts w:ascii="Amiri" w:hAnsi="Amiri" w:eastAsia="Amiri" w:cs="Amiri"/>
          <w:color w:val="111111"/>
          <w:sz w:val="28"/>
          <w:sz w:val="28"/>
          <w:szCs w:val="28"/>
          <w:rtl w:val="true"/>
          <w:lang w:bidi="ar-SA"/>
        </w:rPr>
        <w:t xml:space="preserve">، و أَوْفُوا بِالْعُقُودِ </w:t>
      </w:r>
      <w:r>
        <w:rPr>
          <w:rStyle w:val="FootnoteAnchor"/>
          <w:rtl w:val="true"/>
        </w:rPr>
        <w:footnoteReference w:id="990"/>
      </w:r>
      <w:r>
        <w:rPr>
          <w:rFonts w:ascii="Amiri" w:hAnsi="Amiri" w:eastAsia="Amiri" w:cs="Amiri"/>
          <w:color w:val="111111"/>
          <w:sz w:val="28"/>
          <w:sz w:val="28"/>
          <w:szCs w:val="28"/>
          <w:rtl w:val="true"/>
          <w:lang w:bidi="ar-SA"/>
        </w:rPr>
        <w:t xml:space="preserve">، و إِلّٰا أَنْ تَکُونَ تِجٰارَةً عَنْ تَرٰاضٍ مِنْکُمْ </w:t>
      </w:r>
      <w:r>
        <w:rPr>
          <w:rStyle w:val="FootnoteAnchor"/>
          <w:rtl w:val="true"/>
        </w:rPr>
        <w:footnoteReference w:id="991"/>
      </w:r>
      <w:r>
        <w:rPr>
          <w:rFonts w:ascii="IRNazanin" w:hAnsi="IRNazanin" w:eastAsia="IRNazanin"/>
          <w:color w:val="111111"/>
          <w:sz w:val="28"/>
          <w:sz w:val="28"/>
          <w:szCs w:val="28"/>
          <w:rtl w:val="true"/>
          <w:lang w:bidi="fa-IR"/>
        </w:rPr>
        <w:t>، لأنّ الحلّیة تنافی النهی و الحرمة، و کذا وجوب الوفاء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کذا استثناء قوله إِلّٰا أَنْ تَکُونَ تِجٰارَةً عَنْ تَرٰاضٍ مِنْکُمْ </w:t>
      </w:r>
      <w:r>
        <w:rPr>
          <w:rStyle w:val="FootnoteAnchor"/>
          <w:rtl w:val="true"/>
        </w:rPr>
        <w:footnoteReference w:id="992"/>
      </w:r>
      <w:r>
        <w:rPr>
          <w:rFonts w:ascii="IRNazanin" w:hAnsi="IRNazanin" w:eastAsia="IRNazanin"/>
          <w:color w:val="111111"/>
          <w:sz w:val="28"/>
          <w:sz w:val="28"/>
          <w:szCs w:val="28"/>
          <w:rtl w:val="true"/>
          <w:lang w:bidi="fa-IR"/>
        </w:rPr>
        <w:t>، لأنّه استثناء من النهی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النهی فی مثل ذلک أیضا یقتضی الفساد عندهم بلا شکّ و لا شبهة، إذ النهی یقتضی خروج ذلک عن العمومات عندهم، کما لا یخفی علی المطّلع علی أقوالهم و طریقتهم، فإنّهم صرّحوا بأنّ الأحکام الخمسة متضادّة، و أنّ اجتماع الضدّین فی الحکم الواحد من المحالات عندهم، و إن تعدّدت الجهة و الحیثیّة و ظهر ذلک التعدّد، مع أنّه ربّما لا یظهر ذلک فیما نحن فیه،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الصحّة ثابتة من غیر أمثال العمومات المذکورة، فالنهی لا یقتضی الفساد، لأنّ الصحّة عبارة عن ترتّب أثر شرعی، فلا ینافی ذلک النهی و الحرمة، لأنّ الحرام کثیرا ما یترتّب علیه الآثار الشرعیّة، فإنّ الشارع مثلا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التقی الختانان فقد وجب علیه الغسل و المهر و العدّة و الرجم و غیر ذلک </w:t>
      </w:r>
      <w:r>
        <w:rPr>
          <w:rStyle w:val="FootnoteAnchor"/>
          <w:rtl w:val="true"/>
        </w:rPr>
        <w:footnoteReference w:id="993"/>
      </w:r>
      <w:r>
        <w:rPr>
          <w:rFonts w:ascii="IRNazanin" w:hAnsi="IRNazanin" w:eastAsia="IRNazanin"/>
          <w:color w:val="111111"/>
          <w:sz w:val="28"/>
          <w:sz w:val="28"/>
          <w:szCs w:val="28"/>
          <w:rtl w:val="true"/>
          <w:lang w:bidi="fa-IR"/>
        </w:rPr>
        <w:t>، و إذا دخل أحد بزوجته و هی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عامدا یکون حراما بلا شبهة، و مع ذلک یجب علیه المهر کاملا و علیها العدّة، و علیهما الغسل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یتداخل الغسلان فی الحائض علی القول بالتداخل، و کذا یترتّب</w:t>
      </w:r>
      <w:bookmarkStart w:id="337" w:name="pg2526_25660"/>
    </w:p>
    <w:p>
      <w:pPr>
        <w:pStyle w:val="BookText"/>
        <w:rPr/>
      </w:pPr>
      <w:bookmarkEnd w:id="3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علیه سائر ما یترتّب علی الدخول بالزوجة، و کذا الحال فی الدخول بالأجنبیة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المعاملات و أحکامها، فتدبّر</w:t>
      </w:r>
      <w:r>
        <w:rPr>
          <w:rFonts w:eastAsia="IRNazanin" w:cs="IRNazanin"/>
          <w:color w:val="111111"/>
          <w:sz w:val="28"/>
          <w:szCs w:val="28"/>
          <w:rtl w:val="true"/>
          <w:lang w:bidi="fa-IR"/>
        </w:rPr>
        <w:t>.</w:t>
      </w:r>
    </w:p>
    <w:p>
      <w:pPr>
        <w:pStyle w:val="Heading5"/>
        <w:numPr>
          <w:ilvl w:val="4"/>
          <w:numId w:val="1"/>
        </w:numPr>
        <w:rPr/>
      </w:pPr>
      <w:bookmarkStart w:id="338" w:name="__RefHeading___Toc4328104_3804643083"/>
      <w:bookmarkStart w:id="339" w:name="_Toc127"/>
      <w:bookmarkEnd w:id="338"/>
      <w:r>
        <w:rPr>
          <w:rtl w:val="true"/>
        </w:rPr>
        <w:t>فساد العبادات بالنهی</w:t>
      </w:r>
      <w:bookmarkEnd w:id="339"/>
    </w:p>
    <w:p>
      <w:pPr>
        <w:pStyle w:val="BookText"/>
        <w:rPr/>
      </w:pPr>
      <w:r>
        <w:rPr>
          <w:rFonts w:ascii="IRNazanin" w:hAnsi="IRNazanin" w:eastAsia="IRNazanin"/>
          <w:color w:val="111111"/>
          <w:sz w:val="28"/>
          <w:sz w:val="28"/>
          <w:szCs w:val="28"/>
          <w:rtl w:val="true"/>
          <w:lang w:bidi="fa-IR"/>
        </w:rPr>
        <w:t>أمّا العبادات، فجلّ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کاد أن یکون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اتّفقوا علی أنّ النهی فیها یقتضی الفساد </w:t>
      </w:r>
      <w:r>
        <w:rPr>
          <w:rStyle w:val="FootnoteAnchor"/>
          <w:rtl w:val="true"/>
        </w:rPr>
        <w:footnoteReference w:id="994"/>
      </w:r>
      <w:r>
        <w:rPr>
          <w:rFonts w:ascii="IRNazanin" w:hAnsi="IRNazanin" w:eastAsia="IRNazanin"/>
          <w:color w:val="111111"/>
          <w:sz w:val="28"/>
          <w:sz w:val="28"/>
          <w:szCs w:val="28"/>
          <w:rtl w:val="true"/>
          <w:lang w:bidi="fa-IR"/>
        </w:rPr>
        <w:t>، لأنّ الصحّة فیها عبارة عن موافقة الأمر، و ما هو مثل هذا المعنی، و العبادة أمر راجح و مأمور به قطعا، و المرجوحیّة ضدّه، فضلا عن أن 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العبادة المکروهة معناها أنّها أقلّ ثوابا </w:t>
      </w:r>
      <w:r>
        <w:rPr>
          <w:rStyle w:val="FootnoteAnchor"/>
          <w:rtl w:val="true"/>
        </w:rPr>
        <w:footnoteReference w:id="995"/>
      </w:r>
      <w:r>
        <w:rPr>
          <w:rFonts w:ascii="IRNazanin" w:hAnsi="IRNazanin" w:eastAsia="IRNazanin"/>
          <w:color w:val="111111"/>
          <w:sz w:val="28"/>
          <w:sz w:val="28"/>
          <w:szCs w:val="28"/>
          <w:rtl w:val="true"/>
          <w:lang w:bidi="fa-IR"/>
        </w:rPr>
        <w:t>، و إلّا فهی راجحة عندهم من دون مرجوحیّة، و ربّما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الکراهة تتعلّق بما هو خارج عن نفس العبادة أو جزئها أو شرطها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حکم بعضهم بصحّة مثل البیع وقت النداء، مصرّحا بأنّ النهی تعلّق بأمر خارج </w:t>
      </w:r>
      <w:r>
        <w:rPr>
          <w:rStyle w:val="FootnoteAnchor"/>
          <w:rtl w:val="true"/>
        </w:rPr>
        <w:footnoteReference w:id="996"/>
      </w:r>
      <w:r>
        <w:rPr>
          <w:rFonts w:ascii="IRNazanin" w:hAnsi="IRNazanin" w:eastAsia="IRNazanin"/>
          <w:color w:val="111111"/>
          <w:sz w:val="28"/>
          <w:sz w:val="28"/>
          <w:szCs w:val="28"/>
          <w:rtl w:val="true"/>
          <w:lang w:bidi="fa-IR"/>
        </w:rPr>
        <w:t>، و هو ترک السعی إلی الجمعة و الاشتغال عنها</w:t>
      </w:r>
      <w:r>
        <w:rPr>
          <w:rFonts w:eastAsia="IRNazanin" w:cs="IRNazanin"/>
          <w:color w:val="111111"/>
          <w:sz w:val="28"/>
          <w:szCs w:val="28"/>
          <w:rtl w:val="true"/>
          <w:lang w:bidi="fa-IR"/>
        </w:rPr>
        <w:t>.</w:t>
      </w:r>
    </w:p>
    <w:p>
      <w:pPr>
        <w:pStyle w:val="Heading4"/>
        <w:numPr>
          <w:ilvl w:val="3"/>
          <w:numId w:val="1"/>
        </w:numPr>
        <w:rPr/>
      </w:pPr>
      <w:bookmarkStart w:id="340" w:name="__RefHeading___Toc4328106_3804643083"/>
      <w:bookmarkStart w:id="341" w:name="_Toc128"/>
      <w:bookmarkEnd w:id="340"/>
      <w:r>
        <w:rPr>
          <w:rtl w:val="true"/>
        </w:rPr>
        <w:t>الخامس</w:t>
      </w:r>
      <w:r>
        <w:rPr>
          <w:rtl w:val="true"/>
        </w:rPr>
        <w:t xml:space="preserve">: </w:t>
      </w:r>
      <w:r>
        <w:rPr>
          <w:rtl w:val="true"/>
        </w:rPr>
        <w:t>تحقّق شرائط مورد البیع</w:t>
      </w:r>
      <w:bookmarkEnd w:id="341"/>
    </w:p>
    <w:p>
      <w:pPr>
        <w:pStyle w:val="BookText"/>
        <w:rPr/>
      </w:pPr>
      <w:r>
        <w:rPr>
          <w:rFonts w:ascii="IRNazanin" w:hAnsi="IRNazanin" w:eastAsia="IRNazanin"/>
          <w:color w:val="111111"/>
          <w:sz w:val="28"/>
          <w:sz w:val="28"/>
          <w:szCs w:val="28"/>
          <w:rtl w:val="true"/>
          <w:lang w:bidi="fa-IR"/>
        </w:rPr>
        <w:t>، فإنّ البیع هو نقل ملک عین إلی آخر بعنوان المبایعة العرفیّة أو اللغویّة أو الاصطلاحیّة علی حسب ما مرّ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زید علی ذلک کونه بصیغة مخصوصة </w:t>
      </w:r>
      <w:r>
        <w:rPr>
          <w:rStyle w:val="FootnoteAnchor"/>
          <w:rtl w:val="true"/>
        </w:rPr>
        <w:footnoteReference w:id="997"/>
      </w:r>
      <w:r>
        <w:rPr>
          <w:rFonts w:ascii="IRNazanin" w:hAnsi="IRNazanin" w:eastAsia="IRNazanin"/>
          <w:color w:val="111111"/>
          <w:sz w:val="28"/>
          <w:sz w:val="28"/>
          <w:szCs w:val="28"/>
          <w:rtl w:val="true"/>
          <w:lang w:bidi="fa-IR"/>
        </w:rPr>
        <w:t>، و ربّما قیل بأنّ البیع هو نفس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تلک الصیغة </w:t>
      </w:r>
      <w:r>
        <w:rPr>
          <w:rStyle w:val="FootnoteAnchor"/>
          <w:rtl w:val="true"/>
        </w:rPr>
        <w:footnoteReference w:id="998"/>
      </w:r>
      <w:r>
        <w:rPr>
          <w:rFonts w:ascii="IRNazanin" w:hAnsi="IRNazanin" w:eastAsia="IRNazanin"/>
          <w:color w:val="111111"/>
          <w:sz w:val="28"/>
          <w:sz w:val="28"/>
          <w:szCs w:val="28"/>
          <w:rtl w:val="true"/>
          <w:lang w:bidi="fa-IR"/>
        </w:rPr>
        <w:t>، و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یتحقّق البیع فی المنفعة أیضا </w:t>
      </w:r>
      <w:r>
        <w:rPr>
          <w:rStyle w:val="FootnoteAnchor"/>
          <w:rtl w:val="true"/>
        </w:rPr>
        <w:footnoteReference w:id="999"/>
      </w:r>
      <w:r>
        <w:rPr>
          <w:rFonts w:ascii="IRNazanin" w:hAnsi="IRNazanin" w:eastAsia="IRNazanin"/>
          <w:color w:val="111111"/>
          <w:sz w:val="28"/>
          <w:sz w:val="28"/>
          <w:szCs w:val="28"/>
          <w:rtl w:val="true"/>
          <w:lang w:bidi="fa-IR"/>
        </w:rPr>
        <w:t>فلا بدّ من معلومیّة کون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یملک شرعا، و معلومیّة الإذن فی النقل شرعا و معلومیة تحقّق النقل و الخروج من ملک البائع، و معلومیّة تحقّق الدخول إلی ملک المشتری و عدم المانع من الخروج و الدخول شرعا، و معلومیّة أنّ الصیغة هل هی معتبرة شرعا أو لغة أو عرفا أو هی نفس البیع، أو لیست بمعتبرة أصلا،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الحکم بتحقّق الصحّة، و ترتّب الآثار شرعا، مثل الانتقال بعنوان اللزوم أو الجواز، و غیر ذلک من الآثار الشرعیّة یتوقّف علی الثبوت من الشرع، و من لوازم الانتقال تعیّن الشی‌ء بحسب الواقع، إذ غیر المعیّن کیف ینتقل؟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یتحقّق الانتقال فی الأمر الکلّی الّذی هو قدر المشترک بین أفراده و الکائن مع مشخّص، و هو معیّن و التشخصات خارجة، و شروط لتحقّقه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التعیّن عند المتبایعین، فلعلّه یرجع إلی الغرر و السفه و کون الشی‌ء معرضا للنزاع بین المسلمین و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یظهر النهی عن مثله من الأخبار، مثل ما ورد فی باب السلف </w:t>
      </w:r>
      <w:r>
        <w:rPr>
          <w:rStyle w:val="FootnoteAnchor"/>
          <w:rtl w:val="true"/>
        </w:rPr>
        <w:footnoteReference w:id="1000"/>
      </w:r>
      <w:r>
        <w:rPr>
          <w:rFonts w:ascii="IRNazanin" w:hAnsi="IRNazanin" w:eastAsia="IRNazanin"/>
          <w:color w:val="111111"/>
          <w:sz w:val="28"/>
          <w:sz w:val="28"/>
          <w:szCs w:val="28"/>
          <w:rtl w:val="true"/>
          <w:lang w:bidi="fa-IR"/>
        </w:rPr>
        <w:t xml:space="preserve">و بیع التمر </w:t>
      </w:r>
      <w:r>
        <w:rPr>
          <w:rStyle w:val="FootnoteAnchor"/>
          <w:rtl w:val="true"/>
        </w:rPr>
        <w:footnoteReference w:id="1001"/>
      </w:r>
      <w:r>
        <w:rPr>
          <w:rFonts w:ascii="IRNazanin" w:hAnsi="IRNazanin" w:eastAsia="IRNazanin"/>
          <w:color w:val="111111"/>
          <w:sz w:val="28"/>
          <w:sz w:val="28"/>
          <w:szCs w:val="28"/>
          <w:rtl w:val="true"/>
          <w:lang w:bidi="fa-IR"/>
        </w:rPr>
        <w:t xml:space="preserve">و بیع الدینار غیر الدرهم </w:t>
      </w:r>
      <w:r>
        <w:rPr>
          <w:rStyle w:val="FootnoteAnchor"/>
          <w:rtl w:val="true"/>
        </w:rPr>
        <w:footnoteReference w:id="1002"/>
      </w:r>
      <w:r>
        <w:rPr>
          <w:rFonts w:ascii="IRNazanin" w:hAnsi="IRNazanin" w:eastAsia="IRNazanin"/>
          <w:color w:val="111111"/>
          <w:sz w:val="28"/>
          <w:sz w:val="28"/>
          <w:szCs w:val="28"/>
          <w:rtl w:val="true"/>
          <w:lang w:bidi="fa-IR"/>
        </w:rPr>
        <w:t>، و غیر ذلک، فلیلاحظ و لیتأمّل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ادّعاء الإجماع فیما ادّعوه فیه، فتأمّل</w:t>
      </w:r>
      <w:r>
        <w:rPr>
          <w:rFonts w:eastAsia="IRNazanin" w:cs="IRNazanin"/>
          <w:color w:val="111111"/>
          <w:sz w:val="28"/>
          <w:szCs w:val="28"/>
          <w:rtl w:val="true"/>
          <w:lang w:bidi="fa-IR"/>
        </w:rPr>
        <w:t>.</w:t>
      </w:r>
      <w:bookmarkStart w:id="342" w:name="pg2526_25662"/>
    </w:p>
    <w:p>
      <w:pPr>
        <w:pStyle w:val="BookText"/>
        <w:rPr/>
      </w:pPr>
      <w:bookmarkEnd w:id="3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Heading3"/>
        <w:numPr>
          <w:ilvl w:val="2"/>
          <w:numId w:val="1"/>
        </w:numPr>
        <w:rPr/>
      </w:pPr>
      <w:bookmarkStart w:id="343" w:name="__RefHeading___Toc4328108_3804643083"/>
      <w:bookmarkStart w:id="344" w:name="_Toc129"/>
      <w:bookmarkEnd w:id="343"/>
      <w:r>
        <w:rPr>
          <w:rtl w:val="true"/>
        </w:rPr>
        <w:t>المناهی العامّة</w:t>
      </w:r>
      <w:bookmarkEnd w:id="344"/>
    </w:p>
    <w:p>
      <w:pPr>
        <w:pStyle w:val="BookText"/>
        <w:rPr/>
      </w:pPr>
      <w:r>
        <w:rPr>
          <w:rFonts w:ascii="IRNazanin" w:hAnsi="IRNazanin" w:eastAsia="IRNazanin"/>
          <w:color w:val="111111"/>
          <w:sz w:val="28"/>
          <w:sz w:val="28"/>
          <w:szCs w:val="28"/>
          <w:rtl w:val="true"/>
          <w:lang w:bidi="fa-IR"/>
        </w:rPr>
        <w:t xml:space="preserve">ثمَّ اعلم أنّ المناهی الواردة بالعنوانات العامّة عندهم، مثل النهی عن بیع الغرر </w:t>
      </w:r>
      <w:r>
        <w:rPr>
          <w:rStyle w:val="FootnoteAnchor"/>
          <w:rtl w:val="true"/>
        </w:rPr>
        <w:footnoteReference w:id="1003"/>
      </w:r>
      <w:r>
        <w:rPr>
          <w:rFonts w:ascii="IRNazanin" w:hAnsi="IRNazanin" w:eastAsia="IRNazanin"/>
          <w:color w:val="111111"/>
          <w:sz w:val="28"/>
          <w:sz w:val="28"/>
          <w:szCs w:val="28"/>
          <w:rtl w:val="true"/>
          <w:lang w:bidi="fa-IR"/>
        </w:rPr>
        <w:t xml:space="preserve">و الضرر </w:t>
      </w:r>
      <w:r>
        <w:rPr>
          <w:rStyle w:val="FootnoteAnchor"/>
          <w:rtl w:val="true"/>
        </w:rPr>
        <w:footnoteReference w:id="1004"/>
      </w:r>
      <w:r>
        <w:rPr>
          <w:rFonts w:ascii="IRNazanin" w:hAnsi="IRNazanin" w:eastAsia="IRNazanin"/>
          <w:color w:val="111111"/>
          <w:sz w:val="28"/>
          <w:sz w:val="28"/>
          <w:szCs w:val="28"/>
          <w:rtl w:val="true"/>
          <w:lang w:bidi="fa-IR"/>
        </w:rPr>
        <w:t xml:space="preserve">و المسکر </w:t>
      </w:r>
      <w:r>
        <w:rPr>
          <w:rStyle w:val="FootnoteAnchor"/>
          <w:rtl w:val="true"/>
        </w:rPr>
        <w:footnoteReference w:id="1005"/>
      </w:r>
      <w:r>
        <w:rPr>
          <w:rFonts w:ascii="IRNazanin" w:hAnsi="IRNazanin" w:eastAsia="IRNazanin"/>
          <w:color w:val="111111"/>
          <w:sz w:val="28"/>
          <w:sz w:val="28"/>
          <w:szCs w:val="28"/>
          <w:rtl w:val="true"/>
          <w:lang w:bidi="fa-IR"/>
        </w:rPr>
        <w:t xml:space="preserve">و الخبائث </w:t>
      </w:r>
      <w:r>
        <w:rPr>
          <w:rStyle w:val="FootnoteAnchor"/>
          <w:rtl w:val="true"/>
        </w:rPr>
        <w:footnoteReference w:id="1006"/>
      </w:r>
      <w:r>
        <w:rPr>
          <w:rFonts w:ascii="IRNazanin" w:hAnsi="IRNazanin" w:eastAsia="IRNazanin"/>
          <w:color w:val="111111"/>
          <w:sz w:val="28"/>
          <w:sz w:val="28"/>
          <w:szCs w:val="28"/>
          <w:rtl w:val="true"/>
          <w:lang w:bidi="fa-IR"/>
        </w:rPr>
        <w:t xml:space="preserve">و المیتة </w:t>
      </w:r>
      <w:r>
        <w:rPr>
          <w:rStyle w:val="FootnoteAnchor"/>
          <w:rtl w:val="true"/>
        </w:rPr>
        <w:footnoteReference w:id="1007"/>
      </w:r>
      <w:r>
        <w:rPr>
          <w:rFonts w:ascii="IRNazanin" w:hAnsi="IRNazanin" w:eastAsia="IRNazanin"/>
          <w:color w:val="111111"/>
          <w:sz w:val="28"/>
          <w:sz w:val="28"/>
          <w:szCs w:val="28"/>
          <w:rtl w:val="true"/>
          <w:lang w:bidi="fa-IR"/>
        </w:rPr>
        <w:t xml:space="preserve">و ما لا منفعة معتدّا بها له، لأدائه إلی السفاهة، فیدخل فی عموم ما دلّ علی فساد معاملة السفیه و حرمتها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النهی عن بیع الحرام، لما ورد من أنّ اللّه تعالی إذا حرّم شیئا حرّم ثمنه </w:t>
      </w:r>
      <w:r>
        <w:rPr>
          <w:rStyle w:val="FootnoteAnchor"/>
          <w:rtl w:val="true"/>
        </w:rPr>
        <w:footnoteReference w:id="1009"/>
      </w:r>
      <w:r>
        <w:rPr>
          <w:rFonts w:ascii="IRNazanin" w:hAnsi="IRNazanin" w:eastAsia="IRNazanin"/>
          <w:color w:val="111111"/>
          <w:sz w:val="28"/>
          <w:sz w:val="28"/>
          <w:szCs w:val="28"/>
          <w:rtl w:val="true"/>
          <w:lang w:bidi="fa-IR"/>
        </w:rPr>
        <w:t xml:space="preserve">، و لعلّه یظهر ذلک من فحاوی الأخبار أیضا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النهی عن البیع الّذی هو إعانة فی الإثم </w:t>
      </w:r>
      <w:r>
        <w:rPr>
          <w:rStyle w:val="FootnoteAnchor"/>
          <w:rtl w:val="true"/>
        </w:rPr>
        <w:footnoteReference w:id="1011"/>
      </w:r>
      <w:r>
        <w:rPr>
          <w:rFonts w:ascii="IRNazanin" w:hAnsi="IRNazanin" w:eastAsia="IRNazanin"/>
          <w:color w:val="111111"/>
          <w:sz w:val="28"/>
          <w:sz w:val="28"/>
          <w:szCs w:val="28"/>
          <w:rtl w:val="true"/>
          <w:lang w:bidi="fa-IR"/>
        </w:rPr>
        <w:t xml:space="preserve">، و الّذی هو إسراف </w:t>
      </w:r>
      <w:r>
        <w:rPr>
          <w:rStyle w:val="FootnoteAnchor"/>
          <w:rtl w:val="true"/>
        </w:rPr>
        <w:footnoteReference w:id="10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و بیع النجس الّذی لا یقبل الطهارة </w:t>
      </w:r>
      <w:r>
        <w:rPr>
          <w:rStyle w:val="FootnoteAnchor"/>
          <w:rtl w:val="true"/>
        </w:rPr>
        <w:footnoteReference w:id="1013"/>
      </w:r>
      <w:r>
        <w:rPr>
          <w:rFonts w:ascii="IRNazanin" w:hAnsi="IRNazanin" w:eastAsia="IRNazanin"/>
          <w:color w:val="111111"/>
          <w:sz w:val="28"/>
          <w:sz w:val="28"/>
          <w:szCs w:val="28"/>
          <w:rtl w:val="true"/>
          <w:lang w:bidi="fa-IR"/>
        </w:rPr>
        <w:t xml:space="preserve">إلّا الدهن للاستصباح </w:t>
      </w:r>
      <w:r>
        <w:rPr>
          <w:rStyle w:val="FootnoteAnchor"/>
          <w:rtl w:val="true"/>
        </w:rPr>
        <w:footnoteReference w:id="1014"/>
      </w:r>
      <w:r>
        <w:rPr>
          <w:rFonts w:ascii="Amiri" w:hAnsi="Amiri" w:eastAsia="Amiri" w:cs="Amiri"/>
          <w:color w:val="111111"/>
          <w:sz w:val="28"/>
          <w:sz w:val="28"/>
          <w:szCs w:val="28"/>
          <w:rtl w:val="true"/>
          <w:lang w:bidi="ar-SA"/>
        </w:rPr>
        <w:t xml:space="preserve">أو أعمّ منه، أو العذرة </w:t>
      </w:r>
      <w:r>
        <w:rPr>
          <w:rStyle w:val="FootnoteAnchor"/>
          <w:rtl w:val="true"/>
        </w:rPr>
        <w:footnoteReference w:id="1015"/>
      </w:r>
      <w:r>
        <w:rPr>
          <w:rFonts w:ascii="IRNazanin" w:hAnsi="IRNazanin" w:eastAsia="IRNazanin"/>
          <w:color w:val="111111"/>
          <w:sz w:val="28"/>
          <w:sz w:val="28"/>
          <w:szCs w:val="28"/>
          <w:rtl w:val="true"/>
          <w:lang w:bidi="fa-IR"/>
        </w:rPr>
        <w:t xml:space="preserve">أیضا کما قال به بعض المتأخّرین </w:t>
      </w:r>
      <w:r>
        <w:rPr>
          <w:rStyle w:val="FootnoteAnchor"/>
          <w:rtl w:val="true"/>
        </w:rPr>
        <w:footnoteReference w:id="1016"/>
      </w:r>
      <w:r>
        <w:rPr>
          <w:rFonts w:ascii="IRNazanin" w:hAnsi="IRNazanin" w:eastAsia="IRNazanin"/>
          <w:color w:val="111111"/>
          <w:sz w:val="28"/>
          <w:sz w:val="28"/>
          <w:szCs w:val="28"/>
          <w:rtl w:val="true"/>
          <w:lang w:bidi="fa-IR"/>
        </w:rPr>
        <w:t xml:space="preserve">، و ربّما یظهر هذا النهی من إجماعهم </w:t>
      </w:r>
      <w:r>
        <w:rPr>
          <w:rStyle w:val="FootnoteAnchor"/>
          <w:rtl w:val="true"/>
        </w:rPr>
        <w:footnoteReference w:id="1017"/>
      </w:r>
      <w:r>
        <w:rPr>
          <w:rFonts w:ascii="IRNazanin" w:hAnsi="IRNazanin" w:eastAsia="IRNazanin"/>
          <w:color w:val="111111"/>
          <w:sz w:val="28"/>
          <w:sz w:val="28"/>
          <w:szCs w:val="28"/>
          <w:rtl w:val="true"/>
          <w:lang w:bidi="fa-IR"/>
        </w:rPr>
        <w:t xml:space="preserve">، و فحاوی الأخبار </w:t>
      </w:r>
      <w:r>
        <w:rPr>
          <w:rStyle w:val="FootnoteAnchor"/>
          <w:rtl w:val="true"/>
        </w:rPr>
        <w:footnoteReference w:id="1018"/>
      </w:r>
      <w:r>
        <w:rPr>
          <w:rFonts w:ascii="IRNazanin" w:hAnsi="IRNazanin" w:eastAsia="IRNazanin"/>
          <w:color w:val="111111"/>
          <w:sz w:val="28"/>
          <w:sz w:val="28"/>
          <w:szCs w:val="28"/>
          <w:rtl w:val="true"/>
          <w:lang w:bidi="fa-IR"/>
        </w:rPr>
        <w:t>،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یظهر من کلام القدماء أیضا، فلینظر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 ما ذکرنا حال الإجارة و غیرها،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المناهی العامّة، قول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إلّا بالعوض، فیما ثبت وجوب عطائه عینا کان أو منفعة، عینیّا کان الوجوب أو کفائیّا، إذا کان الوجوب من مثل الخطاب بأفعل مطلقا، لأنّ القول بأنّی لا أفعل إلّا بالعوض عصیان،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أصلّی الیومیّة،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أصلّی علی هذا المیّت إلّا أن تعطونی اجرة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ثبت وجوبه لأجل حصول النظام و رفع الضرر، مثل الصناعات، و وجوب بیع الأعیان المحتاج إلیها، عینیّا کان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الفروض النادرة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کفائیّا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الفروض الشائعة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أخذ العوض، لأنّ القدر الثابت من العقل و النقل هو القدر المشترک بین الإعطاء مجّانا و بلا عوض</w:t>
      </w:r>
      <w:bookmarkStart w:id="345" w:name="pg2526_25664"/>
    </w:p>
    <w:p>
      <w:pPr>
        <w:pStyle w:val="BookText"/>
        <w:rPr/>
      </w:pPr>
      <w:bookmarkEnd w:id="3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و الإعطاء بالعوض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الثابت منهما بعنوان الضرورة أو الیقین جواز الإعطاء بالعوض و عدمه بغیر العوض، إلّا فی فرض نادر غایة الندرة لو تحقّق، و هو عدم تمکّن المحتاج المضطرّ من العوض حالّا و لا مؤجّلا بوجه من الوجوه، فإنّه حینئذ یجب الإعطاء بغیر العوض، إلّا أنّه له أن لا یعطی ما لم یشتره منه فیحسبه مکان زکاته و أمثالها، و إن لم یشتره فله أن یجبره بالشراء بوساطة حاکم الشرع إن کان، و إلّا فبالمؤمنین حسبة، و إن لم یکونوا فله أن یعطی بقصد العوض و یأخذه قهرا حفظا إیّاه عن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النظام لا یحصل فی غیر صورة نادرة، إلّا بجواز أخذ العوض و عدم الإعطاء بغیر العوض</w:t>
      </w:r>
      <w:r>
        <w:rPr>
          <w:rFonts w:eastAsia="IRNazanin" w:cs="IRNazanin"/>
          <w:color w:val="111111"/>
          <w:sz w:val="28"/>
          <w:szCs w:val="28"/>
          <w:rtl w:val="true"/>
          <w:lang w:bidi="fa-IR"/>
        </w:rPr>
        <w:t>.</w:t>
      </w:r>
    </w:p>
    <w:p>
      <w:pPr>
        <w:pStyle w:val="Heading3"/>
        <w:numPr>
          <w:ilvl w:val="2"/>
          <w:numId w:val="1"/>
        </w:numPr>
        <w:rPr/>
      </w:pPr>
      <w:bookmarkStart w:id="346" w:name="__RefHeading___Toc4328110_3804643083"/>
      <w:bookmarkStart w:id="347" w:name="_Toc130"/>
      <w:bookmarkEnd w:id="346"/>
      <w:r>
        <w:rPr>
          <w:rtl w:val="true"/>
        </w:rPr>
        <w:t>الأجرة بإزاء العبادات</w:t>
      </w:r>
      <w:bookmarkEnd w:id="347"/>
    </w:p>
    <w:p>
      <w:pPr>
        <w:pStyle w:val="BookText"/>
        <w:rPr/>
      </w:pPr>
      <w:r>
        <w:rPr>
          <w:rFonts w:ascii="IRNazanin" w:hAnsi="IRNazanin" w:eastAsia="IRNazanin"/>
          <w:color w:val="111111"/>
          <w:sz w:val="28"/>
          <w:sz w:val="28"/>
          <w:szCs w:val="28"/>
          <w:rtl w:val="true"/>
          <w:lang w:bidi="fa-IR"/>
        </w:rPr>
        <w:t>و أمّا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کانت أم مستحبة، لاشتراط قصد القربة و الإخلاص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أخذ الأجرة بإزائها إذا فعلها المکلف أصالة و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فعلها نیابة و بعد الاستئجار، فلا مانع من أخذ الأجرة، إذ حال الاستئجار لم تکن واجبة علیه، و لم یکن هناک قصد قربة، و أمّا بعد الاستئجار فهی حینئذ واجبة علیه البتّة، یتأتّی منه قصد القربة و الإخلاص حینئذ بل یجب</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فیما ذکر بین الحج، و غیره من العبادات الّتی یجوز فعلها للغیر، و لذا یشمله عموم ما دلّ علی صحّة الإجارة </w:t>
      </w:r>
      <w:r>
        <w:rPr>
          <w:rStyle w:val="FootnoteAnchor"/>
          <w:rtl w:val="true"/>
        </w:rPr>
        <w:footnoteReference w:id="1019"/>
      </w:r>
      <w:r>
        <w:rPr>
          <w:rFonts w:ascii="IRNazanin" w:hAnsi="IRNazanin" w:eastAsia="IRNazanin"/>
          <w:color w:val="111111"/>
          <w:sz w:val="28"/>
          <w:sz w:val="28"/>
          <w:szCs w:val="28"/>
          <w:rtl w:val="true"/>
          <w:lang w:bidi="fa-IR"/>
        </w:rPr>
        <w:t>، و ورد فی غیر واحد من الأخبار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الإتیان بالعبادات عن المیّت ینفعه و تصل إلیه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لم یتحقّق الاستئجار، و فعلت للّه تعالی بعنوان الإخلاص، ثمَّ اعطی شی‌ء و هو لا یعلم، فلا مانع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العلم لو لم یؤخذ، أرید کمال الأجر و الشکور من اللّه تعالی، فبخ بخ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أخذ، فلا أعلم الآن مانعا منه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هو العالم بأحکامه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الرسالة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bookmarkStart w:id="348" w:name="pg2526_25667"/>
    </w:p>
    <w:p>
      <w:pPr>
        <w:pStyle w:val="BookText"/>
        <w:rPr/>
      </w:pPr>
      <w:bookmarkEnd w:id="3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9" w:name="__RefHeading___Toc4328112_3804643083"/>
      <w:bookmarkStart w:id="350" w:name="_Toc131"/>
      <w:bookmarkEnd w:id="349"/>
      <w:r>
        <w:rPr>
          <w:rtl w:val="true"/>
        </w:rPr>
        <w:t>رسالة فی أصالة الصحّة و الفساد فی المعاملات</w:t>
      </w:r>
      <w:bookmarkEnd w:id="35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بسم اللّه الرحمن الرحیم و به نستعین الحمد للّه ربّ العالمین، و صلّی اللّه علی أشرف الخلق محمّد و آله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فیقول الأقلّ الأذلّ، محمّد باقر بن محمّد أکمل عفی اللّه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فاعلم یا أخی، أنّ المهم و المقصود الأصلی فی المعاملات هو الصحّة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کثیر من المواضع یحکم الفقهاء بالفساد، و الغافل عن حقیقة الحال إذا رأی دلیلا علی الفساد یقبل، و إذا لم یر یطعن علی الفقهاء، و یقول بالصحّة، مدّعیا أنّ الأصل هو الصحّة حتّی یثبت خلافه فلم یثبت، و لا یتفطّن بأنّ الأصل عدم الصحّة لا الصحّة، لأنّ الصحّة عبارة عن ترتّب الأثر الشرعی، فهی حکم شرعی بل ربّما یکون أحکاما شرعیّة إذا کان المترتّب آثارا شرعیّة، کما هو الغالب</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شبهة فی أنّ الحکم الشرعی موقوف علی الدلیل الشرعی فیما لم یکن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الحکم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إذا کان الأصل هو الصحّة، یلزم أنّ یکون کلّ من یعامل معاملة یکون شارعا أو شریک الشارع فی الشرع و التشریع، و أن لا یکون التشریع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یستدلّون بأصالة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یتمسّکون بها فی موضع ثبت حکم من الشرع صحّة و فسادا، و لا یدری أنّ الواقع من المسلم هل یکون من الصحیح، أو الّذی ثبت فساده،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صحّة ما وقع منه، حملا لتصرّف المسلم علی الصحّة، و هو إجماعی، و ظاهر من الأخبار </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یعلم حکم شرعا، فکیف یمکنهم القول بأنّ الأصل ثبوت الحکم شرعا إلی أن یثبت عدم ثبوته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نراهم یتمسّکون بهذا الأصل، فما لم یعلم حکمه یثبتون به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من الدلیل مثل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ظهر أنّ مرادهم غیره، فلا شبهة فی توهّم المتمسّک، إلّا أن یریدوا منه مجرّد قراءة صیغة تلک المعاملة، و إعطاء کلّ واحد من المتعاملین ما له بطیب نفسه منه، فمنعهما عن الأمرین </w:t>
      </w:r>
      <w:r>
        <w:rPr>
          <w:rStyle w:val="FootnoteAnchor"/>
          <w:rtl w:val="true"/>
        </w:rPr>
        <w:footnoteReference w:id="1022"/>
      </w:r>
      <w:r>
        <w:rPr>
          <w:rFonts w:ascii="IRNazanin" w:hAnsi="IRNazanin" w:eastAsia="IRNazanin"/>
          <w:color w:val="111111"/>
          <w:sz w:val="28"/>
          <w:sz w:val="28"/>
          <w:szCs w:val="28"/>
          <w:rtl w:val="true"/>
          <w:lang w:bidi="fa-IR"/>
        </w:rPr>
        <w:t>تکلیف لم یثبت من الشرع، و الأصل عدمه، و الأصل براءة ذمّتهما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ورد فی النصّ </w:t>
      </w:r>
      <w:r>
        <w:rPr>
          <w:rStyle w:val="FootnoteAnchor"/>
          <w:rtl w:val="true"/>
        </w:rPr>
        <w:footnoteReference w:id="1023"/>
      </w:r>
      <w:r>
        <w:rPr>
          <w:rFonts w:ascii="IRNazanin" w:hAnsi="IRNazanin" w:eastAsia="IRNazanin"/>
          <w:color w:val="111111"/>
          <w:sz w:val="28"/>
          <w:sz w:val="28"/>
          <w:szCs w:val="28"/>
          <w:rtl w:val="true"/>
          <w:lang w:bidi="fa-IR"/>
        </w:rPr>
        <w:t xml:space="preserve">، و ورد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إلّا عن طیب نفسه</w:t>
      </w:r>
      <w:r>
        <w:rPr>
          <w:rFonts w:eastAsia="IRNazanin" w:cs="IRNazanin"/>
          <w:color w:val="111111"/>
          <w:sz w:val="28"/>
          <w:szCs w:val="28"/>
          <w:rtl w:val="true"/>
          <w:lang w:bidi="fa-IR"/>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لکن لیس هذا صحّة المعاملة، إذ لم یترتّب علی المعاملة أثر أصلا، مثل نقل الملک و لزومه و غیر ذلک، بل العوضان باقیان علی حالهما السابق من أنّ کلّ واحد منهما یتصرّف الآخر فی ماله لیس بمعاملة </w:t>
      </w:r>
      <w:r>
        <w:rPr>
          <w:rStyle w:val="FootnoteAnchor"/>
          <w:rtl w:val="true"/>
        </w:rPr>
        <w:footnoteReference w:id="1025"/>
      </w:r>
      <w:r>
        <w:rPr>
          <w:rFonts w:ascii="IRNazanin" w:hAnsi="IRNazanin" w:eastAsia="IRNazanin"/>
          <w:color w:val="111111"/>
          <w:sz w:val="28"/>
          <w:sz w:val="28"/>
          <w:szCs w:val="28"/>
          <w:rtl w:val="true"/>
          <w:lang w:bidi="fa-IR"/>
        </w:rPr>
        <w:t>، فإنّ ثمرة البیع هی النقل و غیر ذلک ممّا هو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فظهر ممّا تلوناه، أنّ الأصل فی المعاملة الفساد و عدم الصحّة، إلّا أن یثبت الصحّة بدلیل، من إجماع أو نصّ خاص أو عام، مثل أَحَلَّ اللّٰهُ الْبَیْعَ </w:t>
      </w:r>
      <w:r>
        <w:rPr>
          <w:rStyle w:val="FootnoteAnchor"/>
          <w:rtl w:val="true"/>
        </w:rPr>
        <w:footnoteReference w:id="1026"/>
      </w:r>
      <w:r>
        <w:rPr>
          <w:rFonts w:ascii="IRNazanin" w:hAnsi="IRNazanin" w:eastAsia="IRNazanin"/>
          <w:color w:val="111111"/>
          <w:sz w:val="28"/>
          <w:sz w:val="28"/>
          <w:szCs w:val="28"/>
          <w:rtl w:val="true"/>
          <w:lang w:bidi="fa-IR"/>
        </w:rPr>
        <w:t>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ثبت ممّا ذکرنا أنّ الصحّة لا یثبت إلّا بدلیل، لأنّ الأصل الفساد، و عدم الصحّة، لأنّ الفساد شرعا أیضا یحتاج إلی دلیل شرعی، فکیف یکون الأصل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وقوع المعاملة المشکوکة حالها کان الثمن مال المشتری و المبیع مال البائع، و لم یکن خیار و أمثال ذلک من مراتب البیع، فالأصل بقاء الکلّ علی ما کان علیه و عدم تحقّق تغیّر أصلا، و لا یترتّب أثر </w:t>
      </w:r>
      <w:r>
        <w:rPr>
          <w:rStyle w:val="FootnoteAnchor"/>
          <w:rtl w:val="true"/>
        </w:rPr>
        <w:footnoteReference w:id="1027"/>
      </w:r>
      <w:r>
        <w:rPr>
          <w:rFonts w:ascii="IRNazanin" w:hAnsi="IRNazanin" w:eastAsia="IRNazanin"/>
          <w:color w:val="111111"/>
          <w:sz w:val="28"/>
          <w:sz w:val="28"/>
          <w:szCs w:val="28"/>
          <w:rtl w:val="true"/>
          <w:lang w:bidi="fa-IR"/>
        </w:rPr>
        <w:t>مطلقا، و هذا عین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أصالة البقاء إجماعی، مضافا إلی استصحابه و ظهوره من الأخبار </w:t>
      </w:r>
      <w:r>
        <w:rPr>
          <w:rStyle w:val="FootnoteAnchor"/>
          <w:rtl w:val="true"/>
        </w:rPr>
        <w:footnoteReference w:id="1028"/>
      </w:r>
      <w:r>
        <w:rPr>
          <w:rFonts w:ascii="IRNazanin" w:hAnsi="IRNazanin" w:eastAsia="IRNazanin"/>
          <w:color w:val="111111"/>
          <w:sz w:val="28"/>
          <w:sz w:val="28"/>
          <w:szCs w:val="28"/>
          <w:rtl w:val="true"/>
          <w:lang w:bidi="fa-IR"/>
        </w:rPr>
        <w:t>، مع أنّ عدم الدلیل دلیل عدم الحکم عندنا، کما هو الحال فی سائر الأحکام الشرعیّة، فتأمّل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فساد المعاملة لا یحتاج إلی دلیل، بل الأصل الفساد، و إنّما المحتاج إلیه هو الصحّة، و دلیلها غالبا هو العمومات، أو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و لا بدّ أن تکون المعاملة فردا حقیقیّا للعام، فمجرّد إطلاق لفظه علیها لا یکفی، لأنّ الاستعمال أعمّ من الحقیقة، فلا بدّ من مراعاة أمارات الحقیقة، و أن یکون من الأفراد المتبادرة المتعارفة للعام إن کان الاستدلال من الإطلاقات، لانصرافها إلی الأفراد المتعارفة و الشائعة، بل و إن کان الاستدلال بالعمومات أیضا،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یکون الأمران بالنسبة إلی اصطلاح زمان الشارع و لسانه، و لو کان بکونه من أصالة العدم و البقاء، و ما ماثلها فی موضع یجری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بدّ أن تکون أیضا مستجمعة للشرائط الشرعیّة الثابتة المذکورة فی مواضعها، و أن تکون خالصة من الموانع الشرعیّة و الموانع العامّة، مثل معاملة ما لا نفع فیه أصلا و لا نفع منه نفعا معتدّا به عند العقلاء، أو یکون له نفع معتدّ به لکن بحیث یرتکب المعاملة لتحصیله </w:t>
      </w:r>
      <w:r>
        <w:rPr>
          <w:rStyle w:val="FootnoteAnchor"/>
          <w:rtl w:val="true"/>
        </w:rPr>
        <w:footnoteReference w:id="1029"/>
      </w:r>
      <w:r>
        <w:rPr>
          <w:rFonts w:ascii="IRNazanin" w:hAnsi="IRNazanin" w:eastAsia="IRNazanin"/>
          <w:color w:val="111111"/>
          <w:sz w:val="28"/>
          <w:sz w:val="28"/>
          <w:szCs w:val="28"/>
          <w:rtl w:val="true"/>
          <w:lang w:bidi="fa-IR"/>
        </w:rPr>
        <w:t>عند العقلاء، و الکلّ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حجّة فسادها أداء معاملتها إلی السفاهة، فیدخل فی عموم ما دلّ علی فساد معاملة السفیه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النهی عن بیع الغرر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معاملة الضرر،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 و غیره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الضرر علی النفس فهو داخل أیضا فی السفاهة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و مثل النهی عن بیع الحرام و شرائه، لما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حرّم علی قوم أکل شی‌ء حرم ثمنه</w:t>
      </w:r>
      <w:r>
        <w:rPr>
          <w:rFonts w:eastAsia="IRNazanin" w:cs="IRNazanin"/>
          <w:color w:val="111111"/>
          <w:sz w:val="28"/>
          <w:szCs w:val="28"/>
          <w:rtl w:val="true"/>
          <w:lang w:bidi="fa-IR"/>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أیضا،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الیهود، حرّم علیهم الشحوم فباعوها و أکلوا ثمنها</w:t>
      </w:r>
      <w:r>
        <w:rPr>
          <w:rFonts w:eastAsia="IRNazanin" w:cs="IRNazanin"/>
          <w:color w:val="111111"/>
          <w:sz w:val="28"/>
          <w:szCs w:val="28"/>
          <w:rtl w:val="true"/>
          <w:lang w:bidi="fa-IR"/>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أخبار الکتب الأربعة عنه صلّی اللّه علیه و آله فی الخمر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حرّم شربها حرّم ثمنها</w:t>
      </w:r>
      <w:r>
        <w:rPr>
          <w:rFonts w:eastAsia="IRNazanin" w:cs="IRNazanin"/>
          <w:color w:val="111111"/>
          <w:sz w:val="28"/>
          <w:szCs w:val="28"/>
          <w:rtl w:val="true"/>
          <w:lang w:bidi="fa-IR"/>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لعلّه یظهر من فحاوی أخبار أخر أیضا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ما له أهلیّة الأکل و الشرب إلّا أنّ الشارع حرّمها، فلا یشمل مثل التراب و غیره ممّا یحرم أکله و شربه و یصحّ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الموانع، النجاسة الّتی لا تقبل التطهیر إلّا الدهن للاستصباح،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المنع فی نجس العین هو الإجماع، و الاستقراء یؤیّده، و کذا دلیل المنع فیما لا یقبل التطهیر، و استثنی من ذلک الکلب و الکافر علی النحو الّذی سیذکر، و فی الموانع السابقة أیضا ربّما ادّعوا الإجماع، کما سیجی‌ء، و سیجی‌ء أیضا بعض الموانع الأخر و الموانع الخاصّة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مأمور به ممّا هو صلاح للعباد </w:t>
      </w:r>
      <w:r>
        <w:rPr>
          <w:rStyle w:val="FootnoteAnchor"/>
          <w:rtl w:val="true"/>
        </w:rPr>
        <w:footnoteReference w:id="1037"/>
      </w:r>
      <w:r>
        <w:rPr>
          <w:rFonts w:ascii="IRNazanin" w:hAnsi="IRNazanin" w:eastAsia="IRNazanin"/>
          <w:color w:val="111111"/>
          <w:sz w:val="28"/>
          <w:sz w:val="28"/>
          <w:szCs w:val="28"/>
          <w:rtl w:val="true"/>
          <w:lang w:bidi="fa-IR"/>
        </w:rPr>
        <w:t>و قوام لهم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أمورهم من وجوه الصلاح الّذی لا یقیمهم غیره، ممّا یأکلون و یشربون، و ینکحون، و یستعملون، فهذا کلّه حلال بیعه و شراؤه و هبته، و عاریته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أمر فیه الفساد ممّا قد نهی عنه من جهة أکله و شربه و لبسه و نکاحه و إمساکه لوجه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المیتة و الدم و لحم الخنزیر و الربا و جمیع الفواحش و لحوم السباع و الخمر و ما أشبه ذلک فحرام ضارّ للجسم و فساد للبدن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یرحمک اللّه، أنّ کلّما یستعمله </w:t>
      </w:r>
      <w:r>
        <w:rPr>
          <w:rStyle w:val="FootnoteAnchor"/>
          <w:rtl w:val="true"/>
        </w:rPr>
        <w:footnoteReference w:id="1040"/>
      </w:r>
      <w:r>
        <w:rPr>
          <w:rFonts w:ascii="IRNazanin" w:hAnsi="IRNazanin" w:eastAsia="IRNazanin"/>
          <w:color w:val="111111"/>
          <w:sz w:val="28"/>
          <w:sz w:val="28"/>
          <w:szCs w:val="28"/>
          <w:rtl w:val="true"/>
          <w:lang w:bidi="fa-IR"/>
        </w:rPr>
        <w:t xml:space="preserve">العباد من أصناف الصنائع مثل الکتابة و الحساب و التجارة و النجوم و الطبّ و سائر الصناعات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الهندسة، و التصاویر ما لیس فیه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الروحانیّین، و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صنوف الآلات الّتی یحتاج إلیها ممّا فیه منافع و قوام و معایش </w:t>
      </w:r>
      <w:r>
        <w:rPr>
          <w:rStyle w:val="FootnoteAnchor"/>
          <w:rtl w:val="true"/>
        </w:rPr>
        <w:footnoteReference w:id="1041"/>
      </w:r>
      <w:r>
        <w:rPr>
          <w:rFonts w:ascii="IRNazanin" w:hAnsi="IRNazanin" w:eastAsia="IRNazanin"/>
          <w:color w:val="111111"/>
          <w:sz w:val="28"/>
          <w:sz w:val="28"/>
          <w:szCs w:val="28"/>
          <w:rtl w:val="true"/>
          <w:lang w:bidi="fa-IR"/>
        </w:rPr>
        <w:t>، و طلب الکسب، فحلال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تعلیمه و العمل به، و أخذ الأجرة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قد تصرّف بها فی وجوه المعاصی أیضا مثل استعمال ما جعل للحلال، ثمَّ یصرف إلی أبواب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معاونة الظالم و غیر ذلک من أسباب المعاصی، مثل الإناء و الأقداح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 ذلک، و 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من المنافع جائز تعلیمه و عمله، و حرم علی من یصرفه إلی غیر وجوه الحقّ و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تعالی بها دون غیرها، اللّهم إلّا أن یکون صناعة محرّمة أو منهیّا عنها مثل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قال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فی المعاملات لا یقتضی الفساد، فکیف جعلته مانعا عن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بعض الفقهاء أنّه یقتضی الفساد مطلقا </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علی ما اختاره المشهور من عدم اقتضائه الفساد فإنّما یمنع الصحّة فی موضع یکون مثبت الصحّة منحصرا فی مثل قوله تعالی أَحَلَّ اللّٰهُ الْبَیْعَ </w:t>
      </w:r>
      <w:r>
        <w:rPr>
          <w:rStyle w:val="FootnoteAnchor"/>
          <w:rtl w:val="true"/>
        </w:rPr>
        <w:footnoteReference w:id="1044"/>
      </w:r>
      <w:r>
        <w:rPr>
          <w:rFonts w:ascii="Amiri" w:hAnsi="Amiri" w:eastAsia="Amiri" w:cs="Amiri"/>
          <w:color w:val="111111"/>
          <w:sz w:val="28"/>
          <w:sz w:val="28"/>
          <w:szCs w:val="28"/>
          <w:rtl w:val="true"/>
          <w:lang w:bidi="ar-SA"/>
        </w:rPr>
        <w:t xml:space="preserve">إِلّٰا أَنْ تَکُونَ تِجٰارَةً عَنْ تَرٰاضٍ </w:t>
      </w:r>
      <w:r>
        <w:rPr>
          <w:rStyle w:val="FootnoteAnchor"/>
          <w:rtl w:val="true"/>
        </w:rPr>
        <w:footnoteReference w:id="1045"/>
      </w:r>
      <w:r>
        <w:rPr>
          <w:rFonts w:ascii="Amiri" w:hAnsi="Amiri" w:eastAsia="Amiri" w:cs="Amiri"/>
          <w:color w:val="111111"/>
          <w:sz w:val="28"/>
          <w:sz w:val="28"/>
          <w:szCs w:val="28"/>
          <w:rtl w:val="true"/>
          <w:lang w:bidi="ar-SA"/>
        </w:rPr>
        <w:t xml:space="preserve">، أَوْفُوا بِالْعُقُودِ </w:t>
      </w:r>
      <w:r>
        <w:rPr>
          <w:rStyle w:val="FootnoteAnchor"/>
          <w:rtl w:val="true"/>
        </w:rPr>
        <w:footnoteReference w:id="1046"/>
      </w:r>
      <w:r>
        <w:rPr>
          <w:rFonts w:ascii="Amiri" w:hAnsi="Amiri" w:eastAsia="Amiri" w:cs="Amiri"/>
          <w:color w:val="111111"/>
          <w:sz w:val="28"/>
          <w:sz w:val="28"/>
          <w:szCs w:val="28"/>
          <w:rtl w:val="true"/>
          <w:lang w:bidi="ar-SA"/>
        </w:rPr>
        <w:t xml:space="preserve">، وَ أَوْفُوا بِالْعَهْدِ </w:t>
      </w:r>
      <w:r>
        <w:rPr>
          <w:rStyle w:val="FootnoteAnchor"/>
          <w:rtl w:val="true"/>
        </w:rPr>
        <w:footnoteReference w:id="10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المسلمون عند شروطهم</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 xml:space="preserve">، لأنّ الحرمة لا تجتمع مع الحلّیة، لکونهما متضادّین عند الشیعة و المعتزلة، بل عند الکلّ، و لذا یدّعی الأشعری أنّ متعلّق الأمر غیر متعلّق النهی فی الصلاة فی الدار المغصوبة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من المسلّمات التضادّ بین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الحرمة و وجوب الوفاء، الظاهر أیضا أنّهما متضادّان، مع أنّه إذا حصل الشکّ فی تضادّهما لا یمکن الحکم بالصحّة، لما عرفت من أنّ الأصل عدم الصحّة إلی أن یثبت الصحّة، و بمجرّد الاحتمال لا یثبت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إحلال البیع و وجوب الوفاء بالعهد کیف یدلّان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عبارة عن نقل الملک من الطرفین بعنوان اللزوم، فإذا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حصل ذلک </w:t>
      </w:r>
      <w:r>
        <w:rPr>
          <w:rStyle w:val="FootnoteAnchor"/>
          <w:rtl w:val="true"/>
        </w:rPr>
        <w:footnoteReference w:id="1050"/>
      </w:r>
      <w:r>
        <w:rPr>
          <w:rFonts w:ascii="IRNazanin" w:hAnsi="IRNazanin" w:eastAsia="IRNazanin"/>
          <w:color w:val="111111"/>
          <w:sz w:val="28"/>
          <w:sz w:val="28"/>
          <w:szCs w:val="28"/>
          <w:rtl w:val="true"/>
          <w:lang w:bidi="fa-IR"/>
        </w:rPr>
        <w:t>دلّ علی الرضا و الإمضاء و التقریر، و کذا الحال بالوفاء، لا لتضمّنه عقدا و اقتضائه، و قس علیها حال غیرها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الرسالة بعون اللّه، و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أورده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و عنه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 نص علیه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حکاه عنه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الأحوال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الأحوال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الأحوال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المستحسن مراجعة رسالة الاجتهاد و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للاطّلاع علی آثار هذا النوع من التفکّر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العلّامة محمّد باقر المجلسی،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فی شرح زبدة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نخبة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الرموز و 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موضّحا معنی اصطلاح المجدّد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الأحوال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 ولد الوحید المرحوم الآقا محمد علی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رحلت من الدنیا یا باقر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الأحوال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لم یأتوا فی هذا بشی‌ء مبین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للإیجی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شرح المقاصد للتفتازانی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بغیر علم و غیر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بغیر الحکم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التقلید،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الآیتین الکریمتین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إلّا حقّا و من الشارع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الرستاقی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المنسوب إلی الرستاق، و هو السواد و 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المحقّق الکرکی علی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مخطوطة محفوظة برقم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مکتبة المدرسة الفیضیّة بقم، 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الوافیة للفاضل التونی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مفاتیح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مفاتیح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لمزید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الغزّالی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ذکر ما یجب علی المقلّد مراعاته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یقلّده و إن مات، لأنّ مذهبه لم یرتفع بموته، و أجمع علماء الأصول علی أنّه لا یفعل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للوهم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البعید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ب، أمّا باقی النسخ ففیها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قول المعظم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هذه العبارة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العمل علیه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العمل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الأنسب ما أثبتناه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یکفی حین زواله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الوافیة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ظهر لک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الاحتجاج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التقلید،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ضمن الأصول الأصلیة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الخاتمة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مفاتیح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لمزید الاطلاع راجع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الأصولیّة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بالدلیل الشرعی فی الموافقة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العبارة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مقلّده خاصّة، لا للمجتهد الآخر و لا العامّی الّذی لا یعتقده، لعدم ظهور اجتهاده عنده، إذ اعتقاده فسقه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للاجتهاد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یتبرّؤون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الأدلّة الموافقة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العصر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یتمّ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الحجری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جامع بیان العلم و 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اجتهاد الرأی علی الأصول عند عدم النصوص</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فاللازم علیهم حینئذ الاحتیاط بعد تعدّد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فاللازم علیهم حینئذ بذل الجهد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تعدّد الأقوال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یعمل بما هو أحوط، لا أنّه یقلّد، هذا إذا کان یتأتّی الاحتیاط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ممّا فی المتن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بما هو أوثق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ب، و لم ترد فی النسخ الأخری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أربع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المعتبر شرعا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ظنّه الذی ثبت اعتباره شرعا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هی الّتی یقول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یرضی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اعتباره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من علم الأصول للغزالی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طلب العلم،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 وجوب طلبه،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بین المعنیین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هو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 ج، 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سیّما مع ما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سوی ما ورد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عمل بغیر علم،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العمل بغیر علم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الطاعة و التقوی،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نعنی بامتثال الأمر هو الإتیان بنفس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امتثال الأمر هو الإتیان بنفس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امتثال الأمر الإتیان بنفس المعرفة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ج،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التکلیف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 ج، د، 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اشتغال الذمّة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عبادته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مثوباتها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 ج، د، 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عبادتهما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العبادة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عباداته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 العمل 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 العمل و المعرفة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33401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الماهر فیه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درهم زیف،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 ب، ج،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فیکون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16861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ب،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عاتب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 ما هو فی الواقع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عارفا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الجاهل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 ما من مسلم إلّا و یعلم مجملا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ج،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کلّ مسلم یعلم مجملا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من سلم یعلم إجمالا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المرشدین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عبادته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ج،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التشریع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 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للآمدی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13668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20567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20600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یعدّ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بالإجماع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33401</w:t>
      </w:r>
      <w:r>
        <w:rPr>
          <w:rFonts w:ascii="IRNazanin" w:hAnsi="IRNazanin" w:eastAsia="IRNazanin"/>
          <w:b w:val="false"/>
          <w:b w:val="false"/>
          <w:bCs w:val="false"/>
          <w:i w:val="false"/>
          <w:i w:val="false"/>
          <w:iCs w:val="false"/>
          <w:color w:val="333333"/>
          <w:sz w:val="20"/>
          <w:sz w:val="20"/>
          <w:szCs w:val="20"/>
          <w:rtl w:val="true"/>
        </w:rPr>
        <w:t>، و قد مرّت الإشارة إلیه آنفا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الوعّاظ</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 ج،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ینهون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د،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التکلیف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یوجد مجتهد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یأخذون من مجتهد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الوافیة فی أصول الفقه للفاضل التونی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مخالفة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الأصل الکلّی ثبت بدلیل إذا کان حجّة شرعیّة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یجب الطهارة و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فیهما مع الغلیان خلاف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31933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النبیذ</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32064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و العلّامة، لا حظ الهامشین السابقین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بأن یکون مراده الشهرة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فی موضع آخر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التمری قولان، و کذا الزبیبی، و الأصح عدم التحریم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دلیل لهم سواه قیاس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أردت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علی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حیث 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موثّق صریح فی التحریم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31932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31943</w:t>
      </w:r>
      <w:r>
        <w:rPr>
          <w:rFonts w:ascii="IRNazanin" w:hAnsi="IRNazanin" w:eastAsia="IRNazanin"/>
          <w:b w:val="false"/>
          <w:b w:val="false"/>
          <w:bCs w:val="false"/>
          <w:i w:val="false"/>
          <w:i w:val="false"/>
          <w:iCs w:val="false"/>
          <w:color w:val="333333"/>
          <w:sz w:val="20"/>
          <w:sz w:val="20"/>
          <w:szCs w:val="20"/>
          <w:rtl w:val="true"/>
        </w:rPr>
        <w:t>، و سیأتی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إلی دلالته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32160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ماء، فأغله حتّی یذهب ثلثا ماء التمر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33356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33381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یوثق به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یزعم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یوثق به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ورعا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31942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الأحکام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مولی حرّ بن 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وسائل الشیعة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جریر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علیه السّلام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أدفعها إلیهم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32179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الحدیثان </w:t>
      </w:r>
      <w:r>
        <w:rPr>
          <w:rFonts w:eastAsia="IRNazanin" w:cs="IRNazanin"/>
          <w:b w:val="false"/>
          <w:bCs w:val="false"/>
          <w:i w:val="false"/>
          <w:iCs w:val="false"/>
          <w:color w:val="333333"/>
          <w:sz w:val="20"/>
          <w:szCs w:val="20"/>
        </w:rPr>
        <w:t>31930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32174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لعرض الوقوع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و لعرض الوقوع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لکننا قدّرنا العبارة کما فی المتن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ببعض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أبو الحسن سلیمان بن عبد اللّه البحرانی، و رسالته غیر متوفّرة لدینا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32091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31941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کان یصف ما تصفون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النرسی و زید الزرّاد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أمّا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20676</w:t>
      </w:r>
      <w:r>
        <w:rPr>
          <w:rFonts w:ascii="IRNazanin" w:hAnsi="IRNazanin" w:eastAsia="IRNazanin"/>
          <w:b w:val="false"/>
          <w:b w:val="false"/>
          <w:bCs w:val="false"/>
          <w:i w:val="false"/>
          <w:i w:val="false"/>
          <w:iCs w:val="false"/>
          <w:color w:val="333333"/>
          <w:sz w:val="20"/>
          <w:sz w:val="20"/>
          <w:szCs w:val="20"/>
          <w:rtl w:val="true"/>
        </w:rPr>
        <w:t>، فمتن الحدیث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أبو عبد اللّه علیه السّلام عن الزبیب یدقّ و یلقی فی القدر، ثمَّ یصبّ علیه الماء و یوقد تحته،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تأکله حتّی یذهب الثلثان و یبقی الثلث، فإنّ النار قد أصابته،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فالزبیب کما هو یلقی فی القدر و یصبّ علیه الماء، ثمَّ یطبخ و یصفّی عنه الماء،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هو سواء، إذا أدّت الحلاوة إلی الماء فصار حلوا بمنزلة العصیر ثمَّ نشّ من غیر أن تصیبه النار فقد حرم، و کذلک إذا أصابته النار فأغلاه فقد فسد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یروونه رووه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علی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المخصّص</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بأخبار کثیرة له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الأصولیّة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فقد ذکر المؤلّف رحمه اللّه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رسالة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أمثلة کثیرة لفتاوی غیر ظاهرة المأخذ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فی مقدّمة المهذّب لابن البرّاج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سیّدنا آیة اللّه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فی الفقه الإمامی فتاوی مسلّمة تلقّاها الأصحاب قدیما و حدیثا بالقبول ینوف عددها علی تسعین مسألة لیس لها دلیل إلّا الشهرة الفتوائیّة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المؤسف جدّا أنّه قدّس سرّه لم یعیّن موارد هذه الفتاوی و لم یسمّها، غیر أنّ المظنون أنّ قسما وافرا منها یرجع إلی باب المواریث و الفرائض، ففی ذلک الباب فتاوی لیس لها دلیل إلّا الشهرة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تصفّحت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الکتب الاستدلال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ذهب یعضّ علیه جذبته حوّاء من فیه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فحرمت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اختلاف یسیر بالألفاظ</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غیر أن تمسّه النار فیصیر أسفله أعلاه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ثمَّ یختمر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ببعض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أبو الحسن سلیمان بن عبد اللّه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شبهة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لهذا الاستدلال وجها، و کذا کلام صاحب القاموس</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الأصل و الحمل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31896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32106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32064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32106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31896</w:t>
      </w:r>
      <w:r>
        <w:rPr>
          <w:rFonts w:ascii="IRNazanin" w:hAnsi="IRNazanin" w:eastAsia="IRNazanin"/>
          <w:b w:val="false"/>
          <w:b w:val="false"/>
          <w:bCs w:val="false"/>
          <w:i w:val="false"/>
          <w:i w:val="false"/>
          <w:iCs w:val="false"/>
          <w:color w:val="333333"/>
          <w:sz w:val="20"/>
          <w:sz w:val="20"/>
          <w:szCs w:val="20"/>
          <w:rtl w:val="true"/>
        </w:rPr>
        <w:t>، و هی الّتی سماّها المصنّف قدّس سرّه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أیّوب بن راشد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لأبی عبد اللّه علیه السلام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أصفه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إنّما وردت فی مکان سابق من هذا الحدیث</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تقربه و لا تشربه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32064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بی أریاح</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32083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ما یجوز شربه من الأنبذة و ما لا یجوز</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32106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حکمتهم من أولی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شرح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بمجرّد هذا الجواب کما یقنعون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الصحیح ما أثبتناه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یفسخ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عنه هو المسکر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الصحیح ما أثبتناه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الحدیثین </w:t>
      </w:r>
      <w:r>
        <w:rPr>
          <w:rFonts w:eastAsia="IRNazanin" w:cs="IRNazanin"/>
          <w:b w:val="false"/>
          <w:bCs w:val="false"/>
          <w:i w:val="false"/>
          <w:iCs w:val="false"/>
          <w:color w:val="333333"/>
          <w:sz w:val="20"/>
          <w:szCs w:val="20"/>
        </w:rPr>
        <w:t>32180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یفتح علی الناس بأن یشرب المسکر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الثوب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31973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31978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الحدیثین </w:t>
      </w:r>
      <w:r>
        <w:rPr>
          <w:rFonts w:eastAsia="IRNazanin" w:cs="IRNazanin"/>
          <w:b w:val="false"/>
          <w:bCs w:val="false"/>
          <w:i w:val="false"/>
          <w:iCs w:val="false"/>
          <w:color w:val="333333"/>
          <w:sz w:val="20"/>
          <w:szCs w:val="20"/>
        </w:rPr>
        <w:t>31976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31977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حذّر المعین للشارب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الحدیثین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قول الشیخ أبی الحسن سلیمان بن عبد اللّه البحرانی، و رسالته غیر متوفّرة لدینا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مضمونها أن سئل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الصحیح ما أثبتناه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الحدود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 قبل أن یکون خمرا فهو حلال فلا بأس</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للسیّد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عدم شرب ما حدا و مکثه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ما أثبتناه هو المراد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عروض السکران إن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31930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32066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32108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تشربه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31937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عندکم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جزما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الواشبی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فی المتن أثبتناه من المصدر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32080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32184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34649</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اتی بشارب الخمر و استقرأه القرآن فقرأ، فأخذ رداءه فألقاه مع أردیة الناس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خلّص رداءک، فلم یخلّصه، فحدّه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نهایة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بلغ الحدّ الّذی یوجب الحدّ فهو سکران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سکران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ملطخ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سکران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سکران 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فی المتن أثبتناه من المصدر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و سرّ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و سرّ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یتزاید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بتمامه و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الصحیح ما أثبتناه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المذاق من الماهرین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المذاق الماهرین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الصحیح ما أثبتناه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ذکرت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فقدّرنا أنّها کما فی المتن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31915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32062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32070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32068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أن أکثر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القوة و أما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فی المتن هو الموافق للمصادر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الشیخ أبی الحسن سلیمان بن عبد اللّه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متوفّرة لدینا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فی کتب الشیخ علی نقل إجماع الشیعة علی العمل بروایته، نعم، قال فی 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فلأجل ما قلناه عملت الطائفة بأخبار الفطحیّة،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بکیر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بهذا و شبهه استدلّ العلماء علی وثاقة عمّار و غیره من الفطحیّة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بشرح النووی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السنن الکبری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التمر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لکنّا قدرنا أن الأنسب بالعبارة هو ما ذکرناه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ما ذکرت مسکر مهلا ذکرت أولا بأنّه مسکر و استغلب بهذا التطویل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ما یریده المصنّف هو ما ذکرناه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لذلک 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الصحیح ما أثبتناه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 ممّا مسّت النار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قول الشیخ أبی الحسن سلیمان بن عبد اللّه البحرانی، و رسالته غیر متوفّرة لدینا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تهذیب الأحکام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مولی حرّ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وسائل الشیعة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مولی جریر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علیه السلام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صنعتها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32179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شراب المیتة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الصحیح ما أثبتناه،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32140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أنّ المراد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طیّ أدلّتنا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32178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32030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31217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ربّما 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فی المتن موافق لما فی وسائل الشیعة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یجعل فی القدر من العصیر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31928</w:t>
      </w:r>
      <w:r>
        <w:rPr>
          <w:rFonts w:ascii="IRNazanin" w:hAnsi="IRNazanin" w:eastAsia="IRNazanin"/>
          <w:b w:val="false"/>
          <w:b w:val="false"/>
          <w:bCs w:val="false"/>
          <w:i w:val="false"/>
          <w:i w:val="false"/>
          <w:iCs w:val="false"/>
          <w:color w:val="333333"/>
          <w:sz w:val="20"/>
          <w:sz w:val="20"/>
          <w:szCs w:val="20"/>
          <w:rtl w:val="true"/>
        </w:rPr>
        <w:t>، و ما بین المعقوفتین أثبتناه من المصدر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یدّعی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 أنّ الراد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کونه منهما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من أبواب أحکام شهر رمضان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أنّه واحد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بإیجاد نفیه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مظانّه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13351</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الیقین لا یدخل فیه الشکّ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13340</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13339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13365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رئی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13413</w:t>
      </w:r>
      <w:r>
        <w:rPr>
          <w:rFonts w:ascii="IRNazanin" w:hAnsi="IRNazanin" w:eastAsia="IRNazanin"/>
          <w:b w:val="false"/>
          <w:b w:val="false"/>
          <w:bCs w:val="false"/>
          <w:i w:val="false"/>
          <w:i w:val="false"/>
          <w:iCs w:val="false"/>
          <w:color w:val="333333"/>
          <w:sz w:val="20"/>
          <w:sz w:val="20"/>
          <w:szCs w:val="20"/>
          <w:rtl w:val="true"/>
        </w:rPr>
        <w:t>، و ما بین المعقوفین أثبتناه من المصدر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10585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مطلوبه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ب، ج ساقطة، و الظاهر أنّ الصواب ما أثبتناه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وسط النهار أو آخره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ب العبارة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 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ب العبارة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 معطوف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و قرینة، للظهور، فالنشر مرتّب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بعد الزوال و آخره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جهة الأخبار، و لا من جهة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الغنم السائمة الزکاة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یشترط ذلک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 ب، و قد ورد فی حاشیتها الملاحظة التالیة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هذین الخبرین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لأمثالهما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المطّلع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فصّل بلیل بالزوال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صومک صحیحا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لصحّته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ج لم ترد العبارتان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ج</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13369</w:t>
      </w:r>
      <w:r>
        <w:rPr>
          <w:rFonts w:ascii="IRNazanin" w:hAnsi="IRNazanin" w:eastAsia="IRNazanin"/>
          <w:b w:val="false"/>
          <w:b w:val="false"/>
          <w:bCs w:val="false"/>
          <w:i w:val="false"/>
          <w:i w:val="false"/>
          <w:iCs w:val="false"/>
          <w:color w:val="333333"/>
          <w:sz w:val="20"/>
          <w:sz w:val="20"/>
          <w:szCs w:val="20"/>
          <w:rtl w:val="true"/>
        </w:rPr>
        <w:t>، و ما بین المعقوفین أثبتناه من المصدر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13378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کانت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کانت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تهذیب الأحکام و وسائل الشیعة، أمّا 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صاحیة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13464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تسعا و عشرین 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وسائل الشیعة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تسعا و عشرین یوما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13462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9766</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یوم الفطر و لا یوم الأضحی أذان و لا إقامة، أذانهما طلوع الشمس</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13415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یرونها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یر فیها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فی المتن أثبتناه من المصدر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13421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تنقض الیقین أبدا بالشکّ، و إنّما تنقضه بیقین آخر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الإشارة إلیها آنفا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آل عمران</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غیرها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 الجهل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الزوال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أورد فی حاشیة ب ما أثبتناه فی المتن و أشار له بکلمة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هو الصواب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العبارة ساقطة من ب، ج و لعل الصواب ما أثبتناه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یقاوم غیر الضعف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13354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13354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13354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13420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13419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ربّ العالمین، تمّت الرسالة بعون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یرد ما بعد هذه العبارة فی هاتین النسختین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13413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13411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ظاهر أنّ رؤیة قبل الزوال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هو مستند المشهور، لا هذه الأخبار و موافق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یبدو أنّ ما أثبتناه هو الأصوب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إلیه أحکامهم أمیل و قضاؤهم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یکفی المعارضة مع أدلّة المشهور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11455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14164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مظانّه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الحقّین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 شواهد الکتاب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کونها مشهورا بین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خصومهم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33355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13421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الرؤیة الحقیقة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13413</w:t>
      </w:r>
      <w:r>
        <w:rPr>
          <w:rFonts w:ascii="IRNazanin" w:hAnsi="IRNazanin" w:eastAsia="IRNazanin"/>
          <w:b w:val="false"/>
          <w:b w:val="false"/>
          <w:bCs w:val="false"/>
          <w:i w:val="false"/>
          <w:i w:val="false"/>
          <w:iCs w:val="false"/>
          <w:color w:val="333333"/>
          <w:sz w:val="20"/>
          <w:sz w:val="20"/>
          <w:szCs w:val="20"/>
          <w:rtl w:val="true"/>
        </w:rPr>
        <w:t>، و قد مرّت الإشارة إلیه آنفا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10584</w:t>
      </w:r>
      <w:r>
        <w:rPr>
          <w:rFonts w:ascii="IRNazanin" w:hAnsi="IRNazanin" w:eastAsia="IRNazanin"/>
          <w:b w:val="false"/>
          <w:b w:val="false"/>
          <w:bCs w:val="false"/>
          <w:i w:val="false"/>
          <w:i w:val="false"/>
          <w:iCs w:val="false"/>
          <w:color w:val="333333"/>
          <w:sz w:val="20"/>
          <w:sz w:val="20"/>
          <w:szCs w:val="20"/>
          <w:rtl w:val="true"/>
        </w:rPr>
        <w:t>، و هو منقول بالمعنی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زوال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داخلة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13410</w:t>
      </w:r>
      <w:r>
        <w:rPr>
          <w:rFonts w:ascii="IRNazanin" w:hAnsi="IRNazanin" w:eastAsia="IRNazanin"/>
          <w:b w:val="false"/>
          <w:b w:val="false"/>
          <w:bCs w:val="false"/>
          <w:i w:val="false"/>
          <w:i w:val="false"/>
          <w:iCs w:val="false"/>
          <w:color w:val="333333"/>
          <w:sz w:val="20"/>
          <w:sz w:val="20"/>
          <w:szCs w:val="20"/>
          <w:rtl w:val="true"/>
        </w:rPr>
        <w:t>، و قد مرّت الإشارة إلیها آنفا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13412</w:t>
      </w:r>
      <w:r>
        <w:rPr>
          <w:rFonts w:ascii="IRNazanin" w:hAnsi="IRNazanin" w:eastAsia="IRNazanin"/>
          <w:b w:val="false"/>
          <w:b w:val="false"/>
          <w:bCs w:val="false"/>
          <w:i w:val="false"/>
          <w:i w:val="false"/>
          <w:iCs w:val="false"/>
          <w:color w:val="333333"/>
          <w:sz w:val="20"/>
          <w:sz w:val="20"/>
          <w:szCs w:val="20"/>
          <w:rtl w:val="true"/>
        </w:rPr>
        <w:t>، و قد مرّت الإشارة إلیها آنفا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الکلمة غیر منقّطة و غیر مشخّصة المعالم فی الأصل، فرأینا أنّ الأنسب للمعنی و الأقرب لرسمها هو هذا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ضروریّات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 فی شرح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الضمیر لها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یحتاج إلی و جدول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الحصر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مدلولا الروایة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الحدیثان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لا حظ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المکروه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محرّمة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الحقیقی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فی المتن أثبتناه من المصدر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الحدیثان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الحدیثان </w:t>
      </w:r>
      <w:r>
        <w:rPr>
          <w:rFonts w:eastAsia="IRNazanin" w:cs="IRNazanin"/>
          <w:b w:val="false"/>
          <w:bCs w:val="false"/>
          <w:i w:val="false"/>
          <w:iCs w:val="false"/>
          <w:color w:val="333333"/>
          <w:sz w:val="20"/>
          <w:szCs w:val="20"/>
        </w:rPr>
        <w:t>13221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تدلّ علیه صحیحة سلیمان الجعفری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لزیادة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مستند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مستمسک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13219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الحدیثان </w:t>
      </w:r>
      <w:r>
        <w:rPr>
          <w:rFonts w:eastAsia="IRNazanin" w:cs="IRNazanin"/>
          <w:b w:val="false"/>
          <w:bCs w:val="false"/>
          <w:i w:val="false"/>
          <w:iCs w:val="false"/>
          <w:color w:val="333333"/>
          <w:sz w:val="20"/>
          <w:szCs w:val="20"/>
        </w:rPr>
        <w:t>13150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13151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ثواب الصائم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مظانّه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الأصولیّة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یحرم بالنسب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25068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25068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25059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حرّم اللّه أربعة و ثلاثون وجها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إیصالها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26206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12683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یجتمعون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 بدایة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من نقل هذا الأمر بعد الفحص التام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 قد مرّ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علّة المنع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26206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حملها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مدارک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مظانّه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أر عاملا به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کل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الحدیثان </w:t>
      </w:r>
      <w:r>
        <w:rPr>
          <w:rFonts w:eastAsia="IRNazanin" w:cs="IRNazanin"/>
          <w:b w:val="false"/>
          <w:bCs w:val="false"/>
          <w:i w:val="false"/>
          <w:iCs w:val="false"/>
          <w:color w:val="333333"/>
          <w:sz w:val="20"/>
          <w:szCs w:val="20"/>
        </w:rPr>
        <w:t>33345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33346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25725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25699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25572</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الفرج، و أمر الفرج شدید، و منه یکون الولد، و نحن نحتاط</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26206</w:t>
      </w:r>
      <w:r>
        <w:rPr>
          <w:rFonts w:ascii="IRNazanin" w:hAnsi="IRNazanin" w:eastAsia="IRNazanin"/>
          <w:b w:val="false"/>
          <w:b w:val="false"/>
          <w:bCs w:val="false"/>
          <w:i w:val="false"/>
          <w:i w:val="false"/>
          <w:iCs w:val="false"/>
          <w:color w:val="333333"/>
          <w:sz w:val="20"/>
          <w:sz w:val="20"/>
          <w:szCs w:val="20"/>
          <w:rtl w:val="true"/>
        </w:rPr>
        <w:t>، مع اختلاف فی الألفاظ، و قد سبقت الإشارة إلی مصادره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بالرضاع</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الثلاثون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12678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12690</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القینة هی الأمة المغنّیة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إیثار طعامهم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التاسع و العشرون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علی کلّ حقّ حقیقة، و علی کلّ صواب نورا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علیکم بالدرایات لا بالروایات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26206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مع اختلاف یسیر فی الألفاظ</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من فعل ذلک بعد التسلیم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8564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للسیّد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فیما ذکرنا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حیث صحّح العلّامة رحمه اللّه طریق الصدوق إلی إسماعیل بن رباح الکوفی و هو فیه، إذ أنّ الصدوق رحمه اللّه ذکر فی مشیخة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فیه عن إسماعیل بن رباح، فقد رویته عن محمد بن علی ماجیلویه رضی اللّه عنه، عن أبیه، عن أحمد بن أبی عبد اللّه البرقی، عن أبیه، عن محمد بن أبی عمیر، عن إسماعیل بن رباح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مشیخة الفقیه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 قد مرّ فی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یذکر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تردّدت فی شی‌ء أنا فاعله مثل تردّدی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تضمّنت بمثله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الصحیح ما أثبتناه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غیرها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غیر الخصال ما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یجز له أن یدخل یده فی الإناء</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نجعلهما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بمضمونها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 ما بین المعقوفین أثبتناه من المصدر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عبد اللّه التستری،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یعلم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واححه أیة؟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تنقیط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الصواب ما أثبتناه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 أنّ المراد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الحدیث الّذی رواه الشیخ هنا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تعلیقات علی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 یوجد فراغ یستوعب کلمة بدلا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نحن أثبتناها بملاحظة المصدر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الأصولیّة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أنّه لو کان کلّ من لم یروی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مراد المصنّف رحمه اللّه هو ما أثبتناه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ذکر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33343</w:t>
      </w:r>
      <w:r>
        <w:rPr>
          <w:rFonts w:ascii="IRNazanin" w:hAnsi="IRNazanin" w:eastAsia="IRNazanin"/>
          <w:b w:val="false"/>
          <w:b w:val="false"/>
          <w:bCs w:val="false"/>
          <w:i w:val="false"/>
          <w:i w:val="false"/>
          <w:iCs w:val="false"/>
          <w:color w:val="333333"/>
          <w:sz w:val="20"/>
          <w:sz w:val="20"/>
          <w:szCs w:val="20"/>
          <w:rtl w:val="true"/>
        </w:rPr>
        <w:t>، و هو منقول بالمعنی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یحملک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قطعة من أصحاب أبی جعفر علیه السّلام و وجدت أصحاب أبی عبد اللّه علیه السّلام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فعرضتها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أحادیث أبی عبد اللّه علیه السّلام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أبا الخطّاب کذب علی أبی عبد اللّه علیه السّلام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کتب أصحاب أبی عبد اللّه علیه السّلام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أتاکم من یحدّثکم بخلاف ذلک فردّوه علیه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 ما بین المعقوفتین أثبتناه من المصدر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33345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الأصل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إنّما أثبتناها اعتمادا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قول رسول اللّه صلّی اللّه علیه و آله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33344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هاتان الکلمتان لیستا واضحتین فی النسخ الخطّیة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یونس بن عبد الرحمن آنف الذکر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33351</w:t>
      </w:r>
      <w:r>
        <w:rPr>
          <w:rFonts w:ascii="IRNazanin" w:hAnsi="IRNazanin" w:eastAsia="IRNazanin"/>
          <w:b w:val="false"/>
          <w:b w:val="false"/>
          <w:bCs w:val="false"/>
          <w:i w:val="false"/>
          <w:i w:val="false"/>
          <w:iCs w:val="false"/>
          <w:color w:val="333333"/>
          <w:sz w:val="20"/>
          <w:sz w:val="20"/>
          <w:szCs w:val="20"/>
          <w:rtl w:val="true"/>
        </w:rPr>
        <w:t>، و غیرهما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للمحقّق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احتجّها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ما أثبتناه هو الأنسب بالعبارة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نسبتهم الإجماع إلی الخطأ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33348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فیها وَ مَنْ لَمْ یَحْکُمْ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33155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الأصولیّة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مفاتیح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و قد مرّت الإشارة إلیه آنفا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مصابیح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33381</w:t>
      </w:r>
      <w:r>
        <w:rPr>
          <w:rFonts w:ascii="IRNazanin" w:hAnsi="IRNazanin" w:eastAsia="IRNazanin"/>
          <w:b w:val="false"/>
          <w:b w:val="false"/>
          <w:bCs w:val="false"/>
          <w:i w:val="false"/>
          <w:i w:val="false"/>
          <w:iCs w:val="false"/>
          <w:color w:val="333333"/>
          <w:sz w:val="20"/>
          <w:sz w:val="20"/>
          <w:szCs w:val="20"/>
          <w:rtl w:val="true"/>
        </w:rPr>
        <w:t>، و الحدیث منقول بالمعنی</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لها مورد حقیقة و أیّ مورد أیّ 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 إذ هو المناسب لما فی الحدیث</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33343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علیکم بالدرایات لا بالروایات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33374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للغزّالی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المحصول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الاحتجاج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و هو منقول بالمعنی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و هو منقول بالمعنی</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ما 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33155</w:t>
      </w:r>
      <w:r>
        <w:rPr>
          <w:rFonts w:ascii="IRNazanin" w:hAnsi="IRNazanin" w:eastAsia="IRNazanin"/>
          <w:b w:val="false"/>
          <w:b w:val="false"/>
          <w:bCs w:val="false"/>
          <w:i w:val="false"/>
          <w:i w:val="false"/>
          <w:iCs w:val="false"/>
          <w:color w:val="333333"/>
          <w:sz w:val="20"/>
          <w:sz w:val="20"/>
          <w:szCs w:val="20"/>
          <w:rtl w:val="true"/>
        </w:rPr>
        <w:t>، و قد سبقت الإشارة إلیه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النوادر لأحمد بن محمّد بن عیسی الأشعری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26359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المصنّف من عدم محرمیّة أمّ الزوجة هی الّتی لم یدخل بابنتها، لا مطلقا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الحدیثان </w:t>
      </w:r>
      <w:r>
        <w:rPr>
          <w:rFonts w:eastAsia="IRNazanin" w:cs="IRNazanin"/>
          <w:b w:val="false"/>
          <w:bCs w:val="false"/>
          <w:i w:val="false"/>
          <w:iCs w:val="false"/>
          <w:color w:val="333333"/>
          <w:sz w:val="20"/>
          <w:szCs w:val="20"/>
        </w:rPr>
        <w:t>26097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الحدیثان </w:t>
      </w:r>
      <w:r>
        <w:rPr>
          <w:rFonts w:eastAsia="IRNazanin" w:cs="IRNazanin"/>
          <w:b w:val="false"/>
          <w:bCs w:val="false"/>
          <w:i w:val="false"/>
          <w:iCs w:val="false"/>
          <w:color w:val="333333"/>
          <w:sz w:val="20"/>
          <w:szCs w:val="20"/>
        </w:rPr>
        <w:t>26101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26102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ببعض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الشیخ أبو الحسن سلیمان بن عبد اللّه البحرانی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فراغ یستوعب کلمة واحدة، فقدّرناها کما هی علیه فی المتن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فراغ یستوعب کلمة واحدة، فقدرناها کذلک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ترک اللازم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وطئ رجل الحائض من زوجته و لا 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و قد مرّت الإشارة إلیه فی الصفحة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أنّ المراد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تطلّق</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 هو منقول بالمعنی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الوافیة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ما نقول به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یثبت الولایة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للنصوص</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 و أولیاء العقد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یحتمل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عقد جری</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الحدیثین </w:t>
      </w:r>
      <w:r>
        <w:rPr>
          <w:rFonts w:eastAsia="IRNazanin" w:cs="IRNazanin"/>
          <w:b w:val="false"/>
          <w:bCs w:val="false"/>
          <w:i w:val="false"/>
          <w:iCs w:val="false"/>
          <w:color w:val="333333"/>
          <w:sz w:val="20"/>
          <w:szCs w:val="20"/>
        </w:rPr>
        <w:t>26535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26536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بمستأمرة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التملیک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التسلیم إن کان ظاهرها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الشارع حکمه و کذلک حکم الفعلیّة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 و أولیاء العقد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و آدابه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الحدیثین </w:t>
      </w:r>
      <w:r>
        <w:rPr>
          <w:rFonts w:eastAsia="IRNazanin" w:cs="IRNazanin"/>
          <w:b w:val="false"/>
          <w:bCs w:val="false"/>
          <w:i w:val="false"/>
          <w:iCs w:val="false"/>
          <w:color w:val="333333"/>
          <w:sz w:val="20"/>
          <w:szCs w:val="20"/>
        </w:rPr>
        <w:t>23281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23288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23284</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23286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أراد اللّه بقوم هلاکا ظهر فیهم الربا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22794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الحدیثین </w:t>
      </w:r>
      <w:r>
        <w:rPr>
          <w:rFonts w:eastAsia="IRNazanin" w:cs="IRNazanin"/>
          <w:b w:val="false"/>
          <w:bCs w:val="false"/>
          <w:i w:val="false"/>
          <w:iCs w:val="false"/>
          <w:color w:val="333333"/>
          <w:sz w:val="20"/>
          <w:szCs w:val="20"/>
        </w:rPr>
        <w:t>23272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23280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23838</w:t>
      </w:r>
      <w:r>
        <w:rPr>
          <w:rFonts w:ascii="IRNazanin" w:hAnsi="IRNazanin" w:eastAsia="IRNazanin"/>
          <w:b w:val="false"/>
          <w:b w:val="false"/>
          <w:bCs w:val="false"/>
          <w:i w:val="false"/>
          <w:i w:val="false"/>
          <w:iCs w:val="false"/>
          <w:color w:val="333333"/>
          <w:sz w:val="20"/>
          <w:sz w:val="20"/>
          <w:szCs w:val="20"/>
          <w:rtl w:val="true"/>
        </w:rPr>
        <w:t xml:space="preserve">، و ستأتی فی الصفحتین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ممّا یدلّ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الصفحة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یکون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32190</w:t>
      </w:r>
      <w:r>
        <w:rPr>
          <w:rFonts w:ascii="IRNazanin" w:hAnsi="IRNazanin" w:eastAsia="IRNazanin"/>
          <w:b w:val="false"/>
          <w:b w:val="false"/>
          <w:bCs w:val="false"/>
          <w:i w:val="false"/>
          <w:i w:val="false"/>
          <w:iCs w:val="false"/>
          <w:color w:val="333333"/>
          <w:sz w:val="20"/>
          <w:sz w:val="20"/>
          <w:szCs w:val="20"/>
          <w:rtl w:val="true"/>
        </w:rPr>
        <w:t>، و هو نقل للحدیث بالمعنی، حیث ورد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یحلّ مال امرئ مسلم إلّا عن طیب نفسه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لذا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کالتصریح</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الصفحتین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المنافع</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علیک ردّ عوضه، أو خذه بمثله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کان ربویّا أم لا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بیعا أو إجارة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فیه أنّه نسب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23840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یشتری</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23464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23465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23469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23844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التهذیب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قضانیها مائة درهم وزنا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قضانیها مائة وزنا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23463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23389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أمّتی ستفتن من بعدی، فتتأوّل القرآن، و تعمل بالرأی، و تستحلّ الخمر بالنبیذ، و السحت بالهدیّة، و الربا بالبیع، و تحرّف الکتاب عن مواضعه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بطرق العامّة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23833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23838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15745</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الکبری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18060</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23463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23469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ضمن المعجم المفهرس الألفاظ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أن یسمع الاسم و لا یوجد الرسم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23830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حقارة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أنت إذا ظهر الجور و أورثهم الذلّ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وسائل الشیعة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بقیت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تشتره منه ردّه علیک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23095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رضیا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23094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أنّک 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ما عرفت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23840</w:t>
      </w:r>
      <w:r>
        <w:rPr>
          <w:rFonts w:ascii="IRNazanin" w:hAnsi="IRNazanin" w:eastAsia="IRNazanin"/>
          <w:b w:val="false"/>
          <w:b w:val="false"/>
          <w:bCs w:val="false"/>
          <w:i w:val="false"/>
          <w:i w:val="false"/>
          <w:iCs w:val="false"/>
          <w:color w:val="333333"/>
          <w:sz w:val="20"/>
          <w:sz w:val="20"/>
          <w:szCs w:val="20"/>
          <w:rtl w:val="true"/>
        </w:rPr>
        <w:t xml:space="preserve">، و قد مرّ ذکره فی الصفحة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أین هذا من حیلکم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أبیعها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فی المتن أثبتناه من المصدر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23125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23126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23131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دراهم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23128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23127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أبیعه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23129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33455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الحدیثین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حزازات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25860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الحدیثین </w:t>
      </w:r>
      <w:r>
        <w:rPr>
          <w:rFonts w:eastAsia="IRNazanin" w:cs="IRNazanin"/>
          <w:b w:val="false"/>
          <w:bCs w:val="false"/>
          <w:i w:val="false"/>
          <w:iCs w:val="false"/>
          <w:color w:val="333333"/>
          <w:sz w:val="20"/>
          <w:szCs w:val="20"/>
        </w:rPr>
        <w:t>25897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25899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فأقرضها تسعین و أبیعها ثوب و شی‌ء</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و قد مرّت الإشارة إلیه آنفا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بسبب شرط المقرض الّذی یرید أن یعطی ربح معاملة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توضیح معناه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یقرضون خمسة توأمین، و یبیعون مندیلا قیمته خمسون دینارا بتومان واحد، و المستقرض یأخذ خمسة توأمین و یکتبون هذا العقد فی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 المعاهدة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باحتساب سعر المندیل ستّة توأمین، هذا جیّد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أقرضک خمسة توأمین بشرط أن تشتری مندیلی بتومان واحد و قبل، فیکون ربا حکمیا و هو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إن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أقرضک تومانا واحدا بشرط أن تصالحنی علی منافع الملک الفلانی بعشرة دنانیر و قبل، فهو أیضا حرام، لأنّه ربا حکمی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صالحتک علی منافع الملک الفلانی سنة واحدة بعشرة دنانیر بشرط أن تقرضنی تومانا واحدا و أجله سنة واحدة، و قبل و أقرضه بدون أی شرط فهو جید لا بأس به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جمیع فقهائنا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المقدّس الأردبیلی رحمه اللّه بحرمة جمیع الحیل المذکورة فی الفقه إلّا للمضطرّ، و استظهره من کلام التذکرة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23131</w:t>
      </w:r>
      <w:r>
        <w:rPr>
          <w:rFonts w:ascii="IRNazanin" w:hAnsi="IRNazanin" w:eastAsia="IRNazanin"/>
          <w:b w:val="false"/>
          <w:b w:val="false"/>
          <w:bCs w:val="false"/>
          <w:i w:val="false"/>
          <w:i w:val="false"/>
          <w:iCs w:val="false"/>
          <w:color w:val="333333"/>
          <w:sz w:val="20"/>
          <w:sz w:val="20"/>
          <w:szCs w:val="20"/>
          <w:rtl w:val="true"/>
        </w:rPr>
        <w:t>، و قد سبقت الإشارة إلیه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الربح الّذی یرید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یصیر القرض شرط المنفعة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23127</w:t>
      </w:r>
      <w:r>
        <w:rPr>
          <w:rFonts w:ascii="IRNazanin" w:hAnsi="IRNazanin" w:eastAsia="IRNazanin"/>
          <w:b w:val="false"/>
          <w:b w:val="false"/>
          <w:bCs w:val="false"/>
          <w:i w:val="false"/>
          <w:i w:val="false"/>
          <w:iCs w:val="false"/>
          <w:color w:val="333333"/>
          <w:sz w:val="20"/>
          <w:sz w:val="20"/>
          <w:szCs w:val="20"/>
          <w:rtl w:val="true"/>
        </w:rPr>
        <w:t>، و قد مرّت الإشارة إلیه آنفا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ضمن المعجم المفهرس لألفاظ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لیس من خصائص جمیع العامّة، بل الشافعیّة و الحنفیّة و الظاهریّة حکموا بحلیّة الزیادة</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23840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أقرض رجلا ورقا فلا یشترط إلّا مثلها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23838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الربا و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23838</w:t>
      </w:r>
      <w:r>
        <w:rPr>
          <w:rFonts w:ascii="IRNazanin" w:hAnsi="IRNazanin" w:eastAsia="IRNazanin"/>
          <w:b w:val="false"/>
          <w:b w:val="false"/>
          <w:bCs w:val="false"/>
          <w:i w:val="false"/>
          <w:i w:val="false"/>
          <w:iCs w:val="false"/>
          <w:color w:val="333333"/>
          <w:sz w:val="20"/>
          <w:sz w:val="20"/>
          <w:szCs w:val="20"/>
          <w:rtl w:val="true"/>
        </w:rPr>
        <w:t>، و قد سبقت الإشارة إلیه آنفا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لمزید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 للشهید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مع 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الفوائد الحائریّة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مفاتیح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علّة العدم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یراد به غیر الأفراد المتعارفة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للسیّد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السابق</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للسیّد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للشیخ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النهایة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احیاء الموات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14756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22061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22065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22753</w:t>
      </w:r>
      <w:r>
        <w:rPr>
          <w:rFonts w:ascii="IRNazanin" w:hAnsi="IRNazanin" w:eastAsia="IRNazanin"/>
          <w:b w:val="false"/>
          <w:b w:val="false"/>
          <w:bCs w:val="false"/>
          <w:i w:val="false"/>
          <w:i w:val="false"/>
          <w:iCs w:val="false"/>
          <w:color w:val="333333"/>
          <w:sz w:val="20"/>
          <w:sz w:val="20"/>
          <w:szCs w:val="20"/>
          <w:rtl w:val="true"/>
        </w:rPr>
        <w:t>، 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14787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فی حاشیة ب العبارة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ورد فی الأخبار المنع عن الانتفاع بالمیتة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أیضا العبارة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العوالی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إذا حرّم علی قوم أکل شی‌ء حرّم ثمنها، و فیه أیضا عنه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الیهود، حرّمت علیهم الشحوم فباعوها و أکلوا ثمنها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أخبار الکتب الأربعة عنه صلّی اللّه علیه و آله فی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 حرّم شربها حرّم ثمنها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22047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الحدیثان </w:t>
      </w:r>
      <w:r>
        <w:rPr>
          <w:rFonts w:eastAsia="IRNazanin" w:cs="IRNazanin"/>
          <w:b w:val="false"/>
          <w:bCs w:val="false"/>
          <w:i w:val="false"/>
          <w:iCs w:val="false"/>
          <w:color w:val="333333"/>
          <w:sz w:val="20"/>
          <w:szCs w:val="20"/>
        </w:rPr>
        <w:t>22083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فی حاشیة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الظاهر أنّ العجین النجس حکمه حکم المائع الّذی لا یقبل التطهیر، کما یظهر من الأخبار،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التطهّر بجعله خبزا یابسا غایة الیبوسة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22076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فی حاشیة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ادّعی ابن إدریس الإجماع علی الاستصباح تحت السماء، لا السقف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مال إلی هذا القول الأردبیلی رحمه اللّه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27127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منعهما عن الأمرین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یتصرّف الآخر فی ما لیس له بمعاملة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ترتّب أثر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 لا یجب یرتکب المعاملة لتحصیله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الحدیثین </w:t>
      </w:r>
      <w:r>
        <w:rPr>
          <w:rFonts w:eastAsia="IRNazanin" w:cs="IRNazanin"/>
          <w:b w:val="false"/>
          <w:bCs w:val="false"/>
          <w:i w:val="false"/>
          <w:iCs w:val="false"/>
          <w:color w:val="333333"/>
          <w:sz w:val="20"/>
          <w:szCs w:val="20"/>
        </w:rPr>
        <w:t>22752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22753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22965</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23073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السابق</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منقول بالمعنی</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کذا علی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فی المتن أثبتناه من المصدر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فاسد للنفس</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 ما بین المعقوفین أثبتناه من المصدر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 یتعلّمه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قوام المعایش</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ما بین المعقوفین أثبتناه من المصدر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إلی أصول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غیرها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الحدیثان </w:t>
      </w:r>
      <w:r>
        <w:rPr>
          <w:rFonts w:eastAsia="IRNazanin" w:cs="IRNazanin"/>
          <w:b w:val="false"/>
          <w:bCs w:val="false"/>
          <w:i w:val="false"/>
          <w:iCs w:val="false"/>
          <w:color w:val="333333"/>
          <w:sz w:val="20"/>
          <w:szCs w:val="20"/>
        </w:rPr>
        <w:t>23040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23041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فواتح الرحموت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حمل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الصواب ما أثبتناه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image" Target="media/image2.jpeg"/><Relationship Id="rId369" Type="http://schemas.openxmlformats.org/officeDocument/2006/relationships/image" Target="media/image2.jpeg"/><Relationship Id="rId370" Type="http://schemas.openxmlformats.org/officeDocument/2006/relationships/footer" Target="footer363.xml"/><Relationship Id="rId371" Type="http://schemas.openxmlformats.org/officeDocument/2006/relationships/footnotes" Target="footnotes.xml"/><Relationship Id="rId372" Type="http://schemas.openxmlformats.org/officeDocument/2006/relationships/numbering" Target="numbering.xml"/><Relationship Id="rId373" Type="http://schemas.openxmlformats.org/officeDocument/2006/relationships/fontTable" Target="fontTable.xml"/><Relationship Id="rId374" Type="http://schemas.openxmlformats.org/officeDocument/2006/relationships/settings" Target="settings.xml"/><Relationship Id="rId3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369</Pages>
  <Words>69590</Words>
  <Characters>277029</Characters>
  <CharactersWithSpaces>344140</CharactersWithSpaces>
  <Paragraphs>2480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2026-08-17T09:38:30Z</dcterms:created>
  <dc:creator>ghaemiyeh.com</dc:creator>
  <dc:description/>
  <dc:language>en-US</dc:language>
  <cp:lastModifiedBy/>
  <dcterms:modified xsi:type="dcterms:W3CDTF">2026-08-17T13:08:40Z</dcterms:modified>
  <cp:revision>1</cp:revision>
  <dc:subject/>
  <dc:title>الرسائل الفقهیه</dc:title>
</cp:coreProperties>
</file>

<file path=docProps/custom.xml><?xml version="1.0" encoding="utf-8"?>
<Properties xmlns="http://schemas.openxmlformats.org/officeDocument/2006/custom-properties" xmlns:vt="http://schemas.openxmlformats.org/officeDocument/2006/docPropsVTypes"/>
</file>