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الاسس الحدیثیه و الرجالیه عندالعلامه الشیخ محمدتقی المجلسی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9340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159342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159344_3804643083">
            <w:r>
              <w:rPr>
                <w:webHidden/>
                <w:rStyle w:val="IndexLink"/>
                <w:rtl w:val="true"/>
              </w:rPr>
              <w:t>التصدیر</w:t>
            </w:r>
            <w:r>
              <w:rPr>
                <w:rStyle w:val="IndexLink"/>
                <w:rtl w:val="true"/>
              </w:rPr>
              <w:tab/>
            </w:r>
            <w:r>
              <w:rPr>
                <w:rStyle w:val="IndexLink"/>
              </w:rPr>
              <w:t>10</w:t>
            </w:r>
          </w:hyperlink>
        </w:p>
        <w:p>
          <w:pPr>
            <w:pStyle w:val="Contents2"/>
            <w:tabs>
              <w:tab w:val="clear" w:pos="8743"/>
              <w:tab w:val="right" w:pos="9026" w:leader="dot"/>
            </w:tabs>
            <w:rPr/>
          </w:pPr>
          <w:hyperlink w:anchor="__RefHeading___Toc4159346_380464308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4159348_3804643083">
            <w:r>
              <w:rPr>
                <w:webHidden/>
                <w:rStyle w:val="IndexLink"/>
                <w:rtl w:val="true"/>
              </w:rPr>
              <w:t>التمهیـد</w:t>
            </w:r>
            <w:r>
              <w:rPr>
                <w:rStyle w:val="IndexLink"/>
                <w:rtl w:val="true"/>
              </w:rPr>
              <w:tab/>
            </w:r>
            <w:r>
              <w:rPr>
                <w:rStyle w:val="IndexLink"/>
              </w:rPr>
              <w:t>15</w:t>
            </w:r>
          </w:hyperlink>
        </w:p>
        <w:p>
          <w:pPr>
            <w:pStyle w:val="Contents3"/>
            <w:tabs>
              <w:tab w:val="clear" w:pos="8459"/>
              <w:tab w:val="right" w:pos="9026" w:leader="dot"/>
            </w:tabs>
            <w:rPr/>
          </w:pPr>
          <w:hyperlink w:anchor="__RefHeading___Toc4159350_380464308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159352_3804643083">
            <w:r>
              <w:rPr>
                <w:webHidden/>
                <w:rStyle w:val="IndexLink"/>
                <w:rtl w:val="true"/>
              </w:rPr>
              <w:t>نُبذة عن حیاة المُلاّ محمّدتقی المجلسی</w:t>
            </w:r>
            <w:r>
              <w:rPr>
                <w:rStyle w:val="IndexLink"/>
                <w:rtl w:val="true"/>
              </w:rPr>
              <w:tab/>
            </w:r>
            <w:r>
              <w:rPr>
                <w:rStyle w:val="IndexLink"/>
              </w:rPr>
              <w:t>15</w:t>
            </w:r>
          </w:hyperlink>
        </w:p>
        <w:p>
          <w:pPr>
            <w:pStyle w:val="Contents3"/>
            <w:tabs>
              <w:tab w:val="clear" w:pos="8459"/>
              <w:tab w:val="right" w:pos="9026" w:leader="dot"/>
            </w:tabs>
            <w:rPr/>
          </w:pPr>
          <w:hyperlink w:anchor="__RefHeading___Toc4159354_3804643083">
            <w:r>
              <w:rPr>
                <w:webHidden/>
                <w:rStyle w:val="IndexLink"/>
                <w:rtl w:val="true"/>
              </w:rPr>
              <w:t>اسمه ونسبه ومولده</w:t>
            </w:r>
            <w:r>
              <w:rPr>
                <w:rStyle w:val="IndexLink"/>
                <w:rtl w:val="true"/>
              </w:rPr>
              <w:tab/>
            </w:r>
            <w:r>
              <w:rPr>
                <w:rStyle w:val="IndexLink"/>
              </w:rPr>
              <w:t>15</w:t>
            </w:r>
          </w:hyperlink>
        </w:p>
        <w:p>
          <w:pPr>
            <w:pStyle w:val="Contents3"/>
            <w:tabs>
              <w:tab w:val="clear" w:pos="8459"/>
              <w:tab w:val="right" w:pos="9026" w:leader="dot"/>
            </w:tabs>
            <w:rPr/>
          </w:pPr>
          <w:hyperlink w:anchor="__RefHeading___Toc4159356_3804643083">
            <w:r>
              <w:rPr>
                <w:webHidden/>
                <w:rStyle w:val="IndexLink"/>
                <w:rtl w:val="true"/>
              </w:rPr>
              <w:t>والده</w:t>
            </w:r>
            <w:r>
              <w:rPr>
                <w:rStyle w:val="IndexLink"/>
                <w:rtl w:val="true"/>
              </w:rPr>
              <w:tab/>
            </w:r>
            <w:r>
              <w:rPr>
                <w:rStyle w:val="IndexLink"/>
              </w:rPr>
              <w:t>15</w:t>
            </w:r>
          </w:hyperlink>
        </w:p>
        <w:p>
          <w:pPr>
            <w:pStyle w:val="Contents3"/>
            <w:tabs>
              <w:tab w:val="clear" w:pos="8459"/>
              <w:tab w:val="right" w:pos="9026" w:leader="dot"/>
            </w:tabs>
            <w:rPr/>
          </w:pPr>
          <w:hyperlink w:anchor="__RefHeading___Toc4159358_3804643083">
            <w:r>
              <w:rPr>
                <w:webHidden/>
                <w:rStyle w:val="IndexLink"/>
                <w:rtl w:val="true"/>
              </w:rPr>
              <w:t>اتّهامه بالتصوّف</w:t>
            </w:r>
            <w:r>
              <w:rPr>
                <w:rStyle w:val="IndexLink"/>
                <w:rtl w:val="true"/>
              </w:rPr>
              <w:tab/>
            </w:r>
            <w:r>
              <w:rPr>
                <w:rStyle w:val="IndexLink"/>
              </w:rPr>
              <w:t>23</w:t>
            </w:r>
          </w:hyperlink>
        </w:p>
        <w:p>
          <w:pPr>
            <w:pStyle w:val="Contents3"/>
            <w:tabs>
              <w:tab w:val="clear" w:pos="8459"/>
              <w:tab w:val="right" w:pos="9026" w:leader="dot"/>
            </w:tabs>
            <w:rPr/>
          </w:pPr>
          <w:hyperlink w:anchor="__RefHeading___Toc4159360_3804643083">
            <w:r>
              <w:rPr>
                <w:webHidden/>
                <w:rStyle w:val="IndexLink"/>
                <w:rtl w:val="true"/>
              </w:rPr>
              <w:t>تعقیب</w:t>
            </w:r>
            <w:r>
              <w:rPr>
                <w:rStyle w:val="IndexLink"/>
                <w:rtl w:val="true"/>
              </w:rPr>
              <w:tab/>
            </w:r>
            <w:r>
              <w:rPr>
                <w:rStyle w:val="IndexLink"/>
              </w:rPr>
              <w:t>25</w:t>
            </w:r>
          </w:hyperlink>
        </w:p>
        <w:p>
          <w:pPr>
            <w:pStyle w:val="Contents3"/>
            <w:tabs>
              <w:tab w:val="clear" w:pos="8459"/>
              <w:tab w:val="right" w:pos="9026" w:leader="dot"/>
            </w:tabs>
            <w:rPr/>
          </w:pPr>
          <w:hyperlink w:anchor="__RefHeading___Toc4159362_3804643083">
            <w:r>
              <w:rPr>
                <w:webHidden/>
                <w:rStyle w:val="IndexLink"/>
                <w:rtl w:val="true"/>
              </w:rPr>
              <w:t>تعقیب</w:t>
            </w:r>
            <w:r>
              <w:rPr>
                <w:rStyle w:val="IndexLink"/>
                <w:rtl w:val="true"/>
              </w:rPr>
              <w:tab/>
            </w:r>
            <w:r>
              <w:rPr>
                <w:rStyle w:val="IndexLink"/>
              </w:rPr>
              <w:t>29</w:t>
            </w:r>
          </w:hyperlink>
        </w:p>
        <w:p>
          <w:pPr>
            <w:pStyle w:val="Contents3"/>
            <w:tabs>
              <w:tab w:val="clear" w:pos="8459"/>
              <w:tab w:val="right" w:pos="9026" w:leader="dot"/>
            </w:tabs>
            <w:rPr/>
          </w:pPr>
          <w:hyperlink w:anchor="__RefHeading___Toc4159364_3804643083">
            <w:r>
              <w:rPr>
                <w:webHidden/>
                <w:rStyle w:val="IndexLink"/>
                <w:rtl w:val="true"/>
              </w:rPr>
              <w:t>تلامذته ومن روی عنه</w:t>
            </w:r>
            <w:r>
              <w:rPr>
                <w:rStyle w:val="IndexLink"/>
                <w:rtl w:val="true"/>
              </w:rPr>
              <w:tab/>
            </w:r>
            <w:r>
              <w:rPr>
                <w:rStyle w:val="IndexLink"/>
              </w:rPr>
              <w:t>30</w:t>
            </w:r>
          </w:hyperlink>
        </w:p>
        <w:p>
          <w:pPr>
            <w:pStyle w:val="Contents3"/>
            <w:tabs>
              <w:tab w:val="clear" w:pos="8459"/>
              <w:tab w:val="right" w:pos="9026" w:leader="dot"/>
            </w:tabs>
            <w:rPr/>
          </w:pPr>
          <w:hyperlink w:anchor="__RefHeading___Toc4159366_3804643083">
            <w:r>
              <w:rPr>
                <w:webHidden/>
                <w:rStyle w:val="IndexLink"/>
                <w:rtl w:val="true"/>
              </w:rPr>
              <w:t>شیوخه</w:t>
            </w:r>
            <w:r>
              <w:rPr>
                <w:rStyle w:val="IndexLink"/>
                <w:rtl w:val="true"/>
              </w:rPr>
              <w:tab/>
            </w:r>
            <w:r>
              <w:rPr>
                <w:rStyle w:val="IndexLink"/>
              </w:rPr>
              <w:t>34</w:t>
            </w:r>
          </w:hyperlink>
        </w:p>
        <w:p>
          <w:pPr>
            <w:pStyle w:val="Contents3"/>
            <w:tabs>
              <w:tab w:val="clear" w:pos="8459"/>
              <w:tab w:val="right" w:pos="9026" w:leader="dot"/>
            </w:tabs>
            <w:rPr/>
          </w:pPr>
          <w:hyperlink w:anchor="__RefHeading___Toc4159368_3804643083">
            <w:r>
              <w:rPr>
                <w:webHidden/>
                <w:rStyle w:val="IndexLink"/>
                <w:rtl w:val="true"/>
              </w:rPr>
              <w:t>مؤلّفاته</w:t>
            </w:r>
            <w:r>
              <w:rPr>
                <w:rStyle w:val="IndexLink"/>
                <w:rtl w:val="true"/>
              </w:rPr>
              <w:tab/>
            </w:r>
            <w:r>
              <w:rPr>
                <w:rStyle w:val="IndexLink"/>
              </w:rPr>
              <w:t>35</w:t>
            </w:r>
          </w:hyperlink>
        </w:p>
        <w:p>
          <w:pPr>
            <w:pStyle w:val="Contents3"/>
            <w:tabs>
              <w:tab w:val="clear" w:pos="8459"/>
              <w:tab w:val="right" w:pos="9026" w:leader="dot"/>
            </w:tabs>
            <w:rPr/>
          </w:pPr>
          <w:hyperlink w:anchor="__RefHeading___Toc4159370_3804643083">
            <w:r>
              <w:rPr>
                <w:webHidden/>
                <w:rStyle w:val="IndexLink"/>
                <w:rtl w:val="true"/>
              </w:rPr>
              <w:t>والدته</w:t>
            </w:r>
            <w:r>
              <w:rPr>
                <w:rStyle w:val="IndexLink"/>
                <w:rtl w:val="true"/>
              </w:rPr>
              <w:tab/>
            </w:r>
            <w:r>
              <w:rPr>
                <w:rStyle w:val="IndexLink"/>
              </w:rPr>
              <w:t>43</w:t>
            </w:r>
          </w:hyperlink>
        </w:p>
        <w:p>
          <w:pPr>
            <w:pStyle w:val="Contents3"/>
            <w:tabs>
              <w:tab w:val="clear" w:pos="8459"/>
              <w:tab w:val="right" w:pos="9026" w:leader="dot"/>
            </w:tabs>
            <w:rPr/>
          </w:pPr>
          <w:hyperlink w:anchor="__RefHeading___Toc4159372_3804643083">
            <w:r>
              <w:rPr>
                <w:webHidden/>
                <w:rStyle w:val="IndexLink"/>
                <w:rtl w:val="true"/>
              </w:rPr>
              <w:t>وفاته ومدفنه</w:t>
            </w:r>
            <w:r>
              <w:rPr>
                <w:rStyle w:val="IndexLink"/>
                <w:rtl w:val="true"/>
              </w:rPr>
              <w:tab/>
            </w:r>
            <w:r>
              <w:rPr>
                <w:rStyle w:val="IndexLink"/>
              </w:rPr>
              <w:t>46</w:t>
            </w:r>
          </w:hyperlink>
        </w:p>
        <w:p>
          <w:pPr>
            <w:pStyle w:val="Contents3"/>
            <w:tabs>
              <w:tab w:val="clear" w:pos="8459"/>
              <w:tab w:val="right" w:pos="9026" w:leader="dot"/>
            </w:tabs>
            <w:rPr/>
          </w:pPr>
          <w:hyperlink w:anchor="__RefHeading___Toc4159374_3804643083">
            <w:r>
              <w:rPr>
                <w:webHidden/>
                <w:rStyle w:val="IndexLink"/>
                <w:rtl w:val="true"/>
              </w:rPr>
              <w:t xml:space="preserve">نظرة فی کتاب </w:t>
            </w:r>
            <w:r>
              <w:rPr>
                <w:rStyle w:val="IndexLink"/>
                <w:rtl w:val="true"/>
              </w:rPr>
              <w:t xml:space="preserve">« </w:t>
            </w:r>
            <w:r>
              <w:rPr>
                <w:rStyle w:val="IndexLink"/>
                <w:rtl w:val="true"/>
              </w:rPr>
              <w:t xml:space="preserve">روضة المتّقین </w:t>
            </w:r>
            <w:r>
              <w:rPr>
                <w:rStyle w:val="IndexLink"/>
                <w:rtl w:val="true"/>
              </w:rPr>
              <w:t>»</w:t>
              <w:tab/>
            </w:r>
            <w:r>
              <w:rPr>
                <w:rStyle w:val="IndexLink"/>
              </w:rPr>
              <w:t>47</w:t>
            </w:r>
          </w:hyperlink>
        </w:p>
        <w:p>
          <w:pPr>
            <w:pStyle w:val="Contents3"/>
            <w:tabs>
              <w:tab w:val="clear" w:pos="8459"/>
              <w:tab w:val="right" w:pos="9026" w:leader="dot"/>
            </w:tabs>
            <w:rPr/>
          </w:pPr>
          <w:hyperlink w:anchor="__RefHeading___Toc4159376_3804643083">
            <w:r>
              <w:rPr>
                <w:webHidden/>
                <w:rStyle w:val="IndexLink"/>
                <w:rtl w:val="true"/>
              </w:rPr>
              <w:t>طبعة الکتاب وما یحتویه کلّ واحد من المجلّدات</w:t>
            </w:r>
            <w:r>
              <w:rPr>
                <w:rStyle w:val="IndexLink"/>
                <w:rtl w:val="true"/>
              </w:rPr>
              <w:tab/>
            </w:r>
            <w:r>
              <w:rPr>
                <w:rStyle w:val="IndexLink"/>
              </w:rPr>
              <w:t>48</w:t>
            </w:r>
          </w:hyperlink>
        </w:p>
        <w:p>
          <w:pPr>
            <w:pStyle w:val="Contents3"/>
            <w:tabs>
              <w:tab w:val="clear" w:pos="8459"/>
              <w:tab w:val="right" w:pos="9026" w:leader="dot"/>
            </w:tabs>
            <w:rPr/>
          </w:pPr>
          <w:hyperlink w:anchor="__RefHeading___Toc4159378_3804643083">
            <w:r>
              <w:rPr>
                <w:webHidden/>
                <w:rStyle w:val="IndexLink"/>
                <w:rtl w:val="true"/>
              </w:rPr>
              <w:t xml:space="preserve">النسخ الخطّیة ل </w:t>
            </w:r>
            <w:r>
              <w:rPr>
                <w:rStyle w:val="IndexLink"/>
                <w:rtl w:val="true"/>
              </w:rPr>
              <w:t>«</w:t>
            </w:r>
            <w:r>
              <w:rPr>
                <w:rStyle w:val="IndexLink"/>
                <w:rtl w:val="true"/>
              </w:rPr>
              <w:t>روضة المتقین</w:t>
            </w:r>
            <w:r>
              <w:rPr>
                <w:rStyle w:val="IndexLink"/>
                <w:rtl w:val="true"/>
              </w:rPr>
              <w:t>»</w:t>
              <w:tab/>
            </w:r>
            <w:r>
              <w:rPr>
                <w:rStyle w:val="IndexLink"/>
              </w:rPr>
              <w:t>52</w:t>
            </w:r>
          </w:hyperlink>
        </w:p>
        <w:p>
          <w:pPr>
            <w:pStyle w:val="Contents3"/>
            <w:tabs>
              <w:tab w:val="clear" w:pos="8459"/>
              <w:tab w:val="right" w:pos="9026" w:leader="dot"/>
            </w:tabs>
            <w:rPr/>
          </w:pPr>
          <w:hyperlink w:anchor="__RefHeading___Toc4159380_3804643083">
            <w:r>
              <w:rPr>
                <w:webHidden/>
                <w:rStyle w:val="IndexLink"/>
                <w:rtl w:val="true"/>
              </w:rPr>
              <w:t>تأریخ تألیفه</w:t>
            </w:r>
            <w:r>
              <w:rPr>
                <w:rStyle w:val="IndexLink"/>
                <w:rtl w:val="true"/>
              </w:rPr>
              <w:tab/>
            </w:r>
            <w:r>
              <w:rPr>
                <w:rStyle w:val="IndexLink"/>
              </w:rPr>
              <w:t>56</w:t>
            </w:r>
          </w:hyperlink>
        </w:p>
        <w:p>
          <w:pPr>
            <w:pStyle w:val="Contents3"/>
            <w:tabs>
              <w:tab w:val="clear" w:pos="8459"/>
              <w:tab w:val="right" w:pos="9026" w:leader="dot"/>
            </w:tabs>
            <w:rPr/>
          </w:pPr>
          <w:hyperlink w:anchor="__RefHeading___Toc4159382_3804643083">
            <w:r>
              <w:rPr>
                <w:webHidden/>
                <w:rStyle w:val="IndexLink"/>
                <w:rtl w:val="true"/>
              </w:rPr>
              <w:t xml:space="preserve">النسخ الخطّیة لـ </w:t>
            </w:r>
            <w:r>
              <w:rPr>
                <w:rStyle w:val="IndexLink"/>
                <w:rtl w:val="true"/>
              </w:rPr>
              <w:t xml:space="preserve">« </w:t>
            </w:r>
            <w:r>
              <w:rPr>
                <w:rStyle w:val="IndexLink"/>
                <w:rtl w:val="true"/>
              </w:rPr>
              <w:t xml:space="preserve">لوامع صاحبقرانی </w:t>
            </w:r>
            <w:r>
              <w:rPr>
                <w:rStyle w:val="IndexLink"/>
                <w:rtl w:val="true"/>
              </w:rPr>
              <w:t>»</w:t>
              <w:tab/>
            </w:r>
            <w:r>
              <w:rPr>
                <w:rStyle w:val="IndexLink"/>
              </w:rPr>
              <w:t>57</w:t>
            </w:r>
          </w:hyperlink>
        </w:p>
        <w:p>
          <w:pPr>
            <w:pStyle w:val="Contents2"/>
            <w:tabs>
              <w:tab w:val="clear" w:pos="8743"/>
              <w:tab w:val="right" w:pos="9026" w:leader="dot"/>
            </w:tabs>
            <w:rPr/>
          </w:pPr>
          <w:hyperlink w:anchor="__RefHeading___Toc4159384_3804643083">
            <w:r>
              <w:rPr>
                <w:webHidden/>
                <w:rStyle w:val="IndexLink"/>
                <w:rtl w:val="true"/>
              </w:rPr>
              <w:t xml:space="preserve">الباب الأوّل </w:t>
            </w:r>
            <w:r>
              <w:rPr>
                <w:rStyle w:val="IndexLink"/>
                <w:rtl w:val="true"/>
              </w:rPr>
              <w:t xml:space="preserve">: </w:t>
            </w:r>
            <w:r>
              <w:rPr>
                <w:rStyle w:val="IndexLink"/>
                <w:rtl w:val="true"/>
              </w:rPr>
              <w:t>تاریخ الحدیث والرجال عند المُلاّ محمّدتقی المجلسی</w:t>
            </w:r>
            <w:r>
              <w:rPr>
                <w:rStyle w:val="IndexLink"/>
                <w:rtl w:val="true"/>
              </w:rPr>
              <w:tab/>
            </w:r>
            <w:r>
              <w:rPr>
                <w:rStyle w:val="IndexLink"/>
              </w:rPr>
              <w:t>59</w:t>
            </w:r>
          </w:hyperlink>
        </w:p>
        <w:p>
          <w:pPr>
            <w:pStyle w:val="Contents3"/>
            <w:tabs>
              <w:tab w:val="clear" w:pos="8459"/>
              <w:tab w:val="right" w:pos="9026" w:leader="dot"/>
            </w:tabs>
            <w:rPr/>
          </w:pPr>
          <w:hyperlink w:anchor="__RefHeading___Toc4159386_380464308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4159388_3804643083">
            <w:r>
              <w:rPr>
                <w:webHidden/>
                <w:rStyle w:val="IndexLink"/>
                <w:rtl w:val="true"/>
              </w:rPr>
              <w:t xml:space="preserve">الفصل الأوّل </w:t>
            </w:r>
            <w:r>
              <w:rPr>
                <w:rStyle w:val="IndexLink"/>
                <w:rtl w:val="true"/>
              </w:rPr>
              <w:t xml:space="preserve">: </w:t>
            </w:r>
            <w:r>
              <w:rPr>
                <w:rStyle w:val="IndexLink"/>
                <w:rtl w:val="true"/>
              </w:rPr>
              <w:t>المصادر الأولیة لحدیث الشیعة</w:t>
            </w:r>
            <w:r>
              <w:rPr>
                <w:rStyle w:val="IndexLink"/>
                <w:rtl w:val="true"/>
              </w:rPr>
              <w:tab/>
            </w:r>
            <w:r>
              <w:rPr>
                <w:rStyle w:val="IndexLink"/>
              </w:rPr>
              <w:t>60</w:t>
            </w:r>
          </w:hyperlink>
        </w:p>
        <w:p>
          <w:pPr>
            <w:pStyle w:val="Contents4"/>
            <w:tabs>
              <w:tab w:val="clear" w:pos="8176"/>
              <w:tab w:val="right" w:pos="9026" w:leader="dot"/>
            </w:tabs>
            <w:rPr/>
          </w:pPr>
          <w:hyperlink w:anchor="__RefHeading___Toc4159390_380464308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159392_3804643083">
            <w:r>
              <w:rPr>
                <w:webHidden/>
                <w:rStyle w:val="IndexLink"/>
                <w:rtl w:val="true"/>
              </w:rPr>
              <w:t>قصة الاُصول</w:t>
            </w:r>
            <w:r>
              <w:rPr>
                <w:rStyle w:val="IndexLink"/>
                <w:rtl w:val="true"/>
              </w:rPr>
              <w:tab/>
            </w:r>
            <w:r>
              <w:rPr>
                <w:rStyle w:val="IndexLink"/>
              </w:rPr>
              <w:t>60</w:t>
            </w:r>
          </w:hyperlink>
        </w:p>
        <w:p>
          <w:pPr>
            <w:pStyle w:val="Contents4"/>
            <w:tabs>
              <w:tab w:val="clear" w:pos="8176"/>
              <w:tab w:val="right" w:pos="9026" w:leader="dot"/>
            </w:tabs>
            <w:rPr/>
          </w:pPr>
          <w:hyperlink w:anchor="__RefHeading___Toc4159394_3804643083">
            <w:r>
              <w:rPr>
                <w:webHidden/>
                <w:rStyle w:val="IndexLink"/>
                <w:rtl w:val="true"/>
              </w:rPr>
              <w:t>کیف صارت الاُصولُ أربعمئةً ؟</w:t>
            </w:r>
            <w:r>
              <w:rPr>
                <w:rStyle w:val="IndexLink"/>
                <w:rtl w:val="true"/>
              </w:rPr>
              <w:tab/>
            </w:r>
            <w:r>
              <w:rPr>
                <w:rStyle w:val="IndexLink"/>
              </w:rPr>
              <w:t>63</w:t>
            </w:r>
          </w:hyperlink>
        </w:p>
        <w:p>
          <w:pPr>
            <w:pStyle w:val="Contents4"/>
            <w:tabs>
              <w:tab w:val="clear" w:pos="8176"/>
              <w:tab w:val="right" w:pos="9026" w:leader="dot"/>
            </w:tabs>
            <w:rPr/>
          </w:pPr>
          <w:hyperlink w:anchor="__RefHeading___Toc4159396_3804643083">
            <w:r>
              <w:rPr>
                <w:webHidden/>
                <w:rStyle w:val="IndexLink"/>
                <w:rtl w:val="true"/>
              </w:rPr>
              <w:t>تقسیم الاُصول إلی قسمین من جهة الاعتبار</w:t>
            </w:r>
            <w:r>
              <w:rPr>
                <w:rStyle w:val="IndexLink"/>
                <w:rtl w:val="true"/>
              </w:rPr>
              <w:tab/>
            </w:r>
            <w:r>
              <w:rPr>
                <w:rStyle w:val="IndexLink"/>
              </w:rPr>
              <w:t>64</w:t>
            </w:r>
          </w:hyperlink>
        </w:p>
        <w:p>
          <w:pPr>
            <w:pStyle w:val="Contents3"/>
            <w:tabs>
              <w:tab w:val="clear" w:pos="8459"/>
              <w:tab w:val="right" w:pos="9026" w:leader="dot"/>
            </w:tabs>
            <w:rPr/>
          </w:pPr>
          <w:hyperlink w:anchor="__RefHeading___Toc4159398_3804643083">
            <w:r>
              <w:rPr>
                <w:webHidden/>
                <w:rStyle w:val="IndexLink"/>
                <w:rtl w:val="true"/>
              </w:rPr>
              <w:t>منهج المؤلّف فی الشرح</w:t>
            </w:r>
            <w:r>
              <w:rPr>
                <w:rStyle w:val="IndexLink"/>
                <w:rtl w:val="true"/>
              </w:rPr>
              <w:tab/>
            </w:r>
            <w:r>
              <w:rPr>
                <w:rStyle w:val="IndexLink"/>
              </w:rPr>
              <w:t>65</w:t>
            </w:r>
          </w:hyperlink>
        </w:p>
        <w:p>
          <w:pPr>
            <w:pStyle w:val="Contents4"/>
            <w:tabs>
              <w:tab w:val="clear" w:pos="8176"/>
              <w:tab w:val="right" w:pos="9026" w:leader="dot"/>
            </w:tabs>
            <w:rPr/>
          </w:pPr>
          <w:hyperlink w:anchor="__RefHeading___Toc4159400_380464308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159402_3804643083">
            <w:r>
              <w:rPr>
                <w:webHidden/>
                <w:rStyle w:val="IndexLink"/>
                <w:rtl w:val="true"/>
              </w:rPr>
              <w:t>إهمال عُلَماء الرجال فی ذکر التعدیل أو الجرح فی شأن مؤلّفی الاُصول</w:t>
            </w:r>
            <w:r>
              <w:rPr>
                <w:rStyle w:val="IndexLink"/>
                <w:rtl w:val="true"/>
              </w:rPr>
              <w:tab/>
            </w:r>
            <w:r>
              <w:rPr>
                <w:rStyle w:val="IndexLink"/>
              </w:rPr>
              <w:t>65</w:t>
            </w:r>
          </w:hyperlink>
        </w:p>
        <w:p>
          <w:pPr>
            <w:pStyle w:val="Contents4"/>
            <w:tabs>
              <w:tab w:val="clear" w:pos="8176"/>
              <w:tab w:val="right" w:pos="9026" w:leader="dot"/>
            </w:tabs>
            <w:rPr/>
          </w:pPr>
          <w:hyperlink w:anchor="__RefHeading___Toc4159404_3804643083">
            <w:r>
              <w:rPr>
                <w:webHidden/>
                <w:rStyle w:val="IndexLink"/>
                <w:rtl w:val="true"/>
              </w:rPr>
              <w:t>ینبغی التنبیه علی أمرین</w:t>
            </w:r>
            <w:r>
              <w:rPr>
                <w:rStyle w:val="IndexLink"/>
                <w:rtl w:val="true"/>
              </w:rPr>
              <w:tab/>
            </w:r>
            <w:r>
              <w:rPr>
                <w:rStyle w:val="IndexLink"/>
              </w:rPr>
              <w:t>67</w:t>
            </w:r>
          </w:hyperlink>
        </w:p>
        <w:p>
          <w:pPr>
            <w:pStyle w:val="Contents4"/>
            <w:tabs>
              <w:tab w:val="clear" w:pos="8176"/>
              <w:tab w:val="right" w:pos="9026" w:leader="dot"/>
            </w:tabs>
            <w:rPr/>
          </w:pPr>
          <w:hyperlink w:anchor="__RefHeading___Toc4159406_3804643083">
            <w:r>
              <w:rPr>
                <w:webHidden/>
                <w:rStyle w:val="IndexLink"/>
                <w:rtl w:val="true"/>
              </w:rPr>
              <w:t>أسباب ضیاع الاُصول والکتب المعتمدة</w:t>
            </w:r>
            <w:r>
              <w:rPr>
                <w:rStyle w:val="IndexLink"/>
                <w:rtl w:val="true"/>
              </w:rPr>
              <w:tab/>
            </w:r>
            <w:r>
              <w:rPr>
                <w:rStyle w:val="IndexLink"/>
              </w:rPr>
              <w:t>68</w:t>
            </w:r>
          </w:hyperlink>
        </w:p>
        <w:p>
          <w:pPr>
            <w:pStyle w:val="Contents3"/>
            <w:tabs>
              <w:tab w:val="clear" w:pos="8459"/>
              <w:tab w:val="right" w:pos="9026" w:leader="dot"/>
            </w:tabs>
            <w:rPr/>
          </w:pPr>
          <w:hyperlink w:anchor="__RefHeading___Toc4159408_3804643083">
            <w:r>
              <w:rPr>
                <w:webHidden/>
                <w:rStyle w:val="IndexLink"/>
                <w:rtl w:val="true"/>
              </w:rPr>
              <w:t xml:space="preserve">الفصل الثانی </w:t>
            </w:r>
            <w:r>
              <w:rPr>
                <w:rStyle w:val="IndexLink"/>
                <w:rtl w:val="true"/>
              </w:rPr>
              <w:t xml:space="preserve">: </w:t>
            </w:r>
            <w:r>
              <w:rPr>
                <w:rStyle w:val="IndexLink"/>
                <w:rtl w:val="true"/>
              </w:rPr>
              <w:t>مذاهب القُدَماء</w:t>
            </w:r>
            <w:r>
              <w:rPr>
                <w:rStyle w:val="IndexLink"/>
                <w:rtl w:val="true"/>
              </w:rPr>
              <w:tab/>
            </w:r>
            <w:r>
              <w:rPr>
                <w:rStyle w:val="IndexLink"/>
              </w:rPr>
              <w:t>70</w:t>
            </w:r>
          </w:hyperlink>
        </w:p>
        <w:p>
          <w:pPr>
            <w:pStyle w:val="Contents4"/>
            <w:tabs>
              <w:tab w:val="clear" w:pos="8176"/>
              <w:tab w:val="right" w:pos="9026" w:leader="dot"/>
            </w:tabs>
            <w:rPr/>
          </w:pPr>
          <w:hyperlink w:anchor="__RefHeading___Toc4159410_380464308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159412_3804643083">
            <w:r>
              <w:rPr>
                <w:webHidden/>
                <w:rStyle w:val="IndexLink"/>
                <w:rtl w:val="true"/>
              </w:rPr>
              <w:t xml:space="preserve">زیادة </w:t>
            </w:r>
            <w:r>
              <w:rPr>
                <w:rStyle w:val="IndexLink"/>
                <w:rtl w:val="true"/>
              </w:rPr>
              <w:t>«</w:t>
            </w:r>
            <w:r>
              <w:rPr>
                <w:rStyle w:val="IndexLink"/>
                <w:rtl w:val="true"/>
              </w:rPr>
              <w:t xml:space="preserve">أشهد أنّ علیاً ولی اللّه </w:t>
            </w:r>
            <w:r>
              <w:rPr>
                <w:rStyle w:val="IndexLink"/>
                <w:rtl w:val="true"/>
              </w:rPr>
              <w:t xml:space="preserve">» </w:t>
            </w:r>
            <w:r>
              <w:rPr>
                <w:rStyle w:val="IndexLink"/>
                <w:rtl w:val="true"/>
              </w:rPr>
              <w:t>فی الأذان من معرِّفات المفوضة عند الصدوق</w:t>
            </w:r>
            <w:r>
              <w:rPr>
                <w:rStyle w:val="IndexLink"/>
                <w:rtl w:val="true"/>
              </w:rPr>
              <w:tab/>
            </w:r>
            <w:r>
              <w:rPr>
                <w:rStyle w:val="IndexLink"/>
              </w:rPr>
              <w:t>76</w:t>
            </w:r>
          </w:hyperlink>
        </w:p>
        <w:p>
          <w:pPr>
            <w:pStyle w:val="Contents3"/>
            <w:tabs>
              <w:tab w:val="clear" w:pos="8459"/>
              <w:tab w:val="right" w:pos="9026" w:leader="dot"/>
            </w:tabs>
            <w:rPr/>
          </w:pPr>
          <w:hyperlink w:anchor="__RefHeading___Toc4159414_3804643083">
            <w:r>
              <w:rPr>
                <w:webHidden/>
                <w:rStyle w:val="IndexLink"/>
                <w:rtl w:val="true"/>
              </w:rPr>
              <w:t xml:space="preserve">الفصل الثالث </w:t>
            </w:r>
            <w:r>
              <w:rPr>
                <w:rStyle w:val="IndexLink"/>
                <w:rtl w:val="true"/>
              </w:rPr>
              <w:t xml:space="preserve">: </w:t>
            </w:r>
            <w:r>
              <w:rPr>
                <w:rStyle w:val="IndexLink"/>
                <w:rtl w:val="true"/>
              </w:rPr>
              <w:t>مشایخ الحدیث وکتبهم</w:t>
            </w:r>
            <w:r>
              <w:rPr>
                <w:rStyle w:val="IndexLink"/>
                <w:rtl w:val="true"/>
              </w:rPr>
              <w:tab/>
            </w:r>
            <w:r>
              <w:rPr>
                <w:rStyle w:val="IndexLink"/>
              </w:rPr>
              <w:t>77</w:t>
            </w:r>
          </w:hyperlink>
        </w:p>
        <w:p>
          <w:pPr>
            <w:pStyle w:val="Contents4"/>
            <w:tabs>
              <w:tab w:val="clear" w:pos="8176"/>
              <w:tab w:val="right" w:pos="9026" w:leader="dot"/>
            </w:tabs>
            <w:rPr/>
          </w:pPr>
          <w:hyperlink w:anchor="__RefHeading___Toc4159416_380464308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159418_3804643083">
            <w:r>
              <w:rPr>
                <w:webHidden/>
                <w:rStyle w:val="IndexLink"/>
                <w:rtl w:val="true"/>
              </w:rPr>
              <w:t>صحَّة روایات الکتب الأربعة</w:t>
            </w:r>
            <w:r>
              <w:rPr>
                <w:rStyle w:val="IndexLink"/>
                <w:rtl w:val="true"/>
              </w:rPr>
              <w:tab/>
            </w:r>
            <w:r>
              <w:rPr>
                <w:rStyle w:val="IndexLink"/>
              </w:rPr>
              <w:t>77</w:t>
            </w:r>
          </w:hyperlink>
        </w:p>
        <w:p>
          <w:pPr>
            <w:pStyle w:val="Contents4"/>
            <w:tabs>
              <w:tab w:val="clear" w:pos="8176"/>
              <w:tab w:val="right" w:pos="9026" w:leader="dot"/>
            </w:tabs>
            <w:rPr/>
          </w:pPr>
          <w:hyperlink w:anchor="__RefHeading___Toc4159420_3804643083">
            <w:r>
              <w:rPr>
                <w:webHidden/>
                <w:rStyle w:val="IndexLink"/>
                <w:rtl w:val="true"/>
              </w:rPr>
              <w:t>کیفیة علم الصَدوقَین بصحَّة أخبار کتبهما</w:t>
            </w:r>
            <w:r>
              <w:rPr>
                <w:rStyle w:val="IndexLink"/>
                <w:rtl w:val="true"/>
              </w:rPr>
              <w:tab/>
            </w:r>
            <w:r>
              <w:rPr>
                <w:rStyle w:val="IndexLink"/>
              </w:rPr>
              <w:t>79</w:t>
            </w:r>
          </w:hyperlink>
        </w:p>
        <w:p>
          <w:pPr>
            <w:pStyle w:val="Contents3"/>
            <w:tabs>
              <w:tab w:val="clear" w:pos="8459"/>
              <w:tab w:val="right" w:pos="9026" w:leader="dot"/>
            </w:tabs>
            <w:rPr/>
          </w:pPr>
          <w:hyperlink w:anchor="__RefHeading___Toc4159422_3804643083">
            <w:r>
              <w:rPr>
                <w:webHidden/>
                <w:rStyle w:val="IndexLink"/>
                <w:rtl w:val="true"/>
              </w:rPr>
              <w:t xml:space="preserve">مکاشفاته وطریقه لروایة </w:t>
            </w:r>
            <w:r>
              <w:rPr>
                <w:rStyle w:val="IndexLink"/>
                <w:rtl w:val="true"/>
              </w:rPr>
              <w:t xml:space="preserve">« </w:t>
            </w:r>
            <w:r>
              <w:rPr>
                <w:rStyle w:val="IndexLink"/>
                <w:rtl w:val="true"/>
              </w:rPr>
              <w:t xml:space="preserve">الصحیفة السجادیة </w:t>
            </w:r>
            <w:r>
              <w:rPr>
                <w:rStyle w:val="IndexLink"/>
                <w:rtl w:val="true"/>
              </w:rPr>
              <w:t>»</w:t>
              <w:tab/>
            </w:r>
            <w:r>
              <w:rPr>
                <w:rStyle w:val="IndexLink"/>
              </w:rPr>
              <w:t>82</w:t>
            </w:r>
          </w:hyperlink>
        </w:p>
        <w:p>
          <w:pPr>
            <w:pStyle w:val="Contents4"/>
            <w:tabs>
              <w:tab w:val="clear" w:pos="8176"/>
              <w:tab w:val="right" w:pos="9026" w:leader="dot"/>
            </w:tabs>
            <w:rPr/>
          </w:pPr>
          <w:hyperlink w:anchor="__RefHeading___Toc4159424_380464308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159426_3804643083">
            <w:r>
              <w:rPr>
                <w:webHidden/>
                <w:rStyle w:val="IndexLink"/>
                <w:rtl w:val="true"/>
              </w:rPr>
              <w:t>مراتب الصحَّة فی الأخبار المودعة فی الکتب الأربعة</w:t>
            </w:r>
            <w:r>
              <w:rPr>
                <w:rStyle w:val="IndexLink"/>
                <w:rtl w:val="true"/>
              </w:rPr>
              <w:tab/>
            </w:r>
            <w:r>
              <w:rPr>
                <w:rStyle w:val="IndexLink"/>
              </w:rPr>
              <w:t>82</w:t>
            </w:r>
          </w:hyperlink>
        </w:p>
        <w:p>
          <w:pPr>
            <w:pStyle w:val="Contents4"/>
            <w:tabs>
              <w:tab w:val="clear" w:pos="8176"/>
              <w:tab w:val="right" w:pos="9026" w:leader="dot"/>
            </w:tabs>
            <w:rPr/>
          </w:pPr>
          <w:hyperlink w:anchor="__RefHeading___Toc4159428_3804643083">
            <w:r>
              <w:rPr>
                <w:webHidden/>
                <w:rStyle w:val="IndexLink"/>
                <w:rtl w:val="true"/>
              </w:rPr>
              <w:t>سبب ترک الصَدوق الأخبار الصحیحة فی بعض الأبواب ونقل الخبر الضعیف</w:t>
            </w:r>
            <w:r>
              <w:rPr>
                <w:rStyle w:val="IndexLink"/>
                <w:rtl w:val="true"/>
              </w:rPr>
              <w:tab/>
            </w:r>
            <w:r>
              <w:rPr>
                <w:rStyle w:val="IndexLink"/>
              </w:rPr>
              <w:t>84</w:t>
            </w:r>
          </w:hyperlink>
        </w:p>
        <w:p>
          <w:pPr>
            <w:pStyle w:val="Contents4"/>
            <w:tabs>
              <w:tab w:val="clear" w:pos="8176"/>
              <w:tab w:val="right" w:pos="9026" w:leader="dot"/>
            </w:tabs>
            <w:rPr/>
          </w:pPr>
          <w:hyperlink w:anchor="__RefHeading___Toc4159430_3804643083">
            <w:r>
              <w:rPr>
                <w:webHidden/>
                <w:rStyle w:val="IndexLink"/>
                <w:rtl w:val="true"/>
              </w:rPr>
              <w:t>أقوال الصَدوق فی أوائل الفقیه هی متون الأخبار لا اجتهاداته</w:t>
            </w:r>
            <w:r>
              <w:rPr>
                <w:rStyle w:val="IndexLink"/>
                <w:rtl w:val="true"/>
              </w:rPr>
              <w:tab/>
            </w:r>
            <w:r>
              <w:rPr>
                <w:rStyle w:val="IndexLink"/>
              </w:rPr>
              <w:t>84</w:t>
            </w:r>
          </w:hyperlink>
        </w:p>
        <w:p>
          <w:pPr>
            <w:pStyle w:val="Contents3"/>
            <w:tabs>
              <w:tab w:val="clear" w:pos="8459"/>
              <w:tab w:val="right" w:pos="9026" w:leader="dot"/>
            </w:tabs>
            <w:rPr/>
          </w:pPr>
          <w:hyperlink w:anchor="__RefHeading___Toc4159432_3804643083">
            <w:r>
              <w:rPr>
                <w:webHidden/>
                <w:rStyle w:val="IndexLink"/>
                <w:rtl w:val="true"/>
              </w:rPr>
              <w:t>محتوی شرح المشیخة</w:t>
            </w:r>
            <w:r>
              <w:rPr>
                <w:rStyle w:val="IndexLink"/>
                <w:rtl w:val="true"/>
              </w:rPr>
              <w:tab/>
            </w:r>
            <w:r>
              <w:rPr>
                <w:rStyle w:val="IndexLink"/>
              </w:rPr>
              <w:t>85</w:t>
            </w:r>
          </w:hyperlink>
        </w:p>
        <w:p>
          <w:pPr>
            <w:pStyle w:val="Contents4"/>
            <w:tabs>
              <w:tab w:val="clear" w:pos="8176"/>
              <w:tab w:val="right" w:pos="9026" w:leader="dot"/>
            </w:tabs>
            <w:rPr/>
          </w:pPr>
          <w:hyperlink w:anchor="__RefHeading___Toc4159434_380464308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159436_3804643083">
            <w:r>
              <w:rPr>
                <w:webHidden/>
                <w:rStyle w:val="IndexLink"/>
                <w:rtl w:val="true"/>
              </w:rPr>
              <w:t>روایات الکتب الأربعة مأخوذة من الاُصول والکتب المعتبرة</w:t>
            </w:r>
            <w:r>
              <w:rPr>
                <w:rStyle w:val="IndexLink"/>
                <w:rtl w:val="true"/>
              </w:rPr>
              <w:tab/>
            </w:r>
            <w:r>
              <w:rPr>
                <w:rStyle w:val="IndexLink"/>
              </w:rPr>
              <w:t>86</w:t>
            </w:r>
          </w:hyperlink>
        </w:p>
        <w:p>
          <w:pPr>
            <w:pStyle w:val="Contents4"/>
            <w:tabs>
              <w:tab w:val="clear" w:pos="8176"/>
              <w:tab w:val="right" w:pos="9026" w:leader="dot"/>
            </w:tabs>
            <w:rPr/>
          </w:pPr>
          <w:hyperlink w:anchor="__RefHeading___Toc4159438_3804643083">
            <w:r>
              <w:rPr>
                <w:webHidden/>
                <w:rStyle w:val="IndexLink"/>
                <w:rtl w:val="true"/>
              </w:rPr>
              <w:t xml:space="preserve">مصادر الصدوق فی </w:t>
            </w:r>
            <w:r>
              <w:rPr>
                <w:rStyle w:val="IndexLink"/>
                <w:rtl w:val="true"/>
              </w:rPr>
              <w:t>«</w:t>
            </w:r>
            <w:r>
              <w:rPr>
                <w:rStyle w:val="IndexLink"/>
                <w:rtl w:val="true"/>
              </w:rPr>
              <w:t>الفقیه</w:t>
            </w:r>
            <w:r>
              <w:rPr>
                <w:rStyle w:val="IndexLink"/>
                <w:rtl w:val="true"/>
              </w:rPr>
              <w:t xml:space="preserve">» </w:t>
            </w:r>
            <w:r>
              <w:rPr>
                <w:rStyle w:val="IndexLink"/>
                <w:rtl w:val="true"/>
              </w:rPr>
              <w:t>لیست کلّها من الاُصول</w:t>
            </w:r>
            <w:r>
              <w:rPr>
                <w:rStyle w:val="IndexLink"/>
                <w:rtl w:val="true"/>
              </w:rPr>
              <w:tab/>
            </w:r>
            <w:r>
              <w:rPr>
                <w:rStyle w:val="IndexLink"/>
              </w:rPr>
              <w:t>87</w:t>
            </w:r>
          </w:hyperlink>
        </w:p>
        <w:p>
          <w:pPr>
            <w:pStyle w:val="Contents4"/>
            <w:tabs>
              <w:tab w:val="clear" w:pos="8176"/>
              <w:tab w:val="right" w:pos="9026" w:leader="dot"/>
            </w:tabs>
            <w:rPr/>
          </w:pPr>
          <w:hyperlink w:anchor="__RefHeading___Toc4159440_3804643083">
            <w:r>
              <w:rPr>
                <w:webHidden/>
                <w:rStyle w:val="IndexLink"/>
                <w:rtl w:val="true"/>
              </w:rPr>
              <w:t>للمشایخ الثلاثة طُرق کثیرة إلی أصحاب الاُصول</w:t>
            </w:r>
            <w:r>
              <w:rPr>
                <w:rStyle w:val="IndexLink"/>
                <w:rtl w:val="true"/>
              </w:rPr>
              <w:tab/>
            </w:r>
            <w:r>
              <w:rPr>
                <w:rStyle w:val="IndexLink"/>
              </w:rPr>
              <w:t>88</w:t>
            </w:r>
          </w:hyperlink>
        </w:p>
        <w:p>
          <w:pPr>
            <w:pStyle w:val="Contents4"/>
            <w:tabs>
              <w:tab w:val="clear" w:pos="8176"/>
              <w:tab w:val="right" w:pos="9026" w:leader="dot"/>
            </w:tabs>
            <w:rPr/>
          </w:pPr>
          <w:hyperlink w:anchor="__RefHeading___Toc4159442_3804643083">
            <w:r>
              <w:rPr>
                <w:webHidden/>
                <w:rStyle w:val="IndexLink"/>
                <w:rtl w:val="true"/>
              </w:rPr>
              <w:t xml:space="preserve">الظن الحاصل من وصف الصَدوقین أخبار کتابیهما بالصحّة أقوی من أقوال </w:t>
            </w:r>
            <w:r>
              <w:rPr>
                <w:rStyle w:val="IndexLink"/>
                <w:rtl w:val="true"/>
              </w:rPr>
              <w:t>. . .</w:t>
              <w:tab/>
            </w:r>
            <w:r>
              <w:rPr>
                <w:rStyle w:val="IndexLink"/>
              </w:rPr>
              <w:t>90</w:t>
            </w:r>
          </w:hyperlink>
        </w:p>
        <w:p>
          <w:pPr>
            <w:pStyle w:val="Contents4"/>
            <w:tabs>
              <w:tab w:val="clear" w:pos="8176"/>
              <w:tab w:val="right" w:pos="9026" w:leader="dot"/>
            </w:tabs>
            <w:rPr/>
          </w:pPr>
          <w:hyperlink w:anchor="__RefHeading___Toc4159444_3804643083">
            <w:r>
              <w:rPr>
                <w:webHidden/>
                <w:rStyle w:val="IndexLink"/>
                <w:rtl w:val="true"/>
              </w:rPr>
              <w:t>عذر المشایخ فی النقل عن کتب بعض الضُعَفاء</w:t>
            </w:r>
            <w:r>
              <w:rPr>
                <w:rStyle w:val="IndexLink"/>
                <w:rtl w:val="true"/>
              </w:rPr>
              <w:tab/>
            </w:r>
            <w:r>
              <w:rPr>
                <w:rStyle w:val="IndexLink"/>
              </w:rPr>
              <w:t>92</w:t>
            </w:r>
          </w:hyperlink>
        </w:p>
        <w:p>
          <w:pPr>
            <w:pStyle w:val="Contents4"/>
            <w:tabs>
              <w:tab w:val="clear" w:pos="8176"/>
              <w:tab w:val="right" w:pos="9026" w:leader="dot"/>
            </w:tabs>
            <w:rPr/>
          </w:pPr>
          <w:hyperlink w:anchor="__RefHeading___Toc4159446_3804643083">
            <w:r>
              <w:rPr>
                <w:webHidden/>
                <w:rStyle w:val="IndexLink"/>
                <w:rtl w:val="true"/>
              </w:rPr>
              <w:t>اضطرار المشایخ الثلاثة فی النقل عن الغُلاة وتهذیب روایاتهم</w:t>
            </w:r>
            <w:r>
              <w:rPr>
                <w:rStyle w:val="IndexLink"/>
                <w:rtl w:val="true"/>
              </w:rPr>
              <w:tab/>
            </w:r>
            <w:r>
              <w:rPr>
                <w:rStyle w:val="IndexLink"/>
              </w:rPr>
              <w:t>94</w:t>
            </w:r>
          </w:hyperlink>
        </w:p>
        <w:p>
          <w:pPr>
            <w:pStyle w:val="Contents3"/>
            <w:tabs>
              <w:tab w:val="clear" w:pos="8459"/>
              <w:tab w:val="right" w:pos="9026" w:leader="dot"/>
            </w:tabs>
            <w:rPr/>
          </w:pPr>
          <w:hyperlink w:anchor="__RefHeading___Toc4159448_3804643083">
            <w:r>
              <w:rPr>
                <w:webHidden/>
                <w:rStyle w:val="IndexLink"/>
                <w:rtl w:val="true"/>
              </w:rPr>
              <w:t>تأریخ التألیف</w:t>
            </w:r>
            <w:r>
              <w:rPr>
                <w:rStyle w:val="IndexLink"/>
                <w:rtl w:val="true"/>
              </w:rPr>
              <w:tab/>
            </w:r>
            <w:r>
              <w:rPr>
                <w:rStyle w:val="IndexLink"/>
              </w:rPr>
              <w:t>95</w:t>
            </w:r>
          </w:hyperlink>
        </w:p>
        <w:p>
          <w:pPr>
            <w:pStyle w:val="Contents4"/>
            <w:tabs>
              <w:tab w:val="clear" w:pos="8176"/>
              <w:tab w:val="right" w:pos="9026" w:leader="dot"/>
            </w:tabs>
            <w:rPr/>
          </w:pPr>
          <w:hyperlink w:anchor="__RefHeading___Toc4159450_380464308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159452_3804643083">
            <w:r>
              <w:rPr>
                <w:webHidden/>
                <w:rStyle w:val="IndexLink"/>
                <w:rtl w:val="true"/>
              </w:rPr>
              <w:t>تنبیه</w:t>
            </w:r>
            <w:r>
              <w:rPr>
                <w:rStyle w:val="IndexLink"/>
                <w:rtl w:val="true"/>
              </w:rPr>
              <w:tab/>
            </w:r>
            <w:r>
              <w:rPr>
                <w:rStyle w:val="IndexLink"/>
              </w:rPr>
              <w:t>95</w:t>
            </w:r>
          </w:hyperlink>
        </w:p>
        <w:p>
          <w:pPr>
            <w:pStyle w:val="Contents4"/>
            <w:tabs>
              <w:tab w:val="clear" w:pos="8176"/>
              <w:tab w:val="right" w:pos="9026" w:leader="dot"/>
            </w:tabs>
            <w:rPr/>
          </w:pPr>
          <w:hyperlink w:anchor="__RefHeading___Toc4159454_3804643083">
            <w:r>
              <w:rPr>
                <w:webHidden/>
                <w:rStyle w:val="IndexLink"/>
                <w:rtl w:val="true"/>
              </w:rPr>
              <w:t>نقل الصدوق عن الکافی فی الفقیه ، والشَّیخ فی التهذیبین عن الفقیه</w:t>
            </w:r>
            <w:r>
              <w:rPr>
                <w:rStyle w:val="IndexLink"/>
                <w:rtl w:val="true"/>
              </w:rPr>
              <w:tab/>
            </w:r>
            <w:r>
              <w:rPr>
                <w:rStyle w:val="IndexLink"/>
              </w:rPr>
              <w:t>97</w:t>
            </w:r>
          </w:hyperlink>
        </w:p>
        <w:p>
          <w:pPr>
            <w:pStyle w:val="Contents3"/>
            <w:tabs>
              <w:tab w:val="clear" w:pos="8459"/>
              <w:tab w:val="right" w:pos="9026" w:leader="dot"/>
            </w:tabs>
            <w:rPr/>
          </w:pPr>
          <w:hyperlink w:anchor="__RefHeading___Toc4159456_3804643083">
            <w:r>
              <w:rPr>
                <w:webHidden/>
                <w:rStyle w:val="IndexLink"/>
                <w:rtl w:val="true"/>
              </w:rPr>
              <w:t xml:space="preserve">الفصل الرابع </w:t>
            </w:r>
            <w:r>
              <w:rPr>
                <w:rStyle w:val="IndexLink"/>
                <w:rtl w:val="true"/>
              </w:rPr>
              <w:t xml:space="preserve">: </w:t>
            </w:r>
            <w:r>
              <w:rPr>
                <w:rStyle w:val="IndexLink"/>
                <w:rtl w:val="true"/>
              </w:rPr>
              <w:t>أعلام الجرح والتعدیل ومناهجهم</w:t>
            </w:r>
            <w:r>
              <w:rPr>
                <w:rStyle w:val="IndexLink"/>
                <w:rtl w:val="true"/>
              </w:rPr>
              <w:tab/>
            </w:r>
            <w:r>
              <w:rPr>
                <w:rStyle w:val="IndexLink"/>
              </w:rPr>
              <w:t>100</w:t>
            </w:r>
          </w:hyperlink>
        </w:p>
        <w:p>
          <w:pPr>
            <w:pStyle w:val="Contents4"/>
            <w:tabs>
              <w:tab w:val="clear" w:pos="8176"/>
              <w:tab w:val="right" w:pos="9026" w:leader="dot"/>
            </w:tabs>
            <w:rPr/>
          </w:pPr>
          <w:hyperlink w:anchor="__RefHeading___Toc4159458_380464308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159460_3804643083">
            <w:r>
              <w:rPr>
                <w:webHidden/>
                <w:rStyle w:val="IndexLink"/>
                <w:rtl w:val="true"/>
              </w:rPr>
              <w:t>مقدمة فی کلّیات علم الرجال</w:t>
            </w:r>
            <w:r>
              <w:rPr>
                <w:rStyle w:val="IndexLink"/>
                <w:rtl w:val="true"/>
              </w:rPr>
              <w:tab/>
            </w:r>
            <w:r>
              <w:rPr>
                <w:rStyle w:val="IndexLink"/>
              </w:rPr>
              <w:t>100</w:t>
            </w:r>
          </w:hyperlink>
        </w:p>
        <w:p>
          <w:pPr>
            <w:pStyle w:val="Contents4"/>
            <w:tabs>
              <w:tab w:val="clear" w:pos="8176"/>
              <w:tab w:val="right" w:pos="9026" w:leader="dot"/>
            </w:tabs>
            <w:rPr/>
          </w:pPr>
          <w:hyperlink w:anchor="__RefHeading___Toc4159462_3804643083">
            <w:r>
              <w:rPr>
                <w:webHidden/>
                <w:rStyle w:val="IndexLink"/>
                <w:rtl w:val="true"/>
              </w:rPr>
              <w:t>المدار فی علم الرجال الاعتماد علی الظن</w:t>
            </w:r>
            <w:r>
              <w:rPr>
                <w:rStyle w:val="IndexLink"/>
                <w:rtl w:val="true"/>
              </w:rPr>
              <w:tab/>
            </w:r>
            <w:r>
              <w:rPr>
                <w:rStyle w:val="IndexLink"/>
              </w:rPr>
              <w:t>101</w:t>
            </w:r>
          </w:hyperlink>
        </w:p>
        <w:p>
          <w:pPr>
            <w:pStyle w:val="Contents4"/>
            <w:tabs>
              <w:tab w:val="clear" w:pos="8176"/>
              <w:tab w:val="right" w:pos="9026" w:leader="dot"/>
            </w:tabs>
            <w:rPr/>
          </w:pPr>
          <w:hyperlink w:anchor="__RefHeading___Toc4159464_3804643083">
            <w:r>
              <w:rPr>
                <w:webHidden/>
                <w:rStyle w:val="IndexLink"/>
                <w:rtl w:val="true"/>
              </w:rPr>
              <w:t>الأسماء المشترکة فی الأسناد تنصرف إلی المشهورین</w:t>
            </w:r>
            <w:r>
              <w:rPr>
                <w:rStyle w:val="IndexLink"/>
                <w:rtl w:val="true"/>
              </w:rPr>
              <w:tab/>
            </w:r>
            <w:r>
              <w:rPr>
                <w:rStyle w:val="IndexLink"/>
              </w:rPr>
              <w:t>101</w:t>
            </w:r>
          </w:hyperlink>
        </w:p>
        <w:p>
          <w:pPr>
            <w:pStyle w:val="Contents4"/>
            <w:tabs>
              <w:tab w:val="clear" w:pos="8176"/>
              <w:tab w:val="right" w:pos="9026" w:leader="dot"/>
            </w:tabs>
            <w:rPr/>
          </w:pPr>
          <w:hyperlink w:anchor="__RefHeading___Toc4159466_3804643083">
            <w:r>
              <w:rPr>
                <w:webHidden/>
                <w:rStyle w:val="IndexLink"/>
                <w:rtl w:val="true"/>
              </w:rPr>
              <w:t>ذکر تدلیس جماعة من المجتهدین</w:t>
            </w:r>
            <w:r>
              <w:rPr>
                <w:rStyle w:val="IndexLink"/>
                <w:rtl w:val="true"/>
              </w:rPr>
              <w:tab/>
            </w:r>
            <w:r>
              <w:rPr>
                <w:rStyle w:val="IndexLink"/>
              </w:rPr>
              <w:t>101</w:t>
            </w:r>
          </w:hyperlink>
        </w:p>
        <w:p>
          <w:pPr>
            <w:pStyle w:val="Contents4"/>
            <w:tabs>
              <w:tab w:val="clear" w:pos="8176"/>
              <w:tab w:val="right" w:pos="9026" w:leader="dot"/>
            </w:tabs>
            <w:rPr/>
          </w:pPr>
          <w:hyperlink w:anchor="__RefHeading___Toc4159468_3804643083">
            <w:r>
              <w:rPr>
                <w:webHidden/>
                <w:rStyle w:val="IndexLink"/>
                <w:rtl w:val="true"/>
              </w:rPr>
              <w:t>حجّیة توثیقات المتأخّرین</w:t>
            </w:r>
            <w:r>
              <w:rPr>
                <w:rStyle w:val="IndexLink"/>
                <w:rtl w:val="true"/>
              </w:rPr>
              <w:tab/>
            </w:r>
            <w:r>
              <w:rPr>
                <w:rStyle w:val="IndexLink"/>
              </w:rPr>
              <w:t>102</w:t>
            </w:r>
          </w:hyperlink>
        </w:p>
        <w:p>
          <w:pPr>
            <w:pStyle w:val="Contents4"/>
            <w:tabs>
              <w:tab w:val="clear" w:pos="8176"/>
              <w:tab w:val="right" w:pos="9026" w:leader="dot"/>
            </w:tabs>
            <w:rPr/>
          </w:pPr>
          <w:hyperlink w:anchor="__RefHeading___Toc4159470_3804643083">
            <w:r>
              <w:rPr>
                <w:webHidden/>
                <w:rStyle w:val="IndexLink"/>
                <w:rtl w:val="true"/>
              </w:rPr>
              <w:t>مدار القدماء فی توثیق الرواة عدم وجود الغلط فی کتبهم</w:t>
            </w:r>
            <w:r>
              <w:rPr>
                <w:rStyle w:val="IndexLink"/>
                <w:rtl w:val="true"/>
              </w:rPr>
              <w:tab/>
            </w:r>
            <w:r>
              <w:rPr>
                <w:rStyle w:val="IndexLink"/>
              </w:rPr>
              <w:t>103</w:t>
            </w:r>
          </w:hyperlink>
        </w:p>
        <w:p>
          <w:pPr>
            <w:pStyle w:val="Contents4"/>
            <w:tabs>
              <w:tab w:val="clear" w:pos="8176"/>
              <w:tab w:val="right" w:pos="9026" w:leader="dot"/>
            </w:tabs>
            <w:rPr/>
          </w:pPr>
          <w:hyperlink w:anchor="__RefHeading___Toc4159472_3804643083">
            <w:r>
              <w:rPr>
                <w:webHidden/>
                <w:rStyle w:val="IndexLink"/>
                <w:rtl w:val="true"/>
              </w:rPr>
              <w:t>إطلاق التوثیق فی الکتب الرجالیة یدلّ علی أنّ الرجل إمامی</w:t>
            </w:r>
            <w:r>
              <w:rPr>
                <w:rStyle w:val="IndexLink"/>
                <w:rtl w:val="true"/>
              </w:rPr>
              <w:tab/>
            </w:r>
            <w:r>
              <w:rPr>
                <w:rStyle w:val="IndexLink"/>
              </w:rPr>
              <w:t>104</w:t>
            </w:r>
          </w:hyperlink>
        </w:p>
        <w:p>
          <w:pPr>
            <w:pStyle w:val="Contents4"/>
            <w:tabs>
              <w:tab w:val="clear" w:pos="8176"/>
              <w:tab w:val="right" w:pos="9026" w:leader="dot"/>
            </w:tabs>
            <w:rPr/>
          </w:pPr>
          <w:hyperlink w:anchor="__RefHeading___Toc4159474_3804643083">
            <w:r>
              <w:rPr>
                <w:webHidden/>
                <w:rStyle w:val="IndexLink"/>
                <w:rtl w:val="true"/>
              </w:rPr>
              <w:t xml:space="preserve">المبحث الأوّل </w:t>
            </w:r>
            <w:r>
              <w:rPr>
                <w:rStyle w:val="IndexLink"/>
                <w:rtl w:val="true"/>
              </w:rPr>
              <w:t xml:space="preserve">: </w:t>
            </w:r>
            <w:r>
              <w:rPr>
                <w:rStyle w:val="IndexLink"/>
                <w:rtl w:val="true"/>
              </w:rPr>
              <w:t>فیما قاله الشارح فی مشایخ الجرح والتعدیل</w:t>
            </w:r>
            <w:r>
              <w:rPr>
                <w:rStyle w:val="IndexLink"/>
                <w:rtl w:val="true"/>
              </w:rPr>
              <w:tab/>
            </w:r>
            <w:r>
              <w:rPr>
                <w:rStyle w:val="IndexLink"/>
              </w:rPr>
              <w:t>105</w:t>
            </w:r>
          </w:hyperlink>
        </w:p>
        <w:p>
          <w:pPr>
            <w:pStyle w:val="Contents5"/>
            <w:tabs>
              <w:tab w:val="clear" w:pos="7892"/>
              <w:tab w:val="right" w:pos="9026" w:leader="dot"/>
            </w:tabs>
            <w:rPr/>
          </w:pPr>
          <w:hyperlink w:anchor="__RefHeading___Toc4159476_380464308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4159478_3804643083">
            <w:r>
              <w:rPr>
                <w:webHidden/>
                <w:rStyle w:val="IndexLink"/>
              </w:rPr>
              <w:t>1</w:t>
            </w:r>
            <w:r>
              <w:rPr>
                <w:rStyle w:val="IndexLink"/>
                <w:rtl w:val="true"/>
              </w:rPr>
              <w:t xml:space="preserve"> . </w:t>
            </w:r>
            <w:r>
              <w:rPr>
                <w:rStyle w:val="IndexLink"/>
                <w:rtl w:val="true"/>
              </w:rPr>
              <w:t>النجاشی</w:t>
            </w:r>
            <w:r>
              <w:rPr>
                <w:rStyle w:val="IndexLink"/>
                <w:rtl w:val="true"/>
              </w:rPr>
              <w:tab/>
            </w:r>
            <w:r>
              <w:rPr>
                <w:rStyle w:val="IndexLink"/>
              </w:rPr>
              <w:t>105</w:t>
            </w:r>
          </w:hyperlink>
        </w:p>
        <w:p>
          <w:pPr>
            <w:pStyle w:val="Contents5"/>
            <w:tabs>
              <w:tab w:val="clear" w:pos="7892"/>
              <w:tab w:val="right" w:pos="9026" w:leader="dot"/>
            </w:tabs>
            <w:rPr/>
          </w:pPr>
          <w:hyperlink w:anchor="__RefHeading___Toc4159480_3804643083">
            <w:r>
              <w:rPr>
                <w:webHidden/>
                <w:rStyle w:val="IndexLink"/>
              </w:rPr>
              <w:t>2</w:t>
            </w:r>
            <w:r>
              <w:rPr>
                <w:rStyle w:val="IndexLink"/>
                <w:rtl w:val="true"/>
              </w:rPr>
              <w:t xml:space="preserve"> . </w:t>
            </w:r>
            <w:r>
              <w:rPr>
                <w:rStyle w:val="IndexLink"/>
                <w:rtl w:val="true"/>
              </w:rPr>
              <w:t>الشَّیخ</w:t>
            </w:r>
            <w:r>
              <w:rPr>
                <w:rStyle w:val="IndexLink"/>
                <w:rtl w:val="true"/>
              </w:rPr>
              <w:tab/>
            </w:r>
            <w:r>
              <w:rPr>
                <w:rStyle w:val="IndexLink"/>
              </w:rPr>
              <w:t>106</w:t>
            </w:r>
          </w:hyperlink>
        </w:p>
        <w:p>
          <w:pPr>
            <w:pStyle w:val="Contents5"/>
            <w:tabs>
              <w:tab w:val="clear" w:pos="7892"/>
              <w:tab w:val="right" w:pos="9026" w:leader="dot"/>
            </w:tabs>
            <w:rPr/>
          </w:pPr>
          <w:hyperlink w:anchor="__RefHeading___Toc4159482_3804643083">
            <w:r>
              <w:rPr>
                <w:webHidden/>
                <w:rStyle w:val="IndexLink"/>
              </w:rPr>
              <w:t>3</w:t>
            </w:r>
            <w:r>
              <w:rPr>
                <w:rStyle w:val="IndexLink"/>
                <w:rtl w:val="true"/>
              </w:rPr>
              <w:t xml:space="preserve"> . </w:t>
            </w:r>
            <w:r>
              <w:rPr>
                <w:rStyle w:val="IndexLink"/>
                <w:rtl w:val="true"/>
              </w:rPr>
              <w:t>ابن الغضائری</w:t>
            </w:r>
            <w:r>
              <w:rPr>
                <w:rStyle w:val="IndexLink"/>
                <w:rtl w:val="true"/>
              </w:rPr>
              <w:tab/>
            </w:r>
            <w:r>
              <w:rPr>
                <w:rStyle w:val="IndexLink"/>
              </w:rPr>
              <w:t>107</w:t>
            </w:r>
          </w:hyperlink>
        </w:p>
        <w:p>
          <w:pPr>
            <w:pStyle w:val="Contents4"/>
            <w:tabs>
              <w:tab w:val="clear" w:pos="8176"/>
              <w:tab w:val="right" w:pos="9026" w:leader="dot"/>
            </w:tabs>
            <w:rPr/>
          </w:pPr>
          <w:hyperlink w:anchor="__RefHeading___Toc4159484_3804643083">
            <w:r>
              <w:rPr>
                <w:webHidden/>
                <w:rStyle w:val="IndexLink"/>
                <w:rtl w:val="true"/>
              </w:rPr>
              <w:t xml:space="preserve">المبحث الثانی </w:t>
            </w:r>
            <w:r>
              <w:rPr>
                <w:rStyle w:val="IndexLink"/>
                <w:rtl w:val="true"/>
              </w:rPr>
              <w:t xml:space="preserve">: </w:t>
            </w:r>
            <w:r>
              <w:rPr>
                <w:rStyle w:val="IndexLink"/>
                <w:rtl w:val="true"/>
              </w:rPr>
              <w:t>فی منهج المشایخ الثلاثة فی التضعیف</w:t>
            </w:r>
            <w:r>
              <w:rPr>
                <w:rStyle w:val="IndexLink"/>
                <w:rtl w:val="true"/>
              </w:rPr>
              <w:tab/>
            </w:r>
            <w:r>
              <w:rPr>
                <w:rStyle w:val="IndexLink"/>
              </w:rPr>
              <w:t>110</w:t>
            </w:r>
          </w:hyperlink>
        </w:p>
        <w:p>
          <w:pPr>
            <w:pStyle w:val="Contents4"/>
            <w:tabs>
              <w:tab w:val="clear" w:pos="8176"/>
              <w:tab w:val="right" w:pos="9026" w:leader="dot"/>
            </w:tabs>
            <w:rPr/>
          </w:pPr>
          <w:hyperlink w:anchor="__RefHeading___Toc4159486_3804643083">
            <w:r>
              <w:rPr>
                <w:webHidden/>
                <w:rStyle w:val="IndexLink"/>
                <w:rtl w:val="true"/>
              </w:rPr>
              <w:t>قدح بعض الرجال لنقلهم خوارق العادات عن الأئمّة</w:t>
            </w:r>
            <w:r>
              <w:rPr>
                <w:rStyle w:val="IndexLink"/>
                <w:rtl w:val="true"/>
              </w:rPr>
              <w:tab/>
            </w:r>
            <w:r>
              <w:rPr>
                <w:rStyle w:val="IndexLink"/>
              </w:rPr>
              <w:t>111</w:t>
            </w:r>
          </w:hyperlink>
        </w:p>
        <w:p>
          <w:pPr>
            <w:pStyle w:val="Contents4"/>
            <w:tabs>
              <w:tab w:val="clear" w:pos="8176"/>
              <w:tab w:val="right" w:pos="9026" w:leader="dot"/>
            </w:tabs>
            <w:rPr/>
          </w:pPr>
          <w:hyperlink w:anchor="__RefHeading___Toc4159488_3804643083">
            <w:r>
              <w:rPr>
                <w:webHidden/>
                <w:rStyle w:val="IndexLink"/>
                <w:rtl w:val="true"/>
              </w:rPr>
              <w:t>تضعیف بعض أصحاب الأسرار کسراً لمذهب الغُلاة</w:t>
            </w:r>
            <w:r>
              <w:rPr>
                <w:rStyle w:val="IndexLink"/>
                <w:rtl w:val="true"/>
              </w:rPr>
              <w:tab/>
            </w:r>
            <w:r>
              <w:rPr>
                <w:rStyle w:val="IndexLink"/>
              </w:rPr>
              <w:t>113</w:t>
            </w:r>
          </w:hyperlink>
        </w:p>
        <w:p>
          <w:pPr>
            <w:pStyle w:val="Contents4"/>
            <w:tabs>
              <w:tab w:val="clear" w:pos="8176"/>
              <w:tab w:val="right" w:pos="9026" w:leader="dot"/>
            </w:tabs>
            <w:rPr/>
          </w:pPr>
          <w:hyperlink w:anchor="__RefHeading___Toc4159490_3804643083">
            <w:r>
              <w:rPr>
                <w:webHidden/>
                <w:rStyle w:val="IndexLink"/>
                <w:rtl w:val="true"/>
              </w:rPr>
              <w:t>التضعیف لذکر الأسانید من دون المتون والمتون من دون الأسانید</w:t>
            </w:r>
            <w:r>
              <w:rPr>
                <w:rStyle w:val="IndexLink"/>
                <w:rtl w:val="true"/>
              </w:rPr>
              <w:tab/>
            </w:r>
            <w:r>
              <w:rPr>
                <w:rStyle w:val="IndexLink"/>
              </w:rPr>
              <w:t>115</w:t>
            </w:r>
          </w:hyperlink>
        </w:p>
        <w:p>
          <w:pPr>
            <w:pStyle w:val="Contents4"/>
            <w:tabs>
              <w:tab w:val="clear" w:pos="8176"/>
              <w:tab w:val="right" w:pos="9026" w:leader="dot"/>
            </w:tabs>
            <w:rPr/>
          </w:pPr>
          <w:hyperlink w:anchor="__RefHeading___Toc4159492_3804643083">
            <w:r>
              <w:rPr>
                <w:webHidden/>
                <w:rStyle w:val="IndexLink"/>
                <w:rtl w:val="true"/>
              </w:rPr>
              <w:t>التسرع إلی نسبة وضع الأخبار إلی الرواة</w:t>
            </w:r>
            <w:r>
              <w:rPr>
                <w:rStyle w:val="IndexLink"/>
                <w:rtl w:val="true"/>
              </w:rPr>
              <w:tab/>
            </w:r>
            <w:r>
              <w:rPr>
                <w:rStyle w:val="IndexLink"/>
              </w:rPr>
              <w:t>115</w:t>
            </w:r>
          </w:hyperlink>
        </w:p>
        <w:p>
          <w:pPr>
            <w:pStyle w:val="Contents4"/>
            <w:tabs>
              <w:tab w:val="clear" w:pos="8176"/>
              <w:tab w:val="right" w:pos="9026" w:leader="dot"/>
            </w:tabs>
            <w:rPr/>
          </w:pPr>
          <w:hyperlink w:anchor="__RefHeading___Toc4159494_3804643083">
            <w:r>
              <w:rPr>
                <w:webHidden/>
                <w:rStyle w:val="IndexLink"/>
                <w:rtl w:val="true"/>
              </w:rPr>
              <w:t>حکم الرجالی بالضعف لیس بجرح</w:t>
            </w:r>
            <w:r>
              <w:rPr>
                <w:rStyle w:val="IndexLink"/>
                <w:rtl w:val="true"/>
              </w:rPr>
              <w:tab/>
            </w:r>
            <w:r>
              <w:rPr>
                <w:rStyle w:val="IndexLink"/>
              </w:rPr>
              <w:t>116</w:t>
            </w:r>
          </w:hyperlink>
        </w:p>
        <w:p>
          <w:pPr>
            <w:pStyle w:val="Contents4"/>
            <w:tabs>
              <w:tab w:val="clear" w:pos="8176"/>
              <w:tab w:val="right" w:pos="9026" w:leader="dot"/>
            </w:tabs>
            <w:rPr/>
          </w:pPr>
          <w:hyperlink w:anchor="__RefHeading___Toc4159496_3804643083">
            <w:r>
              <w:rPr>
                <w:webHidden/>
                <w:rStyle w:val="IndexLink"/>
                <w:rtl w:val="true"/>
              </w:rPr>
              <w:t>التضعیف لتخلیط الراوی فیما یسنده</w:t>
            </w:r>
            <w:r>
              <w:rPr>
                <w:rStyle w:val="IndexLink"/>
                <w:rtl w:val="true"/>
              </w:rPr>
              <w:tab/>
            </w:r>
            <w:r>
              <w:rPr>
                <w:rStyle w:val="IndexLink"/>
              </w:rPr>
              <w:t>117</w:t>
            </w:r>
          </w:hyperlink>
        </w:p>
        <w:p>
          <w:pPr>
            <w:pStyle w:val="Contents4"/>
            <w:tabs>
              <w:tab w:val="clear" w:pos="8176"/>
              <w:tab w:val="right" w:pos="9026" w:leader="dot"/>
            </w:tabs>
            <w:rPr/>
          </w:pPr>
          <w:hyperlink w:anchor="__RefHeading___Toc4159498_3804643083">
            <w:r>
              <w:rPr>
                <w:webHidden/>
                <w:rStyle w:val="IndexLink"/>
                <w:rtl w:val="true"/>
              </w:rPr>
              <w:t>التضعیف لاعتبار القراءة فی الإجازة</w:t>
            </w:r>
            <w:r>
              <w:rPr>
                <w:rStyle w:val="IndexLink"/>
                <w:rtl w:val="true"/>
              </w:rPr>
              <w:tab/>
            </w:r>
            <w:r>
              <w:rPr>
                <w:rStyle w:val="IndexLink"/>
              </w:rPr>
              <w:t>118</w:t>
            </w:r>
          </w:hyperlink>
        </w:p>
        <w:p>
          <w:pPr>
            <w:pStyle w:val="Contents2"/>
            <w:tabs>
              <w:tab w:val="clear" w:pos="8743"/>
              <w:tab w:val="right" w:pos="9026" w:leader="dot"/>
            </w:tabs>
            <w:rPr/>
          </w:pPr>
          <w:hyperlink w:anchor="__RefHeading___Toc4159500_3804643083">
            <w:r>
              <w:rPr>
                <w:webHidden/>
                <w:rStyle w:val="IndexLink"/>
                <w:rtl w:val="true"/>
              </w:rPr>
              <w:t xml:space="preserve">الباب الثانی </w:t>
            </w:r>
            <w:r>
              <w:rPr>
                <w:rStyle w:val="IndexLink"/>
                <w:rtl w:val="true"/>
              </w:rPr>
              <w:t xml:space="preserve">: </w:t>
            </w:r>
            <w:r>
              <w:rPr>
                <w:rStyle w:val="IndexLink"/>
                <w:rtl w:val="true"/>
              </w:rPr>
              <w:t>مصطلح الحدیث عند المُلاّ محمّدتقی المجلسی</w:t>
            </w:r>
            <w:r>
              <w:rPr>
                <w:rStyle w:val="IndexLink"/>
                <w:rtl w:val="true"/>
              </w:rPr>
              <w:tab/>
            </w:r>
            <w:r>
              <w:rPr>
                <w:rStyle w:val="IndexLink"/>
              </w:rPr>
              <w:t>119</w:t>
            </w:r>
          </w:hyperlink>
        </w:p>
        <w:p>
          <w:pPr>
            <w:pStyle w:val="Contents3"/>
            <w:tabs>
              <w:tab w:val="clear" w:pos="8459"/>
              <w:tab w:val="right" w:pos="9026" w:leader="dot"/>
            </w:tabs>
            <w:rPr/>
          </w:pPr>
          <w:hyperlink w:anchor="__RefHeading___Toc4159502_380464308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159504_3804643083">
            <w:r>
              <w:rPr>
                <w:webHidden/>
                <w:rStyle w:val="IndexLink"/>
                <w:rtl w:val="true"/>
              </w:rPr>
              <w:t xml:space="preserve">الفصل الأوّل </w:t>
            </w:r>
            <w:r>
              <w:rPr>
                <w:rStyle w:val="IndexLink"/>
                <w:rtl w:val="true"/>
              </w:rPr>
              <w:t xml:space="preserve">: </w:t>
            </w:r>
            <w:r>
              <w:rPr>
                <w:rStyle w:val="IndexLink"/>
                <w:rtl w:val="true"/>
              </w:rPr>
              <w:t>تصحیح الأخبار</w:t>
            </w:r>
            <w:r>
              <w:rPr>
                <w:rStyle w:val="IndexLink"/>
                <w:rtl w:val="true"/>
              </w:rPr>
              <w:tab/>
            </w:r>
            <w:r>
              <w:rPr>
                <w:rStyle w:val="IndexLink"/>
              </w:rPr>
              <w:t>120</w:t>
            </w:r>
          </w:hyperlink>
        </w:p>
        <w:p>
          <w:pPr>
            <w:pStyle w:val="Contents4"/>
            <w:tabs>
              <w:tab w:val="clear" w:pos="8176"/>
              <w:tab w:val="right" w:pos="9026" w:leader="dot"/>
            </w:tabs>
            <w:rPr/>
          </w:pPr>
          <w:hyperlink w:anchor="__RefHeading___Toc4159506_380464308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159508_3804643083">
            <w:r>
              <w:rPr>
                <w:webHidden/>
                <w:rStyle w:val="IndexLink"/>
                <w:rtl w:val="true"/>
              </w:rPr>
              <w:t>دأب القُدَماء تصحیح الکتب لا النظر فی کلّ واحد من رجال السند</w:t>
            </w:r>
            <w:r>
              <w:rPr>
                <w:rStyle w:val="IndexLink"/>
                <w:rtl w:val="true"/>
              </w:rPr>
              <w:tab/>
            </w:r>
            <w:r>
              <w:rPr>
                <w:rStyle w:val="IndexLink"/>
              </w:rPr>
              <w:t>121</w:t>
            </w:r>
          </w:hyperlink>
        </w:p>
        <w:p>
          <w:pPr>
            <w:pStyle w:val="Contents4"/>
            <w:tabs>
              <w:tab w:val="clear" w:pos="8176"/>
              <w:tab w:val="right" w:pos="9026" w:leader="dot"/>
            </w:tabs>
            <w:rPr/>
          </w:pPr>
          <w:hyperlink w:anchor="__RefHeading___Toc4159510_3804643083">
            <w:r>
              <w:rPr>
                <w:webHidden/>
                <w:rStyle w:val="IndexLink"/>
                <w:rtl w:val="true"/>
              </w:rPr>
              <w:t>المعتمد هو الکتاب</w:t>
            </w:r>
            <w:r>
              <w:rPr>
                <w:rStyle w:val="IndexLink"/>
                <w:rtl w:val="true"/>
              </w:rPr>
              <w:tab/>
            </w:r>
            <w:r>
              <w:rPr>
                <w:rStyle w:val="IndexLink"/>
              </w:rPr>
              <w:t>123</w:t>
            </w:r>
          </w:hyperlink>
        </w:p>
        <w:p>
          <w:pPr>
            <w:pStyle w:val="Contents4"/>
            <w:tabs>
              <w:tab w:val="clear" w:pos="8176"/>
              <w:tab w:val="right" w:pos="9026" w:leader="dot"/>
            </w:tabs>
            <w:rPr/>
          </w:pPr>
          <w:hyperlink w:anchor="__RefHeading___Toc4159512_3804643083">
            <w:r>
              <w:rPr>
                <w:webHidden/>
                <w:rStyle w:val="IndexLink"/>
                <w:rtl w:val="true"/>
              </w:rPr>
              <w:t>منهج العلاّمة فی تصحیح الطرق</w:t>
            </w:r>
            <w:r>
              <w:rPr>
                <w:rStyle w:val="IndexLink"/>
                <w:rtl w:val="true"/>
              </w:rPr>
              <w:tab/>
            </w:r>
            <w:r>
              <w:rPr>
                <w:rStyle w:val="IndexLink"/>
              </w:rPr>
              <w:t>124</w:t>
            </w:r>
          </w:hyperlink>
        </w:p>
        <w:p>
          <w:pPr>
            <w:pStyle w:val="Contents4"/>
            <w:tabs>
              <w:tab w:val="clear" w:pos="8176"/>
              <w:tab w:val="right" w:pos="9026" w:leader="dot"/>
            </w:tabs>
            <w:rPr/>
          </w:pPr>
          <w:hyperlink w:anchor="__RefHeading___Toc4159514_3804643083">
            <w:r>
              <w:rPr>
                <w:webHidden/>
                <w:rStyle w:val="IndexLink"/>
                <w:rtl w:val="true"/>
              </w:rPr>
              <w:t>لا نحتاج إلی السند</w:t>
            </w:r>
            <w:r>
              <w:rPr>
                <w:rStyle w:val="IndexLink"/>
                <w:rtl w:val="true"/>
              </w:rPr>
              <w:tab/>
            </w:r>
            <w:r>
              <w:rPr>
                <w:rStyle w:val="IndexLink"/>
              </w:rPr>
              <w:t>124</w:t>
            </w:r>
          </w:hyperlink>
        </w:p>
        <w:p>
          <w:pPr>
            <w:pStyle w:val="Contents4"/>
            <w:tabs>
              <w:tab w:val="clear" w:pos="8176"/>
              <w:tab w:val="right" w:pos="9026" w:leader="dot"/>
            </w:tabs>
            <w:rPr/>
          </w:pPr>
          <w:hyperlink w:anchor="__RefHeading___Toc4159516_3804643083">
            <w:r>
              <w:rPr>
                <w:webHidden/>
                <w:rStyle w:val="IndexLink"/>
                <w:rtl w:val="true"/>
              </w:rPr>
              <w:t>جواز العمل بالأخبار الّتی صححّها القُدَماء</w:t>
            </w:r>
            <w:r>
              <w:rPr>
                <w:rStyle w:val="IndexLink"/>
                <w:rtl w:val="true"/>
              </w:rPr>
              <w:tab/>
            </w:r>
            <w:r>
              <w:rPr>
                <w:rStyle w:val="IndexLink"/>
              </w:rPr>
              <w:t>126</w:t>
            </w:r>
          </w:hyperlink>
        </w:p>
        <w:p>
          <w:pPr>
            <w:pStyle w:val="Contents4"/>
            <w:tabs>
              <w:tab w:val="clear" w:pos="8176"/>
              <w:tab w:val="right" w:pos="9026" w:leader="dot"/>
            </w:tabs>
            <w:rPr/>
          </w:pPr>
          <w:hyperlink w:anchor="__RefHeading___Toc4159518_3804643083">
            <w:r>
              <w:rPr>
                <w:webHidden/>
                <w:rStyle w:val="IndexLink"/>
                <w:rtl w:val="true"/>
              </w:rPr>
              <w:t>کتب الأجلاّء متواترة</w:t>
            </w:r>
            <w:r>
              <w:rPr>
                <w:rStyle w:val="IndexLink"/>
                <w:rtl w:val="true"/>
              </w:rPr>
              <w:tab/>
            </w:r>
            <w:r>
              <w:rPr>
                <w:rStyle w:val="IndexLink"/>
              </w:rPr>
              <w:t>128</w:t>
            </w:r>
          </w:hyperlink>
        </w:p>
        <w:p>
          <w:pPr>
            <w:pStyle w:val="Contents4"/>
            <w:tabs>
              <w:tab w:val="clear" w:pos="8176"/>
              <w:tab w:val="right" w:pos="9026" w:leader="dot"/>
            </w:tabs>
            <w:rPr/>
          </w:pPr>
          <w:hyperlink w:anchor="__RefHeading___Toc4159520_3804643083">
            <w:r>
              <w:rPr>
                <w:webHidden/>
                <w:rStyle w:val="IndexLink"/>
                <w:rtl w:val="true"/>
              </w:rPr>
              <w:t>تکرار الخبر فی الاُصول والکتب کافٍ فی الصحَّة</w:t>
            </w:r>
            <w:r>
              <w:rPr>
                <w:rStyle w:val="IndexLink"/>
                <w:rtl w:val="true"/>
              </w:rPr>
              <w:tab/>
            </w:r>
            <w:r>
              <w:rPr>
                <w:rStyle w:val="IndexLink"/>
              </w:rPr>
              <w:t>128</w:t>
            </w:r>
          </w:hyperlink>
        </w:p>
        <w:p>
          <w:pPr>
            <w:pStyle w:val="Contents4"/>
            <w:tabs>
              <w:tab w:val="clear" w:pos="8176"/>
              <w:tab w:val="right" w:pos="9026" w:leader="dot"/>
            </w:tabs>
            <w:rPr/>
          </w:pPr>
          <w:hyperlink w:anchor="__RefHeading___Toc4159522_3804643083">
            <w:r>
              <w:rPr>
                <w:webHidden/>
                <w:rStyle w:val="IndexLink"/>
                <w:rtl w:val="true"/>
              </w:rPr>
              <w:t>صحَّة أخبار أصحاب الإجماع والاُصول</w:t>
            </w:r>
            <w:r>
              <w:rPr>
                <w:rStyle w:val="IndexLink"/>
                <w:rtl w:val="true"/>
              </w:rPr>
              <w:tab/>
            </w:r>
            <w:r>
              <w:rPr>
                <w:rStyle w:val="IndexLink"/>
              </w:rPr>
              <w:t>129</w:t>
            </w:r>
          </w:hyperlink>
        </w:p>
        <w:p>
          <w:pPr>
            <w:pStyle w:val="Contents4"/>
            <w:tabs>
              <w:tab w:val="clear" w:pos="8176"/>
              <w:tab w:val="right" w:pos="9026" w:leader="dot"/>
            </w:tabs>
            <w:rPr/>
          </w:pPr>
          <w:hyperlink w:anchor="__RefHeading___Toc4159524_3804643083">
            <w:r>
              <w:rPr>
                <w:webHidden/>
                <w:rStyle w:val="IndexLink"/>
                <w:rtl w:val="true"/>
              </w:rPr>
              <w:t>تنبیه</w:t>
            </w:r>
            <w:r>
              <w:rPr>
                <w:rStyle w:val="IndexLink"/>
                <w:rtl w:val="true"/>
              </w:rPr>
              <w:tab/>
            </w:r>
            <w:r>
              <w:rPr>
                <w:rStyle w:val="IndexLink"/>
              </w:rPr>
              <w:t>131</w:t>
            </w:r>
          </w:hyperlink>
        </w:p>
        <w:p>
          <w:pPr>
            <w:pStyle w:val="Contents4"/>
            <w:tabs>
              <w:tab w:val="clear" w:pos="8176"/>
              <w:tab w:val="right" w:pos="9026" w:leader="dot"/>
            </w:tabs>
            <w:rPr/>
          </w:pPr>
          <w:hyperlink w:anchor="__RefHeading___Toc4159526_3804643083">
            <w:r>
              <w:rPr>
                <w:webHidden/>
                <w:rStyle w:val="IndexLink"/>
                <w:rtl w:val="true"/>
              </w:rPr>
              <w:t>إلحاق بعض الرواة بأصحاب الإجماع</w:t>
            </w:r>
            <w:r>
              <w:rPr>
                <w:rStyle w:val="IndexLink"/>
                <w:rtl w:val="true"/>
              </w:rPr>
              <w:tab/>
            </w:r>
            <w:r>
              <w:rPr>
                <w:rStyle w:val="IndexLink"/>
              </w:rPr>
              <w:t>132</w:t>
            </w:r>
          </w:hyperlink>
        </w:p>
        <w:p>
          <w:pPr>
            <w:pStyle w:val="Contents4"/>
            <w:tabs>
              <w:tab w:val="clear" w:pos="8176"/>
              <w:tab w:val="right" w:pos="9026" w:leader="dot"/>
            </w:tabs>
            <w:rPr/>
          </w:pPr>
          <w:hyperlink w:anchor="__RefHeading___Toc4159528_3804643083">
            <w:r>
              <w:rPr>
                <w:webHidden/>
                <w:rStyle w:val="IndexLink"/>
                <w:rtl w:val="true"/>
              </w:rPr>
              <w:t>مراسیل کلّ من أجمعت الطائفة علی النقل عنهم کالمسانید</w:t>
            </w:r>
            <w:r>
              <w:rPr>
                <w:rStyle w:val="IndexLink"/>
                <w:rtl w:val="true"/>
              </w:rPr>
              <w:tab/>
            </w:r>
            <w:r>
              <w:rPr>
                <w:rStyle w:val="IndexLink"/>
              </w:rPr>
              <w:t>132</w:t>
            </w:r>
          </w:hyperlink>
        </w:p>
        <w:p>
          <w:pPr>
            <w:pStyle w:val="Contents4"/>
            <w:tabs>
              <w:tab w:val="clear" w:pos="8176"/>
              <w:tab w:val="right" w:pos="9026" w:leader="dot"/>
            </w:tabs>
            <w:rPr/>
          </w:pPr>
          <w:hyperlink w:anchor="__RefHeading___Toc4159530_3804643083">
            <w:r>
              <w:rPr>
                <w:webHidden/>
                <w:rStyle w:val="IndexLink"/>
                <w:rtl w:val="true"/>
              </w:rPr>
              <w:t>صحَّة مرسلات الأجلاّء</w:t>
            </w:r>
            <w:r>
              <w:rPr>
                <w:rStyle w:val="IndexLink"/>
                <w:rtl w:val="true"/>
              </w:rPr>
              <w:tab/>
            </w:r>
            <w:r>
              <w:rPr>
                <w:rStyle w:val="IndexLink"/>
              </w:rPr>
              <w:t>132</w:t>
            </w:r>
          </w:hyperlink>
        </w:p>
        <w:p>
          <w:pPr>
            <w:pStyle w:val="Contents4"/>
            <w:tabs>
              <w:tab w:val="clear" w:pos="8176"/>
              <w:tab w:val="right" w:pos="9026" w:leader="dot"/>
            </w:tabs>
            <w:rPr/>
          </w:pPr>
          <w:hyperlink w:anchor="__RefHeading___Toc4159532_3804643083">
            <w:r>
              <w:rPr>
                <w:webHidden/>
                <w:rStyle w:val="IndexLink"/>
                <w:rtl w:val="true"/>
              </w:rPr>
              <w:t>حجّیة موقوفات الأجلاّء</w:t>
            </w:r>
            <w:r>
              <w:rPr>
                <w:rStyle w:val="IndexLink"/>
                <w:rtl w:val="true"/>
              </w:rPr>
              <w:tab/>
            </w:r>
            <w:r>
              <w:rPr>
                <w:rStyle w:val="IndexLink"/>
              </w:rPr>
              <w:t>133</w:t>
            </w:r>
          </w:hyperlink>
        </w:p>
        <w:p>
          <w:pPr>
            <w:pStyle w:val="Contents4"/>
            <w:tabs>
              <w:tab w:val="clear" w:pos="8176"/>
              <w:tab w:val="right" w:pos="9026" w:leader="dot"/>
            </w:tabs>
            <w:rPr/>
          </w:pPr>
          <w:hyperlink w:anchor="__RefHeading___Toc4159534_3804643083">
            <w:r>
              <w:rPr>
                <w:webHidden/>
                <w:rStyle w:val="IndexLink"/>
                <w:rtl w:val="true"/>
              </w:rPr>
              <w:t>التواتر فی النقل عن المصادر الأوّلیة</w:t>
            </w:r>
            <w:r>
              <w:rPr>
                <w:rStyle w:val="IndexLink"/>
                <w:rtl w:val="true"/>
              </w:rPr>
              <w:tab/>
            </w:r>
            <w:r>
              <w:rPr>
                <w:rStyle w:val="IndexLink"/>
              </w:rPr>
              <w:t>133</w:t>
            </w:r>
          </w:hyperlink>
        </w:p>
        <w:p>
          <w:pPr>
            <w:pStyle w:val="Contents4"/>
            <w:tabs>
              <w:tab w:val="clear" w:pos="8176"/>
              <w:tab w:val="right" w:pos="9026" w:leader="dot"/>
            </w:tabs>
            <w:rPr/>
          </w:pPr>
          <w:hyperlink w:anchor="__RefHeading___Toc4159536_3804643083">
            <w:r>
              <w:rPr>
                <w:webHidden/>
                <w:rStyle w:val="IndexLink"/>
                <w:rtl w:val="true"/>
              </w:rPr>
              <w:t>شهادة متن الخبر بصحّته</w:t>
            </w:r>
            <w:r>
              <w:rPr>
                <w:rStyle w:val="IndexLink"/>
                <w:rtl w:val="true"/>
              </w:rPr>
              <w:tab/>
            </w:r>
            <w:r>
              <w:rPr>
                <w:rStyle w:val="IndexLink"/>
              </w:rPr>
              <w:t>136</w:t>
            </w:r>
          </w:hyperlink>
        </w:p>
        <w:p>
          <w:pPr>
            <w:pStyle w:val="Contents4"/>
            <w:tabs>
              <w:tab w:val="clear" w:pos="8176"/>
              <w:tab w:val="right" w:pos="9026" w:leader="dot"/>
            </w:tabs>
            <w:rPr/>
          </w:pPr>
          <w:hyperlink w:anchor="__RefHeading___Toc4159538_3804643083">
            <w:r>
              <w:rPr>
                <w:webHidden/>
                <w:rStyle w:val="IndexLink"/>
                <w:rtl w:val="true"/>
              </w:rPr>
              <w:t>ضعف الخبر ینجبر بعمل الأصحاب</w:t>
            </w:r>
            <w:r>
              <w:rPr>
                <w:rStyle w:val="IndexLink"/>
                <w:rtl w:val="true"/>
              </w:rPr>
              <w:tab/>
            </w:r>
            <w:r>
              <w:rPr>
                <w:rStyle w:val="IndexLink"/>
              </w:rPr>
              <w:t>137</w:t>
            </w:r>
          </w:hyperlink>
        </w:p>
        <w:p>
          <w:pPr>
            <w:pStyle w:val="Contents4"/>
            <w:tabs>
              <w:tab w:val="clear" w:pos="8176"/>
              <w:tab w:val="right" w:pos="9026" w:leader="dot"/>
            </w:tabs>
            <w:rPr/>
          </w:pPr>
          <w:hyperlink w:anchor="__RefHeading___Toc4159540_3804643083">
            <w:r>
              <w:rPr>
                <w:webHidden/>
                <w:rStyle w:val="IndexLink"/>
                <w:rtl w:val="true"/>
              </w:rPr>
              <w:t>المکاتبات کالمشافهات فی الاعتبار</w:t>
            </w:r>
            <w:r>
              <w:rPr>
                <w:rStyle w:val="IndexLink"/>
                <w:rtl w:val="true"/>
              </w:rPr>
              <w:tab/>
            </w:r>
            <w:r>
              <w:rPr>
                <w:rStyle w:val="IndexLink"/>
              </w:rPr>
              <w:t>138</w:t>
            </w:r>
          </w:hyperlink>
        </w:p>
        <w:p>
          <w:pPr>
            <w:pStyle w:val="Contents4"/>
            <w:tabs>
              <w:tab w:val="clear" w:pos="8176"/>
              <w:tab w:val="right" w:pos="9026" w:leader="dot"/>
            </w:tabs>
            <w:rPr/>
          </w:pPr>
          <w:hyperlink w:anchor="__RefHeading___Toc4159542_3804643083">
            <w:r>
              <w:rPr>
                <w:webHidden/>
                <w:rStyle w:val="IndexLink"/>
                <w:rtl w:val="true"/>
              </w:rPr>
              <w:t>تنبیه</w:t>
            </w:r>
            <w:r>
              <w:rPr>
                <w:rStyle w:val="IndexLink"/>
                <w:rtl w:val="true"/>
              </w:rPr>
              <w:tab/>
            </w:r>
            <w:r>
              <w:rPr>
                <w:rStyle w:val="IndexLink"/>
              </w:rPr>
              <w:t>138</w:t>
            </w:r>
          </w:hyperlink>
        </w:p>
        <w:p>
          <w:pPr>
            <w:pStyle w:val="Contents4"/>
            <w:tabs>
              <w:tab w:val="clear" w:pos="8176"/>
              <w:tab w:val="right" w:pos="9026" w:leader="dot"/>
            </w:tabs>
            <w:rPr/>
          </w:pPr>
          <w:hyperlink w:anchor="__RefHeading___Toc4159544_3804643083">
            <w:r>
              <w:rPr>
                <w:webHidden/>
                <w:rStyle w:val="IndexLink"/>
                <w:rtl w:val="true"/>
              </w:rPr>
              <w:t>الأصل فی الرواة عدالتهم</w:t>
            </w:r>
            <w:r>
              <w:rPr>
                <w:rStyle w:val="IndexLink"/>
                <w:rtl w:val="true"/>
              </w:rPr>
              <w:tab/>
            </w:r>
            <w:r>
              <w:rPr>
                <w:rStyle w:val="IndexLink"/>
              </w:rPr>
              <w:t>139</w:t>
            </w:r>
          </w:hyperlink>
        </w:p>
        <w:p>
          <w:pPr>
            <w:pStyle w:val="Contents4"/>
            <w:tabs>
              <w:tab w:val="clear" w:pos="8176"/>
              <w:tab w:val="right" w:pos="9026" w:leader="dot"/>
            </w:tabs>
            <w:rPr/>
          </w:pPr>
          <w:hyperlink w:anchor="__RefHeading___Toc4159546_3804643083">
            <w:r>
              <w:rPr>
                <w:webHidden/>
                <w:rStyle w:val="IndexLink"/>
                <w:rtl w:val="true"/>
              </w:rPr>
              <w:t>نقل شهادة الراوی لنفسه فی الکتب المعتبرة أمارة لصحّتها</w:t>
            </w:r>
            <w:r>
              <w:rPr>
                <w:rStyle w:val="IndexLink"/>
                <w:rtl w:val="true"/>
              </w:rPr>
              <w:tab/>
            </w:r>
            <w:r>
              <w:rPr>
                <w:rStyle w:val="IndexLink"/>
              </w:rPr>
              <w:t>139</w:t>
            </w:r>
          </w:hyperlink>
        </w:p>
        <w:p>
          <w:pPr>
            <w:pStyle w:val="Contents4"/>
            <w:tabs>
              <w:tab w:val="clear" w:pos="8176"/>
              <w:tab w:val="right" w:pos="9026" w:leader="dot"/>
            </w:tabs>
            <w:rPr/>
          </w:pPr>
          <w:hyperlink w:anchor="__RefHeading___Toc4159548_3804643083">
            <w:r>
              <w:rPr>
                <w:webHidden/>
                <w:rStyle w:val="IndexLink"/>
                <w:rtl w:val="true"/>
              </w:rPr>
              <w:t>روایة الواقفی عن الرضا علیه السلام تدلّ علی رجوعه</w:t>
            </w:r>
            <w:r>
              <w:rPr>
                <w:rStyle w:val="IndexLink"/>
                <w:rtl w:val="true"/>
              </w:rPr>
              <w:tab/>
            </w:r>
            <w:r>
              <w:rPr>
                <w:rStyle w:val="IndexLink"/>
              </w:rPr>
              <w:t>140</w:t>
            </w:r>
          </w:hyperlink>
        </w:p>
        <w:p>
          <w:pPr>
            <w:pStyle w:val="Contents4"/>
            <w:tabs>
              <w:tab w:val="clear" w:pos="8176"/>
              <w:tab w:val="right" w:pos="9026" w:leader="dot"/>
            </w:tabs>
            <w:rPr/>
          </w:pPr>
          <w:hyperlink w:anchor="__RefHeading___Toc4159550_3804643083">
            <w:r>
              <w:rPr>
                <w:webHidden/>
                <w:rStyle w:val="IndexLink"/>
                <w:rtl w:val="true"/>
              </w:rPr>
              <w:t>نقص ضعف السند بالاشتراک فی الاسم</w:t>
            </w:r>
            <w:r>
              <w:rPr>
                <w:rStyle w:val="IndexLink"/>
                <w:rtl w:val="true"/>
              </w:rPr>
              <w:tab/>
            </w:r>
            <w:r>
              <w:rPr>
                <w:rStyle w:val="IndexLink"/>
              </w:rPr>
              <w:t>140</w:t>
            </w:r>
          </w:hyperlink>
        </w:p>
        <w:p>
          <w:pPr>
            <w:pStyle w:val="Contents3"/>
            <w:tabs>
              <w:tab w:val="clear" w:pos="8459"/>
              <w:tab w:val="right" w:pos="9026" w:leader="dot"/>
            </w:tabs>
            <w:rPr/>
          </w:pPr>
          <w:hyperlink w:anchor="__RefHeading___Toc4159552_3804643083">
            <w:r>
              <w:rPr>
                <w:webHidden/>
                <w:rStyle w:val="IndexLink"/>
                <w:rtl w:val="true"/>
              </w:rPr>
              <w:t xml:space="preserve">الفصل الثانی </w:t>
            </w:r>
            <w:r>
              <w:rPr>
                <w:rStyle w:val="IndexLink"/>
                <w:rtl w:val="true"/>
              </w:rPr>
              <w:t xml:space="preserve">: </w:t>
            </w:r>
            <w:r>
              <w:rPr>
                <w:rStyle w:val="IndexLink"/>
                <w:rtl w:val="true"/>
              </w:rPr>
              <w:t>معرِّفات الوضع</w:t>
            </w:r>
            <w:r>
              <w:rPr>
                <w:rStyle w:val="IndexLink"/>
                <w:rtl w:val="true"/>
              </w:rPr>
              <w:tab/>
            </w:r>
            <w:r>
              <w:rPr>
                <w:rStyle w:val="IndexLink"/>
              </w:rPr>
              <w:t>142</w:t>
            </w:r>
          </w:hyperlink>
        </w:p>
        <w:p>
          <w:pPr>
            <w:pStyle w:val="Contents4"/>
            <w:tabs>
              <w:tab w:val="clear" w:pos="8176"/>
              <w:tab w:val="right" w:pos="9026" w:leader="dot"/>
            </w:tabs>
            <w:rPr/>
          </w:pPr>
          <w:hyperlink w:anchor="__RefHeading___Toc4159554_380464308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159556_3804643083">
            <w:r>
              <w:rPr>
                <w:webHidden/>
                <w:rStyle w:val="IndexLink"/>
                <w:rtl w:val="true"/>
              </w:rPr>
              <w:t>لا یجوز نسبة وضع الأخبار إلی أحد إلاّ بإقراره</w:t>
            </w:r>
            <w:r>
              <w:rPr>
                <w:rStyle w:val="IndexLink"/>
                <w:rtl w:val="true"/>
              </w:rPr>
              <w:tab/>
            </w:r>
            <w:r>
              <w:rPr>
                <w:rStyle w:val="IndexLink"/>
              </w:rPr>
              <w:t>144</w:t>
            </w:r>
          </w:hyperlink>
        </w:p>
        <w:p>
          <w:pPr>
            <w:pStyle w:val="Contents4"/>
            <w:tabs>
              <w:tab w:val="clear" w:pos="8176"/>
              <w:tab w:val="right" w:pos="9026" w:leader="dot"/>
            </w:tabs>
            <w:rPr/>
          </w:pPr>
          <w:hyperlink w:anchor="__RefHeading___Toc4159558_3804643083">
            <w:r>
              <w:rPr>
                <w:webHidden/>
                <w:rStyle w:val="IndexLink"/>
                <w:rtl w:val="true"/>
              </w:rPr>
              <w:t>المثوبات العظیمة علی الأفعال الصغیرة لیست موضوعة</w:t>
            </w:r>
            <w:r>
              <w:rPr>
                <w:rStyle w:val="IndexLink"/>
                <w:rtl w:val="true"/>
              </w:rPr>
              <w:tab/>
            </w:r>
            <w:r>
              <w:rPr>
                <w:rStyle w:val="IndexLink"/>
              </w:rPr>
              <w:t>144</w:t>
            </w:r>
          </w:hyperlink>
        </w:p>
        <w:p>
          <w:pPr>
            <w:pStyle w:val="Contents4"/>
            <w:tabs>
              <w:tab w:val="clear" w:pos="8176"/>
              <w:tab w:val="right" w:pos="9026" w:leader="dot"/>
            </w:tabs>
            <w:rPr/>
          </w:pPr>
          <w:hyperlink w:anchor="__RefHeading___Toc4159560_3804643083">
            <w:r>
              <w:rPr>
                <w:webHidden/>
                <w:rStyle w:val="IndexLink"/>
                <w:rtl w:val="true"/>
              </w:rPr>
              <w:t>ذکر الوجه والید للّه فی الأخبار لا یوجب إنکارها</w:t>
            </w:r>
            <w:r>
              <w:rPr>
                <w:rStyle w:val="IndexLink"/>
                <w:rtl w:val="true"/>
              </w:rPr>
              <w:tab/>
            </w:r>
            <w:r>
              <w:rPr>
                <w:rStyle w:val="IndexLink"/>
              </w:rPr>
              <w:t>146</w:t>
            </w:r>
          </w:hyperlink>
        </w:p>
        <w:p>
          <w:pPr>
            <w:pStyle w:val="Contents4"/>
            <w:tabs>
              <w:tab w:val="clear" w:pos="8176"/>
              <w:tab w:val="right" w:pos="9026" w:leader="dot"/>
            </w:tabs>
            <w:rPr/>
          </w:pPr>
          <w:hyperlink w:anchor="__RefHeading___Toc4159562_3804643083">
            <w:r>
              <w:rPr>
                <w:webHidden/>
                <w:rStyle w:val="IndexLink"/>
                <w:rtl w:val="true"/>
              </w:rPr>
              <w:t>مجرد عمل المفوّضة أو العامّة ببعض الأخبار لا یدلّ علی وضعها</w:t>
            </w:r>
            <w:r>
              <w:rPr>
                <w:rStyle w:val="IndexLink"/>
                <w:rtl w:val="true"/>
              </w:rPr>
              <w:tab/>
            </w:r>
            <w:r>
              <w:rPr>
                <w:rStyle w:val="IndexLink"/>
              </w:rPr>
              <w:t>146</w:t>
            </w:r>
          </w:hyperlink>
        </w:p>
        <w:p>
          <w:pPr>
            <w:pStyle w:val="Contents4"/>
            <w:tabs>
              <w:tab w:val="clear" w:pos="8176"/>
              <w:tab w:val="right" w:pos="9026" w:leader="dot"/>
            </w:tabs>
            <w:rPr/>
          </w:pPr>
          <w:hyperlink w:anchor="__RefHeading___Toc4159564_3804643083">
            <w:r>
              <w:rPr>
                <w:webHidden/>
                <w:rStyle w:val="IndexLink"/>
                <w:rtl w:val="true"/>
              </w:rPr>
              <w:t>الاضطراب فی الأخبار المرویة عن بعض الأئمّة علیهم السلام لایدلّ علی وضعها</w:t>
            </w:r>
            <w:r>
              <w:rPr>
                <w:rStyle w:val="IndexLink"/>
                <w:rtl w:val="true"/>
              </w:rPr>
              <w:tab/>
            </w:r>
            <w:r>
              <w:rPr>
                <w:rStyle w:val="IndexLink"/>
              </w:rPr>
              <w:t>147</w:t>
            </w:r>
          </w:hyperlink>
        </w:p>
        <w:p>
          <w:pPr>
            <w:pStyle w:val="Contents3"/>
            <w:tabs>
              <w:tab w:val="clear" w:pos="8459"/>
              <w:tab w:val="right" w:pos="9026" w:leader="dot"/>
            </w:tabs>
            <w:rPr/>
          </w:pPr>
          <w:hyperlink w:anchor="__RefHeading___Toc4159566_3804643083">
            <w:r>
              <w:rPr>
                <w:webHidden/>
                <w:rStyle w:val="IndexLink"/>
                <w:rtl w:val="true"/>
              </w:rPr>
              <w:t xml:space="preserve">الفصل الثالث </w:t>
            </w:r>
            <w:r>
              <w:rPr>
                <w:rStyle w:val="IndexLink"/>
                <w:rtl w:val="true"/>
              </w:rPr>
              <w:t xml:space="preserve">: </w:t>
            </w:r>
            <w:r>
              <w:rPr>
                <w:rStyle w:val="IndexLink"/>
                <w:rtl w:val="true"/>
              </w:rPr>
              <w:t>تنویع الخبر</w:t>
            </w:r>
            <w:r>
              <w:rPr>
                <w:rStyle w:val="IndexLink"/>
                <w:rtl w:val="true"/>
              </w:rPr>
              <w:tab/>
            </w:r>
            <w:r>
              <w:rPr>
                <w:rStyle w:val="IndexLink"/>
              </w:rPr>
              <w:t>149</w:t>
            </w:r>
          </w:hyperlink>
        </w:p>
        <w:p>
          <w:pPr>
            <w:pStyle w:val="Contents4"/>
            <w:tabs>
              <w:tab w:val="clear" w:pos="8176"/>
              <w:tab w:val="right" w:pos="9026" w:leader="dot"/>
            </w:tabs>
            <w:rPr/>
          </w:pPr>
          <w:hyperlink w:anchor="__RefHeading___Toc4159568_380464308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159570_3804643083">
            <w:r>
              <w:rPr>
                <w:webHidden/>
                <w:rStyle w:val="IndexLink"/>
                <w:rtl w:val="true"/>
              </w:rPr>
              <w:t>تقسیم الخبر إلی متواتر وآحاد ومحفوف بالقرینة</w:t>
            </w:r>
            <w:r>
              <w:rPr>
                <w:rStyle w:val="IndexLink"/>
                <w:rtl w:val="true"/>
              </w:rPr>
              <w:tab/>
            </w:r>
            <w:r>
              <w:rPr>
                <w:rStyle w:val="IndexLink"/>
              </w:rPr>
              <w:t>150</w:t>
            </w:r>
          </w:hyperlink>
        </w:p>
        <w:p>
          <w:pPr>
            <w:pStyle w:val="Contents4"/>
            <w:tabs>
              <w:tab w:val="clear" w:pos="8176"/>
              <w:tab w:val="right" w:pos="9026" w:leader="dot"/>
            </w:tabs>
            <w:rPr/>
          </w:pPr>
          <w:hyperlink w:anchor="__RefHeading___Toc4159572_3804643083">
            <w:r>
              <w:rPr>
                <w:webHidden/>
                <w:rStyle w:val="IndexLink"/>
                <w:rtl w:val="true"/>
              </w:rPr>
              <w:t>تنبیه</w:t>
            </w:r>
            <w:r>
              <w:rPr>
                <w:rStyle w:val="IndexLink"/>
                <w:rtl w:val="true"/>
              </w:rPr>
              <w:tab/>
            </w:r>
            <w:r>
              <w:rPr>
                <w:rStyle w:val="IndexLink"/>
              </w:rPr>
              <w:t>152</w:t>
            </w:r>
          </w:hyperlink>
        </w:p>
        <w:p>
          <w:pPr>
            <w:pStyle w:val="Contents4"/>
            <w:tabs>
              <w:tab w:val="clear" w:pos="8176"/>
              <w:tab w:val="right" w:pos="9026" w:leader="dot"/>
            </w:tabs>
            <w:rPr/>
          </w:pPr>
          <w:hyperlink w:anchor="__RefHeading___Toc4159574_3804643083">
            <w:r>
              <w:rPr>
                <w:webHidden/>
                <w:rStyle w:val="IndexLink"/>
                <w:rtl w:val="true"/>
              </w:rPr>
              <w:t>تقسیم خبر الواحد إلی اُصوله</w:t>
            </w:r>
            <w:r>
              <w:rPr>
                <w:rStyle w:val="IndexLink"/>
                <w:rtl w:val="true"/>
              </w:rPr>
              <w:tab/>
            </w:r>
            <w:r>
              <w:rPr>
                <w:rStyle w:val="IndexLink"/>
              </w:rPr>
              <w:t>152</w:t>
            </w:r>
          </w:hyperlink>
        </w:p>
        <w:p>
          <w:pPr>
            <w:pStyle w:val="Contents4"/>
            <w:tabs>
              <w:tab w:val="clear" w:pos="8176"/>
              <w:tab w:val="right" w:pos="9026" w:leader="dot"/>
            </w:tabs>
            <w:rPr/>
          </w:pPr>
          <w:hyperlink w:anchor="__RefHeading___Toc4159576_3804643083">
            <w:r>
              <w:rPr>
                <w:webHidden/>
                <w:rStyle w:val="IndexLink"/>
                <w:rtl w:val="true"/>
              </w:rPr>
              <w:t>الخبر القوی</w:t>
            </w:r>
            <w:r>
              <w:rPr>
                <w:rStyle w:val="IndexLink"/>
                <w:rtl w:val="true"/>
              </w:rPr>
              <w:tab/>
            </w:r>
            <w:r>
              <w:rPr>
                <w:rStyle w:val="IndexLink"/>
              </w:rPr>
              <w:t>154</w:t>
            </w:r>
          </w:hyperlink>
        </w:p>
        <w:p>
          <w:pPr>
            <w:pStyle w:val="Contents4"/>
            <w:tabs>
              <w:tab w:val="clear" w:pos="8176"/>
              <w:tab w:val="right" w:pos="9026" w:leader="dot"/>
            </w:tabs>
            <w:rPr/>
          </w:pPr>
          <w:hyperlink w:anchor="__RefHeading___Toc4159578_3804643083">
            <w:r>
              <w:rPr>
                <w:webHidden/>
                <w:rStyle w:val="IndexLink"/>
                <w:rtl w:val="true"/>
              </w:rPr>
              <w:t>الثمرة فی تنویع الخبر</w:t>
            </w:r>
            <w:r>
              <w:rPr>
                <w:rStyle w:val="IndexLink"/>
                <w:rtl w:val="true"/>
              </w:rPr>
              <w:tab/>
            </w:r>
            <w:r>
              <w:rPr>
                <w:rStyle w:val="IndexLink"/>
              </w:rPr>
              <w:t>156</w:t>
            </w:r>
          </w:hyperlink>
        </w:p>
        <w:p>
          <w:pPr>
            <w:pStyle w:val="Contents4"/>
            <w:tabs>
              <w:tab w:val="clear" w:pos="8176"/>
              <w:tab w:val="right" w:pos="9026" w:leader="dot"/>
            </w:tabs>
            <w:rPr/>
          </w:pPr>
          <w:hyperlink w:anchor="__RefHeading___Toc4159580_3804643083">
            <w:r>
              <w:rPr>
                <w:webHidden/>
                <w:rStyle w:val="IndexLink"/>
                <w:rtl w:val="true"/>
              </w:rPr>
              <w:t>مصطلحات تفرّد بذکرها الشارح</w:t>
            </w:r>
            <w:r>
              <w:rPr>
                <w:rStyle w:val="IndexLink"/>
                <w:rtl w:val="true"/>
              </w:rPr>
              <w:tab/>
            </w:r>
            <w:r>
              <w:rPr>
                <w:rStyle w:val="IndexLink"/>
              </w:rPr>
              <w:t>157</w:t>
            </w:r>
          </w:hyperlink>
        </w:p>
        <w:p>
          <w:pPr>
            <w:pStyle w:val="Contents3"/>
            <w:tabs>
              <w:tab w:val="clear" w:pos="8459"/>
              <w:tab w:val="right" w:pos="9026" w:leader="dot"/>
            </w:tabs>
            <w:rPr/>
          </w:pPr>
          <w:hyperlink w:anchor="__RefHeading___Toc4159582_3804643083">
            <w:r>
              <w:rPr>
                <w:webHidden/>
                <w:rStyle w:val="IndexLink"/>
                <w:rtl w:val="true"/>
              </w:rPr>
              <w:t xml:space="preserve">الفصل الرابع </w:t>
            </w:r>
            <w:r>
              <w:rPr>
                <w:rStyle w:val="IndexLink"/>
                <w:rtl w:val="true"/>
              </w:rPr>
              <w:t xml:space="preserve">: </w:t>
            </w:r>
            <w:r>
              <w:rPr>
                <w:rStyle w:val="IndexLink"/>
                <w:rtl w:val="true"/>
              </w:rPr>
              <w:t>کیفیّة تَحمّل الحدیث وصیغ أدائه</w:t>
            </w:r>
            <w:r>
              <w:rPr>
                <w:rStyle w:val="IndexLink"/>
                <w:rtl w:val="true"/>
              </w:rPr>
              <w:tab/>
            </w:r>
            <w:r>
              <w:rPr>
                <w:rStyle w:val="IndexLink"/>
              </w:rPr>
              <w:t>159</w:t>
            </w:r>
          </w:hyperlink>
        </w:p>
        <w:p>
          <w:pPr>
            <w:pStyle w:val="Contents4"/>
            <w:tabs>
              <w:tab w:val="clear" w:pos="8176"/>
              <w:tab w:val="right" w:pos="9026" w:leader="dot"/>
            </w:tabs>
            <w:rPr/>
          </w:pPr>
          <w:hyperlink w:anchor="__RefHeading___Toc4159584_380464308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159586_3804643083">
            <w:r>
              <w:rPr>
                <w:webHidden/>
                <w:rStyle w:val="IndexLink"/>
                <w:rtl w:val="true"/>
              </w:rPr>
              <w:t>صیغ أداء الحدیث</w:t>
            </w:r>
            <w:r>
              <w:rPr>
                <w:rStyle w:val="IndexLink"/>
                <w:rtl w:val="true"/>
              </w:rPr>
              <w:tab/>
            </w:r>
            <w:r>
              <w:rPr>
                <w:rStyle w:val="IndexLink"/>
              </w:rPr>
              <w:t>163</w:t>
            </w:r>
          </w:hyperlink>
        </w:p>
        <w:p>
          <w:pPr>
            <w:pStyle w:val="Contents3"/>
            <w:tabs>
              <w:tab w:val="clear" w:pos="8459"/>
              <w:tab w:val="right" w:pos="9026" w:leader="dot"/>
            </w:tabs>
            <w:rPr/>
          </w:pPr>
          <w:hyperlink w:anchor="__RefHeading___Toc4159588_3804643083">
            <w:r>
              <w:rPr>
                <w:webHidden/>
                <w:rStyle w:val="IndexLink"/>
                <w:rtl w:val="true"/>
              </w:rPr>
              <w:t xml:space="preserve">الفصل الخامس </w:t>
            </w:r>
            <w:r>
              <w:rPr>
                <w:rStyle w:val="IndexLink"/>
                <w:rtl w:val="true"/>
              </w:rPr>
              <w:t xml:space="preserve">: </w:t>
            </w:r>
            <w:r>
              <w:rPr>
                <w:rStyle w:val="IndexLink"/>
                <w:rtl w:val="true"/>
              </w:rPr>
              <w:t>ألفاظ المدح والذم</w:t>
            </w:r>
            <w:r>
              <w:rPr>
                <w:rStyle w:val="IndexLink"/>
                <w:rtl w:val="true"/>
              </w:rPr>
              <w:tab/>
            </w:r>
            <w:r>
              <w:rPr>
                <w:rStyle w:val="IndexLink"/>
              </w:rPr>
              <w:t>165</w:t>
            </w:r>
          </w:hyperlink>
        </w:p>
        <w:p>
          <w:pPr>
            <w:pStyle w:val="Contents4"/>
            <w:tabs>
              <w:tab w:val="clear" w:pos="8176"/>
              <w:tab w:val="right" w:pos="9026" w:leader="dot"/>
            </w:tabs>
            <w:rPr/>
          </w:pPr>
          <w:hyperlink w:anchor="__RefHeading___Toc4159590_380464308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159592_3804643083">
            <w:r>
              <w:rPr>
                <w:webHidden/>
                <w:rStyle w:val="IndexLink"/>
                <w:rtl w:val="true"/>
              </w:rPr>
              <w:t>اُسند عنه</w:t>
            </w:r>
            <w:r>
              <w:rPr>
                <w:rStyle w:val="IndexLink"/>
                <w:rtl w:val="true"/>
              </w:rPr>
              <w:tab/>
            </w:r>
            <w:r>
              <w:rPr>
                <w:rStyle w:val="IndexLink"/>
              </w:rPr>
              <w:t>166</w:t>
            </w:r>
          </w:hyperlink>
        </w:p>
        <w:p>
          <w:pPr>
            <w:pStyle w:val="Contents4"/>
            <w:tabs>
              <w:tab w:val="clear" w:pos="8176"/>
              <w:tab w:val="right" w:pos="9026" w:leader="dot"/>
            </w:tabs>
            <w:rPr/>
          </w:pPr>
          <w:hyperlink w:anchor="__RefHeading___Toc4159594_3804643083">
            <w:r>
              <w:rPr>
                <w:webHidden/>
                <w:rStyle w:val="IndexLink"/>
                <w:rtl w:val="true"/>
              </w:rPr>
              <w:t>إکثار الصَدوق من الروایة عن الراوی</w:t>
            </w:r>
            <w:r>
              <w:rPr>
                <w:rStyle w:val="IndexLink"/>
                <w:rtl w:val="true"/>
              </w:rPr>
              <w:tab/>
            </w:r>
            <w:r>
              <w:rPr>
                <w:rStyle w:val="IndexLink"/>
              </w:rPr>
              <w:t>166</w:t>
            </w:r>
          </w:hyperlink>
        </w:p>
        <w:p>
          <w:pPr>
            <w:pStyle w:val="Contents4"/>
            <w:tabs>
              <w:tab w:val="clear" w:pos="8176"/>
              <w:tab w:val="right" w:pos="9026" w:leader="dot"/>
            </w:tabs>
            <w:rPr/>
          </w:pPr>
          <w:hyperlink w:anchor="__RefHeading___Toc4159596_3804643083">
            <w:r>
              <w:rPr>
                <w:webHidden/>
                <w:rStyle w:val="IndexLink"/>
                <w:rtl w:val="true"/>
              </w:rPr>
              <w:t>الترضّی والترحّم</w:t>
            </w:r>
            <w:r>
              <w:rPr>
                <w:rStyle w:val="IndexLink"/>
                <w:rtl w:val="true"/>
              </w:rPr>
              <w:tab/>
            </w:r>
            <w:r>
              <w:rPr>
                <w:rStyle w:val="IndexLink"/>
              </w:rPr>
              <w:t>167</w:t>
            </w:r>
          </w:hyperlink>
        </w:p>
        <w:p>
          <w:pPr>
            <w:pStyle w:val="Contents4"/>
            <w:tabs>
              <w:tab w:val="clear" w:pos="8176"/>
              <w:tab w:val="right" w:pos="9026" w:leader="dot"/>
            </w:tabs>
            <w:rPr/>
          </w:pPr>
          <w:hyperlink w:anchor="__RefHeading___Toc4159598_3804643083">
            <w:r>
              <w:rPr>
                <w:webHidden/>
                <w:rStyle w:val="IndexLink"/>
                <w:rtl w:val="true"/>
              </w:rPr>
              <w:t>ثقة ثقة</w:t>
            </w:r>
            <w:r>
              <w:rPr>
                <w:rStyle w:val="IndexLink"/>
                <w:rtl w:val="true"/>
              </w:rPr>
              <w:tab/>
            </w:r>
            <w:r>
              <w:rPr>
                <w:rStyle w:val="IndexLink"/>
              </w:rPr>
              <w:t>167</w:t>
            </w:r>
          </w:hyperlink>
        </w:p>
        <w:p>
          <w:pPr>
            <w:pStyle w:val="Contents4"/>
            <w:tabs>
              <w:tab w:val="clear" w:pos="8176"/>
              <w:tab w:val="right" w:pos="9026" w:leader="dot"/>
            </w:tabs>
            <w:rPr/>
          </w:pPr>
          <w:hyperlink w:anchor="__RefHeading___Toc4159600_3804643083">
            <w:r>
              <w:rPr>
                <w:webHidden/>
                <w:rStyle w:val="IndexLink"/>
                <w:rtl w:val="true"/>
              </w:rPr>
              <w:t>حظی عند الأئمّة علیهم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4159602_3804643083">
            <w:r>
              <w:rPr>
                <w:webHidden/>
                <w:rStyle w:val="IndexLink"/>
                <w:rtl w:val="true"/>
              </w:rPr>
              <w:t>عامل الإمام</w:t>
            </w:r>
            <w:r>
              <w:rPr>
                <w:rStyle w:val="IndexLink"/>
                <w:rtl w:val="true"/>
              </w:rPr>
              <w:tab/>
            </w:r>
            <w:r>
              <w:rPr>
                <w:rStyle w:val="IndexLink"/>
              </w:rPr>
              <w:t>168</w:t>
            </w:r>
          </w:hyperlink>
        </w:p>
        <w:p>
          <w:pPr>
            <w:pStyle w:val="Contents4"/>
            <w:tabs>
              <w:tab w:val="clear" w:pos="8176"/>
              <w:tab w:val="right" w:pos="9026" w:leader="dot"/>
            </w:tabs>
            <w:rPr/>
          </w:pPr>
          <w:hyperlink w:anchor="__RefHeading___Toc4159604_3804643083">
            <w:r>
              <w:rPr>
                <w:webHidden/>
                <w:rStyle w:val="IndexLink"/>
                <w:rtl w:val="true"/>
              </w:rPr>
              <w:t>عین</w:t>
            </w:r>
            <w:r>
              <w:rPr>
                <w:rStyle w:val="IndexLink"/>
                <w:rtl w:val="true"/>
              </w:rPr>
              <w:tab/>
            </w:r>
            <w:r>
              <w:rPr>
                <w:rStyle w:val="IndexLink"/>
              </w:rPr>
              <w:t>169</w:t>
            </w:r>
          </w:hyperlink>
        </w:p>
        <w:p>
          <w:pPr>
            <w:pStyle w:val="Contents4"/>
            <w:tabs>
              <w:tab w:val="clear" w:pos="8176"/>
              <w:tab w:val="right" w:pos="9026" w:leader="dot"/>
            </w:tabs>
            <w:rPr/>
          </w:pPr>
          <w:hyperlink w:anchor="__RefHeading___Toc4159606_3804643083">
            <w:r>
              <w:rPr>
                <w:webHidden/>
                <w:rStyle w:val="IndexLink"/>
                <w:rtl w:val="true"/>
              </w:rPr>
              <w:t>فاضل</w:t>
            </w:r>
            <w:r>
              <w:rPr>
                <w:rStyle w:val="IndexLink"/>
                <w:rtl w:val="true"/>
              </w:rPr>
              <w:tab/>
            </w:r>
            <w:r>
              <w:rPr>
                <w:rStyle w:val="IndexLink"/>
              </w:rPr>
              <w:t>169</w:t>
            </w:r>
          </w:hyperlink>
        </w:p>
        <w:p>
          <w:pPr>
            <w:pStyle w:val="Contents4"/>
            <w:tabs>
              <w:tab w:val="clear" w:pos="8176"/>
              <w:tab w:val="right" w:pos="9026" w:leader="dot"/>
            </w:tabs>
            <w:rPr/>
          </w:pPr>
          <w:hyperlink w:anchor="__RefHeading___Toc4159608_3804643083">
            <w:r>
              <w:rPr>
                <w:webHidden/>
                <w:rStyle w:val="IndexLink"/>
                <w:rtl w:val="true"/>
              </w:rPr>
              <w:t>فاضل ، أدیب ، فقیه ، زاهد ، ورع</w:t>
            </w:r>
            <w:r>
              <w:rPr>
                <w:rStyle w:val="IndexLink"/>
                <w:rtl w:val="true"/>
              </w:rPr>
              <w:tab/>
            </w:r>
            <w:r>
              <w:rPr>
                <w:rStyle w:val="IndexLink"/>
              </w:rPr>
              <w:t>169</w:t>
            </w:r>
          </w:hyperlink>
        </w:p>
        <w:p>
          <w:pPr>
            <w:pStyle w:val="Contents4"/>
            <w:tabs>
              <w:tab w:val="clear" w:pos="8176"/>
              <w:tab w:val="right" w:pos="9026" w:leader="dot"/>
            </w:tabs>
            <w:rPr/>
          </w:pPr>
          <w:hyperlink w:anchor="__RefHeading___Toc4159610_3804643083">
            <w:r>
              <w:rPr>
                <w:webHidden/>
                <w:rStyle w:val="IndexLink"/>
                <w:rtl w:val="true"/>
              </w:rPr>
              <w:t>فی أحادیثه مناکیر</w:t>
            </w:r>
            <w:r>
              <w:rPr>
                <w:rStyle w:val="IndexLink"/>
                <w:rtl w:val="true"/>
              </w:rPr>
              <w:tab/>
            </w:r>
            <w:r>
              <w:rPr>
                <w:rStyle w:val="IndexLink"/>
              </w:rPr>
              <w:t>170</w:t>
            </w:r>
          </w:hyperlink>
        </w:p>
        <w:p>
          <w:pPr>
            <w:pStyle w:val="Contents4"/>
            <w:tabs>
              <w:tab w:val="clear" w:pos="8176"/>
              <w:tab w:val="right" w:pos="9026" w:leader="dot"/>
            </w:tabs>
            <w:rPr/>
          </w:pPr>
          <w:hyperlink w:anchor="__RefHeading___Toc4159612_3804643083">
            <w:r>
              <w:rPr>
                <w:webHidden/>
                <w:rStyle w:val="IndexLink"/>
                <w:rtl w:val="true"/>
              </w:rPr>
              <w:t>قریب الأمر</w:t>
            </w:r>
            <w:r>
              <w:rPr>
                <w:rStyle w:val="IndexLink"/>
                <w:rtl w:val="true"/>
              </w:rPr>
              <w:tab/>
            </w:r>
            <w:r>
              <w:rPr>
                <w:rStyle w:val="IndexLink"/>
              </w:rPr>
              <w:t>170</w:t>
            </w:r>
          </w:hyperlink>
        </w:p>
        <w:p>
          <w:pPr>
            <w:pStyle w:val="Contents4"/>
            <w:tabs>
              <w:tab w:val="clear" w:pos="8176"/>
              <w:tab w:val="right" w:pos="9026" w:leader="dot"/>
            </w:tabs>
            <w:rPr/>
          </w:pPr>
          <w:hyperlink w:anchor="__RefHeading___Toc4159614_3804643083">
            <w:r>
              <w:rPr>
                <w:webHidden/>
                <w:rStyle w:val="IndexLink"/>
                <w:rtl w:val="true"/>
              </w:rPr>
              <w:t>کثرة الروایة</w:t>
            </w:r>
            <w:r>
              <w:rPr>
                <w:rStyle w:val="IndexLink"/>
                <w:rtl w:val="true"/>
              </w:rPr>
              <w:tab/>
            </w:r>
            <w:r>
              <w:rPr>
                <w:rStyle w:val="IndexLink"/>
              </w:rPr>
              <w:t>170</w:t>
            </w:r>
          </w:hyperlink>
        </w:p>
        <w:p>
          <w:pPr>
            <w:pStyle w:val="Contents4"/>
            <w:tabs>
              <w:tab w:val="clear" w:pos="8176"/>
              <w:tab w:val="right" w:pos="9026" w:leader="dot"/>
            </w:tabs>
            <w:rPr/>
          </w:pPr>
          <w:hyperlink w:anchor="__RefHeading___Toc4159616_3804643083">
            <w:r>
              <w:rPr>
                <w:webHidden/>
                <w:rStyle w:val="IndexLink"/>
                <w:rtl w:val="true"/>
              </w:rPr>
              <w:t>کثرة المکاتبة مع الإمام</w:t>
            </w:r>
            <w:r>
              <w:rPr>
                <w:rStyle w:val="IndexLink"/>
                <w:rtl w:val="true"/>
              </w:rPr>
              <w:tab/>
            </w:r>
            <w:r>
              <w:rPr>
                <w:rStyle w:val="IndexLink"/>
              </w:rPr>
              <w:t>171</w:t>
            </w:r>
          </w:hyperlink>
        </w:p>
        <w:p>
          <w:pPr>
            <w:pStyle w:val="Contents4"/>
            <w:tabs>
              <w:tab w:val="clear" w:pos="8176"/>
              <w:tab w:val="right" w:pos="9026" w:leader="dot"/>
            </w:tabs>
            <w:rPr/>
          </w:pPr>
          <w:hyperlink w:anchor="__RefHeading___Toc4159618_3804643083">
            <w:r>
              <w:rPr>
                <w:webHidden/>
                <w:rStyle w:val="IndexLink"/>
                <w:rtl w:val="true"/>
              </w:rPr>
              <w:t>کون الرجل ذا أصل</w:t>
            </w:r>
            <w:r>
              <w:rPr>
                <w:rStyle w:val="IndexLink"/>
                <w:rtl w:val="true"/>
              </w:rPr>
              <w:tab/>
            </w:r>
            <w:r>
              <w:rPr>
                <w:rStyle w:val="IndexLink"/>
              </w:rPr>
              <w:t>171</w:t>
            </w:r>
          </w:hyperlink>
        </w:p>
        <w:p>
          <w:pPr>
            <w:pStyle w:val="Contents4"/>
            <w:tabs>
              <w:tab w:val="clear" w:pos="8176"/>
              <w:tab w:val="right" w:pos="9026" w:leader="dot"/>
            </w:tabs>
            <w:rPr/>
          </w:pPr>
          <w:hyperlink w:anchor="__RefHeading___Toc4159620_3804643083">
            <w:r>
              <w:rPr>
                <w:webHidden/>
                <w:rStyle w:val="IndexLink"/>
                <w:rtl w:val="true"/>
              </w:rPr>
              <w:t>لا بأس به</w:t>
            </w:r>
            <w:r>
              <w:rPr>
                <w:rStyle w:val="IndexLink"/>
                <w:rtl w:val="true"/>
              </w:rPr>
              <w:tab/>
            </w:r>
            <w:r>
              <w:rPr>
                <w:rStyle w:val="IndexLink"/>
              </w:rPr>
              <w:t>172</w:t>
            </w:r>
          </w:hyperlink>
        </w:p>
        <w:p>
          <w:pPr>
            <w:pStyle w:val="Contents4"/>
            <w:tabs>
              <w:tab w:val="clear" w:pos="8176"/>
              <w:tab w:val="right" w:pos="9026" w:leader="dot"/>
            </w:tabs>
            <w:rPr/>
          </w:pPr>
          <w:hyperlink w:anchor="__RefHeading___Toc4159622_3804643083">
            <w:r>
              <w:rPr>
                <w:webHidden/>
                <w:rStyle w:val="IndexLink"/>
                <w:rtl w:val="true"/>
              </w:rPr>
              <w:t>لم یکن بذلک</w:t>
            </w:r>
            <w:r>
              <w:rPr>
                <w:rStyle w:val="IndexLink"/>
                <w:rtl w:val="true"/>
              </w:rPr>
              <w:tab/>
            </w:r>
            <w:r>
              <w:rPr>
                <w:rStyle w:val="IndexLink"/>
              </w:rPr>
              <w:t>172</w:t>
            </w:r>
          </w:hyperlink>
        </w:p>
        <w:p>
          <w:pPr>
            <w:pStyle w:val="Contents4"/>
            <w:tabs>
              <w:tab w:val="clear" w:pos="8176"/>
              <w:tab w:val="right" w:pos="9026" w:leader="dot"/>
            </w:tabs>
            <w:rPr/>
          </w:pPr>
          <w:hyperlink w:anchor="__RefHeading___Toc4159624_3804643083">
            <w:r>
              <w:rPr>
                <w:webHidden/>
                <w:rStyle w:val="IndexLink"/>
                <w:rtl w:val="true"/>
              </w:rPr>
              <w:t>مرضی</w:t>
            </w:r>
            <w:r>
              <w:rPr>
                <w:rStyle w:val="IndexLink"/>
                <w:rtl w:val="true"/>
              </w:rPr>
              <w:tab/>
            </w:r>
            <w:r>
              <w:rPr>
                <w:rStyle w:val="IndexLink"/>
              </w:rPr>
              <w:t>173</w:t>
            </w:r>
          </w:hyperlink>
        </w:p>
        <w:p>
          <w:pPr>
            <w:pStyle w:val="Contents4"/>
            <w:tabs>
              <w:tab w:val="clear" w:pos="8176"/>
              <w:tab w:val="right" w:pos="9026" w:leader="dot"/>
            </w:tabs>
            <w:rPr/>
          </w:pPr>
          <w:hyperlink w:anchor="__RefHeading___Toc4159626_3804643083">
            <w:r>
              <w:rPr>
                <w:webHidden/>
                <w:rStyle w:val="IndexLink"/>
                <w:rtl w:val="true"/>
              </w:rPr>
              <w:t>من أجلاّء هذه الطائفة وفقهائها</w:t>
            </w:r>
            <w:r>
              <w:rPr>
                <w:rStyle w:val="IndexLink"/>
                <w:rtl w:val="true"/>
              </w:rPr>
              <w:tab/>
            </w:r>
            <w:r>
              <w:rPr>
                <w:rStyle w:val="IndexLink"/>
              </w:rPr>
              <w:t>173</w:t>
            </w:r>
          </w:hyperlink>
        </w:p>
        <w:p>
          <w:pPr>
            <w:pStyle w:val="Contents4"/>
            <w:tabs>
              <w:tab w:val="clear" w:pos="8176"/>
              <w:tab w:val="right" w:pos="9026" w:leader="dot"/>
            </w:tabs>
            <w:rPr/>
          </w:pPr>
          <w:hyperlink w:anchor="__RefHeading___Toc4159628_3804643083">
            <w:r>
              <w:rPr>
                <w:webHidden/>
                <w:rStyle w:val="IndexLink"/>
                <w:rtl w:val="true"/>
              </w:rPr>
              <w:t>من وجوه أهل الأدب</w:t>
            </w:r>
            <w:r>
              <w:rPr>
                <w:rStyle w:val="IndexLink"/>
                <w:rtl w:val="true"/>
              </w:rPr>
              <w:tab/>
            </w:r>
            <w:r>
              <w:rPr>
                <w:rStyle w:val="IndexLink"/>
              </w:rPr>
              <w:t>173</w:t>
            </w:r>
          </w:hyperlink>
        </w:p>
        <w:p>
          <w:pPr>
            <w:pStyle w:val="Contents4"/>
            <w:tabs>
              <w:tab w:val="clear" w:pos="8176"/>
              <w:tab w:val="right" w:pos="9026" w:leader="dot"/>
            </w:tabs>
            <w:rPr/>
          </w:pPr>
          <w:hyperlink w:anchor="__RefHeading___Toc4159630_3804643083">
            <w:r>
              <w:rPr>
                <w:webHidden/>
                <w:rStyle w:val="IndexLink"/>
                <w:rtl w:val="true"/>
              </w:rPr>
              <w:t>موافقة روایات الرجل الأخبار الصحیحة وصحَّة مضمونها</w:t>
            </w:r>
            <w:r>
              <w:rPr>
                <w:rStyle w:val="IndexLink"/>
                <w:rtl w:val="true"/>
              </w:rPr>
              <w:tab/>
            </w:r>
            <w:r>
              <w:rPr>
                <w:rStyle w:val="IndexLink"/>
              </w:rPr>
              <w:t>174</w:t>
            </w:r>
          </w:hyperlink>
        </w:p>
        <w:p>
          <w:pPr>
            <w:pStyle w:val="Contents4"/>
            <w:tabs>
              <w:tab w:val="clear" w:pos="8176"/>
              <w:tab w:val="right" w:pos="9026" w:leader="dot"/>
            </w:tabs>
            <w:rPr/>
          </w:pPr>
          <w:hyperlink w:anchor="__RefHeading___Toc4159632_3804643083">
            <w:r>
              <w:rPr>
                <w:webHidden/>
                <w:rStyle w:val="IndexLink"/>
                <w:rtl w:val="true"/>
              </w:rPr>
              <w:t>وافد</w:t>
            </w:r>
            <w:r>
              <w:rPr>
                <w:rStyle w:val="IndexLink"/>
                <w:rtl w:val="true"/>
              </w:rPr>
              <w:tab/>
            </w:r>
            <w:r>
              <w:rPr>
                <w:rStyle w:val="IndexLink"/>
              </w:rPr>
              <w:t>174</w:t>
            </w:r>
          </w:hyperlink>
        </w:p>
        <w:p>
          <w:pPr>
            <w:pStyle w:val="Contents4"/>
            <w:tabs>
              <w:tab w:val="clear" w:pos="8176"/>
              <w:tab w:val="right" w:pos="9026" w:leader="dot"/>
            </w:tabs>
            <w:rPr/>
          </w:pPr>
          <w:hyperlink w:anchor="__RefHeading___Toc4159634_3804643083">
            <w:r>
              <w:rPr>
                <w:webHidden/>
                <w:rStyle w:val="IndexLink"/>
                <w:rtl w:val="true"/>
              </w:rPr>
              <w:t>وجه</w:t>
            </w:r>
            <w:r>
              <w:rPr>
                <w:rStyle w:val="IndexLink"/>
                <w:rtl w:val="true"/>
              </w:rPr>
              <w:tab/>
            </w:r>
            <w:r>
              <w:rPr>
                <w:rStyle w:val="IndexLink"/>
              </w:rPr>
              <w:t>175</w:t>
            </w:r>
          </w:hyperlink>
        </w:p>
        <w:p>
          <w:pPr>
            <w:pStyle w:val="Contents4"/>
            <w:tabs>
              <w:tab w:val="clear" w:pos="8176"/>
              <w:tab w:val="right" w:pos="9026" w:leader="dot"/>
            </w:tabs>
            <w:rPr/>
          </w:pPr>
          <w:hyperlink w:anchor="__RefHeading___Toc4159636_3804643083">
            <w:r>
              <w:rPr>
                <w:webHidden/>
                <w:rStyle w:val="IndexLink"/>
                <w:rtl w:val="true"/>
              </w:rPr>
              <w:t>ورع</w:t>
            </w:r>
            <w:r>
              <w:rPr>
                <w:rStyle w:val="IndexLink"/>
                <w:rtl w:val="true"/>
              </w:rPr>
              <w:tab/>
            </w:r>
            <w:r>
              <w:rPr>
                <w:rStyle w:val="IndexLink"/>
              </w:rPr>
              <w:t>175</w:t>
            </w:r>
          </w:hyperlink>
        </w:p>
        <w:p>
          <w:pPr>
            <w:pStyle w:val="Contents4"/>
            <w:tabs>
              <w:tab w:val="clear" w:pos="8176"/>
              <w:tab w:val="right" w:pos="9026" w:leader="dot"/>
            </w:tabs>
            <w:rPr/>
          </w:pPr>
          <w:hyperlink w:anchor="__RefHeading___Toc4159638_3804643083">
            <w:r>
              <w:rPr>
                <w:webHidden/>
                <w:rStyle w:val="IndexLink"/>
                <w:rtl w:val="true"/>
              </w:rPr>
              <w:t>الوکالة عن الإمام</w:t>
            </w:r>
            <w:r>
              <w:rPr>
                <w:rStyle w:val="IndexLink"/>
                <w:rtl w:val="true"/>
              </w:rPr>
              <w:tab/>
            </w:r>
            <w:r>
              <w:rPr>
                <w:rStyle w:val="IndexLink"/>
              </w:rPr>
              <w:t>175</w:t>
            </w:r>
          </w:hyperlink>
        </w:p>
        <w:p>
          <w:pPr>
            <w:pStyle w:val="Contents4"/>
            <w:tabs>
              <w:tab w:val="clear" w:pos="8176"/>
              <w:tab w:val="right" w:pos="9026" w:leader="dot"/>
            </w:tabs>
            <w:rPr/>
          </w:pPr>
          <w:hyperlink w:anchor="__RefHeading___Toc4159640_3804643083">
            <w:r>
              <w:rPr>
                <w:webHidden/>
                <w:rStyle w:val="IndexLink"/>
                <w:rtl w:val="true"/>
              </w:rPr>
              <w:t>یُعرف ویُنکر</w:t>
            </w:r>
            <w:r>
              <w:rPr>
                <w:rStyle w:val="IndexLink"/>
                <w:rtl w:val="true"/>
              </w:rPr>
              <w:tab/>
            </w:r>
            <w:r>
              <w:rPr>
                <w:rStyle w:val="IndexLink"/>
              </w:rPr>
              <w:t>175</w:t>
            </w:r>
          </w:hyperlink>
        </w:p>
        <w:p>
          <w:pPr>
            <w:pStyle w:val="Contents3"/>
            <w:tabs>
              <w:tab w:val="clear" w:pos="8459"/>
              <w:tab w:val="right" w:pos="9026" w:leader="dot"/>
            </w:tabs>
            <w:rPr/>
          </w:pPr>
          <w:hyperlink w:anchor="__RefHeading___Toc4159642_3804643083">
            <w:r>
              <w:rPr>
                <w:webHidden/>
                <w:rStyle w:val="IndexLink"/>
                <w:rtl w:val="true"/>
              </w:rPr>
              <w:t xml:space="preserve">الفصل السادس </w:t>
            </w:r>
            <w:r>
              <w:rPr>
                <w:rStyle w:val="IndexLink"/>
                <w:rtl w:val="true"/>
              </w:rPr>
              <w:t xml:space="preserve">: </w:t>
            </w:r>
            <w:r>
              <w:rPr>
                <w:rStyle w:val="IndexLink"/>
                <w:rtl w:val="true"/>
              </w:rPr>
              <w:t>مصطلحات فی الدرایة والرجال</w:t>
            </w:r>
            <w:r>
              <w:rPr>
                <w:rStyle w:val="IndexLink"/>
                <w:rtl w:val="true"/>
              </w:rPr>
              <w:tab/>
            </w:r>
            <w:r>
              <w:rPr>
                <w:rStyle w:val="IndexLink"/>
              </w:rPr>
              <w:t>177</w:t>
            </w:r>
          </w:hyperlink>
        </w:p>
        <w:p>
          <w:pPr>
            <w:pStyle w:val="Contents4"/>
            <w:tabs>
              <w:tab w:val="clear" w:pos="8176"/>
              <w:tab w:val="right" w:pos="9026" w:leader="dot"/>
            </w:tabs>
            <w:rPr/>
          </w:pPr>
          <w:hyperlink w:anchor="__RefHeading___Toc4159644_380464308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159646_3804643083">
            <w:r>
              <w:rPr>
                <w:webHidden/>
                <w:rStyle w:val="IndexLink"/>
                <w:rtl w:val="true"/>
              </w:rPr>
              <w:t>أبو إبراهیم</w:t>
            </w:r>
            <w:r>
              <w:rPr>
                <w:rStyle w:val="IndexLink"/>
                <w:rtl w:val="true"/>
              </w:rPr>
              <w:tab/>
            </w:r>
            <w:r>
              <w:rPr>
                <w:rStyle w:val="IndexLink"/>
              </w:rPr>
              <w:t>177</w:t>
            </w:r>
          </w:hyperlink>
        </w:p>
        <w:p>
          <w:pPr>
            <w:pStyle w:val="Contents4"/>
            <w:tabs>
              <w:tab w:val="clear" w:pos="8176"/>
              <w:tab w:val="right" w:pos="9026" w:leader="dot"/>
            </w:tabs>
            <w:rPr/>
          </w:pPr>
          <w:hyperlink w:anchor="__RefHeading___Toc4159648_3804643083">
            <w:r>
              <w:rPr>
                <w:webHidden/>
                <w:rStyle w:val="IndexLink"/>
                <w:rtl w:val="true"/>
              </w:rPr>
              <w:t>أبو إسحاق</w:t>
            </w:r>
            <w:r>
              <w:rPr>
                <w:rStyle w:val="IndexLink"/>
                <w:rtl w:val="true"/>
              </w:rPr>
              <w:tab/>
            </w:r>
            <w:r>
              <w:rPr>
                <w:rStyle w:val="IndexLink"/>
              </w:rPr>
              <w:t>177</w:t>
            </w:r>
          </w:hyperlink>
        </w:p>
        <w:p>
          <w:pPr>
            <w:pStyle w:val="Contents4"/>
            <w:tabs>
              <w:tab w:val="clear" w:pos="8176"/>
              <w:tab w:val="right" w:pos="9026" w:leader="dot"/>
            </w:tabs>
            <w:rPr/>
          </w:pPr>
          <w:hyperlink w:anchor="__RefHeading___Toc4159650_3804643083">
            <w:r>
              <w:rPr>
                <w:webHidden/>
                <w:rStyle w:val="IndexLink"/>
                <w:rtl w:val="true"/>
              </w:rPr>
              <w:t>أبو جعفر</w:t>
            </w:r>
            <w:r>
              <w:rPr>
                <w:rStyle w:val="IndexLink"/>
                <w:rtl w:val="true"/>
              </w:rPr>
              <w:tab/>
            </w:r>
            <w:r>
              <w:rPr>
                <w:rStyle w:val="IndexLink"/>
              </w:rPr>
              <w:t>177</w:t>
            </w:r>
          </w:hyperlink>
        </w:p>
        <w:p>
          <w:pPr>
            <w:pStyle w:val="Contents4"/>
            <w:tabs>
              <w:tab w:val="clear" w:pos="8176"/>
              <w:tab w:val="right" w:pos="9026" w:leader="dot"/>
            </w:tabs>
            <w:rPr/>
          </w:pPr>
          <w:hyperlink w:anchor="__RefHeading___Toc4159652_3804643083">
            <w:r>
              <w:rPr>
                <w:webHidden/>
                <w:rStyle w:val="IndexLink"/>
                <w:rtl w:val="true"/>
              </w:rPr>
              <w:t>أحدهما</w:t>
            </w:r>
            <w:r>
              <w:rPr>
                <w:rStyle w:val="IndexLink"/>
                <w:rtl w:val="true"/>
              </w:rPr>
              <w:tab/>
            </w:r>
            <w:r>
              <w:rPr>
                <w:rStyle w:val="IndexLink"/>
              </w:rPr>
              <w:t>179</w:t>
            </w:r>
          </w:hyperlink>
        </w:p>
        <w:p>
          <w:pPr>
            <w:pStyle w:val="Contents4"/>
            <w:tabs>
              <w:tab w:val="clear" w:pos="8176"/>
              <w:tab w:val="right" w:pos="9026" w:leader="dot"/>
            </w:tabs>
            <w:rPr/>
          </w:pPr>
          <w:hyperlink w:anchor="__RefHeading___Toc4159654_3804643083">
            <w:r>
              <w:rPr>
                <w:webHidden/>
                <w:rStyle w:val="IndexLink"/>
                <w:rtl w:val="true"/>
              </w:rPr>
              <w:t>إرسال الحدیث</w:t>
            </w:r>
            <w:r>
              <w:rPr>
                <w:rStyle w:val="IndexLink"/>
                <w:rtl w:val="true"/>
              </w:rPr>
              <w:tab/>
            </w:r>
            <w:r>
              <w:rPr>
                <w:rStyle w:val="IndexLink"/>
              </w:rPr>
              <w:t>179</w:t>
            </w:r>
          </w:hyperlink>
        </w:p>
        <w:p>
          <w:pPr>
            <w:pStyle w:val="Contents4"/>
            <w:tabs>
              <w:tab w:val="clear" w:pos="8176"/>
              <w:tab w:val="right" w:pos="9026" w:leader="dot"/>
            </w:tabs>
            <w:rPr/>
          </w:pPr>
          <w:hyperlink w:anchor="__RefHeading___Toc4159656_3804643083">
            <w:r>
              <w:rPr>
                <w:webHidden/>
                <w:rStyle w:val="IndexLink"/>
                <w:rtl w:val="true"/>
              </w:rPr>
              <w:t>ب</w:t>
            </w:r>
            <w:r>
              <w:rPr>
                <w:rStyle w:val="IndexLink"/>
                <w:rtl w:val="true"/>
              </w:rPr>
              <w:tab/>
            </w:r>
            <w:r>
              <w:rPr>
                <w:rStyle w:val="IndexLink"/>
              </w:rPr>
              <w:t>180</w:t>
            </w:r>
          </w:hyperlink>
        </w:p>
        <w:p>
          <w:pPr>
            <w:pStyle w:val="Contents4"/>
            <w:tabs>
              <w:tab w:val="clear" w:pos="8176"/>
              <w:tab w:val="right" w:pos="9026" w:leader="dot"/>
            </w:tabs>
            <w:rPr/>
          </w:pPr>
          <w:hyperlink w:anchor="__RefHeading___Toc4159658_3804643083">
            <w:r>
              <w:rPr>
                <w:webHidden/>
                <w:rStyle w:val="IndexLink"/>
                <w:rtl w:val="true"/>
              </w:rPr>
              <w:t>التقطیع</w:t>
            </w:r>
            <w:r>
              <w:rPr>
                <w:rStyle w:val="IndexLink"/>
                <w:rtl w:val="true"/>
              </w:rPr>
              <w:tab/>
            </w:r>
            <w:r>
              <w:rPr>
                <w:rStyle w:val="IndexLink"/>
              </w:rPr>
              <w:t>180</w:t>
            </w:r>
          </w:hyperlink>
        </w:p>
        <w:p>
          <w:pPr>
            <w:pStyle w:val="Contents4"/>
            <w:tabs>
              <w:tab w:val="clear" w:pos="8176"/>
              <w:tab w:val="right" w:pos="9026" w:leader="dot"/>
            </w:tabs>
            <w:rPr/>
          </w:pPr>
          <w:hyperlink w:anchor="__RefHeading___Toc4159660_3804643083">
            <w:r>
              <w:rPr>
                <w:webHidden/>
                <w:rStyle w:val="IndexLink"/>
                <w:rtl w:val="true"/>
              </w:rPr>
              <w:t>جـخ</w:t>
            </w:r>
            <w:r>
              <w:rPr>
                <w:rStyle w:val="IndexLink"/>
                <w:rtl w:val="true"/>
              </w:rPr>
              <w:tab/>
            </w:r>
            <w:r>
              <w:rPr>
                <w:rStyle w:val="IndexLink"/>
              </w:rPr>
              <w:t>180</w:t>
            </w:r>
          </w:hyperlink>
        </w:p>
        <w:p>
          <w:pPr>
            <w:pStyle w:val="Contents4"/>
            <w:tabs>
              <w:tab w:val="clear" w:pos="8176"/>
              <w:tab w:val="right" w:pos="9026" w:leader="dot"/>
            </w:tabs>
            <w:rPr/>
          </w:pPr>
          <w:hyperlink w:anchor="__RefHeading___Toc4159662_3804643083">
            <w:r>
              <w:rPr>
                <w:webHidden/>
                <w:rStyle w:val="IndexLink"/>
                <w:rtl w:val="true"/>
              </w:rPr>
              <w:t>جواز نقل الحدیث بالمعنی ورجحان النقل باللفظ</w:t>
            </w:r>
            <w:r>
              <w:rPr>
                <w:rStyle w:val="IndexLink"/>
                <w:rtl w:val="true"/>
              </w:rPr>
              <w:tab/>
            </w:r>
            <w:r>
              <w:rPr>
                <w:rStyle w:val="IndexLink"/>
              </w:rPr>
              <w:t>181</w:t>
            </w:r>
          </w:hyperlink>
        </w:p>
        <w:p>
          <w:pPr>
            <w:pStyle w:val="Contents4"/>
            <w:tabs>
              <w:tab w:val="clear" w:pos="8176"/>
              <w:tab w:val="right" w:pos="9026" w:leader="dot"/>
            </w:tabs>
            <w:rPr/>
          </w:pPr>
          <w:hyperlink w:anchor="__RefHeading___Toc4159664_3804643083">
            <w:r>
              <w:rPr>
                <w:webHidden/>
                <w:rStyle w:val="IndexLink"/>
                <w:rtl w:val="true"/>
              </w:rPr>
              <w:t>ح</w:t>
            </w:r>
            <w:r>
              <w:rPr>
                <w:rStyle w:val="IndexLink"/>
                <w:rtl w:val="true"/>
              </w:rPr>
              <w:tab/>
            </w:r>
            <w:r>
              <w:rPr>
                <w:rStyle w:val="IndexLink"/>
              </w:rPr>
              <w:t>181</w:t>
            </w:r>
          </w:hyperlink>
        </w:p>
        <w:p>
          <w:pPr>
            <w:pStyle w:val="Contents4"/>
            <w:tabs>
              <w:tab w:val="clear" w:pos="8176"/>
              <w:tab w:val="right" w:pos="9026" w:leader="dot"/>
            </w:tabs>
            <w:rPr/>
          </w:pPr>
          <w:hyperlink w:anchor="__RefHeading___Toc4159666_3804643083">
            <w:r>
              <w:rPr>
                <w:webHidden/>
                <w:rStyle w:val="IndexLink"/>
                <w:rtl w:val="true"/>
              </w:rPr>
              <w:t>الخبر</w:t>
            </w:r>
            <w:r>
              <w:rPr>
                <w:rStyle w:val="IndexLink"/>
                <w:rtl w:val="true"/>
              </w:rPr>
              <w:tab/>
            </w:r>
            <w:r>
              <w:rPr>
                <w:rStyle w:val="IndexLink"/>
              </w:rPr>
              <w:t>182</w:t>
            </w:r>
          </w:hyperlink>
        </w:p>
        <w:p>
          <w:pPr>
            <w:pStyle w:val="Contents4"/>
            <w:tabs>
              <w:tab w:val="clear" w:pos="8176"/>
              <w:tab w:val="right" w:pos="9026" w:leader="dot"/>
            </w:tabs>
            <w:rPr/>
          </w:pPr>
          <w:hyperlink w:anchor="__RefHeading___Toc4159668_3804643083">
            <w:r>
              <w:rPr>
                <w:webHidden/>
                <w:rStyle w:val="IndexLink"/>
                <w:rtl w:val="true"/>
              </w:rPr>
              <w:t>الخبر المعلول</w:t>
            </w:r>
            <w:r>
              <w:rPr>
                <w:rStyle w:val="IndexLink"/>
                <w:rtl w:val="true"/>
              </w:rPr>
              <w:tab/>
            </w:r>
            <w:r>
              <w:rPr>
                <w:rStyle w:val="IndexLink"/>
              </w:rPr>
              <w:t>182</w:t>
            </w:r>
          </w:hyperlink>
        </w:p>
        <w:p>
          <w:pPr>
            <w:pStyle w:val="Contents4"/>
            <w:tabs>
              <w:tab w:val="clear" w:pos="8176"/>
              <w:tab w:val="right" w:pos="9026" w:leader="dot"/>
            </w:tabs>
            <w:rPr/>
          </w:pPr>
          <w:hyperlink w:anchor="__RefHeading___Toc4159670_3804643083">
            <w:r>
              <w:rPr>
                <w:webHidden/>
                <w:rStyle w:val="IndexLink"/>
                <w:rtl w:val="true"/>
              </w:rPr>
              <w:t>د</w:t>
            </w:r>
            <w:r>
              <w:rPr>
                <w:rStyle w:val="IndexLink"/>
                <w:rtl w:val="true"/>
              </w:rPr>
              <w:tab/>
            </w:r>
            <w:r>
              <w:rPr>
                <w:rStyle w:val="IndexLink"/>
              </w:rPr>
              <w:t>182</w:t>
            </w:r>
          </w:hyperlink>
        </w:p>
        <w:p>
          <w:pPr>
            <w:pStyle w:val="Contents4"/>
            <w:tabs>
              <w:tab w:val="clear" w:pos="8176"/>
              <w:tab w:val="right" w:pos="9026" w:leader="dot"/>
            </w:tabs>
            <w:rPr/>
          </w:pPr>
          <w:hyperlink w:anchor="__RefHeading___Toc4159672_3804643083">
            <w:r>
              <w:rPr>
                <w:webHidden/>
                <w:rStyle w:val="IndexLink"/>
                <w:rtl w:val="true"/>
              </w:rPr>
              <w:t>دی</w:t>
            </w:r>
            <w:r>
              <w:rPr>
                <w:rStyle w:val="IndexLink"/>
                <w:rtl w:val="true"/>
              </w:rPr>
              <w:tab/>
            </w:r>
            <w:r>
              <w:rPr>
                <w:rStyle w:val="IndexLink"/>
              </w:rPr>
              <w:t>182</w:t>
            </w:r>
          </w:hyperlink>
        </w:p>
        <w:p>
          <w:pPr>
            <w:pStyle w:val="Contents4"/>
            <w:tabs>
              <w:tab w:val="clear" w:pos="8176"/>
              <w:tab w:val="right" w:pos="9026" w:leader="dot"/>
            </w:tabs>
            <w:rPr/>
          </w:pPr>
          <w:hyperlink w:anchor="__RefHeading___Toc4159674_3804643083">
            <w:r>
              <w:rPr>
                <w:webHidden/>
                <w:rStyle w:val="IndexLink"/>
                <w:rtl w:val="true"/>
              </w:rPr>
              <w:t>ر</w:t>
            </w:r>
            <w:r>
              <w:rPr>
                <w:rStyle w:val="IndexLink"/>
                <w:rtl w:val="true"/>
              </w:rPr>
              <w:tab/>
            </w:r>
            <w:r>
              <w:rPr>
                <w:rStyle w:val="IndexLink"/>
              </w:rPr>
              <w:t>182</w:t>
            </w:r>
          </w:hyperlink>
        </w:p>
        <w:p>
          <w:pPr>
            <w:pStyle w:val="Contents4"/>
            <w:tabs>
              <w:tab w:val="clear" w:pos="8176"/>
              <w:tab w:val="right" w:pos="9026" w:leader="dot"/>
            </w:tabs>
            <w:rPr/>
          </w:pPr>
          <w:hyperlink w:anchor="__RefHeading___Toc4159676_3804643083">
            <w:r>
              <w:rPr>
                <w:webHidden/>
                <w:rStyle w:val="IndexLink"/>
                <w:rtl w:val="true"/>
              </w:rPr>
              <w:t>رجحان إعراب الحدیث ونقله بالعربی</w:t>
            </w:r>
            <w:r>
              <w:rPr>
                <w:rStyle w:val="IndexLink"/>
                <w:rtl w:val="true"/>
              </w:rPr>
              <w:tab/>
            </w:r>
            <w:r>
              <w:rPr>
                <w:rStyle w:val="IndexLink"/>
              </w:rPr>
              <w:t>183</w:t>
            </w:r>
          </w:hyperlink>
        </w:p>
        <w:p>
          <w:pPr>
            <w:pStyle w:val="Contents4"/>
            <w:tabs>
              <w:tab w:val="clear" w:pos="8176"/>
              <w:tab w:val="right" w:pos="9026" w:leader="dot"/>
            </w:tabs>
            <w:rPr/>
          </w:pPr>
          <w:hyperlink w:anchor="__RefHeading___Toc4159678_3804643083">
            <w:r>
              <w:rPr>
                <w:webHidden/>
                <w:rStyle w:val="IndexLink"/>
                <w:rtl w:val="true"/>
              </w:rPr>
              <w:t>الرجل</w:t>
            </w:r>
            <w:r>
              <w:rPr>
                <w:rStyle w:val="IndexLink"/>
                <w:rtl w:val="true"/>
              </w:rPr>
              <w:tab/>
            </w:r>
            <w:r>
              <w:rPr>
                <w:rStyle w:val="IndexLink"/>
              </w:rPr>
              <w:t>183</w:t>
            </w:r>
          </w:hyperlink>
        </w:p>
        <w:p>
          <w:pPr>
            <w:pStyle w:val="Contents4"/>
            <w:tabs>
              <w:tab w:val="clear" w:pos="8176"/>
              <w:tab w:val="right" w:pos="9026" w:leader="dot"/>
            </w:tabs>
            <w:rPr/>
          </w:pPr>
          <w:hyperlink w:anchor="__RefHeading___Toc4159680_3804643083">
            <w:r>
              <w:rPr>
                <w:webHidden/>
                <w:rStyle w:val="IndexLink"/>
                <w:rtl w:val="true"/>
              </w:rPr>
              <w:t>ری</w:t>
            </w:r>
            <w:r>
              <w:rPr>
                <w:rStyle w:val="IndexLink"/>
                <w:rtl w:val="true"/>
              </w:rPr>
              <w:tab/>
            </w:r>
            <w:r>
              <w:rPr>
                <w:rStyle w:val="IndexLink"/>
              </w:rPr>
              <w:t>183</w:t>
            </w:r>
          </w:hyperlink>
        </w:p>
        <w:p>
          <w:pPr>
            <w:pStyle w:val="Contents4"/>
            <w:tabs>
              <w:tab w:val="clear" w:pos="8176"/>
              <w:tab w:val="right" w:pos="9026" w:leader="dot"/>
            </w:tabs>
            <w:rPr/>
          </w:pPr>
          <w:hyperlink w:anchor="__RefHeading___Toc4159682_3804643083">
            <w:r>
              <w:rPr>
                <w:webHidden/>
                <w:rStyle w:val="IndexLink"/>
                <w:rtl w:val="true"/>
              </w:rPr>
              <w:t>ست</w:t>
            </w:r>
            <w:r>
              <w:rPr>
                <w:rStyle w:val="IndexLink"/>
                <w:rtl w:val="true"/>
              </w:rPr>
              <w:tab/>
            </w:r>
            <w:r>
              <w:rPr>
                <w:rStyle w:val="IndexLink"/>
              </w:rPr>
              <w:t>183</w:t>
            </w:r>
          </w:hyperlink>
        </w:p>
        <w:p>
          <w:pPr>
            <w:pStyle w:val="Contents4"/>
            <w:tabs>
              <w:tab w:val="clear" w:pos="8176"/>
              <w:tab w:val="right" w:pos="9026" w:leader="dot"/>
            </w:tabs>
            <w:rPr/>
          </w:pPr>
          <w:hyperlink w:anchor="__RefHeading___Toc4159684_3804643083">
            <w:r>
              <w:rPr>
                <w:webHidden/>
                <w:rStyle w:val="IndexLink"/>
                <w:rtl w:val="true"/>
              </w:rPr>
              <w:t>السند أو الطریق</w:t>
            </w:r>
            <w:r>
              <w:rPr>
                <w:rStyle w:val="IndexLink"/>
                <w:rtl w:val="true"/>
              </w:rPr>
              <w:tab/>
            </w:r>
            <w:r>
              <w:rPr>
                <w:rStyle w:val="IndexLink"/>
              </w:rPr>
              <w:t>183</w:t>
            </w:r>
          </w:hyperlink>
        </w:p>
        <w:p>
          <w:pPr>
            <w:pStyle w:val="Contents4"/>
            <w:tabs>
              <w:tab w:val="clear" w:pos="8176"/>
              <w:tab w:val="right" w:pos="9026" w:leader="dot"/>
            </w:tabs>
            <w:rPr/>
          </w:pPr>
          <w:hyperlink w:anchor="__RefHeading___Toc4159686_3804643083">
            <w:r>
              <w:rPr>
                <w:webHidden/>
                <w:rStyle w:val="IndexLink"/>
                <w:rtl w:val="true"/>
              </w:rPr>
              <w:t>السُنّة</w:t>
            </w:r>
            <w:r>
              <w:rPr>
                <w:rStyle w:val="IndexLink"/>
                <w:rtl w:val="true"/>
              </w:rPr>
              <w:tab/>
            </w:r>
            <w:r>
              <w:rPr>
                <w:rStyle w:val="IndexLink"/>
              </w:rPr>
              <w:t>184</w:t>
            </w:r>
          </w:hyperlink>
        </w:p>
        <w:p>
          <w:pPr>
            <w:pStyle w:val="Contents4"/>
            <w:tabs>
              <w:tab w:val="clear" w:pos="8176"/>
              <w:tab w:val="right" w:pos="9026" w:leader="dot"/>
            </w:tabs>
            <w:rPr/>
          </w:pPr>
          <w:hyperlink w:anchor="__RefHeading___Toc4159688_3804643083">
            <w:r>
              <w:rPr>
                <w:webHidden/>
                <w:rStyle w:val="IndexLink"/>
                <w:rtl w:val="true"/>
              </w:rPr>
              <w:t>شرطة الخمیس</w:t>
            </w:r>
            <w:r>
              <w:rPr>
                <w:rStyle w:val="IndexLink"/>
                <w:rtl w:val="true"/>
              </w:rPr>
              <w:tab/>
            </w:r>
            <w:r>
              <w:rPr>
                <w:rStyle w:val="IndexLink"/>
              </w:rPr>
              <w:t>185</w:t>
            </w:r>
          </w:hyperlink>
        </w:p>
        <w:p>
          <w:pPr>
            <w:pStyle w:val="Contents4"/>
            <w:tabs>
              <w:tab w:val="clear" w:pos="8176"/>
              <w:tab w:val="right" w:pos="9026" w:leader="dot"/>
            </w:tabs>
            <w:rPr/>
          </w:pPr>
          <w:hyperlink w:anchor="__RefHeading___Toc4159690_3804643083">
            <w:r>
              <w:rPr>
                <w:webHidden/>
                <w:rStyle w:val="IndexLink"/>
                <w:rtl w:val="true"/>
              </w:rPr>
              <w:t>الشَّیخ</w:t>
            </w:r>
            <w:r>
              <w:rPr>
                <w:rStyle w:val="IndexLink"/>
                <w:rtl w:val="true"/>
              </w:rPr>
              <w:tab/>
            </w:r>
            <w:r>
              <w:rPr>
                <w:rStyle w:val="IndexLink"/>
              </w:rPr>
              <w:t>185</w:t>
            </w:r>
          </w:hyperlink>
        </w:p>
        <w:p>
          <w:pPr>
            <w:pStyle w:val="Contents4"/>
            <w:tabs>
              <w:tab w:val="clear" w:pos="8176"/>
              <w:tab w:val="right" w:pos="9026" w:leader="dot"/>
            </w:tabs>
            <w:rPr/>
          </w:pPr>
          <w:hyperlink w:anchor="__RefHeading___Toc4159692_3804643083">
            <w:r>
              <w:rPr>
                <w:webHidden/>
                <w:rStyle w:val="IndexLink"/>
                <w:rtl w:val="true"/>
              </w:rPr>
              <w:t>صاحب الناحیة</w:t>
            </w:r>
            <w:r>
              <w:rPr>
                <w:rStyle w:val="IndexLink"/>
                <w:rtl w:val="true"/>
              </w:rPr>
              <w:tab/>
            </w:r>
            <w:r>
              <w:rPr>
                <w:rStyle w:val="IndexLink"/>
              </w:rPr>
              <w:t>185</w:t>
            </w:r>
          </w:hyperlink>
        </w:p>
        <w:p>
          <w:pPr>
            <w:pStyle w:val="Contents4"/>
            <w:tabs>
              <w:tab w:val="clear" w:pos="8176"/>
              <w:tab w:val="right" w:pos="9026" w:leader="dot"/>
            </w:tabs>
            <w:rPr/>
          </w:pPr>
          <w:hyperlink w:anchor="__RefHeading___Toc4159694_3804643083">
            <w:r>
              <w:rPr>
                <w:webHidden/>
                <w:rStyle w:val="IndexLink"/>
                <w:rtl w:val="true"/>
              </w:rPr>
              <w:t>صـه</w:t>
            </w:r>
            <w:r>
              <w:rPr>
                <w:rStyle w:val="IndexLink"/>
                <w:rtl w:val="true"/>
              </w:rPr>
              <w:tab/>
            </w:r>
            <w:r>
              <w:rPr>
                <w:rStyle w:val="IndexLink"/>
              </w:rPr>
              <w:t>185</w:t>
            </w:r>
          </w:hyperlink>
        </w:p>
        <w:p>
          <w:pPr>
            <w:pStyle w:val="Contents4"/>
            <w:tabs>
              <w:tab w:val="clear" w:pos="8176"/>
              <w:tab w:val="right" w:pos="9026" w:leader="dot"/>
            </w:tabs>
            <w:rPr/>
          </w:pPr>
          <w:hyperlink w:anchor="__RefHeading___Toc4159696_3804643083">
            <w:r>
              <w:rPr>
                <w:webHidden/>
                <w:rStyle w:val="IndexLink"/>
                <w:rtl w:val="true"/>
              </w:rPr>
              <w:t>ضـا</w:t>
            </w:r>
            <w:r>
              <w:rPr>
                <w:rStyle w:val="IndexLink"/>
                <w:rtl w:val="true"/>
              </w:rPr>
              <w:tab/>
            </w:r>
            <w:r>
              <w:rPr>
                <w:rStyle w:val="IndexLink"/>
              </w:rPr>
              <w:t>185</w:t>
            </w:r>
          </w:hyperlink>
        </w:p>
        <w:p>
          <w:pPr>
            <w:pStyle w:val="Contents4"/>
            <w:tabs>
              <w:tab w:val="clear" w:pos="8176"/>
              <w:tab w:val="right" w:pos="9026" w:leader="dot"/>
            </w:tabs>
            <w:rPr/>
          </w:pPr>
          <w:hyperlink w:anchor="__RefHeading___Toc4159698_3804643083">
            <w:r>
              <w:rPr>
                <w:webHidden/>
                <w:rStyle w:val="IndexLink"/>
                <w:rtl w:val="true"/>
              </w:rPr>
              <w:t>ظـم</w:t>
            </w:r>
            <w:r>
              <w:rPr>
                <w:rStyle w:val="IndexLink"/>
                <w:rtl w:val="true"/>
              </w:rPr>
              <w:tab/>
            </w:r>
            <w:r>
              <w:rPr>
                <w:rStyle w:val="IndexLink"/>
              </w:rPr>
              <w:t>186</w:t>
            </w:r>
          </w:hyperlink>
        </w:p>
        <w:p>
          <w:pPr>
            <w:pStyle w:val="Contents4"/>
            <w:tabs>
              <w:tab w:val="clear" w:pos="8176"/>
              <w:tab w:val="right" w:pos="9026" w:leader="dot"/>
            </w:tabs>
            <w:rPr/>
          </w:pPr>
          <w:hyperlink w:anchor="__RefHeading___Toc4159700_3804643083">
            <w:r>
              <w:rPr>
                <w:webHidden/>
                <w:rStyle w:val="IndexLink"/>
                <w:rtl w:val="true"/>
              </w:rPr>
              <w:t>العالِم</w:t>
            </w:r>
            <w:r>
              <w:rPr>
                <w:rStyle w:val="IndexLink"/>
                <w:rtl w:val="true"/>
              </w:rPr>
              <w:tab/>
            </w:r>
            <w:r>
              <w:rPr>
                <w:rStyle w:val="IndexLink"/>
              </w:rPr>
              <w:t>186</w:t>
            </w:r>
          </w:hyperlink>
        </w:p>
        <w:p>
          <w:pPr>
            <w:pStyle w:val="Contents4"/>
            <w:tabs>
              <w:tab w:val="clear" w:pos="8176"/>
              <w:tab w:val="right" w:pos="9026" w:leader="dot"/>
            </w:tabs>
            <w:rPr/>
          </w:pPr>
          <w:hyperlink w:anchor="__RefHeading___Toc4159702_3804643083">
            <w:r>
              <w:rPr>
                <w:webHidden/>
                <w:rStyle w:val="IndexLink"/>
                <w:rtl w:val="true"/>
              </w:rPr>
              <w:t>العبد الصالح</w:t>
            </w:r>
            <w:r>
              <w:rPr>
                <w:rStyle w:val="IndexLink"/>
                <w:rtl w:val="true"/>
              </w:rPr>
              <w:tab/>
            </w:r>
            <w:r>
              <w:rPr>
                <w:rStyle w:val="IndexLink"/>
              </w:rPr>
              <w:t>186</w:t>
            </w:r>
          </w:hyperlink>
        </w:p>
        <w:p>
          <w:pPr>
            <w:pStyle w:val="Contents4"/>
            <w:tabs>
              <w:tab w:val="clear" w:pos="8176"/>
              <w:tab w:val="right" w:pos="9026" w:leader="dot"/>
            </w:tabs>
            <w:rPr/>
          </w:pPr>
          <w:hyperlink w:anchor="__RefHeading___Toc4159704_3804643083">
            <w:r>
              <w:rPr>
                <w:webHidden/>
                <w:rStyle w:val="IndexLink"/>
                <w:rtl w:val="true"/>
              </w:rPr>
              <w:t>غـض</w:t>
            </w:r>
            <w:r>
              <w:rPr>
                <w:rStyle w:val="IndexLink"/>
                <w:rtl w:val="true"/>
              </w:rPr>
              <w:tab/>
            </w:r>
            <w:r>
              <w:rPr>
                <w:rStyle w:val="IndexLink"/>
              </w:rPr>
              <w:t>186</w:t>
            </w:r>
          </w:hyperlink>
        </w:p>
        <w:p>
          <w:pPr>
            <w:pStyle w:val="Contents4"/>
            <w:tabs>
              <w:tab w:val="clear" w:pos="8176"/>
              <w:tab w:val="right" w:pos="9026" w:leader="dot"/>
            </w:tabs>
            <w:rPr/>
          </w:pPr>
          <w:hyperlink w:anchor="__RefHeading___Toc4159706_3804643083">
            <w:r>
              <w:rPr>
                <w:webHidden/>
                <w:rStyle w:val="IndexLink"/>
                <w:rtl w:val="true"/>
              </w:rPr>
              <w:t>الفرض</w:t>
            </w:r>
            <w:r>
              <w:rPr>
                <w:rStyle w:val="IndexLink"/>
                <w:rtl w:val="true"/>
              </w:rPr>
              <w:tab/>
            </w:r>
            <w:r>
              <w:rPr>
                <w:rStyle w:val="IndexLink"/>
              </w:rPr>
              <w:t>186</w:t>
            </w:r>
          </w:hyperlink>
        </w:p>
        <w:p>
          <w:pPr>
            <w:pStyle w:val="Contents4"/>
            <w:tabs>
              <w:tab w:val="clear" w:pos="8176"/>
              <w:tab w:val="right" w:pos="9026" w:leader="dot"/>
            </w:tabs>
            <w:rPr/>
          </w:pPr>
          <w:hyperlink w:anchor="__RefHeading___Toc4159708_3804643083">
            <w:r>
              <w:rPr>
                <w:webHidden/>
                <w:rStyle w:val="IndexLink"/>
                <w:rtl w:val="true"/>
              </w:rPr>
              <w:t>الفقیه</w:t>
            </w:r>
            <w:r>
              <w:rPr>
                <w:rStyle w:val="IndexLink"/>
                <w:rtl w:val="true"/>
              </w:rPr>
              <w:tab/>
            </w:r>
            <w:r>
              <w:rPr>
                <w:rStyle w:val="IndexLink"/>
              </w:rPr>
              <w:t>187</w:t>
            </w:r>
          </w:hyperlink>
        </w:p>
        <w:p>
          <w:pPr>
            <w:pStyle w:val="Contents4"/>
            <w:tabs>
              <w:tab w:val="clear" w:pos="8176"/>
              <w:tab w:val="right" w:pos="9026" w:leader="dot"/>
            </w:tabs>
            <w:rPr/>
          </w:pPr>
          <w:hyperlink w:anchor="__RefHeading___Toc4159710_3804643083">
            <w:r>
              <w:rPr>
                <w:webHidden/>
                <w:rStyle w:val="IndexLink"/>
                <w:rtl w:val="true"/>
              </w:rPr>
              <w:t>فـی</w:t>
            </w:r>
            <w:r>
              <w:rPr>
                <w:rStyle w:val="IndexLink"/>
                <w:rtl w:val="true"/>
              </w:rPr>
              <w:tab/>
            </w:r>
            <w:r>
              <w:rPr>
                <w:rStyle w:val="IndexLink"/>
              </w:rPr>
              <w:t>187</w:t>
            </w:r>
          </w:hyperlink>
        </w:p>
        <w:p>
          <w:pPr>
            <w:pStyle w:val="Contents4"/>
            <w:tabs>
              <w:tab w:val="clear" w:pos="8176"/>
              <w:tab w:val="right" w:pos="9026" w:leader="dot"/>
            </w:tabs>
            <w:rPr/>
          </w:pPr>
          <w:hyperlink w:anchor="__RefHeading___Toc4159712_3804643083">
            <w:r>
              <w:rPr>
                <w:webHidden/>
                <w:rStyle w:val="IndexLink"/>
                <w:rtl w:val="true"/>
              </w:rPr>
              <w:t>ق</w:t>
            </w:r>
            <w:r>
              <w:rPr>
                <w:rStyle w:val="IndexLink"/>
                <w:rtl w:val="true"/>
              </w:rPr>
              <w:tab/>
            </w:r>
            <w:r>
              <w:rPr>
                <w:rStyle w:val="IndexLink"/>
              </w:rPr>
              <w:t>187</w:t>
            </w:r>
          </w:hyperlink>
        </w:p>
        <w:p>
          <w:pPr>
            <w:pStyle w:val="Contents4"/>
            <w:tabs>
              <w:tab w:val="clear" w:pos="8176"/>
              <w:tab w:val="right" w:pos="9026" w:leader="dot"/>
            </w:tabs>
            <w:rPr/>
          </w:pPr>
          <w:hyperlink w:anchor="__RefHeading___Toc4159714_3804643083">
            <w:r>
              <w:rPr>
                <w:webHidden/>
                <w:rStyle w:val="IndexLink"/>
                <w:rtl w:val="true"/>
              </w:rPr>
              <w:t>قـر</w:t>
            </w:r>
            <w:r>
              <w:rPr>
                <w:rStyle w:val="IndexLink"/>
                <w:rtl w:val="true"/>
              </w:rPr>
              <w:tab/>
            </w:r>
            <w:r>
              <w:rPr>
                <w:rStyle w:val="IndexLink"/>
              </w:rPr>
              <w:t>187</w:t>
            </w:r>
          </w:hyperlink>
        </w:p>
        <w:p>
          <w:pPr>
            <w:pStyle w:val="Contents4"/>
            <w:tabs>
              <w:tab w:val="clear" w:pos="8176"/>
              <w:tab w:val="right" w:pos="9026" w:leader="dot"/>
            </w:tabs>
            <w:rPr/>
          </w:pPr>
          <w:hyperlink w:anchor="__RefHeading___Toc4159716_3804643083">
            <w:r>
              <w:rPr>
                <w:webHidden/>
                <w:rStyle w:val="IndexLink"/>
                <w:rtl w:val="true"/>
              </w:rPr>
              <w:t>قمّی</w:t>
            </w:r>
            <w:r>
              <w:rPr>
                <w:rStyle w:val="IndexLink"/>
                <w:rtl w:val="true"/>
              </w:rPr>
              <w:tab/>
            </w:r>
            <w:r>
              <w:rPr>
                <w:rStyle w:val="IndexLink"/>
              </w:rPr>
              <w:t>187</w:t>
            </w:r>
          </w:hyperlink>
        </w:p>
        <w:p>
          <w:pPr>
            <w:pStyle w:val="Contents4"/>
            <w:tabs>
              <w:tab w:val="clear" w:pos="8176"/>
              <w:tab w:val="right" w:pos="9026" w:leader="dot"/>
            </w:tabs>
            <w:rPr/>
          </w:pPr>
          <w:hyperlink w:anchor="__RefHeading___Toc4159718_3804643083">
            <w:r>
              <w:rPr>
                <w:webHidden/>
                <w:rStyle w:val="IndexLink"/>
                <w:rtl w:val="true"/>
              </w:rPr>
              <w:t>قـی</w:t>
            </w:r>
            <w:r>
              <w:rPr>
                <w:rStyle w:val="IndexLink"/>
                <w:rtl w:val="true"/>
              </w:rPr>
              <w:tab/>
            </w:r>
            <w:r>
              <w:rPr>
                <w:rStyle w:val="IndexLink"/>
              </w:rPr>
              <w:t>187</w:t>
            </w:r>
          </w:hyperlink>
        </w:p>
        <w:p>
          <w:pPr>
            <w:pStyle w:val="Contents4"/>
            <w:tabs>
              <w:tab w:val="clear" w:pos="8176"/>
              <w:tab w:val="right" w:pos="9026" w:leader="dot"/>
            </w:tabs>
            <w:rPr/>
          </w:pPr>
          <w:hyperlink w:anchor="__RefHeading___Toc4159720_3804643083">
            <w:r>
              <w:rPr>
                <w:webHidden/>
                <w:rStyle w:val="IndexLink"/>
                <w:rtl w:val="true"/>
              </w:rPr>
              <w:t>کر</w:t>
            </w:r>
            <w:r>
              <w:rPr>
                <w:rStyle w:val="IndexLink"/>
                <w:rtl w:val="true"/>
              </w:rPr>
              <w:tab/>
            </w:r>
            <w:r>
              <w:rPr>
                <w:rStyle w:val="IndexLink"/>
              </w:rPr>
              <w:t>188</w:t>
            </w:r>
          </w:hyperlink>
        </w:p>
        <w:p>
          <w:pPr>
            <w:pStyle w:val="Contents4"/>
            <w:tabs>
              <w:tab w:val="clear" w:pos="8176"/>
              <w:tab w:val="right" w:pos="9026" w:leader="dot"/>
            </w:tabs>
            <w:rPr/>
          </w:pPr>
          <w:hyperlink w:anchor="__RefHeading___Toc4159722_3804643083">
            <w:r>
              <w:rPr>
                <w:webHidden/>
                <w:rStyle w:val="IndexLink"/>
                <w:rtl w:val="true"/>
              </w:rPr>
              <w:t>م</w:t>
            </w:r>
            <w:r>
              <w:rPr>
                <w:rStyle w:val="IndexLink"/>
                <w:rtl w:val="true"/>
              </w:rPr>
              <w:tab/>
            </w:r>
            <w:r>
              <w:rPr>
                <w:rStyle w:val="IndexLink"/>
              </w:rPr>
              <w:t>189</w:t>
            </w:r>
          </w:hyperlink>
        </w:p>
        <w:p>
          <w:pPr>
            <w:pStyle w:val="Contents4"/>
            <w:tabs>
              <w:tab w:val="clear" w:pos="8176"/>
              <w:tab w:val="right" w:pos="9026" w:leader="dot"/>
            </w:tabs>
            <w:rPr/>
          </w:pPr>
          <w:hyperlink w:anchor="__RefHeading___Toc4159724_3804643083">
            <w:r>
              <w:rPr>
                <w:webHidden/>
                <w:rStyle w:val="IndexLink"/>
                <w:rtl w:val="true"/>
              </w:rPr>
              <w:t>الماضی الأخیر</w:t>
            </w:r>
            <w:r>
              <w:rPr>
                <w:rStyle w:val="IndexLink"/>
                <w:rtl w:val="true"/>
              </w:rPr>
              <w:tab/>
            </w:r>
            <w:r>
              <w:rPr>
                <w:rStyle w:val="IndexLink"/>
              </w:rPr>
              <w:t>189</w:t>
            </w:r>
          </w:hyperlink>
        </w:p>
        <w:p>
          <w:pPr>
            <w:pStyle w:val="Contents4"/>
            <w:tabs>
              <w:tab w:val="clear" w:pos="8176"/>
              <w:tab w:val="right" w:pos="9026" w:leader="dot"/>
            </w:tabs>
            <w:rPr/>
          </w:pPr>
          <w:hyperlink w:anchor="__RefHeading___Toc4159726_3804643083">
            <w:r>
              <w:rPr>
                <w:webHidden/>
                <w:rStyle w:val="IndexLink"/>
                <w:rtl w:val="true"/>
              </w:rPr>
              <w:t>مشایخ الإجازة</w:t>
            </w:r>
            <w:r>
              <w:rPr>
                <w:rStyle w:val="IndexLink"/>
                <w:rtl w:val="true"/>
              </w:rPr>
              <w:tab/>
            </w:r>
            <w:r>
              <w:rPr>
                <w:rStyle w:val="IndexLink"/>
              </w:rPr>
              <w:t>189</w:t>
            </w:r>
          </w:hyperlink>
        </w:p>
        <w:p>
          <w:pPr>
            <w:pStyle w:val="Contents4"/>
            <w:tabs>
              <w:tab w:val="clear" w:pos="8176"/>
              <w:tab w:val="right" w:pos="9026" w:leader="dot"/>
            </w:tabs>
            <w:rPr/>
          </w:pPr>
          <w:hyperlink w:anchor="__RefHeading___Toc4159728_3804643083">
            <w:r>
              <w:rPr>
                <w:webHidden/>
                <w:rStyle w:val="IndexLink"/>
                <w:rtl w:val="true"/>
              </w:rPr>
              <w:t>الموقوف والمُضمَر</w:t>
            </w:r>
            <w:r>
              <w:rPr>
                <w:rStyle w:val="IndexLink"/>
                <w:rtl w:val="true"/>
              </w:rPr>
              <w:tab/>
            </w:r>
            <w:r>
              <w:rPr>
                <w:rStyle w:val="IndexLink"/>
              </w:rPr>
              <w:t>189</w:t>
            </w:r>
          </w:hyperlink>
        </w:p>
        <w:p>
          <w:pPr>
            <w:pStyle w:val="Contents4"/>
            <w:tabs>
              <w:tab w:val="clear" w:pos="8176"/>
              <w:tab w:val="right" w:pos="9026" w:leader="dot"/>
            </w:tabs>
            <w:rPr/>
          </w:pPr>
          <w:hyperlink w:anchor="__RefHeading___Toc4159730_3804643083">
            <w:r>
              <w:rPr>
                <w:webHidden/>
                <w:rStyle w:val="IndexLink"/>
                <w:rtl w:val="true"/>
              </w:rPr>
              <w:t>المولی</w:t>
            </w:r>
            <w:r>
              <w:rPr>
                <w:rStyle w:val="IndexLink"/>
                <w:rtl w:val="true"/>
              </w:rPr>
              <w:tab/>
            </w:r>
            <w:r>
              <w:rPr>
                <w:rStyle w:val="IndexLink"/>
              </w:rPr>
              <w:t>190</w:t>
            </w:r>
          </w:hyperlink>
        </w:p>
        <w:p>
          <w:pPr>
            <w:pStyle w:val="Contents4"/>
            <w:tabs>
              <w:tab w:val="clear" w:pos="8176"/>
              <w:tab w:val="right" w:pos="9026" w:leader="dot"/>
            </w:tabs>
            <w:rPr/>
          </w:pPr>
          <w:hyperlink w:anchor="__RefHeading___Toc4159732_3804643083">
            <w:r>
              <w:rPr>
                <w:webHidden/>
                <w:rStyle w:val="IndexLink"/>
                <w:rtl w:val="true"/>
              </w:rPr>
              <w:t>ن</w:t>
            </w:r>
            <w:r>
              <w:rPr>
                <w:rStyle w:val="IndexLink"/>
                <w:rtl w:val="true"/>
              </w:rPr>
              <w:tab/>
            </w:r>
            <w:r>
              <w:rPr>
                <w:rStyle w:val="IndexLink"/>
              </w:rPr>
              <w:t>190</w:t>
            </w:r>
          </w:hyperlink>
        </w:p>
        <w:p>
          <w:pPr>
            <w:pStyle w:val="Contents4"/>
            <w:tabs>
              <w:tab w:val="clear" w:pos="8176"/>
              <w:tab w:val="right" w:pos="9026" w:leader="dot"/>
            </w:tabs>
            <w:rPr/>
          </w:pPr>
          <w:hyperlink w:anchor="__RefHeading___Toc4159734_3804643083">
            <w:r>
              <w:rPr>
                <w:webHidden/>
                <w:rStyle w:val="IndexLink"/>
                <w:rtl w:val="true"/>
              </w:rPr>
              <w:t>النوادر</w:t>
            </w:r>
            <w:r>
              <w:rPr>
                <w:rStyle w:val="IndexLink"/>
                <w:rtl w:val="true"/>
              </w:rPr>
              <w:tab/>
            </w:r>
            <w:r>
              <w:rPr>
                <w:rStyle w:val="IndexLink"/>
              </w:rPr>
              <w:t>190</w:t>
            </w:r>
          </w:hyperlink>
        </w:p>
        <w:p>
          <w:pPr>
            <w:pStyle w:val="Contents4"/>
            <w:tabs>
              <w:tab w:val="clear" w:pos="8176"/>
              <w:tab w:val="right" w:pos="9026" w:leader="dot"/>
            </w:tabs>
            <w:rPr/>
          </w:pPr>
          <w:hyperlink w:anchor="__RefHeading___Toc4159736_3804643083">
            <w:r>
              <w:rPr>
                <w:webHidden/>
                <w:rStyle w:val="IndexLink"/>
                <w:rtl w:val="true"/>
              </w:rPr>
              <w:t>الواجب</w:t>
            </w:r>
            <w:r>
              <w:rPr>
                <w:rStyle w:val="IndexLink"/>
                <w:rtl w:val="true"/>
              </w:rPr>
              <w:tab/>
            </w:r>
            <w:r>
              <w:rPr>
                <w:rStyle w:val="IndexLink"/>
              </w:rPr>
              <w:t>191</w:t>
            </w:r>
          </w:hyperlink>
        </w:p>
        <w:p>
          <w:pPr>
            <w:pStyle w:val="Contents4"/>
            <w:tabs>
              <w:tab w:val="clear" w:pos="8176"/>
              <w:tab w:val="right" w:pos="9026" w:leader="dot"/>
            </w:tabs>
            <w:rPr/>
          </w:pPr>
          <w:hyperlink w:anchor="__RefHeading___Toc4159738_3804643083">
            <w:r>
              <w:rPr>
                <w:webHidden/>
                <w:rStyle w:val="IndexLink"/>
                <w:rtl w:val="true"/>
              </w:rPr>
              <w:t>ی</w:t>
            </w:r>
            <w:r>
              <w:rPr>
                <w:rStyle w:val="IndexLink"/>
                <w:rtl w:val="true"/>
              </w:rPr>
              <w:tab/>
            </w:r>
            <w:r>
              <w:rPr>
                <w:rStyle w:val="IndexLink"/>
              </w:rPr>
              <w:t>191</w:t>
            </w:r>
          </w:hyperlink>
        </w:p>
        <w:p>
          <w:pPr>
            <w:pStyle w:val="Contents4"/>
            <w:tabs>
              <w:tab w:val="clear" w:pos="8176"/>
              <w:tab w:val="right" w:pos="9026" w:leader="dot"/>
            </w:tabs>
            <w:rPr/>
          </w:pPr>
          <w:hyperlink w:anchor="__RefHeading___Toc4159740_3804643083">
            <w:r>
              <w:rPr>
                <w:webHidden/>
                <w:rStyle w:val="IndexLink"/>
                <w:rtl w:val="true"/>
              </w:rPr>
              <w:t>یـب</w:t>
            </w:r>
            <w:r>
              <w:rPr>
                <w:rStyle w:val="IndexLink"/>
                <w:rtl w:val="true"/>
              </w:rPr>
              <w:tab/>
            </w:r>
            <w:r>
              <w:rPr>
                <w:rStyle w:val="IndexLink"/>
              </w:rPr>
              <w:t>191</w:t>
            </w:r>
          </w:hyperlink>
        </w:p>
        <w:p>
          <w:pPr>
            <w:pStyle w:val="Contents4"/>
            <w:tabs>
              <w:tab w:val="clear" w:pos="8176"/>
              <w:tab w:val="right" w:pos="9026" w:leader="dot"/>
            </w:tabs>
            <w:rPr/>
          </w:pPr>
          <w:hyperlink w:anchor="__RefHeading___Toc4159742_3804643083">
            <w:r>
              <w:rPr>
                <w:webHidden/>
                <w:rStyle w:val="IndexLink"/>
                <w:rtl w:val="true"/>
              </w:rPr>
              <w:t>ین</w:t>
            </w:r>
            <w:r>
              <w:rPr>
                <w:rStyle w:val="IndexLink"/>
                <w:rtl w:val="true"/>
              </w:rPr>
              <w:tab/>
            </w:r>
            <w:r>
              <w:rPr>
                <w:rStyle w:val="IndexLink"/>
              </w:rPr>
              <w:t>191</w:t>
            </w:r>
          </w:hyperlink>
        </w:p>
        <w:p>
          <w:pPr>
            <w:pStyle w:val="Contents4"/>
            <w:tabs>
              <w:tab w:val="clear" w:pos="8176"/>
              <w:tab w:val="right" w:pos="9026" w:leader="dot"/>
            </w:tabs>
            <w:rPr/>
          </w:pPr>
          <w:hyperlink w:anchor="__RefHeading___Toc4159744_3804643083">
            <w:r>
              <w:rPr>
                <w:webHidden/>
                <w:rStyle w:val="IndexLink"/>
                <w:rtl w:val="true"/>
              </w:rPr>
              <w:t>یـه</w:t>
            </w:r>
            <w:r>
              <w:rPr>
                <w:rStyle w:val="IndexLink"/>
                <w:rtl w:val="true"/>
              </w:rPr>
              <w:tab/>
            </w:r>
            <w:r>
              <w:rPr>
                <w:rStyle w:val="IndexLink"/>
              </w:rPr>
              <w:t>191</w:t>
            </w:r>
          </w:hyperlink>
        </w:p>
        <w:p>
          <w:pPr>
            <w:pStyle w:val="Contents2"/>
            <w:tabs>
              <w:tab w:val="clear" w:pos="8743"/>
              <w:tab w:val="right" w:pos="9026" w:leader="dot"/>
            </w:tabs>
            <w:rPr/>
          </w:pPr>
          <w:hyperlink w:anchor="__RefHeading___Toc4159746_3804643083">
            <w:r>
              <w:rPr>
                <w:webHidden/>
                <w:rStyle w:val="IndexLink"/>
                <w:rtl w:val="true"/>
              </w:rPr>
              <w:t xml:space="preserve">الباب الثالث </w:t>
            </w:r>
            <w:r>
              <w:rPr>
                <w:rStyle w:val="IndexLink"/>
                <w:rtl w:val="true"/>
              </w:rPr>
              <w:t xml:space="preserve">: </w:t>
            </w:r>
            <w:r>
              <w:rPr>
                <w:rStyle w:val="IndexLink"/>
                <w:rtl w:val="true"/>
              </w:rPr>
              <w:t>فقه الحدیث عند الملاّ محمّدتقی المجلسی</w:t>
            </w:r>
            <w:r>
              <w:rPr>
                <w:rStyle w:val="IndexLink"/>
                <w:rtl w:val="true"/>
              </w:rPr>
              <w:tab/>
            </w:r>
            <w:r>
              <w:rPr>
                <w:rStyle w:val="IndexLink"/>
              </w:rPr>
              <w:t>192</w:t>
            </w:r>
          </w:hyperlink>
        </w:p>
        <w:p>
          <w:pPr>
            <w:pStyle w:val="Contents3"/>
            <w:tabs>
              <w:tab w:val="clear" w:pos="8459"/>
              <w:tab w:val="right" w:pos="9026" w:leader="dot"/>
            </w:tabs>
            <w:rPr/>
          </w:pPr>
          <w:hyperlink w:anchor="__RefHeading___Toc4159748_380464308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4159750_3804643083">
            <w:r>
              <w:rPr>
                <w:webHidden/>
                <w:rStyle w:val="IndexLink"/>
                <w:rtl w:val="true"/>
              </w:rPr>
              <w:t xml:space="preserve">الفصل الأوّل </w:t>
            </w:r>
            <w:r>
              <w:rPr>
                <w:rStyle w:val="IndexLink"/>
                <w:rtl w:val="true"/>
              </w:rPr>
              <w:t xml:space="preserve">: </w:t>
            </w:r>
            <w:r>
              <w:rPr>
                <w:rStyle w:val="IndexLink"/>
                <w:rtl w:val="true"/>
              </w:rPr>
              <w:t>فقه الحدیث ومکانته</w:t>
            </w:r>
            <w:r>
              <w:rPr>
                <w:rStyle w:val="IndexLink"/>
                <w:rtl w:val="true"/>
              </w:rPr>
              <w:tab/>
            </w:r>
            <w:r>
              <w:rPr>
                <w:rStyle w:val="IndexLink"/>
              </w:rPr>
              <w:t>193</w:t>
            </w:r>
          </w:hyperlink>
        </w:p>
        <w:p>
          <w:pPr>
            <w:pStyle w:val="Contents4"/>
            <w:tabs>
              <w:tab w:val="clear" w:pos="8176"/>
              <w:tab w:val="right" w:pos="9026" w:leader="dot"/>
            </w:tabs>
            <w:rPr/>
          </w:pPr>
          <w:hyperlink w:anchor="__RefHeading___Toc4159752_380464308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159754_3804643083">
            <w:r>
              <w:rPr>
                <w:webHidden/>
                <w:rStyle w:val="IndexLink"/>
                <w:rtl w:val="true"/>
              </w:rPr>
              <w:t>المدخل</w:t>
            </w:r>
            <w:r>
              <w:rPr>
                <w:rStyle w:val="IndexLink"/>
                <w:rtl w:val="true"/>
              </w:rPr>
              <w:tab/>
            </w:r>
            <w:r>
              <w:rPr>
                <w:rStyle w:val="IndexLink"/>
              </w:rPr>
              <w:t>193</w:t>
            </w:r>
          </w:hyperlink>
        </w:p>
        <w:p>
          <w:pPr>
            <w:pStyle w:val="Contents4"/>
            <w:tabs>
              <w:tab w:val="clear" w:pos="8176"/>
              <w:tab w:val="right" w:pos="9026" w:leader="dot"/>
            </w:tabs>
            <w:rPr/>
          </w:pPr>
          <w:hyperlink w:anchor="__RefHeading___Toc4159756_3804643083">
            <w:r>
              <w:rPr>
                <w:webHidden/>
                <w:rStyle w:val="IndexLink"/>
                <w:rtl w:val="true"/>
              </w:rPr>
              <w:t>التعریف بفقه الحدیث</w:t>
            </w:r>
            <w:r>
              <w:rPr>
                <w:rStyle w:val="IndexLink"/>
                <w:rtl w:val="true"/>
              </w:rPr>
              <w:tab/>
            </w:r>
            <w:r>
              <w:rPr>
                <w:rStyle w:val="IndexLink"/>
              </w:rPr>
              <w:t>194</w:t>
            </w:r>
          </w:hyperlink>
        </w:p>
        <w:p>
          <w:pPr>
            <w:pStyle w:val="Contents4"/>
            <w:tabs>
              <w:tab w:val="clear" w:pos="8176"/>
              <w:tab w:val="right" w:pos="9026" w:leader="dot"/>
            </w:tabs>
            <w:rPr/>
          </w:pPr>
          <w:hyperlink w:anchor="__RefHeading___Toc4159758_3804643083">
            <w:r>
              <w:rPr>
                <w:webHidden/>
                <w:rStyle w:val="IndexLink"/>
                <w:rtl w:val="true"/>
              </w:rPr>
              <w:t>مکانة فقه الحدیث وأهمیته</w:t>
            </w:r>
            <w:r>
              <w:rPr>
                <w:rStyle w:val="IndexLink"/>
                <w:rtl w:val="true"/>
              </w:rPr>
              <w:tab/>
            </w:r>
            <w:r>
              <w:rPr>
                <w:rStyle w:val="IndexLink"/>
              </w:rPr>
              <w:t>194</w:t>
            </w:r>
          </w:hyperlink>
        </w:p>
        <w:p>
          <w:pPr>
            <w:pStyle w:val="Contents3"/>
            <w:tabs>
              <w:tab w:val="clear" w:pos="8459"/>
              <w:tab w:val="right" w:pos="9026" w:leader="dot"/>
            </w:tabs>
            <w:rPr/>
          </w:pPr>
          <w:hyperlink w:anchor="__RefHeading___Toc4159760_3804643083">
            <w:r>
              <w:rPr>
                <w:webHidden/>
                <w:rStyle w:val="IndexLink"/>
                <w:rtl w:val="true"/>
              </w:rPr>
              <w:t xml:space="preserve">الفصل الثانی </w:t>
            </w:r>
            <w:r>
              <w:rPr>
                <w:rStyle w:val="IndexLink"/>
                <w:rtl w:val="true"/>
              </w:rPr>
              <w:t xml:space="preserve">: </w:t>
            </w:r>
            <w:r>
              <w:rPr>
                <w:rStyle w:val="IndexLink"/>
                <w:rtl w:val="true"/>
              </w:rPr>
              <w:t>الحاجة التمهیدیة لفهم متن الحدیث</w:t>
            </w:r>
            <w:r>
              <w:rPr>
                <w:rStyle w:val="IndexLink"/>
                <w:rtl w:val="true"/>
              </w:rPr>
              <w:tab/>
            </w:r>
            <w:r>
              <w:rPr>
                <w:rStyle w:val="IndexLink"/>
              </w:rPr>
              <w:t>199</w:t>
            </w:r>
          </w:hyperlink>
        </w:p>
        <w:p>
          <w:pPr>
            <w:pStyle w:val="Contents4"/>
            <w:tabs>
              <w:tab w:val="clear" w:pos="8176"/>
              <w:tab w:val="right" w:pos="9026" w:leader="dot"/>
            </w:tabs>
            <w:rPr/>
          </w:pPr>
          <w:hyperlink w:anchor="__RefHeading___Toc4159762_380464308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4159764_3804643083">
            <w:r>
              <w:rPr>
                <w:webHidden/>
                <w:rStyle w:val="IndexLink"/>
              </w:rPr>
              <w:t>1</w:t>
            </w:r>
            <w:r>
              <w:rPr>
                <w:rStyle w:val="IndexLink"/>
                <w:rtl w:val="true"/>
              </w:rPr>
              <w:t xml:space="preserve"> . </w:t>
            </w:r>
            <w:r>
              <w:rPr>
                <w:rStyle w:val="IndexLink"/>
                <w:rtl w:val="true"/>
              </w:rPr>
              <w:t>الالتفات إلی النسخ المتعددة</w:t>
            </w:r>
            <w:r>
              <w:rPr>
                <w:rStyle w:val="IndexLink"/>
                <w:rtl w:val="true"/>
              </w:rPr>
              <w:tab/>
            </w:r>
            <w:r>
              <w:rPr>
                <w:rStyle w:val="IndexLink"/>
              </w:rPr>
              <w:t>200</w:t>
            </w:r>
          </w:hyperlink>
        </w:p>
        <w:p>
          <w:pPr>
            <w:pStyle w:val="Contents4"/>
            <w:tabs>
              <w:tab w:val="clear" w:pos="8176"/>
              <w:tab w:val="right" w:pos="9026" w:leader="dot"/>
            </w:tabs>
            <w:rPr/>
          </w:pPr>
          <w:hyperlink w:anchor="__RefHeading___Toc4159766_3804643083">
            <w:r>
              <w:rPr>
                <w:webHidden/>
                <w:rStyle w:val="IndexLink"/>
              </w:rPr>
              <w:t>2</w:t>
            </w:r>
            <w:r>
              <w:rPr>
                <w:rStyle w:val="IndexLink"/>
                <w:rtl w:val="true"/>
              </w:rPr>
              <w:t xml:space="preserve"> . </w:t>
            </w:r>
            <w:r>
              <w:rPr>
                <w:rStyle w:val="IndexLink"/>
                <w:rtl w:val="true"/>
              </w:rPr>
              <w:t>کشف التصحیفات</w:t>
            </w:r>
            <w:r>
              <w:rPr>
                <w:rStyle w:val="IndexLink"/>
                <w:rtl w:val="true"/>
              </w:rPr>
              <w:tab/>
            </w:r>
            <w:r>
              <w:rPr>
                <w:rStyle w:val="IndexLink"/>
              </w:rPr>
              <w:t>203</w:t>
            </w:r>
          </w:hyperlink>
        </w:p>
        <w:p>
          <w:pPr>
            <w:pStyle w:val="Contents4"/>
            <w:tabs>
              <w:tab w:val="clear" w:pos="8176"/>
              <w:tab w:val="right" w:pos="9026" w:leader="dot"/>
            </w:tabs>
            <w:rPr/>
          </w:pPr>
          <w:hyperlink w:anchor="__RefHeading___Toc4159768_3804643083">
            <w:r>
              <w:rPr>
                <w:webHidden/>
                <w:rStyle w:val="IndexLink"/>
              </w:rPr>
              <w:t>3</w:t>
            </w:r>
            <w:r>
              <w:rPr>
                <w:rStyle w:val="IndexLink"/>
                <w:rtl w:val="true"/>
              </w:rPr>
              <w:t xml:space="preserve"> . </w:t>
            </w:r>
            <w:r>
              <w:rPr>
                <w:rStyle w:val="IndexLink"/>
                <w:rtl w:val="true"/>
              </w:rPr>
              <w:t>العثور علی تمام المتن</w:t>
            </w:r>
            <w:r>
              <w:rPr>
                <w:rStyle w:val="IndexLink"/>
                <w:rtl w:val="true"/>
              </w:rPr>
              <w:tab/>
            </w:r>
            <w:r>
              <w:rPr>
                <w:rStyle w:val="IndexLink"/>
              </w:rPr>
              <w:t>204</w:t>
            </w:r>
          </w:hyperlink>
        </w:p>
        <w:p>
          <w:pPr>
            <w:pStyle w:val="Contents4"/>
            <w:tabs>
              <w:tab w:val="clear" w:pos="8176"/>
              <w:tab w:val="right" w:pos="9026" w:leader="dot"/>
            </w:tabs>
            <w:rPr/>
          </w:pPr>
          <w:hyperlink w:anchor="__RefHeading___Toc4159770_3804643083">
            <w:r>
              <w:rPr>
                <w:webHidden/>
                <w:rStyle w:val="IndexLink"/>
              </w:rPr>
              <w:t>4</w:t>
            </w:r>
            <w:r>
              <w:rPr>
                <w:rStyle w:val="IndexLink"/>
                <w:rtl w:val="true"/>
              </w:rPr>
              <w:t xml:space="preserve"> . </w:t>
            </w:r>
            <w:r>
              <w:rPr>
                <w:rStyle w:val="IndexLink"/>
                <w:rtl w:val="true"/>
              </w:rPr>
              <w:t>الالتفات إلی النقل بالمعنی</w:t>
            </w:r>
            <w:r>
              <w:rPr>
                <w:rStyle w:val="IndexLink"/>
                <w:rtl w:val="true"/>
              </w:rPr>
              <w:tab/>
            </w:r>
            <w:r>
              <w:rPr>
                <w:rStyle w:val="IndexLink"/>
              </w:rPr>
              <w:t>205</w:t>
            </w:r>
          </w:hyperlink>
        </w:p>
        <w:p>
          <w:pPr>
            <w:pStyle w:val="Contents3"/>
            <w:tabs>
              <w:tab w:val="clear" w:pos="8459"/>
              <w:tab w:val="right" w:pos="9026" w:leader="dot"/>
            </w:tabs>
            <w:rPr/>
          </w:pPr>
          <w:hyperlink w:anchor="__RefHeading___Toc4159772_3804643083">
            <w:r>
              <w:rPr>
                <w:webHidden/>
                <w:rStyle w:val="IndexLink"/>
                <w:rtl w:val="true"/>
              </w:rPr>
              <w:t xml:space="preserve">الفصل الثالث </w:t>
            </w:r>
            <w:r>
              <w:rPr>
                <w:rStyle w:val="IndexLink"/>
                <w:rtl w:val="true"/>
              </w:rPr>
              <w:t xml:space="preserve">: </w:t>
            </w:r>
            <w:r>
              <w:rPr>
                <w:rStyle w:val="IndexLink"/>
                <w:rtl w:val="true"/>
              </w:rPr>
              <w:t>مراحل فهم الحدیث</w:t>
            </w:r>
            <w:r>
              <w:rPr>
                <w:rStyle w:val="IndexLink"/>
                <w:rtl w:val="true"/>
              </w:rPr>
              <w:tab/>
            </w:r>
            <w:r>
              <w:rPr>
                <w:rStyle w:val="IndexLink"/>
              </w:rPr>
              <w:t>208</w:t>
            </w:r>
          </w:hyperlink>
        </w:p>
        <w:p>
          <w:pPr>
            <w:pStyle w:val="Contents4"/>
            <w:tabs>
              <w:tab w:val="clear" w:pos="8176"/>
              <w:tab w:val="right" w:pos="9026" w:leader="dot"/>
            </w:tabs>
            <w:rPr/>
          </w:pPr>
          <w:hyperlink w:anchor="__RefHeading___Toc4159774_380464308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159776_3804643083">
            <w:r>
              <w:rPr>
                <w:webHidden/>
                <w:rStyle w:val="IndexLink"/>
                <w:rtl w:val="true"/>
              </w:rPr>
              <w:t xml:space="preserve">المرحلة الاُولی </w:t>
            </w:r>
            <w:r>
              <w:rPr>
                <w:rStyle w:val="IndexLink"/>
                <w:rtl w:val="true"/>
              </w:rPr>
              <w:t xml:space="preserve">: </w:t>
            </w:r>
            <w:r>
              <w:rPr>
                <w:rStyle w:val="IndexLink"/>
                <w:rtl w:val="true"/>
              </w:rPr>
              <w:t>فهم المتن</w:t>
            </w:r>
            <w:r>
              <w:rPr>
                <w:rStyle w:val="IndexLink"/>
                <w:rtl w:val="true"/>
              </w:rPr>
              <w:tab/>
            </w:r>
            <w:r>
              <w:rPr>
                <w:rStyle w:val="IndexLink"/>
              </w:rPr>
              <w:t>208</w:t>
            </w:r>
          </w:hyperlink>
        </w:p>
        <w:p>
          <w:pPr>
            <w:pStyle w:val="Contents5"/>
            <w:tabs>
              <w:tab w:val="clear" w:pos="7892"/>
              <w:tab w:val="right" w:pos="9026" w:leader="dot"/>
            </w:tabs>
            <w:rPr/>
          </w:pPr>
          <w:hyperlink w:anchor="__RefHeading___Toc4159778_3804643083">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4159780_3804643083">
            <w:r>
              <w:rPr>
                <w:webHidden/>
                <w:rStyle w:val="IndexLink"/>
              </w:rPr>
              <w:t>1</w:t>
            </w:r>
            <w:r>
              <w:rPr>
                <w:rStyle w:val="IndexLink"/>
                <w:rtl w:val="true"/>
              </w:rPr>
              <w:t xml:space="preserve"> . </w:t>
            </w:r>
            <w:r>
              <w:rPr>
                <w:rStyle w:val="IndexLink"/>
                <w:rtl w:val="true"/>
              </w:rPr>
              <w:t>شرح معانی الکلمات</w:t>
            </w:r>
            <w:r>
              <w:rPr>
                <w:rStyle w:val="IndexLink"/>
                <w:rtl w:val="true"/>
              </w:rPr>
              <w:tab/>
            </w:r>
            <w:r>
              <w:rPr>
                <w:rStyle w:val="IndexLink"/>
              </w:rPr>
              <w:t>210</w:t>
            </w:r>
          </w:hyperlink>
        </w:p>
        <w:p>
          <w:pPr>
            <w:pStyle w:val="Contents5"/>
            <w:tabs>
              <w:tab w:val="clear" w:pos="7892"/>
              <w:tab w:val="right" w:pos="9026" w:leader="dot"/>
            </w:tabs>
            <w:rPr/>
          </w:pPr>
          <w:hyperlink w:anchor="__RefHeading___Toc4159782_3804643083">
            <w:r>
              <w:rPr>
                <w:webHidden/>
                <w:rStyle w:val="IndexLink"/>
              </w:rPr>
              <w:t>2</w:t>
            </w:r>
            <w:r>
              <w:rPr>
                <w:rStyle w:val="IndexLink"/>
                <w:rtl w:val="true"/>
              </w:rPr>
              <w:t xml:space="preserve"> . </w:t>
            </w:r>
            <w:r>
              <w:rPr>
                <w:rStyle w:val="IndexLink"/>
                <w:rtl w:val="true"/>
              </w:rPr>
              <w:t>المعانی الاصطلاحیة</w:t>
            </w:r>
            <w:r>
              <w:rPr>
                <w:rStyle w:val="IndexLink"/>
                <w:rtl w:val="true"/>
              </w:rPr>
              <w:tab/>
            </w:r>
            <w:r>
              <w:rPr>
                <w:rStyle w:val="IndexLink"/>
              </w:rPr>
              <w:t>213</w:t>
            </w:r>
          </w:hyperlink>
        </w:p>
        <w:p>
          <w:pPr>
            <w:pStyle w:val="Contents5"/>
            <w:tabs>
              <w:tab w:val="clear" w:pos="7892"/>
              <w:tab w:val="right" w:pos="9026" w:leader="dot"/>
            </w:tabs>
            <w:rPr/>
          </w:pPr>
          <w:hyperlink w:anchor="__RefHeading___Toc4159784_3804643083">
            <w:r>
              <w:rPr>
                <w:webHidden/>
                <w:rStyle w:val="IndexLink"/>
              </w:rPr>
              <w:t>3</w:t>
            </w:r>
            <w:r>
              <w:rPr>
                <w:rStyle w:val="IndexLink"/>
                <w:rtl w:val="true"/>
              </w:rPr>
              <w:t xml:space="preserve"> . </w:t>
            </w:r>
            <w:r>
              <w:rPr>
                <w:rStyle w:val="IndexLink"/>
                <w:rtl w:val="true"/>
              </w:rPr>
              <w:t>المجاز</w:t>
            </w:r>
            <w:r>
              <w:rPr>
                <w:rStyle w:val="IndexLink"/>
                <w:rtl w:val="true"/>
              </w:rPr>
              <w:tab/>
            </w:r>
            <w:r>
              <w:rPr>
                <w:rStyle w:val="IndexLink"/>
              </w:rPr>
              <w:t>219</w:t>
            </w:r>
          </w:hyperlink>
        </w:p>
        <w:p>
          <w:pPr>
            <w:pStyle w:val="Contents5"/>
            <w:tabs>
              <w:tab w:val="clear" w:pos="7892"/>
              <w:tab w:val="right" w:pos="9026" w:leader="dot"/>
            </w:tabs>
            <w:rPr/>
          </w:pPr>
          <w:hyperlink w:anchor="__RefHeading___Toc4159786_3804643083">
            <w:r>
              <w:rPr>
                <w:webHidden/>
                <w:rStyle w:val="IndexLink"/>
              </w:rPr>
              <w:t>4</w:t>
            </w:r>
            <w:r>
              <w:rPr>
                <w:rStyle w:val="IndexLink"/>
                <w:rtl w:val="true"/>
              </w:rPr>
              <w:t xml:space="preserve"> . </w:t>
            </w:r>
            <w:r>
              <w:rPr>
                <w:rStyle w:val="IndexLink"/>
                <w:rtl w:val="true"/>
              </w:rPr>
              <w:t>تفسیر الکنایات</w:t>
            </w:r>
            <w:r>
              <w:rPr>
                <w:rStyle w:val="IndexLink"/>
                <w:rtl w:val="true"/>
              </w:rPr>
              <w:tab/>
            </w:r>
            <w:r>
              <w:rPr>
                <w:rStyle w:val="IndexLink"/>
              </w:rPr>
              <w:t>224</w:t>
            </w:r>
          </w:hyperlink>
        </w:p>
        <w:p>
          <w:pPr>
            <w:pStyle w:val="Contents4"/>
            <w:tabs>
              <w:tab w:val="clear" w:pos="8176"/>
              <w:tab w:val="right" w:pos="9026" w:leader="dot"/>
            </w:tabs>
            <w:rPr/>
          </w:pPr>
          <w:hyperlink w:anchor="__RefHeading___Toc4159788_3804643083">
            <w:r>
              <w:rPr>
                <w:webHidden/>
                <w:rStyle w:val="IndexLink"/>
                <w:rtl w:val="true"/>
              </w:rPr>
              <w:t xml:space="preserve">المرحلة الثانیة </w:t>
            </w:r>
            <w:r>
              <w:rPr>
                <w:rStyle w:val="IndexLink"/>
                <w:rtl w:val="true"/>
              </w:rPr>
              <w:t xml:space="preserve">: </w:t>
            </w:r>
            <w:r>
              <w:rPr>
                <w:rStyle w:val="IndexLink"/>
                <w:rtl w:val="true"/>
              </w:rPr>
              <w:t>فهم المقصود</w:t>
            </w:r>
            <w:r>
              <w:rPr>
                <w:rStyle w:val="IndexLink"/>
                <w:rtl w:val="true"/>
              </w:rPr>
              <w:tab/>
            </w:r>
            <w:r>
              <w:rPr>
                <w:rStyle w:val="IndexLink"/>
              </w:rPr>
              <w:t>225</w:t>
            </w:r>
          </w:hyperlink>
        </w:p>
        <w:p>
          <w:pPr>
            <w:pStyle w:val="Contents5"/>
            <w:tabs>
              <w:tab w:val="clear" w:pos="7892"/>
              <w:tab w:val="right" w:pos="9026" w:leader="dot"/>
            </w:tabs>
            <w:rPr/>
          </w:pPr>
          <w:hyperlink w:anchor="__RefHeading___Toc4159790_380464308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159792_3804643083">
            <w:r>
              <w:rPr>
                <w:webHidden/>
                <w:rStyle w:val="IndexLink"/>
              </w:rPr>
              <w:t>1</w:t>
            </w:r>
            <w:r>
              <w:rPr>
                <w:rStyle w:val="IndexLink"/>
                <w:rtl w:val="true"/>
              </w:rPr>
              <w:t xml:space="preserve"> . </w:t>
            </w:r>
            <w:r>
              <w:rPr>
                <w:rStyle w:val="IndexLink"/>
                <w:rtl w:val="true"/>
              </w:rPr>
              <w:t>القرائن الداخلیة لفهم المقصود</w:t>
            </w:r>
            <w:r>
              <w:rPr>
                <w:rStyle w:val="IndexLink"/>
                <w:rtl w:val="true"/>
              </w:rPr>
              <w:tab/>
            </w:r>
            <w:r>
              <w:rPr>
                <w:rStyle w:val="IndexLink"/>
              </w:rPr>
              <w:t>228</w:t>
            </w:r>
          </w:hyperlink>
        </w:p>
        <w:p>
          <w:pPr>
            <w:pStyle w:val="Contents6"/>
            <w:tabs>
              <w:tab w:val="clear" w:pos="7609"/>
              <w:tab w:val="right" w:pos="9026" w:leader="dot"/>
            </w:tabs>
            <w:rPr/>
          </w:pPr>
          <w:hyperlink w:anchor="__RefHeading___Toc4159794_3804643083">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4159796_3804643083">
            <w:r>
              <w:rPr>
                <w:webHidden/>
                <w:rStyle w:val="IndexLink"/>
                <w:rtl w:val="true"/>
              </w:rPr>
              <w:t>أ ـ تعلیل الإمام</w:t>
            </w:r>
            <w:r>
              <w:rPr>
                <w:rStyle w:val="IndexLink"/>
                <w:rtl w:val="true"/>
              </w:rPr>
              <w:tab/>
            </w:r>
            <w:r>
              <w:rPr>
                <w:rStyle w:val="IndexLink"/>
              </w:rPr>
              <w:t>228</w:t>
            </w:r>
          </w:hyperlink>
        </w:p>
        <w:p>
          <w:pPr>
            <w:pStyle w:val="Contents6"/>
            <w:tabs>
              <w:tab w:val="clear" w:pos="7609"/>
              <w:tab w:val="right" w:pos="9026" w:leader="dot"/>
            </w:tabs>
            <w:rPr/>
          </w:pPr>
          <w:hyperlink w:anchor="__RefHeading___Toc4159798_3804643083">
            <w:r>
              <w:rPr>
                <w:webHidden/>
                <w:rStyle w:val="IndexLink"/>
                <w:rtl w:val="true"/>
              </w:rPr>
              <w:t>ب ـ سؤال الراوی</w:t>
            </w:r>
            <w:r>
              <w:rPr>
                <w:rStyle w:val="IndexLink"/>
                <w:rtl w:val="true"/>
              </w:rPr>
              <w:tab/>
            </w:r>
            <w:r>
              <w:rPr>
                <w:rStyle w:val="IndexLink"/>
              </w:rPr>
              <w:t>231</w:t>
            </w:r>
          </w:hyperlink>
        </w:p>
        <w:p>
          <w:pPr>
            <w:pStyle w:val="Contents6"/>
            <w:tabs>
              <w:tab w:val="clear" w:pos="7609"/>
              <w:tab w:val="right" w:pos="9026" w:leader="dot"/>
            </w:tabs>
            <w:rPr/>
          </w:pPr>
          <w:hyperlink w:anchor="__RefHeading___Toc4159800_3804643083">
            <w:r>
              <w:rPr>
                <w:webHidden/>
                <w:rStyle w:val="IndexLink"/>
                <w:rtl w:val="true"/>
              </w:rPr>
              <w:t>ج ـ فهم الراوی الأوّل</w:t>
            </w:r>
            <w:r>
              <w:rPr>
                <w:rStyle w:val="IndexLink"/>
                <w:rtl w:val="true"/>
              </w:rPr>
              <w:tab/>
            </w:r>
            <w:r>
              <w:rPr>
                <w:rStyle w:val="IndexLink"/>
              </w:rPr>
              <w:t>237</w:t>
            </w:r>
          </w:hyperlink>
        </w:p>
        <w:p>
          <w:pPr>
            <w:pStyle w:val="Contents5"/>
            <w:tabs>
              <w:tab w:val="clear" w:pos="7892"/>
              <w:tab w:val="right" w:pos="9026" w:leader="dot"/>
            </w:tabs>
            <w:rPr/>
          </w:pPr>
          <w:hyperlink w:anchor="__RefHeading___Toc4159802_3804643083">
            <w:r>
              <w:rPr>
                <w:webHidden/>
                <w:rStyle w:val="IndexLink"/>
              </w:rPr>
              <w:t>2</w:t>
            </w:r>
            <w:r>
              <w:rPr>
                <w:rStyle w:val="IndexLink"/>
                <w:rtl w:val="true"/>
              </w:rPr>
              <w:t xml:space="preserve"> . </w:t>
            </w:r>
            <w:r>
              <w:rPr>
                <w:rStyle w:val="IndexLink"/>
                <w:rtl w:val="true"/>
              </w:rPr>
              <w:t>القرائن المقامیة</w:t>
            </w:r>
            <w:r>
              <w:rPr>
                <w:rStyle w:val="IndexLink"/>
                <w:rtl w:val="true"/>
              </w:rPr>
              <w:tab/>
            </w:r>
            <w:r>
              <w:rPr>
                <w:rStyle w:val="IndexLink"/>
              </w:rPr>
              <w:t>239</w:t>
            </w:r>
          </w:hyperlink>
        </w:p>
        <w:p>
          <w:pPr>
            <w:pStyle w:val="Contents5"/>
            <w:tabs>
              <w:tab w:val="clear" w:pos="7892"/>
              <w:tab w:val="right" w:pos="9026" w:leader="dot"/>
            </w:tabs>
            <w:rPr/>
          </w:pPr>
          <w:hyperlink w:anchor="__RefHeading___Toc4159804_3804643083">
            <w:r>
              <w:rPr>
                <w:webHidden/>
                <w:rStyle w:val="IndexLink"/>
              </w:rPr>
              <w:t>3</w:t>
            </w:r>
            <w:r>
              <w:rPr>
                <w:rStyle w:val="IndexLink"/>
                <w:rtl w:val="true"/>
              </w:rPr>
              <w:t xml:space="preserve"> . </w:t>
            </w:r>
            <w:r>
              <w:rPr>
                <w:rStyle w:val="IndexLink"/>
                <w:rtl w:val="true"/>
              </w:rPr>
              <w:t xml:space="preserve">القرائن اللفظیة المنفصلة </w:t>
            </w:r>
            <w:r>
              <w:rPr>
                <w:rStyle w:val="IndexLink"/>
                <w:rtl w:val="true"/>
              </w:rPr>
              <w:t xml:space="preserve">( </w:t>
            </w:r>
            <w:r>
              <w:rPr>
                <w:rStyle w:val="IndexLink"/>
                <w:rtl w:val="true"/>
              </w:rPr>
              <w:t xml:space="preserve">فصیلة الحدیث </w:t>
            </w:r>
            <w:r>
              <w:rPr>
                <w:rStyle w:val="IndexLink"/>
                <w:rtl w:val="true"/>
              </w:rPr>
              <w:t>)</w:t>
              <w:tab/>
            </w:r>
            <w:r>
              <w:rPr>
                <w:rStyle w:val="IndexLink"/>
              </w:rPr>
              <w:t>245</w:t>
            </w:r>
          </w:hyperlink>
        </w:p>
        <w:p>
          <w:pPr>
            <w:pStyle w:val="Contents5"/>
            <w:tabs>
              <w:tab w:val="clear" w:pos="7892"/>
              <w:tab w:val="right" w:pos="9026" w:leader="dot"/>
            </w:tabs>
            <w:rPr/>
          </w:pPr>
          <w:hyperlink w:anchor="__RefHeading___Toc4159806_3804643083">
            <w:r>
              <w:rPr>
                <w:webHidden/>
                <w:rStyle w:val="IndexLink"/>
                <w:rtl w:val="true"/>
              </w:rPr>
              <w:t>استنتاج المجلسی من القرائن اللفظیة</w:t>
            </w:r>
            <w:r>
              <w:rPr>
                <w:rStyle w:val="IndexLink"/>
                <w:rtl w:val="true"/>
              </w:rPr>
              <w:tab/>
            </w:r>
            <w:r>
              <w:rPr>
                <w:rStyle w:val="IndexLink"/>
              </w:rPr>
              <w:t>249</w:t>
            </w:r>
          </w:hyperlink>
        </w:p>
        <w:p>
          <w:pPr>
            <w:pStyle w:val="Contents6"/>
            <w:tabs>
              <w:tab w:val="clear" w:pos="7609"/>
              <w:tab w:val="right" w:pos="9026" w:leader="dot"/>
            </w:tabs>
            <w:rPr/>
          </w:pPr>
          <w:hyperlink w:anchor="__RefHeading___Toc4159808_3804643083">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4159810_3804643083">
            <w:r>
              <w:rPr>
                <w:webHidden/>
                <w:rStyle w:val="IndexLink"/>
                <w:rtl w:val="true"/>
              </w:rPr>
              <w:t>أ ـ تبیین المجمل</w:t>
            </w:r>
            <w:r>
              <w:rPr>
                <w:rStyle w:val="IndexLink"/>
                <w:rtl w:val="true"/>
              </w:rPr>
              <w:tab/>
            </w:r>
            <w:r>
              <w:rPr>
                <w:rStyle w:val="IndexLink"/>
              </w:rPr>
              <w:t>249</w:t>
            </w:r>
          </w:hyperlink>
        </w:p>
        <w:p>
          <w:pPr>
            <w:pStyle w:val="Contents6"/>
            <w:tabs>
              <w:tab w:val="clear" w:pos="7609"/>
              <w:tab w:val="right" w:pos="9026" w:leader="dot"/>
            </w:tabs>
            <w:rPr/>
          </w:pPr>
          <w:hyperlink w:anchor="__RefHeading___Toc4159812_3804643083">
            <w:r>
              <w:rPr>
                <w:webHidden/>
                <w:rStyle w:val="IndexLink"/>
                <w:rtl w:val="true"/>
              </w:rPr>
              <w:t>ب ـ تقیید المطلق</w:t>
            </w:r>
            <w:r>
              <w:rPr>
                <w:rStyle w:val="IndexLink"/>
                <w:rtl w:val="true"/>
              </w:rPr>
              <w:tab/>
            </w:r>
            <w:r>
              <w:rPr>
                <w:rStyle w:val="IndexLink"/>
              </w:rPr>
              <w:t>250</w:t>
            </w:r>
          </w:hyperlink>
        </w:p>
        <w:p>
          <w:pPr>
            <w:pStyle w:val="Contents6"/>
            <w:tabs>
              <w:tab w:val="clear" w:pos="7609"/>
              <w:tab w:val="right" w:pos="9026" w:leader="dot"/>
            </w:tabs>
            <w:rPr/>
          </w:pPr>
          <w:hyperlink w:anchor="__RefHeading___Toc4159814_3804643083">
            <w:r>
              <w:rPr>
                <w:webHidden/>
                <w:rStyle w:val="IndexLink"/>
                <w:rtl w:val="true"/>
              </w:rPr>
              <w:t>ج ـ حل و جمع الأخبار المتعارضة</w:t>
            </w:r>
            <w:r>
              <w:rPr>
                <w:rStyle w:val="IndexLink"/>
                <w:rtl w:val="true"/>
              </w:rPr>
              <w:tab/>
            </w:r>
            <w:r>
              <w:rPr>
                <w:rStyle w:val="IndexLink"/>
              </w:rPr>
              <w:t>252</w:t>
            </w:r>
          </w:hyperlink>
        </w:p>
        <w:p>
          <w:pPr>
            <w:pStyle w:val="Contents3"/>
            <w:tabs>
              <w:tab w:val="clear" w:pos="8459"/>
              <w:tab w:val="right" w:pos="9026" w:leader="dot"/>
            </w:tabs>
            <w:rPr/>
          </w:pPr>
          <w:hyperlink w:anchor="__RefHeading___Toc4159816_3804643083">
            <w:r>
              <w:rPr>
                <w:webHidden/>
                <w:rStyle w:val="IndexLink"/>
                <w:rtl w:val="true"/>
              </w:rPr>
              <w:t xml:space="preserve">الفصل الرابع </w:t>
            </w:r>
            <w:r>
              <w:rPr>
                <w:rStyle w:val="IndexLink"/>
                <w:rtl w:val="true"/>
              </w:rPr>
              <w:t xml:space="preserve">: </w:t>
            </w:r>
            <w:r>
              <w:rPr>
                <w:rStyle w:val="IndexLink"/>
                <w:rtl w:val="true"/>
              </w:rPr>
              <w:t>کلمة حول موانع فهم الحدیث</w:t>
            </w:r>
            <w:r>
              <w:rPr>
                <w:rStyle w:val="IndexLink"/>
                <w:rtl w:val="true"/>
              </w:rPr>
              <w:tab/>
            </w:r>
            <w:r>
              <w:rPr>
                <w:rStyle w:val="IndexLink"/>
              </w:rPr>
              <w:t>259</w:t>
            </w:r>
          </w:hyperlink>
        </w:p>
        <w:p>
          <w:pPr>
            <w:pStyle w:val="Contents2"/>
            <w:tabs>
              <w:tab w:val="clear" w:pos="8743"/>
              <w:tab w:val="right" w:pos="9026" w:leader="dot"/>
            </w:tabs>
            <w:rPr/>
          </w:pPr>
          <w:hyperlink w:anchor="__RefHeading___Toc4159818_3804643083">
            <w:r>
              <w:rPr>
                <w:webHidden/>
                <w:rStyle w:val="IndexLink"/>
                <w:rtl w:val="true"/>
              </w:rPr>
              <w:t>الملحقات</w:t>
            </w:r>
            <w:r>
              <w:rPr>
                <w:rStyle w:val="IndexLink"/>
                <w:rtl w:val="true"/>
              </w:rPr>
              <w:tab/>
            </w:r>
            <w:r>
              <w:rPr>
                <w:rStyle w:val="IndexLink"/>
              </w:rPr>
              <w:t>262</w:t>
            </w:r>
          </w:hyperlink>
        </w:p>
        <w:p>
          <w:pPr>
            <w:pStyle w:val="Contents3"/>
            <w:tabs>
              <w:tab w:val="clear" w:pos="8459"/>
              <w:tab w:val="right" w:pos="9026" w:leader="dot"/>
            </w:tabs>
            <w:rPr/>
          </w:pPr>
          <w:hyperlink w:anchor="__RefHeading___Toc4159820_3804643083">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4159822_3804643083">
            <w:r>
              <w:rPr>
                <w:webHidden/>
                <w:rStyle w:val="IndexLink"/>
                <w:rtl w:val="true"/>
              </w:rPr>
              <w:t xml:space="preserve">الملحق رقم </w:t>
            </w:r>
            <w:r>
              <w:rPr>
                <w:rStyle w:val="IndexLink"/>
              </w:rPr>
              <w:t>1</w:t>
            </w:r>
            <w:r>
              <w:rPr>
                <w:rStyle w:val="IndexLink"/>
                <w:rtl w:val="true"/>
              </w:rPr>
              <w:tab/>
            </w:r>
            <w:r>
              <w:rPr>
                <w:rStyle w:val="IndexLink"/>
              </w:rPr>
              <w:t>262</w:t>
            </w:r>
          </w:hyperlink>
        </w:p>
        <w:p>
          <w:pPr>
            <w:pStyle w:val="Contents3"/>
            <w:tabs>
              <w:tab w:val="clear" w:pos="8459"/>
              <w:tab w:val="right" w:pos="9026" w:leader="dot"/>
            </w:tabs>
            <w:rPr/>
          </w:pPr>
          <w:hyperlink w:anchor="__RefHeading___Toc4159824_3804643083">
            <w:r>
              <w:rPr>
                <w:webHidden/>
                <w:rStyle w:val="IndexLink"/>
                <w:rtl w:val="true"/>
              </w:rPr>
              <w:t xml:space="preserve">الملحق رقم </w:t>
            </w:r>
            <w:r>
              <w:rPr>
                <w:rStyle w:val="IndexLink"/>
              </w:rPr>
              <w:t>2</w:t>
            </w:r>
            <w:r>
              <w:rPr>
                <w:rStyle w:val="IndexLink"/>
                <w:rtl w:val="true"/>
              </w:rPr>
              <w:tab/>
            </w:r>
            <w:r>
              <w:rPr>
                <w:rStyle w:val="IndexLink"/>
              </w:rPr>
              <w:t>263</w:t>
            </w:r>
          </w:hyperlink>
        </w:p>
        <w:p>
          <w:pPr>
            <w:pStyle w:val="Contents3"/>
            <w:tabs>
              <w:tab w:val="clear" w:pos="8459"/>
              <w:tab w:val="right" w:pos="9026" w:leader="dot"/>
            </w:tabs>
            <w:rPr/>
          </w:pPr>
          <w:hyperlink w:anchor="__RefHeading___Toc4159826_3804643083">
            <w:r>
              <w:rPr>
                <w:webHidden/>
                <w:rStyle w:val="IndexLink"/>
                <w:rtl w:val="true"/>
              </w:rPr>
              <w:t xml:space="preserve">الملحق رقم </w:t>
            </w:r>
            <w:r>
              <w:rPr>
                <w:rStyle w:val="IndexLink"/>
              </w:rPr>
              <w:t>3</w:t>
            </w:r>
            <w:r>
              <w:rPr>
                <w:rStyle w:val="IndexLink"/>
                <w:rtl w:val="true"/>
              </w:rPr>
              <w:tab/>
            </w:r>
            <w:r>
              <w:rPr>
                <w:rStyle w:val="IndexLink"/>
              </w:rPr>
              <w:t>263</w:t>
            </w:r>
          </w:hyperlink>
        </w:p>
        <w:p>
          <w:pPr>
            <w:pStyle w:val="Contents3"/>
            <w:tabs>
              <w:tab w:val="clear" w:pos="8459"/>
              <w:tab w:val="right" w:pos="9026" w:leader="dot"/>
            </w:tabs>
            <w:rPr/>
          </w:pPr>
          <w:hyperlink w:anchor="__RefHeading___Toc4159828_3804643083">
            <w:r>
              <w:rPr>
                <w:webHidden/>
                <w:rStyle w:val="IndexLink"/>
                <w:rtl w:val="true"/>
              </w:rPr>
              <w:t xml:space="preserve">الملحق رقم </w:t>
            </w:r>
            <w:r>
              <w:rPr>
                <w:rStyle w:val="IndexLink"/>
              </w:rPr>
              <w:t>4</w:t>
            </w:r>
            <w:r>
              <w:rPr>
                <w:rStyle w:val="IndexLink"/>
                <w:rtl w:val="true"/>
              </w:rPr>
              <w:tab/>
            </w:r>
            <w:r>
              <w:rPr>
                <w:rStyle w:val="IndexLink"/>
              </w:rPr>
              <w:t>265</w:t>
            </w:r>
          </w:hyperlink>
        </w:p>
        <w:p>
          <w:pPr>
            <w:pStyle w:val="Contents3"/>
            <w:tabs>
              <w:tab w:val="clear" w:pos="8459"/>
              <w:tab w:val="right" w:pos="9026" w:leader="dot"/>
            </w:tabs>
            <w:rPr/>
          </w:pPr>
          <w:hyperlink w:anchor="__RefHeading___Toc4159830_3804643083">
            <w:r>
              <w:rPr>
                <w:webHidden/>
                <w:rStyle w:val="IndexLink"/>
                <w:rtl w:val="true"/>
              </w:rPr>
              <w:t xml:space="preserve">الملحق رقم </w:t>
            </w:r>
            <w:r>
              <w:rPr>
                <w:rStyle w:val="IndexLink"/>
              </w:rPr>
              <w:t>5</w:t>
            </w:r>
            <w:r>
              <w:rPr>
                <w:rStyle w:val="IndexLink"/>
                <w:rtl w:val="true"/>
              </w:rPr>
              <w:tab/>
            </w:r>
            <w:r>
              <w:rPr>
                <w:rStyle w:val="IndexLink"/>
              </w:rPr>
              <w:t>267</w:t>
            </w:r>
          </w:hyperlink>
        </w:p>
        <w:p>
          <w:pPr>
            <w:pStyle w:val="Contents3"/>
            <w:tabs>
              <w:tab w:val="clear" w:pos="8459"/>
              <w:tab w:val="right" w:pos="9026" w:leader="dot"/>
            </w:tabs>
            <w:rPr/>
          </w:pPr>
          <w:hyperlink w:anchor="__RefHeading___Toc4159832_3804643083">
            <w:r>
              <w:rPr>
                <w:webHidden/>
                <w:rStyle w:val="IndexLink"/>
                <w:rtl w:val="true"/>
              </w:rPr>
              <w:t xml:space="preserve">الملحق رقم </w:t>
            </w:r>
            <w:r>
              <w:rPr>
                <w:rStyle w:val="IndexLink"/>
              </w:rPr>
              <w:t>6</w:t>
            </w:r>
            <w:r>
              <w:rPr>
                <w:rStyle w:val="IndexLink"/>
                <w:rtl w:val="true"/>
              </w:rPr>
              <w:tab/>
            </w:r>
            <w:r>
              <w:rPr>
                <w:rStyle w:val="IndexLink"/>
              </w:rPr>
              <w:t>267</w:t>
            </w:r>
          </w:hyperlink>
        </w:p>
        <w:p>
          <w:pPr>
            <w:pStyle w:val="Contents3"/>
            <w:tabs>
              <w:tab w:val="clear" w:pos="8459"/>
              <w:tab w:val="right" w:pos="9026" w:leader="dot"/>
            </w:tabs>
            <w:rPr/>
          </w:pPr>
          <w:hyperlink w:anchor="__RefHeading___Toc4159834_3804643083">
            <w:r>
              <w:rPr>
                <w:webHidden/>
                <w:rStyle w:val="IndexLink"/>
                <w:rtl w:val="true"/>
              </w:rPr>
              <w:t xml:space="preserve">الملحق رقم </w:t>
            </w:r>
            <w:r>
              <w:rPr>
                <w:rStyle w:val="IndexLink"/>
              </w:rPr>
              <w:t>7</w:t>
            </w:r>
            <w:r>
              <w:rPr>
                <w:rStyle w:val="IndexLink"/>
                <w:rtl w:val="true"/>
              </w:rPr>
              <w:tab/>
            </w:r>
            <w:r>
              <w:rPr>
                <w:rStyle w:val="IndexLink"/>
              </w:rPr>
              <w:t>267</w:t>
            </w:r>
          </w:hyperlink>
        </w:p>
        <w:p>
          <w:pPr>
            <w:pStyle w:val="Contents3"/>
            <w:tabs>
              <w:tab w:val="clear" w:pos="8459"/>
              <w:tab w:val="right" w:pos="9026" w:leader="dot"/>
            </w:tabs>
            <w:rPr/>
          </w:pPr>
          <w:hyperlink w:anchor="__RefHeading___Toc4159836_3804643083">
            <w:r>
              <w:rPr>
                <w:webHidden/>
                <w:rStyle w:val="IndexLink"/>
                <w:rtl w:val="true"/>
              </w:rPr>
              <w:t xml:space="preserve">الملحق رقم </w:t>
            </w:r>
            <w:r>
              <w:rPr>
                <w:rStyle w:val="IndexLink"/>
              </w:rPr>
              <w:t>8</w:t>
            </w:r>
            <w:r>
              <w:rPr>
                <w:rStyle w:val="IndexLink"/>
                <w:rtl w:val="true"/>
              </w:rPr>
              <w:tab/>
            </w:r>
            <w:r>
              <w:rPr>
                <w:rStyle w:val="IndexLink"/>
              </w:rPr>
              <w:t>270</w:t>
            </w:r>
          </w:hyperlink>
        </w:p>
        <w:p>
          <w:pPr>
            <w:pStyle w:val="Contents3"/>
            <w:tabs>
              <w:tab w:val="clear" w:pos="8459"/>
              <w:tab w:val="right" w:pos="9026" w:leader="dot"/>
            </w:tabs>
            <w:rPr/>
          </w:pPr>
          <w:hyperlink w:anchor="__RefHeading___Toc4159838_3804643083">
            <w:r>
              <w:rPr>
                <w:webHidden/>
                <w:rStyle w:val="IndexLink"/>
                <w:rtl w:val="true"/>
              </w:rPr>
              <w:t xml:space="preserve">الملحق رقم </w:t>
            </w:r>
            <w:r>
              <w:rPr>
                <w:rStyle w:val="IndexLink"/>
              </w:rPr>
              <w:t>9</w:t>
            </w:r>
            <w:r>
              <w:rPr>
                <w:rStyle w:val="IndexLink"/>
                <w:rtl w:val="true"/>
              </w:rPr>
              <w:tab/>
            </w:r>
            <w:r>
              <w:rPr>
                <w:rStyle w:val="IndexLink"/>
              </w:rPr>
              <w:t>270</w:t>
            </w:r>
          </w:hyperlink>
        </w:p>
        <w:p>
          <w:pPr>
            <w:pStyle w:val="Contents3"/>
            <w:tabs>
              <w:tab w:val="clear" w:pos="8459"/>
              <w:tab w:val="right" w:pos="9026" w:leader="dot"/>
            </w:tabs>
            <w:rPr/>
          </w:pPr>
          <w:hyperlink w:anchor="__RefHeading___Toc4159840_3804643083">
            <w:r>
              <w:rPr>
                <w:webHidden/>
                <w:rStyle w:val="IndexLink"/>
                <w:rtl w:val="true"/>
              </w:rPr>
              <w:t xml:space="preserve">الملحق رقم </w:t>
            </w:r>
            <w:r>
              <w:rPr>
                <w:rStyle w:val="IndexLink"/>
              </w:rPr>
              <w:t>10</w:t>
            </w:r>
            <w:r>
              <w:rPr>
                <w:rStyle w:val="IndexLink"/>
                <w:rtl w:val="true"/>
              </w:rPr>
              <w:tab/>
            </w:r>
            <w:r>
              <w:rPr>
                <w:rStyle w:val="IndexLink"/>
              </w:rPr>
              <w:t>271</w:t>
            </w:r>
          </w:hyperlink>
        </w:p>
        <w:p>
          <w:pPr>
            <w:pStyle w:val="Contents2"/>
            <w:tabs>
              <w:tab w:val="clear" w:pos="8743"/>
              <w:tab w:val="right" w:pos="9026" w:leader="dot"/>
            </w:tabs>
            <w:rPr/>
          </w:pPr>
          <w:hyperlink w:anchor="__RefHeading___Toc4159842_3804643083">
            <w:r>
              <w:rPr>
                <w:webHidden/>
                <w:rStyle w:val="IndexLink"/>
                <w:rtl w:val="true"/>
              </w:rPr>
              <w:t>فهرس المصادر والمراجع</w:t>
            </w:r>
            <w:r>
              <w:rPr>
                <w:rStyle w:val="IndexLink"/>
                <w:rtl w:val="true"/>
              </w:rPr>
              <w:tab/>
            </w:r>
            <w:r>
              <w:rPr>
                <w:rStyle w:val="IndexLink"/>
              </w:rPr>
              <w:t>272</w:t>
            </w:r>
          </w:hyperlink>
        </w:p>
        <w:p>
          <w:pPr>
            <w:pStyle w:val="Contents2"/>
            <w:tabs>
              <w:tab w:val="clear" w:pos="8743"/>
              <w:tab w:val="right" w:pos="9026" w:leader="dot"/>
            </w:tabs>
            <w:rPr/>
          </w:pPr>
          <w:hyperlink w:anchor="__RefHeading___Toc4159844_3804643083">
            <w:r>
              <w:rPr>
                <w:webHidden/>
                <w:rStyle w:val="IndexLink"/>
                <w:rtl w:val="true"/>
              </w:rPr>
              <w:t>الفهرس التفصیلی</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16_26363"/>
      <w:bookmarkStart w:id="1" w:name="pg2516_26363"/>
      <w:bookmarkEnd w:id="1"/>
    </w:p>
    <w:p>
      <w:pPr>
        <w:pStyle w:val="Heading2"/>
        <w:numPr>
          <w:ilvl w:val="1"/>
          <w:numId w:val="1"/>
        </w:numPr>
        <w:rPr/>
      </w:pPr>
      <w:bookmarkStart w:id="2" w:name="pg2516_26363"/>
      <w:bookmarkStart w:id="3" w:name="__RefHeading___Toc4159340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جدیدی نژاد، محمدرضا،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الاسس‌الحدیثیه و‌الرجالیه عندالعلامه‌الشیخ محمدتقی‌المجلسی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جدیدی‌نجاد ، عبدالهادی المسعودی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مرکزبحوث دارالحدیث؛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دردست مستندسازی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محمدتقی بن مقصود علی، </w:t>
      </w:r>
      <w:r>
        <w:rPr>
          <w:rFonts w:ascii="IRNazanin" w:hAnsi="IRNazanin" w:eastAsia="IRNazanin"/>
          <w:color w:val="111111"/>
          <w:sz w:val="28"/>
          <w:sz w:val="28"/>
          <w:szCs w:val="28"/>
          <w:lang w:bidi="fa-IR"/>
        </w:rPr>
        <w:t>۱۰۰۳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علم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محمدتقی بن مقصود علی، </w:t>
      </w:r>
      <w:r>
        <w:rPr>
          <w:rFonts w:ascii="IRNazanin" w:hAnsi="IRNazanin" w:eastAsia="IRNazanin"/>
          <w:color w:val="111111"/>
          <w:sz w:val="28"/>
          <w:sz w:val="28"/>
          <w:szCs w:val="28"/>
          <w:lang w:bidi="fa-IR"/>
        </w:rPr>
        <w:t>۱۰۰۳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علم رجال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۱۰۸</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۱۳۳۰۴۴۸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9342_3804643083"/>
      <w:bookmarkStart w:id="6" w:name="_Toc2"/>
      <w:bookmarkEnd w:id="5"/>
      <w:r>
        <w:rPr>
          <w:rtl w:val="true"/>
        </w:rPr>
        <w:t>اشارة</w:t>
      </w:r>
      <w:bookmarkStart w:id="7" w:name="pg2516_26369"/>
      <w:bookmarkEnd w:id="6"/>
    </w:p>
    <w:p>
      <w:pPr>
        <w:pStyle w:val="Heading2"/>
        <w:numPr>
          <w:ilvl w:val="1"/>
          <w:numId w:val="1"/>
        </w:numPr>
        <w:rPr/>
      </w:pPr>
      <w:bookmarkStart w:id="8" w:name="__RefHeading___Toc4159344_3804643083"/>
      <w:bookmarkStart w:id="9" w:name="_Toc3"/>
      <w:bookmarkEnd w:id="7"/>
      <w:bookmarkEnd w:id="8"/>
      <w:r>
        <w:rPr>
          <w:rtl w:val="true"/>
        </w:rPr>
        <w:t>التصدیر</w:t>
      </w:r>
      <w:bookmarkEnd w:id="9"/>
    </w:p>
    <w:p>
      <w:pPr>
        <w:pStyle w:val="BookText"/>
        <w:rPr/>
      </w:pPr>
      <w:r>
        <w:rPr>
          <w:rFonts w:ascii="IRNazanin" w:hAnsi="IRNazanin" w:eastAsia="IRNazanin"/>
          <w:color w:val="111111"/>
          <w:sz w:val="28"/>
          <w:sz w:val="28"/>
          <w:szCs w:val="28"/>
          <w:rtl w:val="true"/>
          <w:lang w:bidi="fa-IR"/>
        </w:rPr>
        <w:t>انسابَ الحدیث من بعد عصر صدوره بین طیّات التاریخ وثنایاه ، وکان أصحاب المعصومین أوّل من أخذوا علی عاتقهم مهمّة نقل وفهم وتدوین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 اهتمّ المحدّثون المتبحّرون الشیعة بأمر الحدیث ورکّزوا جهودهم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فی أنّ معرفة الاُسس والاُصول الّتی اعتمدها أصحاب المعصومین، ومحدثو العهود الاُولی تمثل مفتاحاً تُحلّ به الکثیر من العُقد المستعصیة فی فهم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مجال إسناد الروایات وعلم الرجال بذل الکثیر من قدماء الأصحاب جهوداً کبری وألّفوا کتباً مهمّة فی هذا الحقل، بید أنّ أکثرها قد عفا علیها الزمن ، ولم تصل إلی أیدی المتأخّرین ، وتتجلّی هذه المشکلة أکثر ما تتجلّی بشأن المؤلّفات الّتی کتبت حتّی القرنین الرابع والخامس ، ولکن من حسن الحظّ أنّ الکثیر من هذه الاُسس والاُصول الحدیثیة ممّا کان مدوّناً فی المصادر القدیمة ، أو ما کان قد نُقل منها مشافهة عبر الأجیال، قد وصلت إلیهم فی القرون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التاریخ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أنّهم انتزعوها اجتهاداً واستناداً إلی المصادر المتوفّرة یومذاک، ولکن بمعلومات تتناسب مع طبیعة ذلک العصر، فی ما کان قد سُجّل بین ثنایا المتون ذات الصِّلة بالحدیث</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وانطلاقاً ممّا سبق ذکره، فإنّ دراسة الکتب المتعلّقة بالحدیث ـ وخاصّة شرح الأحادیث ـ تکشف لنا عن مثل هذه الاُسس والاُصول فی التعامل مع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دأب المرحوم ملاّ محمّد تقی المجلسی المعروف بالمجلسی الأوّل علی کشف ما انتهجه القدماء من طرق وأسالیب فی تعاطیهم مع الحدیث ، وقدّم للمتأخّرین معلومات قیّمة فی هذا المجال فی شرحیه علی کتاب من لا یحضره الفقیه، وقد کتب أحد هذین الشرحین باللغة العربیة تحت عنوان روضة المتقین، وکتب الشرح الآخر باللغة الفارسیة تحت عنوان لوامع صاحبقرانی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لاشکّ فیه هو أنّ إحدی ضرورات التحقیق فیحقل الحدیث والرجال عند الشیعة ، هی استعادة اُصول معرفة الحدیث عند القدماء وتسلیط الضوء علیها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وشعوراً منّا و بهذه الضرورة فقد أناط قسم الرجال فی مرکز البحوث التابع لدار الحدیث هذا الأمر باثنین من خِیرة المحقّقین ، وکلّفها بمهمّة النهوض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أیدیکم هو حصیلة جهود هذین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أحدهما وهو سماحة حجّة الإسلام الشیخ محمّد رضا جدیدی نژاد بالبحوث الّتی تناولت سیرة محمّد تقی المجلسی، وتاریخ الحدیث والرجال ومصطلح الحدیث عنده، بینما اضطلع المحقّق الفاضل سماحة حجّة الإسلام والمسلمین الشیخ عبد الهادی المسعودی ببحث فقه الحدیث عند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 نشکر لهما جهودهما ، نَسأل اللّه العلی القدیر دوام الموفقیة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البحوث فی دار الحدیث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الرجال</w:t>
      </w:r>
      <w:bookmarkStart w:id="10" w:name="pg2516_26371"/>
    </w:p>
    <w:p>
      <w:pPr>
        <w:pStyle w:val="Heading2"/>
        <w:numPr>
          <w:ilvl w:val="1"/>
          <w:numId w:val="1"/>
        </w:numPr>
        <w:rPr/>
      </w:pPr>
      <w:bookmarkStart w:id="11" w:name="__RefHeading___Toc4159346_3804643083"/>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 xml:space="preserve">من الطبیعی أنّ سنّة الرسول صلی الله علیه و آله والأئمّة المعصومین علیهم السلام تعدّ ـ من بعد القرآن الکریم ـ أثمن جوهرة أودعها الباری تعالی عند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یوجب علی کلّ مسلم الحفاظ علی هذه الجوهرة الثمینة علی أفضل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بأنّ أعظم من حافظ علی سنّة الإسلام وشریعته هم المحدّثون والفقهاء خاصّة ، اُولئک الّذین رکّزوا اهتمامهم علی علم الرجال وفقه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التحقیق حول رواة الشیعة وتدوین سیرتهم له تاریخ أقدم من علم الفقه ؛ وذلک لأنّ أهم ما کان یشغل بال المحدّثین فی عصر المتقدّمین ، هو جمع الروایات وتهذیبها وتنقیتها من المنحولات والمجعولات ، ونادراً ما کانوا یؤلّفون کتاباً مستقلاً یسطّرون فیه شرحاً للأحادیث ، ویمکن دراسة فهمهم للأحادیث من خلال النظر فی العناوین الّتی وضعوها لأبواب کتبهم الحدیثیة ، وکذا من الرسائل الّتی کتبوها لعموم الناس فی مجال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اُنجزت فی حقل علم الرجال أعمال تسترعی الانتباه ، ولکن من المؤسف أنّ الکثیر منها ـ ممّا کان قد کتب فی عصر المتقدّمین ـ قد ضاع ، وأمّا المتبقّی منها فلا یخلو من الغموض والإبهام من قبیل عدم الفهم القطعی لبعض مصطلحاتهم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ما تکوّن لدی العلماء المتأخّرین من إدراک سلیم للأمرین المُشار إلیهما ،</w:t>
      </w:r>
    </w:p>
    <w:p>
      <w:pPr>
        <w:pStyle w:val="BookText"/>
        <w:rPr/>
      </w:pPr>
      <w:r>
        <w:rPr>
          <w:rFonts w:ascii="IRNazanin" w:hAnsi="IRNazanin" w:eastAsia="IRNazanin"/>
          <w:color w:val="111111"/>
          <w:sz w:val="28"/>
          <w:sz w:val="28"/>
          <w:szCs w:val="28"/>
          <w:rtl w:val="true"/>
          <w:lang w:bidi="fa-IR"/>
        </w:rPr>
        <w:t xml:space="preserve">فقد قاموا بخطوات جدیرة بالاهتمام لإزالة هاتین المعضلتین ، ودوّنوا کتباً کثیرة فی شرح الأحادیث ، وفی الفوائد الرجالیة الّتی تحلّ معضلات علم الرجال ، وربّما تضمّن بعض هذه الکتب کلا الموضوعین أحیاناً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أشهر الکتب الّتی تضمّنت کلا الموضوعین سویّة هو الشرح العربی والشرح الفارسی علی کتاب من لا یحضره الفقیه للمرحوم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لاسیّما الشرح الّذی کتبه باللغة العربیة فی کتابه المعروف باسم روضة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السبب الّذی دعانا إلی اختیار المرحوم محمّد تقی المجلسی واتخاذ شرحیه مادّة لإنجاز هذه الدراسة وانتزاع المعلومات الحدیثیة من بین ثنایاهما ، فهو عدم وجود مصدر أقدم منهما ممّا یستعرض أو یشرح المناهج والاُسس الّتی اعتمدها قدماء محدّثی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الرجل قد طرح علی بساط البحث بکل دقّة تاریخ حدیث الشیعة ، وکذلک المصطلحات ، إضافة إلی اُسس علم الرجال ، واُسس فقه الحدیث ، وسار بشرحه قدما وفقا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کتب اُخری ـ من أمثال الکتاب المذکور آنفاً ـ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للشَّیخ الطوسی ، ومرآة العقول للعلاّمة المجلسی ، والمعتبر للمحقّق الحلّی وغیرها من الکتب الاُخری تضم بین ثنایاها اُموراً مفیدة کثیرة فی حقل علم فقه الحدیث ، الّتی یمکن من خلال استخراجها من الکتب المذکورة إسداء لخدمة الباحثین فی مجال مصطلح الحدیث من أجل تیسیر فهمهم للحدیث علی نحو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طبعاً بأنّ التعرف علی الاُسس الحدیثیة والرجالیة لدی المحدّثین من ذوی الباع الطویل فی هذا مفید جدّاً فی تاریخ دراسة الحدیث والبحوث الرجالیة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وضع هذا الکتاب فی هذا السیاق أیضاً اعتماداً علی روضة المتّقین و لوامع صاحبقَرانی ، وکلاهما عبارة عن شرح المرحوم محمّد تقی المجلسی علی کتاب من لا یحضره الفقیه للشَّیخ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یتألّف هذا الکتاب من مقدّمة وثلاثة أبواب هی کالآتی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عن حیاة المُلاّ محمّد تقی المجلسی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الحدیث والرجال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راعینا عند تألیف الکتاب الاُمور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استخرجنا من الکتابین المذکورین النکات والفوائد المهمّة ذات التأثیر فی علم الرجال والحدیث ـ کما صرّح المرحوم محمّد تقی المجلسی نفسه بذلک نصاً ـ ووضعت فی موضعها مع ذکر العناوین المناسبة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الحالات الّتی کانت فیها عباراته تستلزم التوضیح ، أوردنا التوضیح اللازم لها ، قبل إدراج عباراته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أوردنا فی بدایة کلّ باب وکلّ فصل مقدّمة تتناسب مع طبیعة الموضوع ، لکی یستفید منها القارئ علی نحو أفضل ولا تفوته لذّة التسلسل المنطقی للبحث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نودّ أن نعبّر عن جمیل امتناننا لجمیع الاُخوة الأفاضل الّذین عاضدونا علی إنجاز هذا الکتاب ، ونخصّ منهم بالذکر حجّة الإسلام محمّدکاظم رحمانْ ستایش رئیس قسم علم الرجال فی مرکز بحوث دار الحدیث ، وکذلک حجّة الإسلام علی صدرائی الخوئی وکذا صدیقنا الفاضل خلیل العصامی لقیامه بتعریب الباب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لابدّ من الإشارة إلی أنّنا نأمل من القرّاء الکرام أن یجودوا علینا بما یتبادر إلی أذهانهم من انتقادات واقتراحات </w:t>
      </w:r>
      <w:r>
        <w:rPr>
          <w:rFonts w:eastAsia="IRNazanin" w:cs="IRNazanin"/>
          <w:color w:val="111111"/>
          <w:sz w:val="28"/>
          <w:szCs w:val="28"/>
          <w:rtl w:val="true"/>
          <w:lang w:bidi="fa-IR"/>
        </w:rPr>
        <w:t>.</w:t>
      </w:r>
      <w:bookmarkStart w:id="13" w:name="pg2516_26375"/>
    </w:p>
    <w:p>
      <w:pPr>
        <w:pStyle w:val="Heading2"/>
        <w:numPr>
          <w:ilvl w:val="1"/>
          <w:numId w:val="1"/>
        </w:numPr>
        <w:rPr/>
      </w:pPr>
      <w:bookmarkStart w:id="14" w:name="__RefHeading___Toc4159348_3804643083"/>
      <w:bookmarkStart w:id="15" w:name="_Toc5"/>
      <w:bookmarkEnd w:id="13"/>
      <w:bookmarkEnd w:id="14"/>
      <w:r>
        <w:rPr>
          <w:rtl w:val="true"/>
        </w:rPr>
        <w:t>التمهیـد</w:t>
      </w:r>
      <w:bookmarkEnd w:id="15"/>
    </w:p>
    <w:p>
      <w:pPr>
        <w:pStyle w:val="Heading3"/>
        <w:numPr>
          <w:ilvl w:val="2"/>
          <w:numId w:val="1"/>
        </w:numPr>
        <w:rPr/>
      </w:pPr>
      <w:bookmarkStart w:id="16" w:name="__RefHeading___Toc4159350_3804643083"/>
      <w:bookmarkStart w:id="17" w:name="_Toc6"/>
      <w:bookmarkEnd w:id="16"/>
      <w:r>
        <w:rPr>
          <w:rtl w:val="true"/>
        </w:rPr>
        <w:t>اشاره</w:t>
      </w:r>
      <w:bookmarkEnd w:id="17"/>
    </w:p>
    <w:p>
      <w:pPr>
        <w:pStyle w:val="Heading3"/>
        <w:numPr>
          <w:ilvl w:val="2"/>
          <w:numId w:val="1"/>
        </w:numPr>
        <w:rPr/>
      </w:pPr>
      <w:bookmarkStart w:id="18" w:name="__RefHeading___Toc4159352_3804643083"/>
      <w:bookmarkStart w:id="19" w:name="_Toc7"/>
      <w:bookmarkEnd w:id="18"/>
      <w:r>
        <w:rPr>
          <w:rtl w:val="true"/>
        </w:rPr>
        <w:t>نُبذة عن حیاة المُلاّ محمّدتقی المجلسی</w:t>
      </w:r>
      <w:bookmarkEnd w:id="19"/>
    </w:p>
    <w:p>
      <w:pPr>
        <w:pStyle w:val="Heading3"/>
        <w:numPr>
          <w:ilvl w:val="2"/>
          <w:numId w:val="1"/>
        </w:numPr>
        <w:rPr/>
      </w:pPr>
      <w:bookmarkStart w:id="20" w:name="__RefHeading___Toc4159354_3804643083"/>
      <w:bookmarkStart w:id="21" w:name="_Toc8"/>
      <w:bookmarkEnd w:id="20"/>
      <w:r>
        <w:rPr>
          <w:rtl w:val="true"/>
        </w:rPr>
        <w:t>اسمه ونسبه ومولده</w:t>
      </w:r>
      <w:bookmarkEnd w:id="21"/>
    </w:p>
    <w:p>
      <w:pPr>
        <w:pStyle w:val="BookText"/>
        <w:rPr/>
      </w:pPr>
      <w:r>
        <w:rPr>
          <w:rFonts w:ascii="IRNazanin" w:hAnsi="IRNazanin" w:eastAsia="IRNazanin"/>
          <w:color w:val="111111"/>
          <w:sz w:val="28"/>
          <w:sz w:val="28"/>
          <w:szCs w:val="28"/>
          <w:rtl w:val="true"/>
          <w:lang w:bidi="fa-IR"/>
        </w:rPr>
        <w:t xml:space="preserve">هو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علی العاملی النطنزی الإصفهانی </w:t>
      </w:r>
      <w:r>
        <w:rPr>
          <w:rStyle w:val="FootnoteAnchor"/>
          <w:rtl w:val="true"/>
        </w:rPr>
        <w:footnoteReference w:id="2"/>
      </w:r>
      <w:r>
        <w:rPr>
          <w:rFonts w:ascii="IRNazanin" w:hAnsi="IRNazanin" w:eastAsia="IRNazanin"/>
          <w:color w:val="111111"/>
          <w:sz w:val="28"/>
          <w:sz w:val="28"/>
          <w:szCs w:val="28"/>
          <w:rtl w:val="true"/>
          <w:lang w:bidi="fa-IR"/>
        </w:rPr>
        <w:t xml:space="preserve">الشهیر بالمجلسی والمجلسی الأوّل ، ولد بإصفهان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22" w:name="__RefHeading___Toc4159356_3804643083"/>
      <w:bookmarkStart w:id="23" w:name="_Toc9"/>
      <w:bookmarkEnd w:id="22"/>
      <w:r>
        <w:rPr>
          <w:rtl w:val="true"/>
        </w:rPr>
        <w:t>والده</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والده المُثبَّت فی کتب 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مقصودْعلی</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ولکن ورد فی أول شرح المجلسیالأوّل علی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بـ روضة المتّقین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فیقول المفتقر إلی رحمة ربّه الغنی ، محمّد تقی بن علی الملقّب بالمجلسی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وکذا سمّی والده علیاً فی آخر کتاب الصلاة من الروضة ، وبدایة شرحه علی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یُعرف بکلا الاسمین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أیة حال فقد جاء وصف أبیه فی مرآة الأحوال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بصیراً ورعاً مروجاً لمذهب الاثنی عشریة ، جامعاً للکمال والحسن فی المقال ، وکان له أبیات رائقة بدیعة ، ولحسن محاضرته وجودة مجالسته سمّی</w:t>
      </w:r>
    </w:p>
    <w:p>
      <w:pPr>
        <w:pStyle w:val="BookText"/>
        <w:rPr/>
      </w:pPr>
      <w:r>
        <w:rPr>
          <w:rFonts w:ascii="IRNazanin" w:hAnsi="IRNazanin" w:eastAsia="IRNazanin"/>
          <w:color w:val="111111"/>
          <w:sz w:val="28"/>
          <w:sz w:val="28"/>
          <w:szCs w:val="28"/>
          <w:rtl w:val="true"/>
          <w:lang w:bidi="fa-IR"/>
        </w:rPr>
        <w:t>بالمجلسی وتخلّص به ، فصار هذا لقباً فی هذه الطائفة الجلیلة والسلسلة العلیة</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الخوانساری فی الروضات </w:t>
      </w:r>
      <w:r>
        <w:rPr>
          <w:rStyle w:val="FootnoteAnchor"/>
          <w:rtl w:val="true"/>
        </w:rPr>
        <w:footnoteReference w:id="5"/>
      </w:r>
      <w:r>
        <w:rPr>
          <w:rFonts w:ascii="IRNazanin" w:hAnsi="IRNazanin" w:eastAsia="IRNazanin"/>
          <w:color w:val="111111"/>
          <w:sz w:val="28"/>
          <w:sz w:val="28"/>
          <w:szCs w:val="28"/>
          <w:rtl w:val="true"/>
          <w:lang w:bidi="fa-IR"/>
        </w:rPr>
        <w:t xml:space="preserve">والمیرزا عبداللّه فی ریاض العلماء ـ علی ما حکی عنه المحدّث النوری فی الفیض القدسی ـ بأنّ المجلسی الأوّل ینتهی نسبه من جهة الأب إلی الحافظ أبی نعیم الإصفهانی صاحب کتاب حلیة الأولیاء الّذی کان من محدّثی علماء العامّة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والدته</w:t>
      </w:r>
    </w:p>
    <w:p>
      <w:pPr>
        <w:pStyle w:val="BookText"/>
        <w:rPr/>
      </w:pPr>
      <w:r>
        <w:rPr>
          <w:rFonts w:ascii="Amiri" w:hAnsi="Amiri" w:eastAsia="Amiri" w:cs="Amiri"/>
          <w:color w:val="111111"/>
          <w:sz w:val="28"/>
          <w:sz w:val="28"/>
          <w:szCs w:val="28"/>
          <w:rtl w:val="true"/>
          <w:lang w:bidi="ar-SA"/>
        </w:rPr>
        <w:t xml:space="preserve">وجاء ذکر اُمّه فی الکُنی والألقاب هکذا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وکانت اُمّ المولی محمّد تقی عارفة مقدّسة صالحة ، بنت العالم الجلیل کمال الدین درویش محمّد بن الشَّیخ حسن العاملی ثُمَّ النطنزی ثُمَّ الإصفهانی </w:t>
      </w:r>
      <w:r>
        <w:rPr>
          <w:rFonts w:eastAsia="Amiri" w:cs="Amiri" w:ascii="Amiri" w:hAnsi="Amiri"/>
          <w:color w:val="111111"/>
          <w:sz w:val="28"/>
          <w:szCs w:val="28"/>
          <w:rtl w:val="true"/>
          <w:lang w:bidi="ar-SA"/>
        </w:rPr>
        <w:t xml:space="preserve">.. .»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IRNazanin" w:hAnsi="IRNazanin" w:eastAsia="IRNazanin"/>
          <w:color w:val="111111"/>
          <w:sz w:val="28"/>
          <w:sz w:val="28"/>
          <w:szCs w:val="28"/>
          <w:rtl w:val="true"/>
          <w:lang w:bidi="fa-IR"/>
        </w:rPr>
        <w:t xml:space="preserve">له سبعة أولاد ، ثلاثة منهم ذکور وکلّهم من فضلاء عصرهم ، وأربعة منهم إناث وهم کلّ من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اللّه ، وکان أکبر أولاده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وتوفی بعد والده بأربع سنین ؛ یعنی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خلاصة الأقوال ، </w:t>
      </w:r>
      <w:r>
        <w:rPr>
          <w:rStyle w:val="FootnoteAnchor"/>
          <w:rtl w:val="true"/>
        </w:rPr>
        <w:footnoteReference w:id="8"/>
      </w:r>
      <w:r>
        <w:rPr>
          <w:rFonts w:ascii="IRNazanin" w:hAnsi="IRNazanin" w:eastAsia="IRNazanin"/>
          <w:color w:val="111111"/>
          <w:sz w:val="28"/>
          <w:sz w:val="28"/>
          <w:szCs w:val="28"/>
          <w:rtl w:val="true"/>
          <w:lang w:bidi="fa-IR"/>
        </w:rPr>
        <w:t xml:space="preserve">وهدایة العالمین فی اُصول الدین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 وهو أوسط الأولاد 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بلاد الهند وأقام بها إلی أن وافاه الأجل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کتب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الأحکام ، </w:t>
      </w:r>
      <w:r>
        <w:rPr>
          <w:rStyle w:val="FootnoteAnchor"/>
          <w:rtl w:val="true"/>
        </w:rPr>
        <w:footnoteReference w:id="11"/>
      </w:r>
      <w:r>
        <w:rPr>
          <w:rFonts w:ascii="IRNazanin" w:hAnsi="IRNazanin" w:eastAsia="IRNazanin"/>
          <w:color w:val="111111"/>
          <w:sz w:val="28"/>
          <w:sz w:val="28"/>
          <w:szCs w:val="28"/>
          <w:rtl w:val="true"/>
          <w:lang w:bidi="fa-IR"/>
        </w:rPr>
        <w:t xml:space="preserve">وهو غیر تام ، والحاشیة علی حدیقة المتقین </w:t>
      </w:r>
      <w:r>
        <w:rPr>
          <w:rStyle w:val="FootnoteAnchor"/>
          <w:rtl w:val="true"/>
        </w:rPr>
        <w:footnoteReference w:id="12"/>
      </w:r>
      <w:r>
        <w:rPr>
          <w:rFonts w:ascii="IRNazanin" w:hAnsi="IRNazanin" w:eastAsia="IRNazanin"/>
          <w:color w:val="111111"/>
          <w:sz w:val="28"/>
          <w:sz w:val="28"/>
          <w:szCs w:val="28"/>
          <w:rtl w:val="true"/>
          <w:lang w:bidi="fa-IR"/>
        </w:rPr>
        <w:t xml:space="preserve">لأبیه ، والأسئلة الهندیة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محمّد باقر المجلسی صاحب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أشهر من أن یُذکر فی شأنه شیء وکان أصغر من أخویه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آمنة 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المولی محمّد صالح المازندرانی شارح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فاضلة صالحة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زوجها مع غایة فضله کان یستفسر منها فی حلّ بعض عبارات القواعد للعلاّمة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زوجة العالم الفاضل المولی محمّد علی الإسترآبادی المتوفّی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زوجة العالم المدقّق المیرزا محمّد بن الحسن الشیروانی الشهیر بالمُلاّ المیرزا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له تصانیف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معالم الاُصول کتبت مرّة باللغة العربیة ، ومرّة اُخری باللغة الفارسیة ، وحاشیة علی شرح المختصر ، وحاشیة علی شرائع الإسلام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زوجة الفاضل المیرزا کمال الدین محمّد الفسوی شارح الشافیة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آراء العلماء فیه وثناؤهم علیه</w:t>
      </w:r>
    </w:p>
    <w:p>
      <w:pPr>
        <w:pStyle w:val="BookText"/>
        <w:rPr/>
      </w:pPr>
      <w:r>
        <w:rPr>
          <w:rFonts w:ascii="IRNazanin" w:hAnsi="IRNazanin" w:eastAsia="IRNazanin"/>
          <w:color w:val="111111"/>
          <w:sz w:val="28"/>
          <w:sz w:val="28"/>
          <w:szCs w:val="28"/>
          <w:rtl w:val="true"/>
          <w:lang w:bidi="fa-IR"/>
        </w:rPr>
        <w:t xml:space="preserve">لقد أثنی کثیر من العلماء الأفاضل علی المولی محمّد تقی المجلسی ، وذکروا له أوصافاً حمیدة بما هو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فی هذا المجال جملة من کلماتهم مکتفین بأهمّها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الرجالی الخبیر المولی محمّد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جامع الرواة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فرید دهره ، أمره فی الجلالة والثقة والأمانة وعلوّ القدر وعظم الشأن وسمو الرتبة والتبحر فی العلوم أشهر من أن یذکر وفوق ما یحوم حوله العبارة ، أورع أهل زمانه وأزهدهم وأتقاهم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فیضه دیناً ودنیاً بأکثر أهل زمانه من العوام والخواص ، ونشر أخبار الأئمّة ـ صلوات اللّه علیهم ـ بإصفهان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 خیر جزاء المحسنین</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المحدّث الکبیر الشَّیخ الحرّ العاملی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أمل الآمل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فاضلاً عالماً محقّقاً متبحراً زاهداً عابداً ثقة متکلّماً فقیهاً</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ووصفه المحدّث الشهیر والفقیه المعظم الشَّیخ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لؤلؤة البحرین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محدثاً ورعاً ثقة</w:t>
      </w:r>
      <w:r>
        <w:rPr>
          <w:rFonts w:eastAsia="IRNazanin" w:cs="IRNazanin"/>
          <w:color w:val="111111"/>
          <w:sz w:val="28"/>
          <w:szCs w:val="28"/>
          <w:rtl w:val="true"/>
          <w:lang w:bidi="fa-IR"/>
        </w:rPr>
        <w:t xml:space="preserve">» . </w:t>
      </w:r>
      <w:r>
        <w:rPr>
          <w:rStyle w:val="FootnoteAnchor"/>
          <w:rtl w:val="true"/>
        </w:rPr>
        <w:footnoteReference w:id="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المتتبع الخبیر بأحوال العلماء محمّد باقر الخوانساری فی روضات الجنّات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أفضل أهل عصره فی فهم الحدیث ، وأحرصهم علی إحیائه ، وأقدمهم إلی خدمته ، وأعلمهم برجاله ، وأعملهم بموجبه ، وأعدلهم فی الدین وأقواهم فی النفس ، وأجلّهم فی القدر ، وأکملهم فی التقوی ، وأورعهم فی الفتوی ، وأعرفهم بالمراتب العالیة ، وأوقفهم لدی الشبهات ، وأجهدهم فی الطاعات والقربات</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بیته وتولّیه منصب إمامة الجمعة</w:t>
      </w:r>
    </w:p>
    <w:p>
      <w:pPr>
        <w:pStyle w:val="BookText"/>
        <w:rPr/>
      </w:pPr>
      <w:r>
        <w:rPr>
          <w:rFonts w:ascii="IRNazanin" w:hAnsi="IRNazanin" w:eastAsia="IRNazanin"/>
          <w:color w:val="111111"/>
          <w:sz w:val="28"/>
          <w:sz w:val="28"/>
          <w:szCs w:val="28"/>
          <w:rtl w:val="true"/>
          <w:lang w:bidi="fa-IR"/>
        </w:rPr>
        <w:t xml:space="preserve">قال صاحب روضات الجنّات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لیعلم أنّ هذا المولی النبیل الجلیل هو أوّل من فوّضت إلیه إمامة الجمعة بمسجدیه الأعظمین بعد إمامیهما الأقدمین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الداماد وشیخنا البهائی العاملی ، وذلک عقب ما کان أمرها غیر منتظم فی سنین عدیدة فکان یقیمها مرّة صاحب الذخیرة بإشارة خلیفة السلطان ، ومرّة الشَّیخ لطف اللّه العاملی المتقدّم ذکره فی باب الألف بإرادة بعض سلاطین الوقت ، ومرّة بعض أبناء من تقدّمهما من الأعیان إلی أن استقر الأمر علیه رحمه اللهبمشیئة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یخرج من بیته المکرّم الجلیل إلی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رحمه الله فی صلاة الجمعة رسالة ینقل عنها سمیّنا المتأخّر فی مطالع الأنوار کما أنّ لولده السمیّ رحمه الله أیضاً رسالة فی عینیّة صلاة الجمعة معروفة ، وقد سلم هذا المنصب الجلیل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یجسر علی مشارکته فیها أحد من أترابه وأقرانه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توفّی المرحوم المجلسی الثانی ـ أعلی اللّه مقامه ـ ولم یکن فی أولاده من کان حقیقاً بهذا المنصب ورّثه منه من کان بنته فی بیته وهو والد أسباطه السادات ، أعنی السیّد الفاضل المتبحّر الأمیر محمّد صالح بن السیّد عبدالواسع الحسینی الآتی إلی ترجمته الإشارة فی ذیل ترجمة ولده الأمیر محمّد حسین الکبیر ، ثُمَّ انتقل منه إلی ولده المذکور الّذی هو ابن بنت سمیّنا المجلسی المبرور ، ثمّ بقی فی سلسلة أولاده الأمجاد نسلاً بعد نسل وعقباً بعد عقب إلی زماننا هذا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وداره الواقعة فی جنب الجامع الأعظم العتیق مع ما تضمّنته من المدرس ومجلس المرافعة ، وخزانة الکتب والکتب الموقوفة والنسخ الاُصول من البحار وغیره أیضاً</w:t>
      </w:r>
    </w:p>
    <w:p>
      <w:pPr>
        <w:pStyle w:val="BookText"/>
        <w:rPr/>
      </w:pPr>
      <w:r>
        <w:rPr>
          <w:rFonts w:ascii="IRNazanin" w:hAnsi="IRNazanin" w:eastAsia="IRNazanin"/>
          <w:color w:val="111111"/>
          <w:sz w:val="28"/>
          <w:sz w:val="28"/>
          <w:szCs w:val="28"/>
          <w:rtl w:val="true"/>
          <w:lang w:bidi="fa-IR"/>
        </w:rPr>
        <w:t xml:space="preserve">موجودة الآن کما کان ، وهی بأیدی تصرّف من ورّث منه ذلک المنصب الرفیع بأصبهان من السادات الأجلّة الأعیان دون بنی بنیه وأولاد والده الذکران الموجودین إلی هذا الزمان ، والعلم فی وجه ذلک عند اللّه </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مکاشفاته وطریقه 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المجلسی الأوّل صاحبَ المنامات الصادقة الروحانیة، بحیث لم یکن له نظیر بین علمائنا، وذکر هو جملة منها فی شرحه علی مشیخة الفقیه وسائر مؤلّفاته ، وهنا نذکر أحدها وهو ما یرتبط بشأن الصحیفة السجادیة وترویج نسخها بیده المبارکة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قال نفسه فی شرح مشیخة الفقیه فی ذیل ترجمة المتوکل بن عمیر بن المتوکل الّذی روی عن یحیی بن زید بن علی دعاء الصحیفة ـ بعد ذکره مقدّمة فی ضعف سند الصحیفة وعدم الاعتناء بهذا الضعف ـ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انکشف لهذا الضعیف وهو سندی وتواتر عنی أنّی کنت فی أوائل البلوغ طالباً لمرضاة اللّه تعالی ساعیاً فی طلب رضاه، ولم یکن لی قرار إلاّ بذکر اللّه تعالی إلی أن رأیت بین النوم والیقظة أنّ صاحب الزمان ـ صلوات اللّه علیه ـ کان واقفاً فی الجامع القدیم فی أصبهان قریباً من باب الطنبی الّذی الآن مَدْرَسی، فسلمت علیه ـ صلوات اللّه علیه ـ وأردت أن اُقبّل رجله علیه السلام فلم یدعنی وأخذنی، فقبلت یده وسألت عنه مسائل قد أشکلت علیَّ،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کنت اُوسوس فی صلواتی ، وکنت أقول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لیست کما طلبت منّی وأنا مشتغل بالقضاء ولا یمکننی صلاة اللّیل ، وسألت عنه شیخنا البهائی رحمه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صلاة الظهر والعصر والمغرب بقصد القضاء وصلاة اللّیل وکنت أفعل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 عن الحجّة علیه السلام اُصلی صلاة اللّیل؟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ولا تفعل کالمصنوع الّذی کنت تفعل، إلی غیر ذلک من المسائل الّتی لم یبق فی بالی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یامولای لا یتیسر لی أن أصل إلی خدمتک کلّ وقت فاعطنی کتاباً أعمل علیه دائماً فقا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اُعطیت لأجلک کتاباً إلی مولانا محمّد التاج وکنت أعرفه فی النوم فقال ـ صلوات اللّه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وخذ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باب المسجد الّذی کان مقابلاً لوجهه علیه السلام إلی جانب دار البطیخ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من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وصلت إلی ذلک الشخص فلما رآنی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بعثک الصاحب علیه السلام إلیّ؟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فأخرج من جیبه کتاباً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فتحته ظهر لی أنّه کتاب الدعاء فقبلته ووضعته علی عینی وانصرفت عنه متوجهاً إلی الصاحب علیه السلام فانتبهت ولم یکن معی ذلک الکتاب ، فشرعت فی التضرع والبکاء والجوار لفوت ذلک الکتاب إلی أن طلع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فرغت من الصلاة والتعقیب ، وکان فی بالی أنّ مولانا محمّد هو الشَّیخ وتسمیته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لاشتهاره من بین العلماء فلما جئت إلی مَدْرَسِهِ وکان فی جوار المسجد الجامع ، فرأیته مشتغلاً بمقابلة الصحیفة ، وکان القارئ السیّد الصالح أمیر ذو الفقار الجرفادقانی ، فجلست ساعة حتَّی فرغ منه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کان فی سند الصحیفة ، لکن للغم الّذی کان لی لم أعرف کلامه ولا کلامهم وکنت أبکی ، فذهبت إلی الشَّیخ وقلت له رؤیای وأنا أبکی لفوات الکتاب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بالعلوم الإلهیة والمعارف الیقینیة وجمیع ما کنت تطلب دائماً ، وکان أکثر صحبتی مع الشَّیخ فی التصوف ، وکان مائلاً إلیه فلم یسکن قلبی ، وخرجت باکیاً متفکراً إلی أن اُلقی فی روعی أن أذهب إلی الجانب الّذی ذهبت إلیه فی النوم ، فلما وصلت إلی دار البطیخ رأیت رجلاً صالحاً کان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وصلت إلیه وسلمت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 الکتب الوقفیة الّتی عندی کلّ من یأخذه من الطلبة لا یعمل</w:t>
      </w:r>
    </w:p>
    <w:p>
      <w:pPr>
        <w:pStyle w:val="BookText"/>
        <w:rPr/>
      </w:pPr>
      <w:r>
        <w:rPr>
          <w:rFonts w:ascii="IRNazanin" w:hAnsi="IRNazanin" w:eastAsia="IRNazanin"/>
          <w:color w:val="111111"/>
          <w:sz w:val="28"/>
          <w:sz w:val="28"/>
          <w:szCs w:val="28"/>
          <w:rtl w:val="true"/>
          <w:lang w:bidi="fa-IR"/>
        </w:rPr>
        <w:t xml:space="preserve">بشروط الوقف وأنت تعمل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وانظر إلی هذه الکتب ، وکلما تحتاج إلیه خذه ، فذهبت معه إلی بیت کتبه، فأعطانی أول ما أعطی الکتاب الّذی رأیته فی النوم، فشرعت فی البکاء والنحیب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بالی أنّی ذکرت له النوم أم لا ، وجئت عند الشَّیخ وشرعت فی المقابلة مع نسخته الّتی کتبها جدّ أبیه من نسخة الشهید ، وکتب الشهید نسختها من نسخة عمید الرؤساء وابن السکون وقابلها مع نسخة ابن إدریس بواسطة أو بدونها ، وکانت النسخة الّتی أعطانیها الصاح علیه السلام أیضاً مکتوبة من خطّ الشهید ، وکانت موافقة غایة الموافقة حتّی فی النسخ الّتی کانت مکتوبة علی هامشها ، وبعد أن فرغت من المقابلة شرع الناس فی المقابلة عندی، وببرکة إعطاء الحجّة ـ صلوات اللّه علیه ـ صارت الصحیفة الکاملة فی جمیع البلاد کالشمس طالعة فی کلّ بیت وسیّما فی أصبهان ، فإنّ أکثر الناس لهم الصحیفة المتعددة وصار أکثرهم صلحاء وأهل الدعاء ، وکثیر منهم مستجابو 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الآثار معجزة من الصاحب علیه السلام والّذی أعطانی اللّه تعالی من العلوم بسبب الصحیفة لا أحصیها ، وذلک من فضل اللّه علینا وعلی الناس والحمد للّه ربّ العالمین هذه طریق إجازتی القریبة</w:t>
      </w:r>
      <w:r>
        <w:rPr>
          <w:rFonts w:eastAsia="IRNazanin" w:cs="IRNazanin"/>
          <w:color w:val="111111"/>
          <w:sz w:val="28"/>
          <w:szCs w:val="28"/>
          <w:rtl w:val="true"/>
          <w:lang w:bidi="fa-IR"/>
        </w:rPr>
        <w:t xml:space="preserve">» .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 سره روایته للصحیفة السجادیة عن مشایخه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الرؤیا قال رحمه الله فی بدایة إجازاته لروایة الصحیفة السجادیة ـ الّتی نُقِلَ عددٌ منها فی البحار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أروی زبور آل محمّد وإنجیل أهل البیت ، الصحیفة الکاملة، أولاً عن مولانا صاحب الزمان ، وحجّة الرحمن مناولةً فی الرؤیا الصحیحة الطویلة الّتی ظهرت آثارها ، وثانیاً عن جماعة من الفضلاء منهم </w:t>
      </w:r>
      <w:r>
        <w:rPr>
          <w:rFonts w:eastAsia="IRNazanin" w:cs="IRNazanin"/>
          <w:color w:val="111111"/>
          <w:sz w:val="28"/>
          <w:szCs w:val="28"/>
          <w:rtl w:val="true"/>
          <w:lang w:bidi="fa-IR"/>
        </w:rPr>
        <w:t xml:space="preserve">.. .» . </w:t>
      </w:r>
      <w:r>
        <w:rPr>
          <w:rStyle w:val="FootnoteAnchor"/>
          <w:rtl w:val="true"/>
        </w:rPr>
        <w:footnoteReference w:id="26"/>
      </w:r>
      <w:bookmarkStart w:id="24" w:name="pg2516_26383"/>
    </w:p>
    <w:p>
      <w:pPr>
        <w:pStyle w:val="Heading3"/>
        <w:numPr>
          <w:ilvl w:val="2"/>
          <w:numId w:val="1"/>
        </w:numPr>
        <w:rPr/>
      </w:pPr>
      <w:bookmarkStart w:id="25" w:name="__RefHeading___Toc4159358_3804643083"/>
      <w:bookmarkStart w:id="26" w:name="_Toc10"/>
      <w:bookmarkEnd w:id="24"/>
      <w:bookmarkEnd w:id="25"/>
      <w:r>
        <w:rPr>
          <w:rtl w:val="true"/>
        </w:rPr>
        <w:t>اتّهامه بالتصوّف</w:t>
      </w:r>
      <w:bookmarkEnd w:id="26"/>
    </w:p>
    <w:p>
      <w:pPr>
        <w:pStyle w:val="BookText"/>
        <w:rPr/>
      </w:pPr>
      <w:r>
        <w:rPr>
          <w:rFonts w:ascii="IRNazanin" w:hAnsi="IRNazanin" w:eastAsia="IRNazanin"/>
          <w:color w:val="111111"/>
          <w:sz w:val="28"/>
          <w:sz w:val="28"/>
          <w:szCs w:val="28"/>
          <w:rtl w:val="true"/>
          <w:lang w:bidi="fa-IR"/>
        </w:rPr>
        <w:t xml:space="preserve">اشتهر بین الألسنة میل المجلسی الأوّل إلی التصوف الباطل ، ومنشأ ذلک کثرة ریاضاته ومعاشرته لجماعة من الصوفیة ، بل إنّه هو نفسه کان فی بدو أمره یتسمّی باسم التصوف ، لکنّه قدس سره رجع عن ذلک وأظهر فی أواخر عمره البراءة منهم ، حیث قال ولده البار محمّد باقر فی رسالته الموسومة بـ اعتقادات المجلسی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وإیاک أن تظن بالوالد العلاّمة ـ نوّر اللّه ضریحه ـ أنّه کان من الصوفیة ویعتقد مسالکهم ومذاهبهم ـ حاشاه عن ذلک ـ ، وکیف یکون کذلک وهو کان آنس أهل زمانهم بأخبار أهل البیت علیهم السلام وأعلمهم بها ، بل کان مسالک الزهد والورع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بدو أمره یتسمّی باسم التصوف لیرغب إلیه هذه الطائفة ولا یستوحشوا منه فیروعهم عن تلک الأقاویل الفاسدة والأعمال المبتدعة ، وقد هدی کثیراً منهم إلی الحقّ بهذه المجادلة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فی آخر عمره أنّ تلک المصلحة قد ضاعت ورفعت أعلام الضلال والطغیان وغلبت أحزاب الشیطان وعلم أنّهم أعداء اللّه صریحاً تبرّأ منهم وکان یکفّرهم فی عقائدهم وأنا أعرف بطریقته ، وعندی خطوطه فی ذلک</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وذکر المحدّث النوری فی الفیض القدسی ـ بعد نقله جملة من مناماته الروحانیة الدالة علی رغبته بالمواظبة الشدیدة علی الواجبات الإلهیة وتهذیب النفس ـ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قد ظهر من مطاوی الحکایات السابقة وجه ما اشتهر من میله إلی التصوّف ، حتّی أنّ معاصره میر محمّد لوحی الملقّب بالمطهّر قد أکثر فی أربعینه من الطعن علیه وعلی ولده الأجلّ ، ونسبتهما إلیه وإلی غیره ممّا لا یلیق بهما ، وکذا صحّة ما صرَّح به ولده العلاّمة وغیره من براءة ساحته عن ذلک ، فإنَّ المنفیَّ</w:t>
      </w:r>
    </w:p>
    <w:p>
      <w:pPr>
        <w:pStyle w:val="BookText"/>
        <w:rPr/>
      </w:pPr>
      <w:r>
        <w:rPr>
          <w:rFonts w:ascii="IRNazanin" w:hAnsi="IRNazanin" w:eastAsia="IRNazanin"/>
          <w:color w:val="111111"/>
          <w:sz w:val="28"/>
          <w:sz w:val="28"/>
          <w:szCs w:val="28"/>
          <w:rtl w:val="true"/>
          <w:lang w:bidi="fa-IR"/>
        </w:rPr>
        <w:t xml:space="preserve">عنه عقائدهم الباطلة ، وآراؤهم الکاسدة الّتی لا یتوهّم میله إلیها ، وإنّما کان له همّة علیّة وعزیمة قویمة ، فی تهذیب النفس وتخلیتها عن الرذائل والملکات الردیة ، وهذا أمر مطلوب محبوب قد أکثر فی الکتاب والسنّة من الأمر به ، بل لا شیء بعد المعارف ألزم وأهمّ منه، إذ لا ینتفع بشیء من العلوم الشرعیّة بدونه ، ویشارک الصوفیة أهل الشرع فی هذا الغرض الأهمّ وطلبه ، وفی بعض طرق تحصیله ، وإنّما یفترقان فی سائر طرق الوصول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یشترکان فیه المواظبة علی عمل مخصوص أربعین یوماً ، وقد ذکرنا فی حواشی کتابنا المسمّی ب کلمة طیّبة أربعین خبراً ، یستظهر منها أنَّ فی المواظبة علی شیء حسن أو قبیح أربعین یوماً تأثیراً فی الانتقال من حال إلی حال ، وصفة إلی صفة حسنة کانت أو قبیحة ، وقد صرّح العلاّمة المجلسی رحمه الله فی أجوبة المسائل الهندیّة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یواظب علیه فی أغلب السنین ، وکذا والده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تهذیبه بالطرق غیر الشرعیّة والأعمال المبتدعة ، والأوراد المحترمة ، من خصائص هذه الفرقة المبتدعة ، وإلیه یشیر ما فی الدروس فی بحث المکاسب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الکهانة إلی قوله وتصفیة النفس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والمولی المذکور کان فی أوائل سیره وسلوکه یمیل إلی بعض طرقهم لکثرة شوقه إلیه ، کما یظهر من رسالته السیر والسلوک وبعض الأشعار الّتی رأیتها بخطّه فی بعض المجامیع ، ولکن صار ببرکة خدمة أخبار الأئمّة الطاهرین علیهم السلام وهمّته فی نشرها وتصحیحها ومقابلتها حتّی بلغ أمره فی ذلک أن نقش علی فصّ علامته البلوغ بالسماع أو القراءة ، وکان یختم به الموضع الّذی ینتهی إلیه العرض فی یومه ، مجانباً لها معرضاً عنها ، واصلاً إلی مقام سنیّ لا یصل إلیه إلاّ الأوحدیّ من العلماء</w:t>
      </w:r>
      <w:r>
        <w:rPr>
          <w:rFonts w:eastAsia="IRNazanin" w:cs="IRNazanin"/>
          <w:color w:val="111111"/>
          <w:sz w:val="28"/>
          <w:szCs w:val="28"/>
          <w:rtl w:val="true"/>
          <w:lang w:bidi="fa-IR"/>
        </w:rPr>
        <w:t xml:space="preserve">» . </w:t>
      </w:r>
      <w:r>
        <w:rPr>
          <w:rStyle w:val="FootnoteAnchor"/>
          <w:rtl w:val="true"/>
        </w:rPr>
        <w:footnoteReference w:id="28"/>
      </w:r>
      <w:bookmarkStart w:id="27" w:name="pg2516_26385"/>
    </w:p>
    <w:p>
      <w:pPr>
        <w:pStyle w:val="Heading3"/>
        <w:numPr>
          <w:ilvl w:val="2"/>
          <w:numId w:val="1"/>
        </w:numPr>
        <w:rPr/>
      </w:pPr>
      <w:bookmarkStart w:id="28" w:name="__RefHeading___Toc4159360_3804643083"/>
      <w:bookmarkStart w:id="29" w:name="_Toc11"/>
      <w:bookmarkEnd w:id="27"/>
      <w:bookmarkEnd w:id="28"/>
      <w:r>
        <w:rPr>
          <w:rtl w:val="true"/>
        </w:rPr>
        <w:t>تعقیب</w:t>
      </w:r>
      <w:bookmarkEnd w:id="29"/>
    </w:p>
    <w:p>
      <w:pPr>
        <w:pStyle w:val="BookText"/>
        <w:rPr/>
      </w:pPr>
      <w:r>
        <w:rPr>
          <w:rFonts w:ascii="IRNazanin" w:hAnsi="IRNazanin" w:eastAsia="IRNazanin"/>
          <w:color w:val="111111"/>
          <w:sz w:val="28"/>
          <w:sz w:val="28"/>
          <w:szCs w:val="28"/>
          <w:rtl w:val="true"/>
          <w:lang w:bidi="fa-IR"/>
        </w:rPr>
        <w:t xml:space="preserve">لقد ذکر کُتاب التراجم ، وذکر هو نفسه أشهرَ مشایخه ومن روی عنهم من حملة فقه الإمامیة ولم یُذکروا کلّهم بل جلّهم ، فلا یسعنا فی هذه الترجمة المختصرة إلاّ الاکتفاء بذکر أسمائهم نقلاً عمّا ذکره هو ـ طاب ثراه ـ فی مقام ذکر بعض إجازاته ، </w:t>
      </w:r>
      <w:r>
        <w:rPr>
          <w:rStyle w:val="FootnoteAnchor"/>
          <w:rtl w:val="true"/>
        </w:rPr>
        <w:footnoteReference w:id="29"/>
      </w:r>
      <w:r>
        <w:rPr>
          <w:rFonts w:ascii="IRNazanin" w:hAnsi="IRNazanin" w:eastAsia="IRNazanin"/>
          <w:color w:val="111111"/>
          <w:sz w:val="28"/>
          <w:sz w:val="28"/>
          <w:szCs w:val="28"/>
          <w:rtl w:val="true"/>
          <w:lang w:bidi="fa-IR"/>
        </w:rPr>
        <w:t xml:space="preserve">وکذا ما ذکره خاتم المحدثین فی خاتمة المستدرک </w:t>
      </w:r>
      <w:r>
        <w:rPr>
          <w:rStyle w:val="FootnoteAnchor"/>
          <w:rtl w:val="true"/>
        </w:rPr>
        <w:footnoteReference w:id="30"/>
      </w:r>
      <w:r>
        <w:rPr>
          <w:rFonts w:ascii="IRNazanin" w:hAnsi="IRNazanin" w:eastAsia="IRNazanin"/>
          <w:color w:val="111111"/>
          <w:sz w:val="28"/>
          <w:sz w:val="28"/>
          <w:szCs w:val="28"/>
          <w:rtl w:val="true"/>
          <w:lang w:bidi="fa-IR"/>
        </w:rPr>
        <w:t xml:space="preserve">عند ذکر مشایخه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الأجل المولی عبداللّه بن حسین التستری ، نزیل إصفهان ، والمُتَوفّی بها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ولهذا الاُستاذ سهم وافر فی تعلیم الدقائق من علم الرجال لکثیر من علمائنا الرجالیین کشیخنا الّذی نتحدّث عنه ، والسیّد مصطفی التفریشی صاحب نقد الرجال ، والمولی عنایة اللّه القُهپائی صاحب مجمع الرجال ، والمولی خداوردی الأفشار صاحب زبدة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تَقی المَجلِسی عند ترجمته فی شرح رجال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شیخنا وشیخ الطائفة الإمامیة فی عصره ، العلاّمة المحقّق المدقّق الزاهد ، العابد ، الورع وأکثر فوائد هذا الکتاب من إفادته رضی الله عنه حقّق الأخبار والرجال والاُصول بما لا مزید علیه </w:t>
      </w:r>
      <w:r>
        <w:rPr>
          <w:rFonts w:eastAsia="IRNazanin" w:cs="IRNazanin"/>
          <w:color w:val="111111"/>
          <w:sz w:val="28"/>
          <w:szCs w:val="28"/>
          <w:rtl w:val="true"/>
          <w:lang w:bidi="fa-IR"/>
        </w:rPr>
        <w:t xml:space="preserve">. . . »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وقال نحو ذلک أیضاً تلمیذه الآخر السیّد التفریشی </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کتب وتعلیقات علی الکتب الرجالیة منها جامع الفوائد فی شرح القواعد ، </w:t>
      </w:r>
      <w:r>
        <w:rPr>
          <w:rStyle w:val="FootnoteAnchor"/>
          <w:rtl w:val="true"/>
        </w:rPr>
        <w:footnoteReference w:id="33"/>
      </w:r>
      <w:r>
        <w:rPr>
          <w:rFonts w:ascii="IRNazanin" w:hAnsi="IRNazanin" w:eastAsia="IRNazanin"/>
          <w:color w:val="111111"/>
          <w:sz w:val="28"/>
          <w:sz w:val="28"/>
          <w:szCs w:val="28"/>
          <w:rtl w:val="true"/>
          <w:lang w:bidi="fa-IR"/>
        </w:rPr>
        <w:t xml:space="preserve">ومنها أیضاً تعلیقات علی رجال ابن داوود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بهاء الملة والحق والدین محمّد ابن العالم الجلیل حسین بن عبد الصمد العاملی الحارثی الهَمْدانی ، الشهیر بالشَّیخ البهائی المُتَوفّی بإصفهان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مشهور عند الخاص والعام ، فنکتفی بما ذکره مُحَمّد تَقی المَجلِسی فی ترجمته ، حیث قال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جلیل القدر ، عظیم الشأن ، کثیر الحفظ ، ما رأیت بکثرة علومه ووفور فضله وعلوّ مرتبته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نفیسة منها کتاب الحبل المتین ، وکتاب مشرق الشمسین ، بل هذا الشرح أیضاً من فوائده</w:t>
      </w:r>
      <w:r>
        <w:rPr>
          <w:rFonts w:eastAsia="IRNazanin" w:cs="IRNazanin"/>
          <w:color w:val="111111"/>
          <w:sz w:val="28"/>
          <w:szCs w:val="28"/>
          <w:rtl w:val="true"/>
          <w:lang w:bidi="fa-IR"/>
        </w:rPr>
        <w:t xml:space="preserve">» . </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الفیلسوف الإلهی السیّد محمّد باقر الحسینی ، المعروف بالمحقّق الداماد </w:t>
      </w:r>
      <w:r>
        <w:rPr>
          <w:rStyle w:val="FootnoteAnchor"/>
          <w:rtl w:val="true"/>
        </w:rPr>
        <w:footnoteReference w:id="36"/>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فی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 والصراط المستقیم ، والحبل المتین ، وفی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النجاة ، وله الرواشح السماویة فی الدرایة ، وغیر ذلک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یونس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عابداً من تلامذة الشَّیخ عبد العالی ابن العلاّمة نور الدین علی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حسین بن حیدر الکرکی العاملی المُتَوفّی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أدیباً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وعقود الدرر فی حلّ أبیات المطوّل والمختصر ، وحاشیة علی المطوّل </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الشرف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الحُرّ العامِلی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w:t>
      </w:r>
    </w:p>
    <w:p>
      <w:pPr>
        <w:pStyle w:val="BookText"/>
        <w:rPr/>
      </w:pPr>
      <w:r>
        <w:rPr>
          <w:rFonts w:ascii="IRNazanin" w:hAnsi="IRNazanin" w:eastAsia="IRNazanin"/>
          <w:color w:val="111111"/>
          <w:sz w:val="28"/>
          <w:sz w:val="28"/>
          <w:szCs w:val="28"/>
          <w:rtl w:val="true"/>
          <w:lang w:bidi="fa-IR"/>
        </w:rPr>
        <w:t>فاضلاً ، یروی عن مولانا محمّد باقر المجلسی عنه</w:t>
      </w:r>
      <w:r>
        <w:rPr>
          <w:rFonts w:eastAsia="IRNazanin" w:cs="IRNazanin"/>
          <w:color w:val="111111"/>
          <w:sz w:val="28"/>
          <w:szCs w:val="28"/>
          <w:rtl w:val="true"/>
          <w:lang w:bidi="fa-IR"/>
        </w:rPr>
        <w:t xml:space="preserve">»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وظاهر هذه العبارة أنّ القاضی المذکور کان من مشایخ ولده البارّ المجلسی الثانی أیضاً ، وهو مع ذلک خلاف ما صرّح به الشَّیخ الحُرّ العامِلی فی خاتمة الوسائل من روایته عن محمّد باقر المجلسی ، عن أبیه ، عن القاضی أبی الشرف الإصفهانی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الشَّیخ عبداللّه بن جابر العاملی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عمته وکان من مشایخ ولده أیضاً ، قال الشَّیخ الحُرّ العامِلی فی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عالماً عاملاً ، عابداً ، فقیهاً</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جابر بن عباس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الحُرّ العامِلی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الفضلاء الصلحاء ، نروی عن مولانا محمّد باقر بن محمّد تقی المجلسی عن أبیه عنه</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النحریر القاضی معز الدین محمّد بن القاضی جعفر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ولده العلاّمة فی آخر إجازات البحار ، </w:t>
      </w:r>
      <w:r>
        <w:rPr>
          <w:rStyle w:val="FootnoteAnchor"/>
          <w:rtl w:val="true"/>
        </w:rPr>
        <w:footnoteReference w:id="44"/>
      </w:r>
      <w:r>
        <w:rPr>
          <w:rFonts w:ascii="Amiri" w:hAnsi="Amiri" w:eastAsia="Amiri" w:cs="Amiri"/>
          <w:color w:val="111111"/>
          <w:sz w:val="28"/>
          <w:sz w:val="28"/>
          <w:szCs w:val="28"/>
          <w:rtl w:val="true"/>
          <w:lang w:bidi="ar-SA"/>
        </w:rPr>
        <w:t xml:space="preserve">وذکره مُحَمّد تَقی المَجلِسی هکذا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الفهّامة القاضی معزّ الدین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فلم یذکر اسم أبیه ، لکن المحدث النوری ذکر ـ خلافاً لما ذکره المجلسی الثانی ـ أنّ اسم والد القاضی هو تقی الدین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وهذا سهو من قلمه الشریف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الریاض قال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الفقهاء والمُتَکلّمین ، والماهرین فی العلوم الریاضیة</w:t>
      </w:r>
      <w:r>
        <w:rPr>
          <w:rFonts w:eastAsia="IRNazanin" w:cs="IRNazanin"/>
          <w:color w:val="111111"/>
          <w:sz w:val="28"/>
          <w:szCs w:val="28"/>
          <w:rtl w:val="true"/>
          <w:lang w:bidi="fa-IR"/>
        </w:rPr>
        <w:t xml:space="preserve">» . </w:t>
      </w:r>
      <w:r>
        <w:rPr>
          <w:rStyle w:val="FootnoteAnchor"/>
          <w:rtl w:val="true"/>
        </w:rPr>
        <w:footnoteReference w:id="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الأعظم والواعظ المعظم الشَّیخ أبو البرکات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ظهیر الدین إبراهیم بن الحسین الهَمَدانی المُتَوفّی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النوری عن صاحب مناقب الفضلاء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فاضلاً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تألیفات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إلهیات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مخلوطاً مربوطاً مع شیخنا البهائی ـ طاب ثراه ـ وبینهما مکاتبات لطیفة</w:t>
      </w:r>
      <w:r>
        <w:rPr>
          <w:rFonts w:eastAsia="IRNazanin" w:cs="IRNazanin"/>
          <w:color w:val="111111"/>
          <w:sz w:val="28"/>
          <w:szCs w:val="28"/>
          <w:rtl w:val="true"/>
          <w:lang w:bidi="fa-IR"/>
        </w:rPr>
        <w:t xml:space="preserve">» . </w:t>
      </w:r>
      <w:r>
        <w:rPr>
          <w:rStyle w:val="FootnoteAnchor"/>
          <w:rtl w:val="true"/>
        </w:rPr>
        <w:footnoteReference w:id="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بن علی العاملی التبنینی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 العاملی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صالحاً أدیباً حافظاً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الطهرانی عن رسالة مُحَمّد تَقی المَجلِسی فی الإجازات أنّه قال فی إجازته لولده العلاّمة المجلسی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الشَّیخ یروی عن الأربعین من مشایخنا عن الأربعین إلی شیخ الطائفة ، بل المشایخ الثلاثة</w:t>
      </w:r>
      <w:r>
        <w:rPr>
          <w:rFonts w:eastAsia="IRNazanin" w:cs="IRNazanin"/>
          <w:color w:val="111111"/>
          <w:sz w:val="28"/>
          <w:szCs w:val="28"/>
          <w:rtl w:val="true"/>
          <w:lang w:bidi="fa-IR"/>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الأقوال </w:t>
      </w:r>
      <w:r>
        <w:rPr>
          <w:rStyle w:val="FootnoteAnchor"/>
          <w:rtl w:val="true"/>
        </w:rPr>
        <w:footnoteReference w:id="51"/>
      </w:r>
      <w:r>
        <w:rPr>
          <w:rFonts w:ascii="IRNazanin" w:hAnsi="IRNazanin" w:eastAsia="IRNazanin"/>
          <w:color w:val="111111"/>
          <w:sz w:val="28"/>
          <w:sz w:val="28"/>
          <w:szCs w:val="28"/>
          <w:rtl w:val="true"/>
          <w:lang w:bidi="fa-IR"/>
        </w:rPr>
        <w:t xml:space="preserve">وسنن الهدایة فی علم الدرایة </w:t>
      </w:r>
      <w:r>
        <w:rPr>
          <w:rStyle w:val="FootnoteAnchor"/>
          <w:rtl w:val="true"/>
        </w:rPr>
        <w:footnoteReference w:id="52"/>
      </w:r>
      <w:r>
        <w:rPr>
          <w:rFonts w:ascii="IRNazanin" w:hAnsi="IRNazanin" w:eastAsia="IRNazanin"/>
          <w:color w:val="111111"/>
          <w:sz w:val="28"/>
          <w:sz w:val="28"/>
          <w:szCs w:val="28"/>
          <w:rtl w:val="true"/>
          <w:lang w:bidi="fa-IR"/>
        </w:rPr>
        <w:t xml:space="preserve">وکتاب الإجازات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الأعظم والفاضل المعظم الأمیر شرف الدین علی بن حجّة اللّه الحسنی الحسینی الشولستانی المُتَوفّی بعد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الحرّ العاملی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فاضلاً محقّقاً محدّثاً شاعراً أدیباً</w:t>
      </w:r>
      <w:r>
        <w:rPr>
          <w:rFonts w:eastAsia="IRNazanin" w:cs="IRNazanin"/>
          <w:color w:val="111111"/>
          <w:sz w:val="28"/>
          <w:szCs w:val="28"/>
          <w:rtl w:val="true"/>
          <w:lang w:bidi="fa-IR"/>
        </w:rPr>
        <w:t xml:space="preserve">» . </w:t>
      </w:r>
      <w:r>
        <w:rPr>
          <w:rStyle w:val="FootnoteAnchor"/>
          <w:rtl w:val="true"/>
        </w:rPr>
        <w:footnoteReference w:id="54"/>
      </w:r>
      <w:r>
        <w:rPr>
          <w:rFonts w:ascii="Amiri" w:hAnsi="Amiri" w:eastAsia="Amiri" w:cs="Amiri"/>
          <w:color w:val="111111"/>
          <w:sz w:val="28"/>
          <w:sz w:val="28"/>
          <w:szCs w:val="28"/>
          <w:rtl w:val="true"/>
          <w:lang w:bidi="ar-SA"/>
        </w:rPr>
        <w:t xml:space="preserve">وکان هذا السیّد من مشایخ وَلَده العلاّمة أیضاً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الأقوال والأدلة فی شرح الاثنی عشریة الصلاتیة لصاحب المعالم </w:t>
      </w:r>
      <w:r>
        <w:rPr>
          <w:rStyle w:val="FootnoteAnchor"/>
          <w:rtl w:val="true"/>
        </w:rPr>
        <w:footnoteReference w:id="56"/>
      </w:r>
      <w:r>
        <w:rPr>
          <w:rFonts w:ascii="IRNazanin" w:hAnsi="IRNazanin" w:eastAsia="IRNazanin"/>
          <w:color w:val="111111"/>
          <w:sz w:val="28"/>
          <w:sz w:val="28"/>
          <w:szCs w:val="28"/>
          <w:rtl w:val="true"/>
          <w:lang w:bidi="fa-IR"/>
        </w:rPr>
        <w:t>وشرح</w:t>
      </w:r>
      <w:bookmarkStart w:id="30" w:name="pg2516_26389"/>
    </w:p>
    <w:p>
      <w:pPr>
        <w:pStyle w:val="BookText"/>
        <w:rPr/>
      </w:pPr>
      <w:bookmarkEnd w:id="30"/>
      <w:r>
        <w:rPr>
          <w:rFonts w:ascii="IRNazanin" w:hAnsi="IRNazanin" w:eastAsia="IRNazanin"/>
          <w:color w:val="111111"/>
          <w:sz w:val="28"/>
          <w:sz w:val="28"/>
          <w:szCs w:val="28"/>
          <w:rtl w:val="true"/>
          <w:lang w:bidi="fa-IR"/>
        </w:rPr>
        <w:t xml:space="preserve">المختصر النافع الموسوم بـ کنز المنافع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 مُحَمّد تَقی المَجلِسی علی ما صرّح به هو نفسه عند ذکر إجازاته ، ولم یذکر اسم أبیه ولا لقبه، فلا نعرف عنه غیر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المولی حسن علی بن المولی عبداللّه التستری المُتَوفّی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 مشایخ وَلَدِهِ العلاّمة محمّد باقر أیضاً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وصفه العلاّمة المجلسی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الأفاضل</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الأکمل</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وقال الحر العاملی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عالماً صالحاً</w:t>
      </w:r>
      <w:r>
        <w:rPr>
          <w:rFonts w:eastAsia="IRNazanin" w:cs="IRNazanin"/>
          <w:color w:val="111111"/>
          <w:sz w:val="28"/>
          <w:szCs w:val="28"/>
          <w:rtl w:val="true"/>
          <w:lang w:bidi="fa-IR"/>
        </w:rPr>
        <w:t xml:space="preserve">» . </w:t>
      </w:r>
      <w:r>
        <w:rPr>
          <w:rStyle w:val="FootnoteAnchor"/>
          <w:rtl w:val="true"/>
        </w:rPr>
        <w:footnoteReference w:id="61"/>
      </w:r>
      <w:r>
        <w:rPr>
          <w:rFonts w:ascii="IRNazanin" w:hAnsi="IRNazanin" w:eastAsia="IRNazanin"/>
          <w:color w:val="111111"/>
          <w:sz w:val="28"/>
          <w:sz w:val="28"/>
          <w:szCs w:val="28"/>
          <w:rtl w:val="true"/>
          <w:lang w:bidi="fa-IR"/>
        </w:rPr>
        <w:t xml:space="preserve">من کتبه التبیان فی الفقه </w:t>
      </w:r>
      <w:r>
        <w:rPr>
          <w:rStyle w:val="FootnoteAnchor"/>
          <w:rtl w:val="true"/>
        </w:rPr>
        <w:footnoteReference w:id="62"/>
      </w:r>
      <w:r>
        <w:rPr>
          <w:rFonts w:ascii="IRNazanin" w:hAnsi="IRNazanin" w:eastAsia="IRNazanin"/>
          <w:color w:val="111111"/>
          <w:sz w:val="28"/>
          <w:sz w:val="28"/>
          <w:szCs w:val="28"/>
          <w:rtl w:val="true"/>
          <w:lang w:bidi="fa-IR"/>
        </w:rPr>
        <w:t xml:space="preserve">ورسالة فی صلاة الجمعة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عبد الکریم العاملی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مُحَمّد تَقی المَجلِسی فی إجازته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السیّد العالم العامل</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شمس الدین الدستجردی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مُحَمّد تَقی المَجلِسی فی إجازته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الأجل الأکمل الحافظ الضریر</w:t>
      </w:r>
      <w:r>
        <w:rPr>
          <w:rFonts w:eastAsia="IRNazanin" w:cs="IRNazanin"/>
          <w:color w:val="111111"/>
          <w:sz w:val="28"/>
          <w:szCs w:val="28"/>
          <w:rtl w:val="true"/>
          <w:lang w:bidi="fa-IR"/>
        </w:rPr>
        <w:t xml:space="preserve">» . </w:t>
      </w:r>
      <w:r>
        <w:rPr>
          <w:rStyle w:val="FootnoteAnchor"/>
          <w:rtl w:val="true"/>
        </w:rPr>
        <w:footnoteReference w:id="65"/>
      </w:r>
    </w:p>
    <w:p>
      <w:pPr>
        <w:pStyle w:val="Heading3"/>
        <w:numPr>
          <w:ilvl w:val="2"/>
          <w:numId w:val="1"/>
        </w:numPr>
        <w:rPr/>
      </w:pPr>
      <w:bookmarkStart w:id="31" w:name="__RefHeading___Toc4159362_3804643083"/>
      <w:bookmarkStart w:id="32" w:name="_Toc12"/>
      <w:bookmarkEnd w:id="31"/>
      <w:r>
        <w:rPr>
          <w:rtl w:val="true"/>
        </w:rPr>
        <w:t>تعقیب</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تقدّم ذکرهم من مشایخ مُحَمّد تَقی المَجلِسی هم کلّ من وجدنا تصریح المنابع بتتلمذه عندهم أو روایته عنهم ، لکن المحقّق المرحوم السیّد مصلح الدین المهدوی ذکر فی کتاب زندگی نامه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ترجمة والد العلاّمة</w:t>
      </w:r>
      <w:bookmarkStart w:id="33" w:name="pg2516_26390"/>
    </w:p>
    <w:p>
      <w:pPr>
        <w:pStyle w:val="BookText"/>
        <w:rPr/>
      </w:pPr>
      <w:bookmarkEnd w:id="33"/>
      <w:r>
        <w:rPr>
          <w:rFonts w:ascii="IRNazanin" w:hAnsi="IRNazanin" w:eastAsia="IRNazanin"/>
          <w:color w:val="111111"/>
          <w:sz w:val="28"/>
          <w:sz w:val="28"/>
          <w:szCs w:val="28"/>
          <w:rtl w:val="true"/>
          <w:lang w:bidi="fa-IR"/>
        </w:rPr>
        <w:t xml:space="preserve">المجلسی ، مشایخ آخرین لم یتحقّق لنا کونهم شیوخاً له ، لکن لسعة اطلاع القرّاء الکرام نذکر هؤلاء المشایخ نقلاً عن الکتاب المذکور بالکیفیة الّتی ذکرهم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الحسین الرضوی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القاضی أبو السُّرور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 أبو القاسم بن المیرزا بیک بن صدر الدین الموسوی الفِندِرِسْکی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إسحاق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Style w:val="FootnoteAnchor"/>
          <w:rtl w:val="true"/>
        </w:rPr>
        <w:footnoteReference w:id="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عبد العال بن عبد الباقی ، سبط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معزّ الدین محمّد الرضوی النجفی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محمّد الإسترآبادی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المولی مقصودْ علی النطنزی العاملی الإصفهانی ، وهو والد مُحَمّد تَقی المَجلِسی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159364_3804643083"/>
      <w:bookmarkStart w:id="35" w:name="_Toc13"/>
      <w:bookmarkEnd w:id="34"/>
      <w:r>
        <w:rPr>
          <w:rtl w:val="true"/>
        </w:rPr>
        <w:t>تلامذته ومن روی عنه</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ولده البارّ العلاّمة محمّد باقر المجلسی صاحب بحار الأنوار 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مشهور فی غایة الشهرة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عزیز اللّه بن المولی محمّد تقی المجلسی المُتَوفّی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المولی محمّد تقی المجلسی المُتَوفّی سنة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هـ تقریباً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صالح بن أحمد المازندرانی الإصفهانی المُتَوفّی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أکبر أصهار المولی محمّد تقی المجلسی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علی الإسترآبادی المُتَوفّی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أیضاً صهر المولی محمّد تقی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الشیروانی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صهر المولی محمّد تقی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الدین محمّد الفسوی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أیضاً صهر مُحَمّد تَقی المَجلِسی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بن محمّد صادق بن مقصود علی المجلسی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وهو ابن أخ محمّد تقی المجلسی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 حسین بن جمال الدین محمّد الخوانساری المُتَوفّی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 جمال الدین محمّد بن أقا حسین الخوانساری المُتَوفّی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من ذکرنا اسمه آنفاً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 محمّد باقر بن محمّد إسماعیل بن عماد الدین محمّد الخاتون آبادی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 الحسین بن محمّد باقر الخاتون آبادی المُتَوفّی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 محمّد إسماعیل بن محمّد باقر الخاتون آبادی المُتَوفّی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 عبد الواسع بن محمّد صالح بن إسماعیل الخاتون آبادی المُتَوفّی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صادق الکَرباسی الإصفهانی ثُمَّ الهَمَدانی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کاشف الدین محمّد الیزدی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بن محمّد الجُرفادقانی المُتَوفّی حدود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عبداللّه بن إبراهیم الحُوَیزی الإصفهانی المُتَوفّی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بدر الدین بن أحمد الحسینی العاملی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الباقی بن بدیع الزمان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مهدی الحسینی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رفیع بن مؤمن الجیلی </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مقیم بن محمّد باقر الإصفهانی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محمّد طاهر العاملی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کلب علی البروجردی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فاضل بن محمّد مهدی المشهدی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عنایة اللّه بن محمّد حسین المشهدی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قاسم بن محمّد الطباطبائی الحسنی الحسینی الزَّواری القُهپائی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عبداللّه الکرجی ثُمَّ الإصفهانی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بن شمس الدین محمّد الإصفهانی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تاج الدین گُلستانة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القزوینی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رضا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محمود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منوچهر خان بن قَرَچُغای بیک </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مهدی بن أفضل الدین الحسینی </w:t>
      </w:r>
      <w:r>
        <w:rPr>
          <w:rFonts w:eastAsia="IRNazanin" w:cs="IRNazanin"/>
          <w:color w:val="111111"/>
          <w:sz w:val="28"/>
          <w:szCs w:val="28"/>
          <w:rtl w:val="true"/>
          <w:lang w:bidi="fa-IR"/>
        </w:rPr>
        <w:t xml:space="preserve">. </w:t>
      </w:r>
      <w:r>
        <w:rPr>
          <w:rStyle w:val="FootnoteAnchor"/>
          <w:rtl w:val="true"/>
        </w:rPr>
        <w:footnoteReference w:id="98"/>
      </w:r>
      <w:bookmarkStart w:id="36" w:name="pg2516_26394"/>
    </w:p>
    <w:p>
      <w:pPr>
        <w:pStyle w:val="BookText"/>
        <w:rPr/>
      </w:pPr>
      <w:bookmarkEnd w:id="36"/>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الرزاق الیزدی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صادق الشریف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نعمة اللّه الحسینی الجزائری المُتَوفّی سنة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3"/>
        <w:numPr>
          <w:ilvl w:val="2"/>
          <w:numId w:val="1"/>
        </w:numPr>
        <w:rPr/>
      </w:pPr>
      <w:bookmarkStart w:id="37" w:name="__RefHeading___Toc4159366_3804643083"/>
      <w:bookmarkStart w:id="38" w:name="_Toc14"/>
      <w:bookmarkEnd w:id="37"/>
      <w:r>
        <w:rPr>
          <w:rtl w:val="true"/>
        </w:rPr>
        <w:t>شیوخه</w:t>
      </w:r>
      <w:bookmarkEnd w:id="38"/>
    </w:p>
    <w:p>
      <w:pPr>
        <w:pStyle w:val="BookText"/>
        <w:rPr/>
      </w:pPr>
      <w:r>
        <w:rPr>
          <w:rFonts w:ascii="IRNazanin" w:hAnsi="IRNazanin" w:eastAsia="IRNazanin"/>
          <w:color w:val="111111"/>
          <w:sz w:val="28"/>
          <w:sz w:val="28"/>
          <w:szCs w:val="28"/>
          <w:rtl w:val="true"/>
          <w:lang w:bidi="fa-IR"/>
        </w:rPr>
        <w:t xml:space="preserve">مَن تقدّم ذکرهم من تلامذة مُحَمّد تَقی المَجلِسی هم کلّ من وجد فی المصادر بتتلمذهم عنده أو روایتهم عنه ، لکن السیّد مصلح الدین المهدوی ذکر فی کتاب زندگی نامه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ترجمة والد العلاّمة المجلسی ، تلامذة آخرین واستفاد ذلک من بعض الفهارس الّتی اُلّفت لبعض المکتبات ، وبعض هذه الفهارس لم تکن متوفرة لدینا ، وراجعنا بعضها الآخر فلم نعثر علی أسمائهم أو وجدنا الأسماء لغیر ما کنّا بصدد 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أیّة حالٍ نذکر أسماء هذه العدة تتمیماً نقلاً عن الکتاب المذکور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محبْ علی الموغاری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گوهر شاد ، ص </w:t>
      </w:r>
      <w:r>
        <w:rPr>
          <w:rFonts w:eastAsia="IRNazanin" w:cs="IRNazanin"/>
          <w:color w:val="111111"/>
          <w:sz w:val="28"/>
          <w:szCs w:val="28"/>
          <w:lang w:bidi="fa-IR"/>
        </w:rPr>
        <w:t>412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بن معزّ الدین محمّد قهجا الورستانی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المکتبة الرضویة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حیّاً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بن محمّد الجرفادقانی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المکتبة الرضویة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إلیاس ، وکان تأریخ إجازته فی شهر ربیع الثانی من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میکروفیلم مکتبة جامعة طهران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صادق گُلستانة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المدرسة الفیضیة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w:t>
      </w:r>
      <w:bookmarkStart w:id="39" w:name="pg2516_26395"/>
    </w:p>
    <w:p>
      <w:pPr>
        <w:pStyle w:val="BookText"/>
        <w:rPr/>
      </w:pPr>
      <w:bookmarkEnd w:id="39"/>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عابدین بن عبداللّه لاجین گُرجی المُتَوفّی سنة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میکروفیلم ، مکتبة جامعة طهران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محسن بن محمّد الأبهری الإصفهانی ، وکان تأریخ إجازته أواسط شهر محرم من سنة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کلیّة الحقوق فی طهران ، ص </w:t>
      </w:r>
      <w:r>
        <w:rPr>
          <w:rFonts w:eastAsia="IRNazanin" w:cs="IRNazanin"/>
          <w:color w:val="111111"/>
          <w:sz w:val="28"/>
          <w:szCs w:val="28"/>
          <w:lang w:bidi="fa-IR"/>
        </w:rPr>
        <w:t>418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گوهر شاد ، ص </w:t>
      </w:r>
      <w:r>
        <w:rPr>
          <w:rFonts w:eastAsia="IRNazanin" w:cs="IRNazanin"/>
          <w:color w:val="111111"/>
          <w:sz w:val="28"/>
          <w:szCs w:val="28"/>
          <w:lang w:bidi="fa-IR"/>
        </w:rPr>
        <w:t>299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شرف الدین علی گُلستانة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w:t>
      </w:r>
    </w:p>
    <w:p>
      <w:pPr>
        <w:pStyle w:val="Heading3"/>
        <w:numPr>
          <w:ilvl w:val="2"/>
          <w:numId w:val="1"/>
        </w:numPr>
        <w:rPr/>
      </w:pPr>
      <w:bookmarkStart w:id="40" w:name="__RefHeading___Toc4159368_3804643083"/>
      <w:bookmarkStart w:id="41" w:name="_Toc15"/>
      <w:bookmarkEnd w:id="40"/>
      <w:r>
        <w:rPr>
          <w:rtl w:val="true"/>
        </w:rPr>
        <w:t>مؤلّفاته</w:t>
      </w:r>
      <w:bookmarkEnd w:id="41"/>
    </w:p>
    <w:p>
      <w:pPr>
        <w:pStyle w:val="BookText"/>
        <w:rPr/>
      </w:pPr>
      <w:r>
        <w:rPr>
          <w:rFonts w:ascii="IRNazanin" w:hAnsi="IRNazanin" w:eastAsia="IRNazanin"/>
          <w:color w:val="111111"/>
          <w:sz w:val="28"/>
          <w:sz w:val="28"/>
          <w:szCs w:val="28"/>
          <w:rtl w:val="true"/>
          <w:lang w:bidi="fa-IR"/>
        </w:rPr>
        <w:t xml:space="preserve">له مؤلّفات کثیرة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صلاة اللّیل الصغیر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صلاة اللّیل الکبیر </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إحیاء الأحادیث ، نقل الآقا بزرگ الطهرانی أنّ المولی محمّد تقی المجلسی قال فی بعض إجازاته ـ بعد ذکر التصحیفات الواقعة فی کتب الأحادیث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بعون اللّه تعالی قد صحّحنا ما صحّفوه فی کتبنا سیّما فی کتاب روضة المتّقین وکتاب اللوامع القدسیة شرح کتاب من لا یحضره الفقیه وفی کتاب إحیاء الأحادیث شرح کتاب تهذیب الأحکام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الطهرانی بعد نقل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وصرّح ولده العلاّمة المجلسی بشرح والده علی التهذیب فیما کتبه من الإجازة للسیّد الأمیر أبی الحسن الإسترآبادی المشهدی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وصرّح المولی محمّد الأردبیلی فی جامع الرواة </w:t>
      </w:r>
      <w:r>
        <w:rPr>
          <w:rStyle w:val="FootnoteAnchor"/>
          <w:rtl w:val="true"/>
        </w:rPr>
        <w:footnoteReference w:id="105"/>
      </w:r>
      <w:r>
        <w:rPr>
          <w:rFonts w:ascii="IRNazanin" w:hAnsi="IRNazanin" w:eastAsia="IRNazanin"/>
          <w:color w:val="111111"/>
          <w:sz w:val="28"/>
          <w:sz w:val="28"/>
          <w:szCs w:val="28"/>
          <w:rtl w:val="true"/>
          <w:lang w:bidi="fa-IR"/>
        </w:rPr>
        <w:t>أنّه شرح لبعض کتاب التهذیب</w:t>
      </w:r>
      <w:r>
        <w:rPr>
          <w:rFonts w:eastAsia="IRNazanin" w:cs="IRNazanin"/>
          <w:color w:val="111111"/>
          <w:sz w:val="28"/>
          <w:szCs w:val="28"/>
          <w:rtl w:val="true"/>
          <w:lang w:bidi="fa-IR"/>
        </w:rPr>
        <w:t xml:space="preserve">» . </w:t>
      </w:r>
      <w:r>
        <w:rPr>
          <w:rStyle w:val="FootnoteAnchor"/>
          <w:rtl w:val="true"/>
        </w:rPr>
        <w:footnoteReference w:id="1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 قال الطهرانی بعد تسمیته ونسبته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المیرزا حیدر علی المجلسی فی إجازته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کتبه لاستدعاء المیرزا شرف الدین علی گُلستانة ، وفیه ذکر مشایخه</w:t>
      </w:r>
      <w:r>
        <w:rPr>
          <w:rFonts w:eastAsia="IRNazanin" w:cs="IRNazanin"/>
          <w:color w:val="111111"/>
          <w:sz w:val="28"/>
          <w:szCs w:val="28"/>
          <w:rtl w:val="true"/>
          <w:lang w:bidi="fa-IR"/>
        </w:rPr>
        <w:t xml:space="preserve">» . </w:t>
      </w:r>
      <w:r>
        <w:rPr>
          <w:rStyle w:val="FootnoteAnchor"/>
          <w:rtl w:val="true"/>
        </w:rPr>
        <w:footnoteReference w:id="107"/>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ضمن مجموعة میراث حدیث شیعه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پنجاه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فارسی ، توجد نسخة منه فی مکتبة السیّد محمّد علی الروضاتی فی إصفهان </w:t>
      </w:r>
      <w:r>
        <w:rPr>
          <w:rStyle w:val="FootnoteAnchor"/>
          <w:rtl w:val="true"/>
        </w:rPr>
        <w:footnoteReference w:id="109"/>
      </w:r>
      <w:r>
        <w:rPr>
          <w:rFonts w:ascii="IRNazanin" w:hAnsi="IRNazanin" w:eastAsia="IRNazanin"/>
          <w:color w:val="111111"/>
          <w:sz w:val="28"/>
          <w:sz w:val="28"/>
          <w:szCs w:val="28"/>
          <w:rtl w:val="true"/>
          <w:lang w:bidi="fa-IR"/>
        </w:rPr>
        <w:t xml:space="preserve">، وکذا توجد نسخة منه فی مکتبة گوهر شاد ضمن مجموعة رسائل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الإقبال ، قال الطهرانی بعد تسمیته ونسبته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المیرزا کمالا ، صهر المؤلّف فی البیاض الکمالی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یوجد فی خزانة الحاجّ محمّد علی الأصم ابن الحاجّ غدیر أو عبد القدیر</w:t>
      </w:r>
      <w:r>
        <w:rPr>
          <w:rFonts w:eastAsia="IRNazanin" w:cs="IRNazanin"/>
          <w:color w:val="111111"/>
          <w:sz w:val="28"/>
          <w:szCs w:val="28"/>
          <w:rtl w:val="true"/>
          <w:lang w:bidi="fa-IR"/>
        </w:rPr>
        <w:t xml:space="preserve">» . </w:t>
      </w:r>
      <w:r>
        <w:rPr>
          <w:rStyle w:val="FootnoteAnchor"/>
          <w:rtl w:val="true"/>
        </w:rPr>
        <w:footnoteReference w:id="1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الآیات ، نقل عنه المولی رضا قلی القاری فی کتابه تحفة الغرائب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ستأتی بعنوان شرایط أهل ذمّه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الصحیفة السجادیة ، ستأتی بعنوان شرح الصحیفة الکاملة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ذکره الطهرانی مرّة بالعنوان الأوّل </w:t>
      </w:r>
      <w:r>
        <w:rPr>
          <w:rStyle w:val="FootnoteAnchor"/>
          <w:rtl w:val="true"/>
        </w:rPr>
        <w:footnoteReference w:id="113"/>
      </w:r>
      <w:r>
        <w:rPr>
          <w:rFonts w:ascii="IRNazanin" w:hAnsi="IRNazanin" w:eastAsia="IRNazanin"/>
          <w:color w:val="111111"/>
          <w:sz w:val="28"/>
          <w:sz w:val="28"/>
          <w:szCs w:val="28"/>
          <w:rtl w:val="true"/>
          <w:lang w:bidi="fa-IR"/>
        </w:rPr>
        <w:t xml:space="preserve">ومرّة اُخری بالعنوان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علی نقد الرجال ، قال الطهرانی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 المیرزا حیدرعلی فی إجازته الکبیرة ترجمة الشَّیخ البهائی عن هذه الحاشیة الّتی نقلها بعض أحفاد المجلسی بخطّه علی نسخته</w:t>
      </w:r>
      <w:r>
        <w:rPr>
          <w:rFonts w:eastAsia="IRNazanin" w:cs="IRNazanin"/>
          <w:color w:val="111111"/>
          <w:sz w:val="28"/>
          <w:szCs w:val="28"/>
          <w:rtl w:val="true"/>
          <w:lang w:bidi="fa-IR"/>
        </w:rPr>
        <w:t xml:space="preserve">» . </w:t>
      </w:r>
      <w:r>
        <w:rPr>
          <w:rStyle w:val="FootnoteAnchor"/>
          <w:rtl w:val="true"/>
        </w:rPr>
        <w:footnoteReference w:id="1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حدیقة المتقین فی معرفة أحکام الدین ، باللغة الفارسیة ، قال الخوانساری فی الروضات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لأجل عمل المقلّدین إلی آخر مباحث الصیام ، وکأنّه جعل مناسک الحجّ فی رسالة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أصحابنا من یجوّز العمل به فی جمیع الأزمان ، بل یرجّحه علی سائر ما کتبه العلماء الأعیان فی هذا الشأن لغایة ما یراعی فیه من الاحتیاطات فی الفتاوی</w:t>
      </w:r>
      <w:r>
        <w:rPr>
          <w:rFonts w:eastAsia="IRNazanin" w:cs="IRNazanin"/>
          <w:color w:val="111111"/>
          <w:sz w:val="28"/>
          <w:szCs w:val="28"/>
          <w:rtl w:val="true"/>
          <w:lang w:bidi="fa-IR"/>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وقال الآقا بزرگ الطهرانی فی وصفه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مرتّب علی مقدّمة فی فضل الصلاة وخمسة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الصلاة ، الزکاة والخمس ، الصوم ، الحجّ والمزار ، وخاتمة فی بعض مهمّات المعاملات ، فرغ منه ـ کما فی بعض نسخه ـ فی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بالهند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Style w:val="FootnoteAnchor"/>
          <w:rtl w:val="true"/>
        </w:rPr>
        <w:footnoteReference w:id="1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الوالدین ، قال صاحب الریاض بعد ذکره عدداً من مؤلّفات مُحَمّد تَقی المَجلِسی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تألیفاته رسالة مختصرة بالفارسیة فی حقوق الوالدین ، رأیتها بخطّه فی بلدة بار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تأریخ فراغه فی شهر ذی الحجّة سنة ست وأربعین وألف</w:t>
      </w:r>
      <w:r>
        <w:rPr>
          <w:rFonts w:eastAsia="IRNazanin" w:cs="IRNazanin"/>
          <w:color w:val="111111"/>
          <w:sz w:val="28"/>
          <w:szCs w:val="28"/>
          <w:rtl w:val="true"/>
          <w:lang w:bidi="fa-IR"/>
        </w:rPr>
        <w:t xml:space="preserve">» . </w:t>
      </w:r>
      <w:r>
        <w:rPr>
          <w:rStyle w:val="FootnoteAnchor"/>
          <w:rtl w:val="true"/>
        </w:rPr>
        <w:footnoteReference w:id="1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سلوک و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السلوک والریاضة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توجد نسخة منها بهذا العنوان ضمن مجموعة رسائل فی مکتبة جامعة طهران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وفیها أیضاً نسخة اُخری من هذه</w:t>
      </w:r>
    </w:p>
    <w:p>
      <w:pPr>
        <w:pStyle w:val="BookText"/>
        <w:rPr/>
      </w:pPr>
      <w:r>
        <w:rPr>
          <w:rFonts w:ascii="Amiri" w:hAnsi="Amiri" w:eastAsia="Amiri" w:cs="Amiri"/>
          <w:color w:val="111111"/>
          <w:sz w:val="28"/>
          <w:sz w:val="28"/>
          <w:szCs w:val="28"/>
          <w:rtl w:val="true"/>
          <w:lang w:bidi="ar-SA"/>
        </w:rPr>
        <w:t xml:space="preserve">الرسالة بعنوان رساله مجاهده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الرضاعیة ، </w:t>
      </w:r>
      <w:r>
        <w:rPr>
          <w:rStyle w:val="FootnoteAnchor"/>
          <w:rtl w:val="true"/>
        </w:rPr>
        <w:footnoteReference w:id="120"/>
      </w:r>
      <w:r>
        <w:rPr>
          <w:rFonts w:ascii="IRNazanin" w:hAnsi="IRNazanin" w:eastAsia="IRNazanin"/>
          <w:color w:val="111111"/>
          <w:sz w:val="28"/>
          <w:sz w:val="28"/>
          <w:szCs w:val="28"/>
          <w:rtl w:val="true"/>
          <w:lang w:bidi="fa-IR"/>
        </w:rPr>
        <w:t xml:space="preserve">والظاهر أنّ ما هو مطبوع بهذا العنوان ونُسب إلی ولده العلاّمة محمّد باقر المجلسی ، إنّما هو له ولیس لولده ، کما احتمل ذلک الطهرانی حیث یقول ـ بعد ذکر اسم الرسالة ونسبتها إلی محمّد باقر المجلسی حسب ظاهر المطبوع منها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فارسیة وجیزة ، طبعت مع الرضاعیات الاُخری بإیران ، ومع ست رسائل اُخر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المجلسی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 ومع کلمات المحقّقین بإیران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اشتباه بوالده کما یأتی ، فإنّه ذکر فی فهرس تصانیفه ، ورأیتها عند الشَّیخ محمّد بن کریم التبریزی بالکاظمیة </w:t>
      </w:r>
      <w:r>
        <w:rPr>
          <w:rFonts w:eastAsia="IRNazanin" w:cs="IRNazanin"/>
          <w:color w:val="111111"/>
          <w:sz w:val="28"/>
          <w:szCs w:val="28"/>
          <w:rtl w:val="true"/>
          <w:lang w:bidi="fa-IR"/>
        </w:rPr>
        <w:t xml:space="preserve">.. .» . </w:t>
      </w:r>
      <w:r>
        <w:rPr>
          <w:rStyle w:val="FootnoteAnchor"/>
          <w:rtl w:val="true"/>
        </w:rPr>
        <w:footnoteReference w:id="1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أفعال الحجّ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صلاة الجمعة ، وهی تقرب من خمسة آلاف سطر ، کما ذکر هو فی قدس سره باب فرض الصلاة من کتاب روضة المتّقین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فی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 وهو شرح کبیر یزید علی مئة ألف سطر ، فرغ من الشرح ـ علی ما ذکر هو نفسه فی آخره ـ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أربعة عشر مجلّداً ، والمجلّد الرابع عشر یختص بشرح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کثیر من الدقائق الرجالیة ، وهو المصدر الأصلی فی تألیف هذه الوجیزة الّتی بین یدیک ، واستفادتنا من سائر مجلّدات الروضة و اللوامع القدسیة ـ الّذی سیأتی ذکره ـ قلیل بالنسبة إلیه ، وسنفصّل الکلام حول هذا الکتاب فی آخر التمهید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المؤمنین وحدائق المتقین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شرح فارسی علی الصحیفة السجادیة ولم یتمّ ، بل</w:t>
      </w:r>
    </w:p>
    <w:p>
      <w:pPr>
        <w:pStyle w:val="BookText"/>
        <w:rPr/>
      </w:pPr>
      <w:r>
        <w:rPr>
          <w:rFonts w:ascii="IRNazanin" w:hAnsi="IRNazanin" w:eastAsia="IRNazanin"/>
          <w:color w:val="111111"/>
          <w:sz w:val="28"/>
          <w:sz w:val="28"/>
          <w:szCs w:val="28"/>
          <w:rtl w:val="true"/>
          <w:lang w:bidi="fa-IR"/>
        </w:rPr>
        <w:t xml:space="preserve">یشتمل علی المقدّمة فقط ، وسیأتی ذکره ذیل شرح الصحیفة الکاملة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أهل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رسالة مختصرة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منها فی المکتبة المرعشیة وسُمّیت هناک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وطبعت فی سلسلة میراث إسلامی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الإسلامی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شرایط أهل ذمّه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البیان ، فارسی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همّام ، قال ولده محمّد باقر المجلسی فی آخر الاعتقادات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بمطالعة الأخبار الواردة فی صفات المؤمنین والمتّقین خصوصاً خطبة أمیر المؤمنین الّتی ألقاها علی همّام ، وقد کتب والدی العلاّمة ـ قدس اللّه روحه ـ علیها شرحاً جامعاً فعلیک بمطالعته</w:t>
      </w:r>
      <w:r>
        <w:rPr>
          <w:rFonts w:eastAsia="IRNazanin" w:cs="IRNazanin"/>
          <w:color w:val="111111"/>
          <w:sz w:val="28"/>
          <w:szCs w:val="28"/>
          <w:rtl w:val="true"/>
          <w:lang w:bidi="fa-IR"/>
        </w:rPr>
        <w:t xml:space="preserve">» . </w:t>
      </w:r>
      <w:r>
        <w:rPr>
          <w:rStyle w:val="FootnoteAnchor"/>
          <w:rtl w:val="true"/>
        </w:rPr>
        <w:footnoteReference w:id="12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الزیارة الجامعة ، قال الآقا بزرگ الطهرانی بعد تسمیة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ذلک عن مرآة الأحوال ، والظاهر أنّه شرح مستقل ، ویحتمل أنّه أراد ما هو مندرج فی شرح الفقیه الفارسی</w:t>
      </w:r>
      <w:r>
        <w:rPr>
          <w:rFonts w:eastAsia="IRNazanin" w:cs="IRNazanin"/>
          <w:color w:val="111111"/>
          <w:sz w:val="28"/>
          <w:szCs w:val="28"/>
          <w:rtl w:val="true"/>
          <w:lang w:bidi="fa-IR"/>
        </w:rPr>
        <w:t xml:space="preserve">»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صحّة ما استظهره أولاً ، فقد ذکر الخوانساری فی الروضات ـ عند ذکر مؤلّفاته ـ شرحا علی الزیارة الجامعة وهذا بعد تسمیته شرحا علی الفقیه بالفارسیة </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الصحیفة الکاملة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قال العلاّمة الطهرانی بعد ذکر اسم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نحو</w:t>
      </w:r>
    </w:p>
    <w:p>
      <w:pPr>
        <w:pStyle w:val="BookText"/>
        <w:rPr/>
      </w:pPr>
      <w:r>
        <w:rPr>
          <w:rFonts w:ascii="IRNazanin" w:hAnsi="IRNazanin" w:eastAsia="IRNazanin"/>
          <w:color w:val="111111"/>
          <w:sz w:val="28"/>
          <w:sz w:val="28"/>
          <w:szCs w:val="28"/>
          <w:rtl w:val="true"/>
          <w:lang w:bidi="fa-IR"/>
        </w:rPr>
        <w:t xml:space="preserve">الحاشیة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مکتبة السیّد حسن الصدر فی الکاظمیة نسخة منه تأریخها سنة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له فی الروضات شرحین علی الصحیفة فارسی وعربی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یتمّا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 رحمه الله بتألیف شرحین لکنّهما لم یتمّا ـ کما قال الخوانساری ـ فإنّ نسخة الشرح العربی الموجودة بخطّه فی مکتبة المیرزا فخر الدین فی طهران تقرب من ألفی سطر ، وقد ذکر الشارح اسمه فی أوّله ، وعند شرحه لمقدّمة الصحیفة ذکر إسناد الصحیفة علی نحو ما ذکره فی مشیخة الفقیه حتّی أنّه ذکر المنام الّذی اتفق له فی هذا الباب مفصلاً ، </w:t>
      </w:r>
      <w:r>
        <w:rPr>
          <w:rStyle w:val="FootnoteAnchor"/>
          <w:rtl w:val="true"/>
        </w:rPr>
        <w:footnoteReference w:id="132"/>
      </w: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الدعاء سراجاً لارتقاء السالکین من حضیض النقائص إلی أوج الکمالات وسُلَّماً یعرج به العابدون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مقدّمته أنّه شرح أوّلاً فی تألیف شرح فارسی علی الصحیفة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مقداراً من مقدّمة الشرح الفارسی فی بیان فضل الدعاء والذکر وبعد تمام المقدمة بدا لی أن أکتب شرحاً عربیاً، فشرعت فی هذا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یتمّ هذا الشرح أیضاً ، فإنّه خرج من الشرح بقلمه الشریف إلی أواخر الدعاء الثالث فی الصلاة علی الملائکة إلی قوله علیه السلام والموکلین بالجبال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فی ثلاث وعشرین صفحة وسطرین ، وهناک جفّ قلمه بانتقاله إلی رحمة ربّه</w:t>
      </w:r>
      <w:r>
        <w:rPr>
          <w:rFonts w:eastAsia="IRNazanin" w:cs="IRNazanin"/>
          <w:color w:val="111111"/>
          <w:sz w:val="28"/>
          <w:szCs w:val="28"/>
          <w:rtl w:val="true"/>
          <w:lang w:bidi="fa-IR"/>
        </w:rPr>
        <w:t xml:space="preserve">» . </w:t>
      </w:r>
      <w:r>
        <w:rPr>
          <w:rStyle w:val="FootnoteAnchor"/>
          <w:rtl w:val="true"/>
        </w:rPr>
        <w:footnoteReference w:id="1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الرواة ، قال الخوانساری فی روضات الجنّات ـ عند ذکر مؤلّفاته ـ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وله أیضاً کتاب فی الرجال</w:t>
      </w:r>
      <w:r>
        <w:rPr>
          <w:rFonts w:eastAsia="IRNazanin" w:cs="IRNazanin"/>
          <w:color w:val="111111"/>
          <w:sz w:val="28"/>
          <w:szCs w:val="28"/>
          <w:rtl w:val="true"/>
          <w:lang w:bidi="fa-IR"/>
        </w:rPr>
        <w:t xml:space="preserve">» . </w:t>
      </w:r>
      <w:r>
        <w:rPr>
          <w:rStyle w:val="FootnoteAnchor"/>
          <w:rtl w:val="true"/>
        </w:rPr>
        <w:footnoteReference w:id="134"/>
      </w:r>
      <w:r>
        <w:rPr>
          <w:rFonts w:ascii="IRNazanin" w:hAnsi="IRNazanin" w:eastAsia="IRNazanin"/>
          <w:color w:val="111111"/>
          <w:sz w:val="28"/>
          <w:sz w:val="28"/>
          <w:szCs w:val="28"/>
          <w:rtl w:val="true"/>
          <w:lang w:bidi="fa-IR"/>
        </w:rPr>
        <w:t xml:space="preserve">وذکره الطهرانی بعنوان طبقات الرواة وقال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کانت عند الشَّیخ أحمد البیان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مرتّب علی اثنتی عشرة طبقة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المفید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عمیر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ـ الصادق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 ـ الباقر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 ـ زین العابدین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والحسنین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الریاضة الشرعیة ، فی ورقة ، توجد نسخة منه ضمن مجموعة رسائل فی مکتبة جامعة طهران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فارسی ،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نسختان منها ضمن مجموعتین فی مکتبة مجلس الشوری </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چهار ضرب ، فارسی فی ورقة ، توجد نسخة منه ضمن مجموعة رسائل فی مکتبة جامعة طهران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لمعات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المؤلّف إلیها فی آخر رسالة شرایط أهل ذمّه بقوله ما معناه باللغة العربیة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مختصر ما أردناه وتفصیله علی وجه التمام فی لوامع صاحبقرانی ، وعلی وجه الأوسط فی لمعات شاهنشاهی</w:t>
      </w:r>
      <w:r>
        <w:rPr>
          <w:rFonts w:eastAsia="IRNazanin" w:cs="IRNazanin"/>
          <w:color w:val="111111"/>
          <w:sz w:val="28"/>
          <w:szCs w:val="28"/>
          <w:rtl w:val="true"/>
          <w:lang w:bidi="fa-IR"/>
        </w:rPr>
        <w:t xml:space="preserve">» . </w:t>
      </w:r>
      <w:r>
        <w:rPr>
          <w:rStyle w:val="FootnoteAnchor"/>
          <w:rtl w:val="true"/>
        </w:rPr>
        <w:footnoteReference w:id="1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اللوامع القدسیّة ویسمّی اللوامع الصاحبْقَرانیة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 وهو أیضاً شرح علی کتاب من لا یحضره الفقیه ، لکنه لم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یقول الآقا بزرک الطهرانی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خرج منه الطهارة والصلاة والزکاة والحجّ والزیارات إلی آخر أبواب الحقوق وفروض الجوارح ، فی ثلاث مجلّدات ، فرغ منها فی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وبها یتمّ نصف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الربع الثالث من الفقیه من کتاب القضاء إلی آخر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 موقوفة الشَّیخ عبد الکریم العطّار</w:t>
      </w:r>
    </w:p>
    <w:p>
      <w:pPr>
        <w:pStyle w:val="BookText"/>
        <w:rPr/>
      </w:pPr>
      <w:r>
        <w:rPr>
          <w:rFonts w:ascii="IRNazanin" w:hAnsi="IRNazanin" w:eastAsia="IRNazanin"/>
          <w:color w:val="111111"/>
          <w:sz w:val="28"/>
          <w:sz w:val="28"/>
          <w:szCs w:val="28"/>
          <w:rtl w:val="true"/>
          <w:lang w:bidi="fa-IR"/>
        </w:rPr>
        <w:t xml:space="preserve">فی المکتبة التستریة فی النجف ، وأما شرح الربع الأخیر فما رأیته بعد ، والمجلّد الأوّل إلی آخر الطهارة فرغ منه فی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بخطّ ید الشارح ، فی هوامشه إلحاقات کثیرة ، وفی متنه تصرفات وتغییرات ، موجود فی مکتبة فخر الدین النصیری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وهو المولی محمّد تقی بن مقصودْ علی الإصفهانی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للشاه عبّاس الموسوی الصفوی ، بعد عرضه الشرح العربی علیه واستدعائه الشرح الفارسی</w:t>
      </w:r>
      <w:r>
        <w:rPr>
          <w:rFonts w:eastAsia="IRNazanin" w:cs="IRNazanin"/>
          <w:color w:val="111111"/>
          <w:sz w:val="28"/>
          <w:szCs w:val="28"/>
          <w:rtl w:val="true"/>
          <w:lang w:bidi="fa-IR"/>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وقد طبع الکتاب بعنوان لوامع صاحبقرانی فی ثمانیة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سنفصّل الکلام حول هذا الکتاب فی آخر التمهید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المسؤولات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الأسئلة البروجردیة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جوابات مسائل من المولی محمّد تقی المجلسی ، سألها منه المولی کلبْ علی البروجردی ، ودوّنها البروجردی سنة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وقد طبعت ضمن المجلّد الثالث من مجموعة میراث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حدیث الشیعة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المقادیر ، قال فی لؤلؤة البحرین عند ترجمة مُحَمّد تَقی المَجلِسی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ونُسب إلی التصوف کما اشتهر بین جملة ممن یقول بهذا القول ، إلاّ أنّ ابنه المتقدّم ذکره قد نزهه عن ذلک فی بعض رسائله ، وظنی أنّه رسالة الاعتقادات أو شرح رسالة والده فی المقادیر</w:t>
      </w:r>
      <w:r>
        <w:rPr>
          <w:rFonts w:eastAsia="IRNazanin" w:cs="IRNazanin"/>
          <w:color w:val="111111"/>
          <w:sz w:val="28"/>
          <w:szCs w:val="28"/>
          <w:rtl w:val="true"/>
          <w:lang w:bidi="fa-IR"/>
        </w:rPr>
        <w:t xml:space="preserve">» . </w:t>
      </w:r>
      <w:r>
        <w:rPr>
          <w:rStyle w:val="FootnoteAnchor"/>
          <w:rtl w:val="true"/>
        </w:rPr>
        <w:footnoteReference w:id="1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الحجّ ، مبسوط ، قال الطهرانی ـ بعد تسمیته ونسبته إلی مُحَمّد تَقی المَجلِسی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ذکره فی نجوم السماء </w:t>
      </w:r>
      <w:r>
        <w:rPr>
          <w:rStyle w:val="FootnoteAnchor"/>
          <w:rtl w:val="true"/>
        </w:rPr>
        <w:footnoteReference w:id="143"/>
      </w:r>
      <w:r>
        <w:rPr>
          <w:rFonts w:ascii="IRNazanin" w:hAnsi="IRNazanin" w:eastAsia="IRNazanin"/>
          <w:color w:val="111111"/>
          <w:sz w:val="28"/>
          <w:sz w:val="28"/>
          <w:szCs w:val="28"/>
          <w:rtl w:val="true"/>
          <w:lang w:bidi="fa-IR"/>
        </w:rPr>
        <w:t xml:space="preserve">وینقل عنه الحاجّ الشَّیخ باقر التستری النجفی المعاصر فی مناسکه الموسوم بـ دستور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نظر فیه ولده المولی محمّد باقر</w:t>
      </w:r>
      <w:bookmarkStart w:id="42" w:name="pg2516_26403"/>
    </w:p>
    <w:p>
      <w:pPr>
        <w:pStyle w:val="BookText"/>
        <w:rPr/>
      </w:pPr>
      <w:bookmarkEnd w:id="42"/>
      <w:r>
        <w:rPr>
          <w:rFonts w:ascii="IRNazanin" w:hAnsi="IRNazanin" w:eastAsia="IRNazanin"/>
          <w:color w:val="111111"/>
          <w:sz w:val="28"/>
          <w:sz w:val="28"/>
          <w:szCs w:val="28"/>
          <w:rtl w:val="true"/>
          <w:lang w:bidi="fa-IR"/>
        </w:rPr>
        <w:t xml:space="preserve">وطابقه بنظریاته وألحق به قلیلاً وصرّح بجمیع ذلک فی آخره ، نسخة منها کتابتها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الموسوی الجزائری</w:t>
      </w:r>
      <w:r>
        <w:rPr>
          <w:rFonts w:eastAsia="IRNazanin" w:cs="IRNazanin"/>
          <w:color w:val="111111"/>
          <w:sz w:val="28"/>
          <w:szCs w:val="28"/>
          <w:rtl w:val="true"/>
          <w:lang w:bidi="fa-IR"/>
        </w:rPr>
        <w:t xml:space="preserve">»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اتحاد هذا الکتاب مع ما تقدّم بعنوان رسالة فی أفعال الحجّ </w:t>
      </w:r>
      <w:r>
        <w:rPr>
          <w:rFonts w:eastAsia="IRNazanin" w:cs="IRNazanin"/>
          <w:color w:val="111111"/>
          <w:sz w:val="28"/>
          <w:szCs w:val="28"/>
          <w:rtl w:val="true"/>
          <w:lang w:bidi="fa-IR"/>
        </w:rPr>
        <w:t>.</w:t>
      </w:r>
    </w:p>
    <w:p>
      <w:pPr>
        <w:pStyle w:val="Heading3"/>
        <w:numPr>
          <w:ilvl w:val="2"/>
          <w:numId w:val="1"/>
        </w:numPr>
        <w:rPr/>
      </w:pPr>
      <w:bookmarkStart w:id="43" w:name="__RefHeading___Toc4159370_3804643083"/>
      <w:bookmarkStart w:id="44" w:name="_Toc16"/>
      <w:bookmarkEnd w:id="43"/>
      <w:r>
        <w:rPr>
          <w:rtl w:val="true"/>
        </w:rPr>
        <w:t>والدته</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فصول التوضیح ، وهو مختصر کتاب توضیح المشربین الّذی هو أیضاً منسوب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الطهرانی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نسبه إلیه معاصره السیّد محمّد بن محمّد الحسینی السبزواری المطهر النقیبی الشهیر بمیر لوحی ، وذکر أنّه رجّح المجلسی فی توضیح المشربین ومختصره هذا ، مشرب التصوف علی غیره ، ولکن یأتی فی توضیح المشربین أنّ الشَّیخ علی صاحب الدرّ المنثور الّذی ألّف السهام المارقة فی ردّ الصوفیة ، عدّ کتاب توضیح المشربین ومختصره الاُصول المذکور من کتب الردود علی الصوفیة</w:t>
      </w:r>
      <w:r>
        <w:rPr>
          <w:rFonts w:eastAsia="IRNazanin" w:cs="IRNazanin"/>
          <w:color w:val="111111"/>
          <w:sz w:val="28"/>
          <w:szCs w:val="28"/>
          <w:rtl w:val="true"/>
          <w:lang w:bidi="fa-IR"/>
        </w:rPr>
        <w:t xml:space="preserve">» . </w:t>
      </w:r>
      <w:r>
        <w:rPr>
          <w:rStyle w:val="FootnoteAnchor"/>
          <w:rtl w:val="true"/>
        </w:rPr>
        <w:footnoteReference w:id="1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العارفین ، قال الطهرانی بعد ذکر اسم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فارسی فی آداب الصلاة للمولی محمّد تقی بن مقصود علی المجلسی الإصفهانی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حکی لی السیّد علی رضا بن السیّد محمّد الکابلی أنّ عنده نسخة هذا الکتاب ، ولعلّه ما ذکرناه فی الجزء الأوّل بعنوان آداب الصلاة الفارسی للعلاّمة المجلسی المولی محمّد باقر ابن المولی محمّد تقی المذکور</w:t>
      </w:r>
      <w:r>
        <w:rPr>
          <w:rFonts w:eastAsia="IRNazanin" w:cs="IRNazanin"/>
          <w:color w:val="111111"/>
          <w:sz w:val="28"/>
          <w:szCs w:val="28"/>
          <w:rtl w:val="true"/>
          <w:lang w:bidi="fa-IR"/>
        </w:rPr>
        <w:t xml:space="preserve">» . </w:t>
      </w:r>
      <w:r>
        <w:rPr>
          <w:rStyle w:val="FootnoteAnchor"/>
          <w:rtl w:val="true"/>
        </w:rPr>
        <w:footnoteReference w:id="1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صحیفة الرضا علیه السلام ، نسب هذا التألیف إلیه فی الطبعة الاُولی من فهرس المکتبة الرضویة الّذی کان مرتباً ألفبائیاً </w:t>
      </w:r>
      <w:r>
        <w:rPr>
          <w:rStyle w:val="FootnoteAnchor"/>
          <w:rtl w:val="true"/>
        </w:rPr>
        <w:footnoteReference w:id="147"/>
      </w:r>
      <w:r>
        <w:rPr>
          <w:rFonts w:ascii="IRNazanin" w:hAnsi="IRNazanin" w:eastAsia="IRNazanin"/>
          <w:color w:val="111111"/>
          <w:sz w:val="28"/>
          <w:sz w:val="28"/>
          <w:szCs w:val="28"/>
          <w:rtl w:val="true"/>
          <w:lang w:bidi="fa-IR"/>
        </w:rPr>
        <w:t>، لکن فی الطبعة الثانیة من فهرس هذه المکتبة الّذی کان موضوعیاً حذف عنوان الترجمة ، وبقی عنوان صحیفة الرضا علیه السلام ، ولم</w:t>
      </w:r>
    </w:p>
    <w:p>
      <w:pPr>
        <w:pStyle w:val="BookText"/>
        <w:rPr/>
      </w:pPr>
      <w:r>
        <w:rPr>
          <w:rFonts w:ascii="IRNazanin" w:hAnsi="IRNazanin" w:eastAsia="IRNazanin"/>
          <w:color w:val="111111"/>
          <w:sz w:val="28"/>
          <w:sz w:val="28"/>
          <w:szCs w:val="28"/>
          <w:rtl w:val="true"/>
          <w:lang w:bidi="fa-IR"/>
        </w:rPr>
        <w:t xml:space="preserve">یُذکر اسم المجلسی الأوّل فی ذیله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السالکین ، قال الطهرانی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الترغیب علی الریاضة والسلوک وتهذیب النفس ، فارسی ، نُسِبَ فی أوله إلی المولی محمّد تقی المجلسی المُتَوفّی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وطبع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جوابات المسائل الثلاث لولده العلاّمة المجلسی المُتَوفّی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Style w:val="FootnoteAnchor"/>
          <w:rtl w:val="true"/>
        </w:rPr>
        <w:footnoteReference w:id="149"/>
      </w:r>
      <w:r>
        <w:rPr>
          <w:rFonts w:ascii="IRNazanin" w:hAnsi="IRNazanin" w:eastAsia="IRNazanin"/>
          <w:color w:val="111111"/>
          <w:sz w:val="28"/>
          <w:sz w:val="28"/>
          <w:szCs w:val="28"/>
          <w:rtl w:val="true"/>
          <w:lang w:bidi="fa-IR"/>
        </w:rPr>
        <w:t>وقد کُتِبَ فی بدایة الکتاب أنّه مختصر کتابه الآخر الموسوم بـ مستند السالکین</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المشربین ، فارسی وقد فصّل الطهرانی الکلام فی عدم صحّة نسبته ، وکذا نسبة مختصره الموسوم بـ اُصول فصول التوضیح إلی مُحَمّد تَقی المَجلِسی بنقله خلاصة ممّا کتبه إلیه الشَّیخ محمّد علی المعلّم الحبیب آبادی فی ذلک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عنها فی قصص العلماء وهدیة الأحباب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بر ایرادات وارده بر ملای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الإشکالات الواردة علی الملاّ الرومی</w:t>
      </w:r>
      <w:r>
        <w:rPr>
          <w:rFonts w:eastAsia="IRNazanin" w:cs="IRNazanin"/>
          <w:color w:val="111111"/>
          <w:sz w:val="28"/>
          <w:szCs w:val="28"/>
          <w:rtl w:val="true"/>
          <w:lang w:bidi="fa-IR"/>
        </w:rPr>
        <w:t xml:space="preserve">) . </w:t>
      </w:r>
      <w:r>
        <w:rPr>
          <w:rStyle w:val="FootnoteAnchor"/>
          <w:rtl w:val="true"/>
        </w:rPr>
        <w:footnoteReference w:id="1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التصوف ، فارسی فی عشرین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إرجاع إلی کتاب مستند السالکین ـ الّذی سیأتی ذکره ـ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منها فی مکتبة جامعة طهران </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الفارسی ، قال الطهرانی بعد ذکر اسم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التمام من الطهارة إلی الدِّیات ، مبسوط مرتّب علی تسعة عشر کتاباً 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معبودی را که</w:t>
      </w:r>
    </w:p>
    <w:p>
      <w:pPr>
        <w:pStyle w:val="BookText"/>
        <w:rPr/>
      </w:pPr>
      <w:r>
        <w:rPr>
          <w:rFonts w:ascii="IRNazanin" w:hAnsi="IRNazanin" w:eastAsia="IRNazanin"/>
          <w:color w:val="111111"/>
          <w:sz w:val="28"/>
          <w:sz w:val="28"/>
          <w:szCs w:val="28"/>
          <w:rtl w:val="true"/>
          <w:lang w:bidi="fa-IR"/>
        </w:rPr>
        <w:t xml:space="preserve">کائنات را به خورشید آسمان رسالت ونور بدر ولایت ـ إلی قوله ـ اما بعد، این تألیفی است در فقه مذهب ائمه معصومین ـ صلوات اللّه علیهم أجمعین ـ مشتمل بر نوزده کتاب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ولا ینقل فیه عن المتأخّر عن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فی مسألة الجمعة اشتراط حضور الإمام أو نائبه ، وله فهرس مبسوط فی أوله ، والنسخة بخطّ عبداللّه بن شیخ مرشد الکاتب ، لیس لها تأریخ ، ولکن تذهیبه وخصوصیات خطّه یشبه أنّه بعد عصر الشهید وبعد المئة العاشرة ، رأیته عند الحاجّ سیّد نصر اللّه الأخوی بطهران ویوجد فی خزانة المجلس بطهران ، کما یظهر من فهرسها وسمّاه الأحکام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تألیف الجرجانی الآتی ذکره أو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ثُمَّ إنّه ذکر بعد فصل قریب کتاب فقه المجلسی ، وذکر أنّه منسوب إلی المجلسی محمّد باقر ، ونقل من أوله نفس ما تقدّم من أول کتاب المبحوث عنه وقال بعد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حشیها السیّد محمّد کاظم الیزدی عدد مجموع الحواشی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ومنها فی 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الکتاب بعون اللّه الملک الوهاب فی إحدی عشر شهر شوال فی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التاریخ ـ لو صدقت النسبة ـ فإنّما هی للمجلسی الأوّل والد المولی محمّد باقر المجلسی ، حیث إنّ المجلسی مولی محمّد باقر ولد قبل هذا التاریخ بسنة أو سنتین ، ولکن والده ولد سنة ثلاث بعد الألف فیکون عمره فی تأریخ الرسالة ست وثلاثون سنة ، واللّه العالم</w:t>
      </w:r>
      <w:r>
        <w:rPr>
          <w:rFonts w:eastAsia="IRNazanin" w:cs="IRNazanin"/>
          <w:color w:val="111111"/>
          <w:sz w:val="28"/>
          <w:szCs w:val="28"/>
          <w:rtl w:val="true"/>
          <w:lang w:bidi="fa-IR"/>
        </w:rPr>
        <w:t xml:space="preserve">» . </w:t>
      </w:r>
      <w:r>
        <w:rPr>
          <w:rStyle w:val="FootnoteAnchor"/>
          <w:rtl w:val="true"/>
        </w:rPr>
        <w:footnoteReference w:id="15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السالکین ، قد تقدّم أنّ کتاب تشویق السالکین مختصر هذا الکتاب </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المولی محمّد تقی المجلسی والمولی محمّد طاهر القمّی ، قال الطهرانی بعد ذکر اسم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قیل ، ولکنهما أجل من أن ینسب إلیهما ممّا فیها ، کذا ذکره فی کشف</w:t>
      </w:r>
      <w:bookmarkStart w:id="45" w:name="pg2516_26406"/>
    </w:p>
    <w:p>
      <w:pPr>
        <w:pStyle w:val="BookText"/>
        <w:rPr/>
      </w:pPr>
      <w:bookmarkEnd w:id="45"/>
      <w:r>
        <w:rPr>
          <w:rFonts w:ascii="IRNazanin" w:hAnsi="IRNazanin" w:eastAsia="IRNazanin"/>
          <w:color w:val="111111"/>
          <w:sz w:val="28"/>
          <w:sz w:val="28"/>
          <w:szCs w:val="28"/>
          <w:rtl w:val="true"/>
          <w:lang w:bidi="fa-IR"/>
        </w:rPr>
        <w:t>الحجب ، وکأنّه أشار إلی بعض کلمات المیر لوحی الموسوی المعاصر للمجلسی الثانی والجسور علیه ونسبة توضیح المشربین إلیه ، کما مرّ مفصلاً</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انتهی ما وقفنا علیه من آثار المجلسی الأول ، والمظنون أنّ له مؤلفات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کلّ هذا غیر إجازاته الکثیرة لکثیر من الفضلاء الأعلام </w:t>
      </w:r>
      <w:r>
        <w:rPr>
          <w:rFonts w:eastAsia="IRNazanin" w:cs="IRNazanin"/>
          <w:color w:val="111111"/>
          <w:sz w:val="28"/>
          <w:szCs w:val="28"/>
          <w:rtl w:val="true"/>
          <w:lang w:bidi="fa-IR"/>
        </w:rPr>
        <w:t>.</w:t>
      </w:r>
    </w:p>
    <w:p>
      <w:pPr>
        <w:pStyle w:val="Heading3"/>
        <w:numPr>
          <w:ilvl w:val="2"/>
          <w:numId w:val="1"/>
        </w:numPr>
        <w:rPr/>
      </w:pPr>
      <w:bookmarkStart w:id="46" w:name="__RefHeading___Toc4159372_3804643083"/>
      <w:bookmarkStart w:id="47" w:name="_Toc17"/>
      <w:bookmarkEnd w:id="46"/>
      <w:r>
        <w:rPr>
          <w:rtl w:val="true"/>
        </w:rPr>
        <w:t>وفاته ومدفنه</w:t>
      </w:r>
      <w:bookmarkEnd w:id="47"/>
    </w:p>
    <w:p>
      <w:pPr>
        <w:pStyle w:val="BookText"/>
        <w:rPr/>
      </w:pPr>
      <w:r>
        <w:rPr>
          <w:rFonts w:ascii="IRNazanin" w:hAnsi="IRNazanin" w:eastAsia="IRNazanin"/>
          <w:color w:val="111111"/>
          <w:sz w:val="28"/>
          <w:sz w:val="28"/>
          <w:szCs w:val="28"/>
          <w:rtl w:val="true"/>
          <w:lang w:bidi="fa-IR"/>
        </w:rPr>
        <w:t xml:space="preserve">ارتحل المجلسی الأوّل إلی جوار رحمة ربّه فی مدینة إصفهان فی سنة سبعین وألف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ونظم بعضهم فی تأریخه بالفارسیة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شرع اوفتاد و بی سر و پا گشت فضل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 فی ذلک قول بعض آخر بالفارسیة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 منبر از صفا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ودفن فی بقعة صارت بعده مجمع مقابر جماعة من آله منهم ولده المولی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الخوانساری فی الروضات فی أواخر ترجمة ولده البارّ محمّد باقر ـ بعد أن ذکر تأریخ وفاته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ومرقده الشریف الآن ملجأ الخلائق بأصبهان فی الباب القبلی من الأبواب التسعة من جامعها الأعظم العتیق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تلک البقعة المبارکة أیضاً مقابر جماعة من الصالحین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والده المولی الفاضل مُحَمّد تَقی المَجلِسی الواقع قبره فی مقدّم ذلک القبر المطهّر بفاصلة قبر واحد من إخوته الأجلّة المتوفّین قبله عقیب مرقد بعض أعاظم العرفاء الزاهدین الواقع هناک أیضاً ، کما یظهر من مراتب ألواحهم المرکوزة فی ثخن الجدار ممّا یلی الأرجل والرؤوس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صهرهما الفاضل الجلیل المکرّم مولانا محمّد صالح المازندرانی شارح</w:t>
      </w:r>
      <w:bookmarkStart w:id="48" w:name="pg2516_26407"/>
    </w:p>
    <w:p>
      <w:pPr>
        <w:pStyle w:val="BookText"/>
        <w:rPr/>
      </w:pPr>
      <w:bookmarkEnd w:id="48"/>
      <w:r>
        <w:rPr>
          <w:rFonts w:ascii="IRNazanin" w:hAnsi="IRNazanin" w:eastAsia="IRNazanin"/>
          <w:color w:val="111111"/>
          <w:sz w:val="28"/>
          <w:sz w:val="28"/>
          <w:szCs w:val="28"/>
          <w:rtl w:val="true"/>
          <w:lang w:bidi="fa-IR"/>
        </w:rPr>
        <w:t xml:space="preserve">اُصول الکافی ممّا یلی رجله فی زاویة من تلک البقعة المنوّرة ، ولها شبکة من الحجر الأملس إلی خارج الروضة وفناء باب دار المسجد المقدّم إلیه الإشارة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الفاضل الأدیب الفقیه النجیب النسیب الآقا هادی ابن المولی محمّد صالح المذکور ، وقبر الفاضل النحریر المولی محمّد مهدی الهرندی فی الصندوق الواقع ممّا یلی باب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الفاضل المحدّث مولانا محمّد علیّ الإسترآبادی هو أیضاً من جملة أصهار المجلسی الأوّل ، وقبره قبلة قبر مولانا الصالح شرقی تلک البقعة المبارکة کما اُفید ، وزاد بعض فضلاء هذه السلسلة الأصدقاء لمؤلّف هذا الکتاب فی حاشیة نسخة منه بلغها نظره الشریف فی مثل هذا الموضع بخطّه المنیف ما یکون عین عبارته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ابن أخیه وابن بنته المولی الجلیل النبیل العالم الفاضل الکامل العارف المیرزا محمّد تقی الألماسی ، واشتهر بذلک اللقب ؛ لأنّ والده المیرزا محمّد کاظم وهو ابن المولی عزیز اللّه بن المولی محمّد تقی المجلسی قدس سره نصب ألماساً قیمته سبعة آلاف وخمسمئة تومانٍ ، وقد کان إمام الجمعة فی زمن نادر شاه ، وأوّل الصندوق قبره ـ طاب ثراه ـ انتهی ، وقد أدرجت ما کتبه هناک ضمن نسخة الأصل لکون أهل البیت أدری بما فی البیت</w:t>
      </w:r>
      <w:r>
        <w:rPr>
          <w:rFonts w:eastAsia="IRNazanin" w:cs="IRNazanin"/>
          <w:color w:val="111111"/>
          <w:sz w:val="28"/>
          <w:szCs w:val="28"/>
          <w:rtl w:val="true"/>
          <w:lang w:bidi="fa-IR"/>
        </w:rPr>
        <w:t xml:space="preserve">» . </w:t>
      </w:r>
      <w:r>
        <w:rPr>
          <w:rStyle w:val="FootnoteAnchor"/>
          <w:rtl w:val="true"/>
        </w:rPr>
        <w:footnoteReference w:id="159"/>
      </w:r>
    </w:p>
    <w:p>
      <w:pPr>
        <w:pStyle w:val="Heading3"/>
        <w:numPr>
          <w:ilvl w:val="2"/>
          <w:numId w:val="1"/>
        </w:numPr>
        <w:rPr/>
      </w:pPr>
      <w:bookmarkStart w:id="49" w:name="__RefHeading___Toc4159374_3804643083"/>
      <w:bookmarkStart w:id="50" w:name="_Toc18"/>
      <w:bookmarkEnd w:id="49"/>
      <w:r>
        <w:rPr>
          <w:rtl w:val="true"/>
        </w:rPr>
        <w:t xml:space="preserve">نظرة فی کتاب </w:t>
      </w:r>
      <w:r>
        <w:rPr>
          <w:rtl w:val="true"/>
        </w:rPr>
        <w:t xml:space="preserve">« </w:t>
      </w:r>
      <w:r>
        <w:rPr>
          <w:rtl w:val="true"/>
        </w:rPr>
        <w:t xml:space="preserve">روضة المتّقین </w:t>
      </w:r>
      <w:r>
        <w:rPr>
          <w:rtl w:val="true"/>
        </w:rPr>
        <w:t>»</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سابقاً ـ عند الکلام حول مؤلّفات المجلسی الأوّل فی ذیل عنوان روضة المتّقین ـ بأنّنا استفدنا فی تألیف هذا الأثر الّذی بین یدیک من کتابیه روضة المتّقین و لوامع صاحبقرانی ؛ أمّا هنا فنبدأ البحث أولاً 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فی شرح کتاب من لا یحضره الفقیه </w:t>
      </w:r>
      <w:r>
        <w:rPr>
          <w:rFonts w:eastAsia="IRNazanin" w:cs="IRNazanin"/>
          <w:color w:val="111111"/>
          <w:sz w:val="28"/>
          <w:szCs w:val="28"/>
          <w:rtl w:val="true"/>
          <w:lang w:bidi="fa-IR"/>
        </w:rPr>
        <w:t>.</w:t>
      </w:r>
      <w:bookmarkStart w:id="51" w:name="pg2516_26408"/>
    </w:p>
    <w:p>
      <w:pPr>
        <w:pStyle w:val="Heading3"/>
        <w:numPr>
          <w:ilvl w:val="2"/>
          <w:numId w:val="1"/>
        </w:numPr>
        <w:rPr/>
      </w:pPr>
      <w:bookmarkStart w:id="52" w:name="__RefHeading___Toc4159376_3804643083"/>
      <w:bookmarkStart w:id="53" w:name="_Toc19"/>
      <w:bookmarkEnd w:id="51"/>
      <w:bookmarkEnd w:id="52"/>
      <w:r>
        <w:rPr>
          <w:rtl w:val="true"/>
        </w:rPr>
        <w:t>طبعة الکتاب وما یحتویه کلّ واحد من المجلّدات</w:t>
      </w:r>
      <w:bookmarkEnd w:id="53"/>
    </w:p>
    <w:p>
      <w:pPr>
        <w:pStyle w:val="BookText"/>
        <w:rPr/>
      </w:pPr>
      <w:r>
        <w:rPr>
          <w:rFonts w:ascii="IRNazanin" w:hAnsi="IRNazanin" w:eastAsia="IRNazanin"/>
          <w:color w:val="111111"/>
          <w:sz w:val="28"/>
          <w:sz w:val="28"/>
          <w:szCs w:val="28"/>
          <w:rtl w:val="true"/>
          <w:lang w:bidi="fa-IR"/>
        </w:rPr>
        <w:t xml:space="preserve">یتلخّص منهج المؤلّف فیما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أشار بعد کلّ خبر من أخبار الفقیه ـ للتأیید ـ إلی طریق الکلینی فی الکافی والشَّیخ فی التهذیبین فی نقله ، وعیّن درجة اعتبار طریقهما من صحّة أو حسن أو وثاقة أو ضعف مع تعیین موضع ذلک من جهة حال الرواة ، وسلک فی کلّ ذلک مسلک المجتهدین فی تصحیح وتضعیف الأخبار مع أنّه أخباری ویعتقد بصحّة ما ذهب إلیه سائر أقرانه من القول بصحّة الأخبار المرویة فی الکتب الأربعة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تعارض خبر الفقیه مع أخبار اُخری لم ینقلها الصَّدوق ، یذکرها بالنقل من الکافی والتهذیب ویجتهد فی حلّ التعارض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أبدی نظره الخاص فی التصحیفات والتحریفات الّتی نفذت من جانب نسّاخ الفقیه وسائر الکتب الأربعة إلی روایات الشیعة ، وکشف بهذا کثیراً منها بالاستعانة بنسخ ونقول متعددة ، وبهذا الطریق أوضح أیضاً معنی کثیر من الروایات المجملة ، وصار المعارض أحیاناً موافقاً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اختلط واُدرج کلام الصَّدوق أو الراوی فی الروایة متصلاً بها من غیر فصل ، یستعین بنقل الروایة فی سائر الکتب الأربعة لتفکیک کلام المعصوم من غیر المعصوم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 عند شرح الروایات المغلقة من نقلها فی سائر الکتب الأربعة والمعاجم اللغویة وذوقه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 وما یحتویه کلّ واحد من المجلّدات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الکتاب فی أربعة عشر مجلّداً تدریجیاً ابتداءً من رجب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المطبعة العلمیة فی مدینة قم المقدّسة ، والناشر مؤسسة الثقافة الإسلامیة للحاجّ</w:t>
      </w:r>
    </w:p>
    <w:p>
      <w:pPr>
        <w:pStyle w:val="BookText"/>
        <w:rPr/>
      </w:pPr>
      <w:r>
        <w:rPr>
          <w:rFonts w:ascii="IRNazanin" w:hAnsi="IRNazanin" w:eastAsia="IRNazanin"/>
          <w:color w:val="111111"/>
          <w:sz w:val="28"/>
          <w:sz w:val="28"/>
          <w:szCs w:val="28"/>
          <w:rtl w:val="true"/>
          <w:lang w:bidi="fa-IR"/>
        </w:rPr>
        <w:t xml:space="preserve">محمّد حسین کوشانپور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 بتصحیحه والتعلیق علیه الفاضلان الحاجّ السیّد حسین الموسوی الکرمانی ، والشَّیخ علی پناه الإشتهاردی ـ دامت توفیقاتهما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نری من المناسب أن نشیر إلی ما احتواه کلّ واحد من مجلّدات الکتاب من شرح لکتاب الفقیه ؛ لکی یحصل لدی القرّاء الکرام تصوّر واضح عن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یشتمل المجلّد الأوّل علی شرح مباحث الطهارة من کتاب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ویشتمل المجلّد الثانی علی شرح مباحث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الثالث یشتمل علی شرح مباحث الزکاة ، والخمس ، والخراج والجزیة ، والجهاد ، وفضل المعروف ، وثواب القرض ، وثواب إنظار المعسر ، وثواب تحلیل المیت ، واستدامة النعمة باحتمال المؤنة ، وفضل السخاء والجود ، وفضل سقی الماء ، وثواب اصطناع المعروف إلی العلویین ، وفضل الصدقة ، والصوم ، والاعتکاف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الرابع یشتمل علی قسم من مباحث الحجّ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استطاعة السبیل إلی الحجّ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والمجلّد الخامس یشتمل علی بقیة مباحث الحجّ ، والزیارات ، ورسالة الحقوق لسیّد العابدین علی بن الحسین علیه السلام ، والفروض علی الجوارح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السادس یشتمل علی مباحث القضایا والأحکام ، والعتق ، والمعایش والمکاسب ، والدَین والقرض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السابع یشتمل علی مباحث التجارة وآدابها ، والبیوع ، والمزارعة والإجارة ، واللقطة والضالة ، والهدیة ، والعاریة ، والودیعة ، والرهن ، والصید والذبائح ، والأکل والشرب ، واللباس ، والمساکن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الثامن یشتمل علی مباحث الأیمان والنذور والکفارات ، والنکاح ، والرضاع ، والأولاد ، والعقیقة ، وتأدیب الولد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والمجلّد التاسع یشتمل مباحث الطلاق ، ومعرفة الکبائر الّتی أوعد اللّه عز و جل علیها</w:t>
      </w:r>
    </w:p>
    <w:p>
      <w:pPr>
        <w:pStyle w:val="BookText"/>
        <w:rPr/>
      </w:pPr>
      <w:r>
        <w:rPr>
          <w:rFonts w:ascii="IRNazanin" w:hAnsi="IRNazanin" w:eastAsia="IRNazanin"/>
          <w:color w:val="111111"/>
          <w:sz w:val="28"/>
          <w:sz w:val="28"/>
          <w:szCs w:val="28"/>
          <w:rtl w:val="true"/>
          <w:lang w:bidi="fa-IR"/>
        </w:rPr>
        <w:t xml:space="preserve">النار ، وذکر جمل من مناهی النَّبی صلی الله علیه و آله ، وما جاء فی النظر إلی النساء ، وما جاء فی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العاشر یشتمل علی مباحث الحدود ، والدیات ، والقصاص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الحادی عشر یشتمل علی مباحث الوصیة ، والوقوف والصدقات ، والفرائض والمواریث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الثانی عشر والثالث عشر یشتملان علی باب النوادر فی مجالس الأخلاق وفضائل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والمجلّد الرابع عشر یشتمل علی شرح مشیخة الفقیه ، وسنبحثه فی العنوان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 شرح المشیخة</w:t>
      </w:r>
    </w:p>
    <w:p>
      <w:pPr>
        <w:pStyle w:val="BookText"/>
        <w:rPr/>
      </w:pPr>
      <w:r>
        <w:rPr>
          <w:rFonts w:ascii="IRNazanin" w:hAnsi="IRNazanin" w:eastAsia="IRNazanin"/>
          <w:color w:val="111111"/>
          <w:sz w:val="28"/>
          <w:sz w:val="28"/>
          <w:szCs w:val="28"/>
          <w:rtl w:val="true"/>
          <w:lang w:bidi="fa-IR"/>
        </w:rPr>
        <w:t xml:space="preserve">قبل البحث حول محتوی شرح المشیخة ـ الّذی ذکره المجلسی الأوّل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الصَّدوق</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ـ نُشیر إلی أنّ الظاهر کونه جزءاً من روضة المتّقین ؛ لأنّ المؤلّف ذکر تأریخ فراغه من التألیف فی آخر شرح المشیخة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المؤلّف قسّم شرح المشیخة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ـ وهو الأصل فی الکتاب ـ مشتمل علی شرح طُرق الصَّدوق إلی أصحاب الاُصول والکتب المعتبرة ، والقسم الثانی ترجمة الرجال الّذین قال المؤلّف فیهم وفی منهجه فی ترتیب هذا القسم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وبقی أن نذکر جماعة ذکرهم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عنهم أن نبین أحوالهم وإن أجملنا فی أحوالهم لکنهم قلیلون ، ونرید ألاّ یحتاج من ینظر إلی هذا الکتاب أن یرجع إلی کتاب آخر ، مع فوائد رجالیة منها تمییز المشترکات وضبط الطبقات وفوائد اُخر ، ونذکرها فی اثنی عشر باباً فی اثنتی عشرة طبقة تذکر فی ضمن الأبواب</w:t>
      </w:r>
      <w:r>
        <w:rPr>
          <w:rFonts w:eastAsia="IRNazanin" w:cs="IRNazanin"/>
          <w:color w:val="111111"/>
          <w:sz w:val="28"/>
          <w:szCs w:val="28"/>
          <w:rtl w:val="true"/>
          <w:lang w:bidi="fa-IR"/>
        </w:rPr>
        <w:t xml:space="preserve">»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ثُمَّ فرض الطبقات من عصر الشَّیخ الطوسی إلی زمان أمیر المؤمنین علیه السلام اثنتی عشرة طبقة ، لکنه رتّب من أراد ذکرهم بحسب الحروف وأدرج فیهم بعض مشایخه مثل المولی عبداللّه التستری والشَّیخ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القسم من شرح المشیخة هو ما ذکرناه سابقاً فی عداد مؤلّفات المجلسی الأوّل بعنوان طبقات الرواة، وذکره صاحب روضات الجنّات بعنوان کتاب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تأریخ التألیف</w:t>
      </w:r>
    </w:p>
    <w:p>
      <w:pPr>
        <w:pStyle w:val="BookText"/>
        <w:rPr/>
      </w:pPr>
      <w:r>
        <w:rPr>
          <w:rFonts w:ascii="IRNazanin" w:hAnsi="IRNazanin" w:eastAsia="IRNazanin"/>
          <w:color w:val="111111"/>
          <w:sz w:val="28"/>
          <w:sz w:val="28"/>
          <w:szCs w:val="28"/>
          <w:rtl w:val="true"/>
          <w:lang w:bidi="fa-IR"/>
        </w:rPr>
        <w:t xml:space="preserve">ذکر المؤلّف فی شرح المشیخة أنّ اُستاذه الشَّیخ البهائی قال له فی النوم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لا تشتغل بشرح أحادیث أهل البیت ـ صلوات اللّه علیهم ـ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شأنکم وأنتم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زماننا واشتغل واترک المباحثات سنة حتّی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فاشتغلت بذلک ولما کانت الطلبة مشغولین بالدرس کنت ادغدغ فی ترک الدروس بالکلیة ، لکن حصل فی التعطیلات التوفیق من المنعم الوهاب وحسبتها کانت سنة علی ما قاله شیخنا البهائی رحمه الله </w:t>
      </w:r>
      <w:r>
        <w:rPr>
          <w:rFonts w:eastAsia="IRNazanin" w:cs="IRNazanin"/>
          <w:color w:val="111111"/>
          <w:sz w:val="28"/>
          <w:szCs w:val="28"/>
          <w:rtl w:val="true"/>
          <w:lang w:bidi="fa-IR"/>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ثُمَّ إنّه ذکر فی آخر کتاب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الجزء الأوّل من کتاب من لا یحضره الفقیه ، وتمَّ شرحه أیضاً علی سبیل الاستعجال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شهر ذی الحجّة الحرام لسنة تسع وخمسین بعد ألف من الهجرة النبویة</w:t>
      </w:r>
      <w:r>
        <w:rPr>
          <w:rFonts w:eastAsia="IRNazanin" w:cs="IRNazanin"/>
          <w:color w:val="111111"/>
          <w:sz w:val="28"/>
          <w:szCs w:val="28"/>
          <w:rtl w:val="true"/>
          <w:lang w:bidi="fa-IR"/>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وذکر فی آخر شرح المشیخة تأریخ فراغه من التألیف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الفراغ فی شهر اللّه الأصب رجب لسنة أربع وستین بعد الألف من الهجرة</w:t>
      </w:r>
      <w:r>
        <w:rPr>
          <w:rFonts w:eastAsia="IRNazanin" w:cs="IRNazanin"/>
          <w:color w:val="111111"/>
          <w:sz w:val="28"/>
          <w:szCs w:val="28"/>
          <w:rtl w:val="true"/>
          <w:lang w:bidi="fa-IR"/>
        </w:rPr>
        <w:t xml:space="preserve">» . </w:t>
      </w:r>
      <w:r>
        <w:rPr>
          <w:rStyle w:val="FootnoteAnchor"/>
          <w:rtl w:val="true"/>
        </w:rPr>
        <w:footnoteReference w:id="16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المحقّق الطهرانی قال فی ذیل العنوانین الروضة البهیة وشرح الأحادیث بأنّ کلاً</w:t>
      </w:r>
      <w:bookmarkStart w:id="54" w:name="pg2516_26412"/>
    </w:p>
    <w:p>
      <w:pPr>
        <w:pStyle w:val="BookText"/>
        <w:rPr/>
      </w:pPr>
      <w:bookmarkEnd w:id="54"/>
      <w:r>
        <w:rPr>
          <w:rFonts w:ascii="IRNazanin" w:hAnsi="IRNazanin" w:eastAsia="IRNazanin"/>
          <w:color w:val="111111"/>
          <w:sz w:val="28"/>
          <w:sz w:val="28"/>
          <w:szCs w:val="28"/>
          <w:rtl w:val="true"/>
          <w:lang w:bidi="fa-IR"/>
        </w:rPr>
        <w:t xml:space="preserve">منهما اسم تأریخی لـ شرح مشیخة الفقیه المطابق لسنة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وقال أیضاً فی ذیل عنوان شرح مشیخة الفقیه بأنّ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تأریخ تبییضه وأمّا فراغه من تألیفه فهو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مطابق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الأحادیث والروضة البهیّة </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55" w:name="__RefHeading___Toc4159378_3804643083"/>
      <w:bookmarkStart w:id="56" w:name="_Toc20"/>
      <w:bookmarkEnd w:id="55"/>
      <w:r>
        <w:rPr>
          <w:rtl w:val="true"/>
        </w:rPr>
        <w:t xml:space="preserve">النسخ الخطّیة ل </w:t>
      </w:r>
      <w:r>
        <w:rPr>
          <w:rtl w:val="true"/>
        </w:rPr>
        <w:t>«</w:t>
      </w:r>
      <w:r>
        <w:rPr>
          <w:rtl w:val="true"/>
        </w:rPr>
        <w:t>روضة المتقین</w:t>
      </w:r>
      <w:r>
        <w:rPr>
          <w:rtl w:val="true"/>
        </w:rPr>
        <w:t>»</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الموجودة للکتاب کثیرة جدّاً بحیث وَصَفَ کتاب فهرست المخطوطات الحدیثیة </w:t>
      </w:r>
      <w:r>
        <w:rPr>
          <w:rStyle w:val="FootnoteAnchor"/>
          <w:rtl w:val="true"/>
        </w:rPr>
        <w:footnoteReference w:id="167"/>
      </w:r>
      <w:r>
        <w:rPr>
          <w:rFonts w:ascii="IRNazanin" w:hAnsi="IRNazanin" w:eastAsia="IRNazanin"/>
          <w:color w:val="111111"/>
          <w:sz w:val="28"/>
          <w:sz w:val="28"/>
          <w:szCs w:val="28"/>
          <w:rtl w:val="true"/>
          <w:lang w:bidi="fa-IR"/>
        </w:rPr>
        <w:t xml:space="preserve">اثنتین وستّین نسخة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نذکر هنا أهمّها ، ولکن من المناسب أن نبدأ بما ذکره محقّقا الکتاب فی بدایة عدد من مجلّدات النسخة المطبوعة من تعریف بالنسخ المعتمدة عندهما ؛ لأنّ بعض تلکم النسخ لم یُسرد فی الکتاب المذکور ، أی فهرست المخطوطات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بدایة المجلّد الأوّل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فقد سمح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اللّه العظمی المرعشی النجفی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 تلک المکتبة نسخاً عدیدة أجزاء من هذا الشرح الشریف جیدة الخطّ ، قلیلة الغلط ، ولاسیّما الجزء الأوّل المشتمل علی شرح الفقیه من أوله إلی آخر کتاب الصلاة ، فإنّها أجود النسخ خطّاً وأحسنها کاغذاً وأثمنها قیمة وأنفعها لاشتمالها علی حواشی وتعالیق من الشارح نفسه وفیها علامات التصحیح والمقابلة، وفی بعض مواضعها کتب فی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المقابلة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لیس فیها تأریخ الکتابة واسم الکاتب والناسخ، ولا ضیر فیه بعد کونها أصح من غیرها ممّا فیها ذلک ، وقد سمح أیضاً لنا نسخة هذا الکتاب سماحة آیة اللّه العظمی الحاجّ السیّد محمّد کاظم الشریعتمداری، وهی فی مجلّدین أحدهما من أول الکتاب إلی آخر کتاب الصلاة ، وثانیهما من أول کتاب الزکاة إلی آخر کتاب الحجّ، وهی أیضاً نسخة جیدة الخطّ ثمینة</w:t>
      </w:r>
    </w:p>
    <w:p>
      <w:pPr>
        <w:pStyle w:val="BookText"/>
        <w:rPr/>
      </w:pPr>
      <w:r>
        <w:rPr>
          <w:rFonts w:ascii="IRNazanin" w:hAnsi="IRNazanin" w:eastAsia="IRNazanin"/>
          <w:color w:val="111111"/>
          <w:sz w:val="28"/>
          <w:sz w:val="28"/>
          <w:szCs w:val="28"/>
          <w:rtl w:val="true"/>
          <w:lang w:bidi="fa-IR"/>
        </w:rPr>
        <w:t>وإن لم تبلغ تلک فی الصحّة والمتانة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وأضافا فی بدایة المجلّد الثالث أنّ سماحة آیة اللّه ملاّ علی الملقّب بالآخوند الهَمَدانی أعطاهما أیضاً نسخة من الکتاب ، فقالا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النسخة أصح ما بأیدینا من النسخ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جودة الخطّ ، وقراءتها علی نسخة المؤلّف وتصحیحها غایة التصحیح إلاّ ما زاغ عنه البصر ، وکونها أقدم النسخ حیث قرئت علی العلاّمة المحقّق المجلسی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وقالا فیه أیضاً بأنّ آیة اللّه الحاجّ السیّد علی الیزدی الملقّب بالفانی أعطاهما نسخة من الکتاب ، فقالا فی وصفه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أیضاً نسخة قیمة ثمینة ، جیدة الخطّ ، قلیلة الغلط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أضافا فی بدایة المجلّد السادس أنّ الشَّیخ محمّد حسین البَهاری نجل المرحوم آیة اللّه الحاجّ محمّد باقر البهاری رحمه الله سمح لهما بنسخة من الکتاب مشتملة علی کتاب الزکاة إلی آخر الحجّ من مکتبة والده المعظم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وقالا فی بدایة المجلّد الرابع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منّ اللّه علینا بالعثور علی نسخ اُخری فمنها نسخة شریفة من مکتبة المدرسة المبارکة الفیضیة فی بلدة قم ، وهی نسخة مصححة ثمینة جیدة الخطّ ، قلیلة الغلط والاشتباه جدّاً ، ومنها نسخة شریفة من مکتبة المرجع الدینی سماحة آیة اللّه العظمی السیّد شهاب الدین الحسینی المرعشی رحمه الله ، وهی أیضاً نسخة جیدة ثمینة علیها علائم القراءة والتصحیح ، وهاتان النسختان مشتملة علی المشیخة فقط ، ومنها نسخة اُخری من مکتبته أیضاً من أول باب النوادر إلی آخر المشیخة ، ومنها نسخة من مکتبة الفاضل المتتبع حجّة الإسلام الحاجّ السیّد مهدی اللاجوردی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طرفة وتحفة من ذلک أنّ إحدی نسختی آیة اللّه العظمی المرعشی رحمه الله مشتملة علی إجازة للشارح قدس سره لبعض تلامذته بخطّه الشریف، وذلک فضل اللّه یؤتیه من یشاء من عباده</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النسخ الّتی وعدنا التعریف بها فهی کما یلی ، ـ ولابدَّ أن یعلم قبل ذلک أنّ</w:t>
      </w:r>
    </w:p>
    <w:p>
      <w:pPr>
        <w:pStyle w:val="BookText"/>
        <w:rPr/>
      </w:pPr>
      <w:r>
        <w:rPr>
          <w:rFonts w:ascii="IRNazanin" w:hAnsi="IRNazanin" w:eastAsia="IRNazanin"/>
          <w:color w:val="111111"/>
          <w:sz w:val="28"/>
          <w:sz w:val="28"/>
          <w:szCs w:val="28"/>
          <w:rtl w:val="true"/>
          <w:lang w:bidi="fa-IR"/>
        </w:rPr>
        <w:t xml:space="preserve">الکتاب قد اُلّف حسب تقسیم المؤلّف فی ستة أجزاء 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وزیری فی بلدة یزد بالرقم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مشتملة علی الجزء الأوّل من الکتاب ، ولیس فیها اسم الکاتب ، وکتبت بتأریخ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شاه چراغ فی بلدة شیراز بالرقم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کتبها محمّد زمان بن حاجی محمّد علی الأبهری فی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المکتبة الرضویة فی بلدة مشهد بالرقم </w:t>
      </w:r>
      <w:r>
        <w:rPr>
          <w:rFonts w:eastAsia="IRNazanin" w:cs="IRNazanin"/>
          <w:color w:val="111111"/>
          <w:sz w:val="28"/>
          <w:szCs w:val="28"/>
          <w:lang w:bidi="fa-IR"/>
        </w:rPr>
        <w:t>9319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أول کتاب الزکاة إلی باب الفروض علی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الجزء الثانی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مکتوبة فی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 ید محمّد مقیم بن محمّد باقر الإصفهانی فی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مدرسة غرب فی بلدة همدان بالرقم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مشتملة علی الجزء الأوّل والثانی ، کتبها محمّد علی بن محمّد مؤمن الأبهری الإصفهانی فی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اُخری فی مدرسة غرب بالرقم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مشتملة علی الجزء الثالث والرابع والخامس والسادس ـ الّذی هو شرح المشیخة ـ کتبها محمّد علی بن محمّد مؤمن الأبهری الإصفهانی فی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المکتبة المرعشیة فی بلدة قم بالرقم </w:t>
      </w:r>
      <w:r>
        <w:rPr>
          <w:rFonts w:eastAsia="IRNazanin" w:cs="IRNazanin"/>
          <w:color w:val="111111"/>
          <w:sz w:val="28"/>
          <w:szCs w:val="28"/>
          <w:lang w:bidi="fa-IR"/>
        </w:rPr>
        <w:t>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باب مناهی النَّبی صلی الله علیه و آله إلی آخر الکتاب کتبها محمّد باقر بن حسین علی القهپائی الإصفهانی فی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روقة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نظرة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منّا نقل کلام العلاّمة الطهرانی فی وصف بعض معالم هذا الکتاب، وهنا نفصّل ذلک حسب وسع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المؤلّف فی الشرح</w:t>
      </w:r>
    </w:p>
    <w:p>
      <w:pPr>
        <w:pStyle w:val="BookText"/>
        <w:rPr/>
      </w:pPr>
      <w:r>
        <w:rPr>
          <w:rFonts w:ascii="IRNazanin" w:hAnsi="IRNazanin" w:eastAsia="IRNazanin"/>
          <w:color w:val="111111"/>
          <w:sz w:val="28"/>
          <w:sz w:val="28"/>
          <w:szCs w:val="28"/>
          <w:rtl w:val="true"/>
          <w:lang w:bidi="fa-IR"/>
        </w:rPr>
        <w:t xml:space="preserve">کان منهج المؤلّف فی هذا الکتاب کمنهجه فی روضة المتّقین ، إلاّ أنّه قلَّل فی هذا الکتاب شرح الدقائق السندیة والرجالیة لاسیّما أنّ الکتاب غیر تام وغیر مشتمل علی شرح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بعض الفوائد الرجالیة فی المقدّمة، وقد أدرجناها فی هذه الوجیزة الّتی بین 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طبعة الکتاب وما یحتویه کلّ واحد من المجلّدات</w:t>
      </w:r>
    </w:p>
    <w:p>
      <w:pPr>
        <w:pStyle w:val="BookText"/>
        <w:rPr/>
      </w:pPr>
      <w:r>
        <w:rPr>
          <w:rFonts w:ascii="IRNazanin" w:hAnsi="IRNazanin" w:eastAsia="IRNazanin"/>
          <w:color w:val="111111"/>
          <w:sz w:val="28"/>
          <w:sz w:val="28"/>
          <w:szCs w:val="28"/>
          <w:rtl w:val="true"/>
          <w:lang w:bidi="fa-IR"/>
        </w:rPr>
        <w:t xml:space="preserve">لقد مرّ کلام العلاّمة الطهرانی ـ عند استعراض عدد مؤلّفات المجلسی الأوّل ـ أنّ حجم الکتاب ـ حسب النسخ الّتی رآها ـ یشتمل علی أول الطهارة إلی آخر الکبائر ، وبها یتم ثلاثة أرباع کتاب الفقیه وبقی الربع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هذا الکتاب مرّتین ؛ مرّة فی مجلّدین من القطع الکبیر ، </w:t>
      </w:r>
      <w:r>
        <w:rPr>
          <w:rStyle w:val="FootnoteAnchor"/>
          <w:rtl w:val="true"/>
        </w:rPr>
        <w:footnoteReference w:id="174"/>
      </w:r>
      <w:r>
        <w:rPr>
          <w:rFonts w:ascii="IRNazanin" w:hAnsi="IRNazanin" w:eastAsia="IRNazanin"/>
          <w:color w:val="111111"/>
          <w:sz w:val="28"/>
          <w:sz w:val="28"/>
          <w:szCs w:val="28"/>
          <w:rtl w:val="true"/>
          <w:lang w:bidi="fa-IR"/>
        </w:rPr>
        <w:t xml:space="preserve">ومرّة اُخری فی ثمانیة مجلّدات ، ویبلغ کلّ منهما ما یقارب نصف الفقیه ؛ أی من أول الطهارة إلی آخر أبواب الحقوق والفروض علی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والناشر للطبعة الأخیرة هو دار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فی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وقام بتصحیحه الحاجّ الشَّیخ محمّد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 نشیر إلی ما احتواه کلّ واحد من مجلّدات هذا الکتاب من شرح کتاب من لا یحضره الفقیه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الأوّل یشتمل علی مقدّمة فی بعض الفوائد الرجالیة وأهمیة العلم وفضله ومعرفة العلماء ، وشرح قسم من مباحث الطهارة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غسل یوم الجمعة ودخول</w:t>
      </w:r>
      <w:bookmarkStart w:id="57" w:name="pg2516_26416"/>
    </w:p>
    <w:p>
      <w:pPr>
        <w:pStyle w:val="BookText"/>
        <w:rPr/>
      </w:pPr>
      <w:bookmarkEnd w:id="57"/>
      <w:r>
        <w:rPr>
          <w:rFonts w:ascii="IRNazanin" w:hAnsi="IRNazanin" w:eastAsia="IRNazanin"/>
          <w:color w:val="111111"/>
          <w:sz w:val="28"/>
          <w:sz w:val="28"/>
          <w:szCs w:val="28"/>
          <w:rtl w:val="true"/>
          <w:lang w:bidi="fa-IR"/>
        </w:rPr>
        <w:t>الحمّام وآدابه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الثانی یشتمل علی بقیة مباحث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الثالث یشتمل علی قسم من مباحث الصلاة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وصف الصلاة من فاتحتها إلی خاتمتها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المجلّد الرابع یشتمل علی قسم آخر من مباحث الصلاة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الّتی تُصلّی فی کل 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المجلّد الخامس یشتمل علی بقیة مباحث الصلاة ، والزکاة ، والخمس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السادس یشتمل علی مباحث حق الحصاد والجداد ، والحق المعلوم والماعون ، والخراج والجزیة ، وفضل اصطناع المعروف ، وثواب القرض ، وثواب إنظار المعسر ، وثواب تحلیل المیت ، واستدامة النعمة باحتمال المؤنة ، وفضل السخاء والجود ، وفضل سقی الماء ، وثواب اصطناع المعروف إلی العلویین ، وفضل الصدقة ، وثواب صلة الإمام ، والصوم ، والاعتکاف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السابع یشتمل علی قسم من مباحث الحجّ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السهو فی الطواف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المجلّد الثامن یشتمل علی بقیة مباحث الحجّ ، والزیارات ، والحقوق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الحقوق لعلی بن الحسین علیه السلام </w:t>
      </w:r>
      <w:r>
        <w:rPr>
          <w:rFonts w:eastAsia="IRNazanin" w:cs="IRNazanin"/>
          <w:color w:val="111111"/>
          <w:sz w:val="28"/>
          <w:szCs w:val="28"/>
          <w:rtl w:val="true"/>
          <w:lang w:bidi="fa-IR"/>
        </w:rPr>
        <w:t>) .</w:t>
      </w:r>
    </w:p>
    <w:p>
      <w:pPr>
        <w:pStyle w:val="Heading3"/>
        <w:numPr>
          <w:ilvl w:val="2"/>
          <w:numId w:val="1"/>
        </w:numPr>
        <w:rPr/>
      </w:pPr>
      <w:bookmarkStart w:id="58" w:name="__RefHeading___Toc4159380_3804643083"/>
      <w:bookmarkStart w:id="59" w:name="_Toc21"/>
      <w:bookmarkEnd w:id="58"/>
      <w:r>
        <w:rPr>
          <w:rtl w:val="true"/>
        </w:rPr>
        <w:t>تأریخ تألیفه</w:t>
      </w:r>
      <w:bookmarkEnd w:id="59"/>
    </w:p>
    <w:p>
      <w:pPr>
        <w:pStyle w:val="BookText"/>
        <w:rPr/>
      </w:pPr>
      <w:r>
        <w:rPr>
          <w:rFonts w:ascii="IRNazanin" w:hAnsi="IRNazanin" w:eastAsia="IRNazanin"/>
          <w:color w:val="111111"/>
          <w:sz w:val="28"/>
          <w:sz w:val="28"/>
          <w:szCs w:val="28"/>
          <w:rtl w:val="true"/>
          <w:lang w:bidi="fa-IR"/>
        </w:rPr>
        <w:t xml:space="preserve">من ینظر فی الطبعة الأخیرة من الکتاب یجد فی آخر المجلّد الثانی 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شرح کتاب الطهارة علی ید أحوج المربوبین إلی رحمة ربّه الغنی ، محمّد تقی بن مجلسی الإصفهانی النطنزی العاملی فی العشر الآخر من شهر محرم الحرام بسنة خمس وستین بعد الألف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وتری فی آخر المجلّد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آخر باب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التأریخ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أواخر شهر محرم الحرام سنة ستّة وستین بعد الألف الهجریة</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المجلّد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آخر باب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به یتم المطبوع تجد هذا</w:t>
      </w:r>
      <w:bookmarkStart w:id="60" w:name="pg2516_26417"/>
    </w:p>
    <w:p>
      <w:pPr>
        <w:pStyle w:val="BookText"/>
        <w:rPr/>
      </w:pPr>
      <w:bookmarkEnd w:id="60"/>
      <w:r>
        <w:rPr>
          <w:rFonts w:ascii="IRNazanin" w:hAnsi="IRNazanin" w:eastAsia="IRNazanin"/>
          <w:color w:val="111111"/>
          <w:sz w:val="28"/>
          <w:sz w:val="28"/>
          <w:szCs w:val="28"/>
          <w:rtl w:val="true"/>
          <w:lang w:bidi="fa-IR"/>
        </w:rPr>
        <w:t xml:space="preserve">التأریخ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شهر شوال سنة ستّة وستین بعد الألف من الهجرة المقدّسة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 وأمّا تأریخ فراغه من التألیف فلم نعلمه ؛ لأنّه یتوقّف علی العثور علی نسخ الربع الثالث من الکتاب أو علی الربع الآخر من الکتاب، إن کان قد کتبه المؤلّف ، وستری عند التعریف بالنسخ الخطّیة للکتاب أنّ الظاهر من بعض الفهارس وجود نسخ لبقیة الکتاب ، وأنّ الشارح شرح تمام کتاب من لا یحضره الفقیه ، لکن مع الأسف هذه النسخ قلیلة ولیس فیها تأریخ فراغ المؤلّف من التألیف ، وتقدّم أیضاً إخبار العلاّمة الطهرانی بأنّ المؤلّف کتب الربع الثالث من کتاب من لا یحضره الفقیه من کتاب القضاء إلی آخر الکبائر ، وتوجد نسخة منه فی موقوفة الشَّیخ عبد الکریم العطّار فی مکتبة التستریة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تلک النسخة أیضاً خالیة من تأریخ الفراغ ؛ لأنّ دأب الطهرانی ذکر تأریخ فراغ المؤلّفین من تألیفاتهم </w:t>
      </w:r>
      <w:r>
        <w:rPr>
          <w:rFonts w:eastAsia="IRNazanin" w:cs="IRNazanin"/>
          <w:color w:val="111111"/>
          <w:sz w:val="28"/>
          <w:szCs w:val="28"/>
          <w:rtl w:val="true"/>
          <w:lang w:bidi="fa-IR"/>
        </w:rPr>
        <w:t>.</w:t>
      </w:r>
    </w:p>
    <w:p>
      <w:pPr>
        <w:pStyle w:val="Heading3"/>
        <w:numPr>
          <w:ilvl w:val="2"/>
          <w:numId w:val="1"/>
        </w:numPr>
        <w:rPr/>
      </w:pPr>
      <w:bookmarkStart w:id="61" w:name="__RefHeading___Toc4159382_3804643083"/>
      <w:bookmarkStart w:id="62" w:name="_Toc22"/>
      <w:bookmarkEnd w:id="61"/>
      <w:r>
        <w:rPr>
          <w:rtl w:val="true"/>
        </w:rPr>
        <w:t xml:space="preserve">النسخ الخطّیة لـ </w:t>
      </w:r>
      <w:r>
        <w:rPr>
          <w:rtl w:val="true"/>
        </w:rPr>
        <w:t xml:space="preserve">« </w:t>
      </w:r>
      <w:r>
        <w:rPr>
          <w:rtl w:val="true"/>
        </w:rPr>
        <w:t xml:space="preserve">لوامع صاحبقرانی </w:t>
      </w:r>
      <w:r>
        <w:rPr>
          <w:rtl w:val="true"/>
        </w:rPr>
        <w:t>»</w:t>
      </w:r>
      <w:bookmarkEnd w:id="62"/>
    </w:p>
    <w:p>
      <w:pPr>
        <w:pStyle w:val="BookText"/>
        <w:rPr/>
      </w:pPr>
      <w:r>
        <w:rPr>
          <w:rFonts w:ascii="IRNazanin" w:hAnsi="IRNazanin" w:eastAsia="IRNazanin"/>
          <w:color w:val="111111"/>
          <w:sz w:val="28"/>
          <w:sz w:val="28"/>
          <w:szCs w:val="28"/>
          <w:rtl w:val="true"/>
          <w:lang w:bidi="fa-IR"/>
        </w:rPr>
        <w:t xml:space="preserve">النسخ الموجودة لهذا الکتاب کثیر أیضاً حتّی بالمقارنة مع روضة المتّقین ؛ فقد عَرّفَ فی کتاب فهرست المخطوطات الحدیثیة مئة وثمان نسخٍ منه ، ونحن نذکر هنا أهمها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وزیری فی بلدة یزد بالرقم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مشتملة علی کتاب الطهارة ، مکتوبة فی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لیس فیها اسم الکتاب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جامعة طهران بالرقم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مشتملة علی أول أبواب الصلاة إلی آخر المجلّد الأوّل ، والکاتب هو المؤلّف نفسه ، تأریخ الکتابة جُمادی الاُولی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عدد الأوراق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مجلس الشوری بالرقم </w:t>
      </w:r>
      <w:r>
        <w:rPr>
          <w:rFonts w:eastAsia="IRNazanin" w:cs="IRNazanin"/>
          <w:color w:val="111111"/>
          <w:sz w:val="28"/>
          <w:szCs w:val="28"/>
          <w:lang w:bidi="fa-IR"/>
        </w:rPr>
        <w:t>14226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أواسط کتاب الحجّ إلی آخر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الفروض علی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والکاتب هو المؤلّف نفسه ، تأریخ</w:t>
      </w:r>
    </w:p>
    <w:p>
      <w:pPr>
        <w:pStyle w:val="BookText"/>
        <w:rPr/>
      </w:pP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عدد الأوراق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مجلس الشوری بالرقم </w:t>
      </w:r>
      <w:r>
        <w:rPr>
          <w:rFonts w:eastAsia="IRNazanin" w:cs="IRNazanin"/>
          <w:color w:val="111111"/>
          <w:sz w:val="28"/>
          <w:szCs w:val="28"/>
          <w:lang w:bidi="fa-IR"/>
        </w:rPr>
        <w:t>5994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فیها اسم الکاتب ، مکتوبة فی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عدد الأوراق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وزیری فی بلدة یزد بالرقم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کتبها مریجان بن قباد فی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ونستعلیق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وزیری فی بلدة یزد بالرقم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فیها اسم الکاتب ، مکتوبة فی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عدد الأوراق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مکتبة المدرسة الحجتیة بالرقم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کتاب الصوم إلی آخر الکتاب ، لیس فیها اسم الکاتب ، مکتوبة فی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المکتبة العامة فی إصفهان بالرقم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مشتملة علی باب الحقوق إلی آخر الکتاب ، والکاتب عزیز اللّه بن المولی محمّد تقی المجلسی ، تأریخ الکتابة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82"/>
      </w:r>
      <w:r>
        <w:rPr>
          <w:rFonts w:ascii="IRNazanin" w:hAnsi="IRNazanin" w:eastAsia="IRNazanin"/>
          <w:color w:val="111111"/>
          <w:sz w:val="28"/>
          <w:sz w:val="28"/>
          <w:szCs w:val="28"/>
          <w:rtl w:val="true"/>
          <w:lang w:bidi="fa-IR"/>
        </w:rPr>
        <w:t xml:space="preserve">، عدد الأوراق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فی مرکز إحیاء التراث الإسلامی فی بلدة قم بالرقم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مشتملة علی أبواب القضایا والأحکام إلی باب ما نهی عنه النَّبی صلی الله علیه و آله والنوادر ، لیس فیها اسم الکاتب ، مکتوبة فی 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عدد الأوراق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Style w:val="FootnoteAnchor"/>
          <w:rtl w:val="true"/>
        </w:rPr>
        <w:footnoteReference w:id="184"/>
      </w:r>
      <w:bookmarkStart w:id="63" w:name="pg2516_26419"/>
    </w:p>
    <w:p>
      <w:pPr>
        <w:pStyle w:val="Heading2"/>
        <w:numPr>
          <w:ilvl w:val="1"/>
          <w:numId w:val="1"/>
        </w:numPr>
        <w:rPr/>
      </w:pPr>
      <w:bookmarkStart w:id="64" w:name="__RefHeading___Toc4159384_3804643083"/>
      <w:bookmarkStart w:id="65" w:name="_Toc23"/>
      <w:bookmarkEnd w:id="63"/>
      <w:bookmarkEnd w:id="64"/>
      <w:r>
        <w:rPr>
          <w:rtl w:val="true"/>
        </w:rPr>
        <w:t xml:space="preserve">الباب الأوّل </w:t>
      </w:r>
      <w:r>
        <w:rPr>
          <w:rtl w:val="true"/>
        </w:rPr>
        <w:t xml:space="preserve">: </w:t>
      </w:r>
      <w:r>
        <w:rPr>
          <w:rtl w:val="true"/>
        </w:rPr>
        <w:t>تاریخ الحدیث والرجال عند المُلاّ محمّدتقی المجلسی</w:t>
      </w:r>
      <w:bookmarkEnd w:id="65"/>
    </w:p>
    <w:p>
      <w:pPr>
        <w:pStyle w:val="Heading3"/>
        <w:numPr>
          <w:ilvl w:val="2"/>
          <w:numId w:val="1"/>
        </w:numPr>
        <w:rPr/>
      </w:pPr>
      <w:bookmarkStart w:id="66" w:name="__RefHeading___Toc4159386_3804643083"/>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الأولیة لحدیث الشیعة</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القُدَماء</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الحدیث وکتبهم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الجرح والتعدیل ومناهجهم</w:t>
      </w:r>
      <w:bookmarkStart w:id="68" w:name="pg2516_26421"/>
    </w:p>
    <w:p>
      <w:pPr>
        <w:pStyle w:val="Heading3"/>
        <w:numPr>
          <w:ilvl w:val="2"/>
          <w:numId w:val="1"/>
        </w:numPr>
        <w:rPr/>
      </w:pPr>
      <w:bookmarkStart w:id="69" w:name="__RefHeading___Toc4159388_3804643083"/>
      <w:bookmarkStart w:id="70" w:name="_Toc25"/>
      <w:bookmarkEnd w:id="68"/>
      <w:bookmarkEnd w:id="69"/>
      <w:r>
        <w:rPr>
          <w:rtl w:val="true"/>
        </w:rPr>
        <w:t xml:space="preserve">الفصل الأوّل </w:t>
      </w:r>
      <w:r>
        <w:rPr>
          <w:rtl w:val="true"/>
        </w:rPr>
        <w:t xml:space="preserve">: </w:t>
      </w:r>
      <w:r>
        <w:rPr>
          <w:rtl w:val="true"/>
        </w:rPr>
        <w:t>المصادر الأولیة لحدیث الشیعة</w:t>
      </w:r>
      <w:bookmarkEnd w:id="70"/>
    </w:p>
    <w:p>
      <w:pPr>
        <w:pStyle w:val="Heading4"/>
        <w:numPr>
          <w:ilvl w:val="3"/>
          <w:numId w:val="1"/>
        </w:numPr>
        <w:rPr/>
      </w:pPr>
      <w:bookmarkStart w:id="71" w:name="__RefHeading___Toc4159390_3804643083"/>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الروایات الّتی وصلت إلینا من طریق القُدَماء کانت مدوّنة فی الکتب الّتی ألّفها أصحاب الأئمّة علیهم السلام ولم تصل إلیهم عن طریق المشافهة والمخاطبة ـ إلاّ ما ندر ـ فکانت هذه الکتب هی المصادر الّتی اعتمدها القُدَماء فی نقل الروایات ، وهی تُعَدّ المصادر الأولیة لحدیث الشیعة ، ولکن مع الأسف لم یبق ولم یصل إلی المتأخّرین شیء من هذه المصادر ، وإنّما ضاعت تدریجیاً کلّها أو أکثرها بالحوادث الّتی مرّت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بُدّ للمحدّث والفقیه من معرفة مدی اعتبار تلکم المصادر وتاریخها بقدر ما یمکن ؛ لأنّ الأساس فی عِلمی الحدیث والفقه غربلة الأحادیث والآثار الصحیحة وتمییزها عن الروایات المختلقة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یتوقّف علی معرفة مصادر الکتب الّتی وصلت إلینا سیّما الکتب الأربعة الّتی أصبح مدار الفقه علیها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 الشارح فی ذلک بمقدار فیه الکفایة للباحث </w:t>
      </w:r>
      <w:r>
        <w:rPr>
          <w:rFonts w:eastAsia="IRNazanin" w:cs="IRNazanin"/>
          <w:color w:val="111111"/>
          <w:sz w:val="28"/>
          <w:szCs w:val="28"/>
          <w:rtl w:val="true"/>
          <w:lang w:bidi="fa-IR"/>
        </w:rPr>
        <w:t>.</w:t>
      </w:r>
    </w:p>
    <w:p>
      <w:pPr>
        <w:pStyle w:val="Heading4"/>
        <w:numPr>
          <w:ilvl w:val="3"/>
          <w:numId w:val="1"/>
        </w:numPr>
        <w:rPr/>
      </w:pPr>
      <w:bookmarkStart w:id="73" w:name="__RefHeading___Toc4159392_3804643083"/>
      <w:bookmarkStart w:id="74" w:name="_Toc27"/>
      <w:bookmarkEnd w:id="73"/>
      <w:r>
        <w:rPr>
          <w:rtl w:val="true"/>
        </w:rPr>
        <w:t>قصة الاُصول</w:t>
      </w:r>
      <w:bookmarkEnd w:id="74"/>
    </w:p>
    <w:p>
      <w:pPr>
        <w:pStyle w:val="BookText"/>
        <w:rPr/>
      </w:pPr>
      <w:r>
        <w:rPr>
          <w:rFonts w:ascii="IRNazanin" w:hAnsi="IRNazanin" w:eastAsia="IRNazanin"/>
          <w:color w:val="111111"/>
          <w:sz w:val="28"/>
          <w:sz w:val="28"/>
          <w:szCs w:val="28"/>
          <w:rtl w:val="true"/>
          <w:lang w:bidi="fa-IR"/>
        </w:rPr>
        <w:t xml:space="preserve">قبل نقل عبارات الشارح فی ذلک وبیان رأیه لا بُدّ لنا من ذکر مقدّمة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شهر آشوب فی معالم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المُفید أبو عبداللّه محمّد بن محمّد بن النعمان البغدادی رضی الله عنه وقدّس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الإمامیة من عهد أمیر المؤمنین</w:t>
      </w:r>
    </w:p>
    <w:p>
      <w:pPr>
        <w:pStyle w:val="BookText"/>
        <w:rPr/>
      </w:pPr>
      <w:r>
        <w:rPr>
          <w:rFonts w:ascii="IRNazanin" w:hAnsi="IRNazanin" w:eastAsia="IRNazanin"/>
          <w:color w:val="111111"/>
          <w:sz w:val="28"/>
          <w:sz w:val="28"/>
          <w:szCs w:val="28"/>
          <w:rtl w:val="true"/>
          <w:lang w:bidi="fa-IR"/>
        </w:rPr>
        <w:t>علی علیه السلام إلی عهد أبی محمّد الحسن العسکری ـ صلوات اللّه علیه ـ أربعمئة کتاب تسمّی الاُصول</w:t>
      </w:r>
      <w:r>
        <w:rPr>
          <w:rFonts w:eastAsia="IRNazanin" w:cs="IRNazanin"/>
          <w:color w:val="111111"/>
          <w:sz w:val="28"/>
          <w:szCs w:val="28"/>
          <w:rtl w:val="true"/>
          <w:lang w:bidi="fa-IR"/>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فکما تری حدد الشَّیخ المُفید زمان تألیف الاُصول من عهد أمیر المؤمنین علیه السلام إلی عهد الإمام العسکری علیه السلام ، ولکن صرّح کثیر من العُلَماء بأنَّ الاُصول جُمعت فی عهد مولانا الصادق علیه السلام ، ومنهم أمین الإسلام الطَّبْرِسی،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الإمام الصادق علیه السلام من مشهوری أهل العلم أربعة آلاف ، وصنّف من جواباته فی المسائل أربعمئة کتاب تسمّی الاُصول رواها أصحابه وأصحاب ابنه موسی الکاظم علیه السلام </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ومنهم أیضاً المحقّق الحلّی فی المعتبر </w:t>
      </w:r>
      <w:r>
        <w:rPr>
          <w:rStyle w:val="FootnoteAnchor"/>
          <w:rtl w:val="true"/>
        </w:rPr>
        <w:footnoteReference w:id="187"/>
      </w:r>
      <w:r>
        <w:rPr>
          <w:rFonts w:ascii="IRNazanin" w:hAnsi="IRNazanin" w:eastAsia="IRNazanin"/>
          <w:color w:val="111111"/>
          <w:sz w:val="28"/>
          <w:sz w:val="28"/>
          <w:szCs w:val="28"/>
          <w:rtl w:val="true"/>
          <w:lang w:bidi="fa-IR"/>
        </w:rPr>
        <w:t xml:space="preserve">والشهید الأوّل فی الذکری </w:t>
      </w:r>
      <w:r>
        <w:rPr>
          <w:rStyle w:val="FootnoteAnchor"/>
          <w:rtl w:val="true"/>
        </w:rPr>
        <w:footnoteReference w:id="188"/>
      </w:r>
      <w:r>
        <w:rPr>
          <w:rFonts w:ascii="IRNazanin" w:hAnsi="IRNazanin" w:eastAsia="IRNazanin"/>
          <w:color w:val="111111"/>
          <w:sz w:val="28"/>
          <w:sz w:val="28"/>
          <w:szCs w:val="28"/>
          <w:rtl w:val="true"/>
          <w:lang w:bidi="fa-IR"/>
        </w:rPr>
        <w:t xml:space="preserve">اللذان قالا بمثل ما تقدّم عن أمین الإسلام الطبرسی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مصنّفات أصحاب الأئمّة علیهم السلام کانت أزید من الأربعمئة فلابُدّ من وجه لتسمیة بعضها اُصولاً دون البعض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اختلفت آراء علمائنا فی الفرق بین الأصل والکتاب ، فقالوا فی ذلک فروقاً مختلفة </w:t>
      </w:r>
      <w:r>
        <w:rPr>
          <w:rStyle w:val="FootnoteAnchor"/>
          <w:rtl w:val="true"/>
        </w:rPr>
        <w:footnoteReference w:id="189"/>
      </w:r>
      <w:r>
        <w:rPr>
          <w:rFonts w:ascii="IRNazanin" w:hAnsi="IRNazanin" w:eastAsia="IRNazanin"/>
          <w:color w:val="111111"/>
          <w:sz w:val="28"/>
          <w:sz w:val="28"/>
          <w:szCs w:val="28"/>
          <w:rtl w:val="true"/>
          <w:lang w:bidi="fa-IR"/>
        </w:rPr>
        <w:t xml:space="preserve">لا یمکن التوفیق بینها ولا یهمنا نقل تلک الاختلافات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ونکتفی بذکر ما قاله الشارح حول زمان تألیف الاُصول ومعنی الأصل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أوائل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أصحاب الإمام أبی عبداللّه جعفر بن محمّد الصادق علیه السلام المصنّفین للکتب کانوا أربعة آلاف رجل ، وصنّف أحمد بن محمّد بن سعید بن عقدة کتاباً فی أحوالهم ونقل من کلّ واحد حدیثاً من کتابه ، وکان یقول أحفظ مئة وعشرین ألف حدیث بأسانیدها واُذاکر بثلاثمئة ألف</w:t>
      </w:r>
    </w:p>
    <w:p>
      <w:pPr>
        <w:pStyle w:val="BookText"/>
        <w:rPr/>
      </w:pPr>
      <w:r>
        <w:rPr>
          <w:rFonts w:ascii="IRNazanin" w:hAnsi="IRNazanin" w:eastAsia="IRNazanin"/>
          <w:color w:val="111111"/>
          <w:sz w:val="28"/>
          <w:sz w:val="28"/>
          <w:szCs w:val="28"/>
          <w:rtl w:val="true"/>
          <w:lang w:bidi="fa-IR"/>
        </w:rPr>
        <w:t xml:space="preserve">حدیث ، واختاروا من جملتها وجملة ما نقله أصحاب بقیة أئمتنا ـ صلوات اللّه علیهم ـ أربعمئة کتاب وسمّوها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الاُصول عند أصحابنا ویعملون علیها مع تقریر الأئمّة الّذین فی أزمنتهم ـ سلام اللّه علیهم ـ إیاهم علی العمل بها</w:t>
      </w:r>
      <w:r>
        <w:rPr>
          <w:rFonts w:eastAsia="IRNazanin" w:cs="IRNazanin"/>
          <w:color w:val="111111"/>
          <w:sz w:val="28"/>
          <w:szCs w:val="28"/>
          <w:rtl w:val="true"/>
          <w:lang w:bidi="fa-IR"/>
        </w:rPr>
        <w:t xml:space="preserve">»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ویقول فی مقدّمة لوامع صاحبقرانی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المعنی ظاهر وهو أنّ مدار القُدَماء کان علی الکتب الّتی رواها ثقات أصحاب الأئمّة المعصومین علیهم السلام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أنّهم کانوا یدوّنون فی کتبهم ما کانوا یسمعونه فی کلّ یوم ، وهذه الکتب کانت مدوّنة عند العُلَماء ، ولکِنّ أخبارها کانت شائعة ، رتّب جماعة آخرون من الفضلاء من أصحاب الأئمّة ـ صلوات اللّه علیهم ـ هذه الکتب،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 وصفوان بن یَحیی ، وحمّاد بن عیسی ، والبزنطی ، وصنّفوا کتباً علی ترتیب الکتب الفقهیة ونقلوا فیها أخبار رواة، مثل زرارة ، ومحمّد بن مسلم ، وبرید ، والفضیل ، ولیث ، وأمثالهم ، ونقلوها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معاصروهم یلاحظون الاُصول مع الفروع ، ونظروا الکتاب الّذی لا خطأ فیه أصلاً ورواته فی غایة العدالة والفضیلة ، بل سمعوا المدیح لهم ولکتبهم من الأئمّة ، فاختاروا من بین الآلاف منها أربعمئة کتاب وجعلوها ذات اعتبار وحصل الإجماع علی العمل بهذه الکتب</w:t>
      </w:r>
      <w:r>
        <w:rPr>
          <w:rFonts w:eastAsia="IRNazanin" w:cs="IRNazanin"/>
          <w:color w:val="111111"/>
          <w:sz w:val="28"/>
          <w:szCs w:val="28"/>
          <w:rtl w:val="true"/>
          <w:lang w:bidi="fa-IR"/>
        </w:rPr>
        <w:t xml:space="preserve">» . </w:t>
      </w:r>
      <w:r>
        <w:rPr>
          <w:rStyle w:val="FootnoteAnchor"/>
          <w:rtl w:val="true"/>
        </w:rPr>
        <w:footnoteReference w:id="1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فی ابتداء شرح المشیخة عند الجواب من أنّه کیف یمکن إثبات علم الصَدوقین بصحَّة الأخبار الّتی نقلاها عن جماعة من الضُعَفاء؟ ـ بعد الإشارة إلی کثرة رواة الحدیث فی عصر الأئمّة علیهم السلام وکثرة تألیفاتهم ـ ما لفظه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مع أنّ الجماعة الّذین ضعّفهم المتأخّرون یمکن أن یکون کلّهم ثقات عندهم ، علی أنّ الأصحاب اختاروا</w:t>
      </w:r>
      <w:bookmarkStart w:id="75" w:name="pg2516_26424"/>
    </w:p>
    <w:p>
      <w:pPr>
        <w:pStyle w:val="BookText"/>
        <w:rPr/>
      </w:pPr>
      <w:bookmarkEnd w:id="75"/>
      <w:r>
        <w:rPr>
          <w:rFonts w:ascii="IRNazanin" w:hAnsi="IRNazanin" w:eastAsia="IRNazanin"/>
          <w:color w:val="111111"/>
          <w:sz w:val="28"/>
          <w:sz w:val="28"/>
          <w:szCs w:val="28"/>
          <w:rtl w:val="true"/>
          <w:lang w:bidi="fa-IR"/>
        </w:rPr>
        <w:t>من هذه الکتب أربعمئة کتاب وسمّوه بالاُصول وأجمعوا علی صحّتها ، أمّا لکون رواتهم من الّذین اجمعت العصابة علی تصحیح ما یصح عنهم ، أو کان الکتب معروضة علی الأئمّة علیهم السلام وکان متواتراً عندهم تقریر المعصوم لها ، إلی غیر ذلک من الوجوه الّتی ذکرناها</w:t>
      </w:r>
      <w:r>
        <w:rPr>
          <w:rFonts w:eastAsia="IRNazanin" w:cs="IRNazanin"/>
          <w:color w:val="111111"/>
          <w:sz w:val="28"/>
          <w:szCs w:val="28"/>
          <w:rtl w:val="true"/>
          <w:lang w:bidi="fa-IR"/>
        </w:rPr>
        <w:t xml:space="preserve">»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فیری الناظر فی تلک العبارات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الشارح کالمُفید لم یحصر مؤلّفی الاُصول الأربعمئة فی أصحاب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فی تسمیة هذه الکتب اُصولاً هو صحّتها وعدم عثور الأصحاب علی غلط فیها مع تقریر الأئمّة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أجمعوا علی العمل بما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الأصحاب المعاصرین لمؤلّفی الاُصول هُم الّذین سمّوا هذه الکتب اُصولاً ، والظاهر من العبارة الثانیة أنّ اعتبار هذه الکتب وتسمیتها اُصولاً وقع فی عهد الإمامین الکاظم والرضا علیهماالسلام </w:t>
      </w:r>
      <w:r>
        <w:rPr>
          <w:rFonts w:eastAsia="IRNazanin" w:cs="IRNazanin"/>
          <w:color w:val="111111"/>
          <w:sz w:val="28"/>
          <w:szCs w:val="28"/>
          <w:rtl w:val="true"/>
          <w:lang w:bidi="fa-IR"/>
        </w:rPr>
        <w:t>.</w:t>
      </w:r>
    </w:p>
    <w:p>
      <w:pPr>
        <w:pStyle w:val="Heading4"/>
        <w:numPr>
          <w:ilvl w:val="3"/>
          <w:numId w:val="1"/>
        </w:numPr>
        <w:rPr/>
      </w:pPr>
      <w:bookmarkStart w:id="76" w:name="__RefHeading___Toc4159394_3804643083"/>
      <w:bookmarkStart w:id="77" w:name="_Toc28"/>
      <w:bookmarkEnd w:id="76"/>
      <w:r>
        <w:rPr>
          <w:rtl w:val="true"/>
        </w:rPr>
        <w:t>کیف صارت الاُصولُ أربعمئةً ؟</w:t>
      </w:r>
      <w:bookmarkEnd w:id="77"/>
    </w:p>
    <w:p>
      <w:pPr>
        <w:pStyle w:val="BookText"/>
        <w:rPr/>
      </w:pPr>
      <w:r>
        <w:rPr>
          <w:rFonts w:ascii="IRNazanin" w:hAnsi="IRNazanin" w:eastAsia="IRNazanin"/>
          <w:color w:val="111111"/>
          <w:sz w:val="28"/>
          <w:sz w:val="28"/>
          <w:szCs w:val="28"/>
          <w:rtl w:val="true"/>
          <w:lang w:bidi="fa-IR"/>
        </w:rPr>
        <w:t xml:space="preserve">وقد تقدّم أنّ الشارح یعتقد ـ کما یعتقد مشهور العُلَماء ـ أنّ عدد الاُصول أربعمئة ، لکِنّ الباحث فی الکتب المدرجة فی فهرس تصانیف الشیعة لا یظفر بهذا العدد ، فإنّ ما ذکره النجاشی من الاُصول لم یتجاوز سبعة اُصول ، والشَّیخ فی الفهرست لم یُسَمِّ أکثر من سبعین أصلاً مع أنّه ضمَّن فی دیباجة الکتاب أنّه سیأتی حسب وسعها علی ذکر جمیع المصنّفات فی هذا المجال ، ولکنّه لم یستوف جلّها فضلاً عن کلّها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الشارح حاول حلّ هذه المعضلة بصورة جیّدة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ظهر لنا من التتبع أنّ کتب جماعة أجمع الأصحاب علی تصحیح ما یصحّ عنهم أو من کان مثلهم</w:t>
      </w:r>
      <w:bookmarkStart w:id="78" w:name="pg2516_26425"/>
    </w:p>
    <w:p>
      <w:pPr>
        <w:pStyle w:val="BookText"/>
        <w:rPr/>
      </w:pPr>
      <w:bookmarkEnd w:id="78"/>
      <w:r>
        <w:rPr>
          <w:rFonts w:ascii="IRNazanin" w:hAnsi="IRNazanin" w:eastAsia="IRNazanin"/>
          <w:color w:val="111111"/>
          <w:sz w:val="28"/>
          <w:sz w:val="28"/>
          <w:szCs w:val="28"/>
          <w:rtl w:val="true"/>
          <w:lang w:bidi="fa-IR"/>
        </w:rPr>
        <w:t xml:space="preserve">کالحسین بن سعید کانت من الاُصول وإن لم یذکروها بخصوصها لإغناء نقل الإجماع أو ما یقاربه عن ذلک ، فإنّا تتبعنا أنّ مع کتبهم تصیر الاُصول أربعمئة ، فإنّ الجماعة الّذین ذکرهم الشَّیخ ـ رحمة اللّه علیه ـ أنّ لهم أصلاً یقرب من مئتی رجل </w:t>
      </w:r>
      <w:r>
        <w:rPr>
          <w:rStyle w:val="FootnoteAnchor"/>
          <w:rtl w:val="true"/>
        </w:rPr>
        <w:footnoteReference w:id="193"/>
      </w:r>
      <w:r>
        <w:rPr>
          <w:rFonts w:ascii="IRNazanin" w:hAnsi="IRNazanin" w:eastAsia="IRNazanin"/>
          <w:color w:val="111111"/>
          <w:sz w:val="28"/>
          <w:sz w:val="28"/>
          <w:szCs w:val="28"/>
          <w:rtl w:val="true"/>
          <w:lang w:bidi="fa-IR"/>
        </w:rPr>
        <w:t>، وأهل الإجماع کالحسن بن محبوب ذکروا أنّ کتبه الثلاثین کانت معتمد الأصحاب ، لهذا تری أنّ الصَدوق نقل فی کتبه الأخبار عنه أکثر من غیره سیّما فی هذا الکتاب ، فإنّ روایاته عن ابن محبوب یقرب من أربعمئة</w:t>
      </w:r>
      <w:r>
        <w:rPr>
          <w:rFonts w:eastAsia="IRNazanin" w:cs="IRNazanin"/>
          <w:color w:val="111111"/>
          <w:sz w:val="28"/>
          <w:szCs w:val="28"/>
          <w:rtl w:val="true"/>
          <w:lang w:bidi="fa-IR"/>
        </w:rPr>
        <w:t xml:space="preserve">»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فکما تری هذه المحاولة تناسب ما قدّمه الشارح فی تعریف الاُصول من حیث صحّتها وعدم وجدان الأصحاب الغلط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کتب أصحاب الإجماع ومن قیل فی ترجمته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یشابه ذلک ، تعدّ علی رأی الشارح من الاُصول لوجود المناط، وهو الاعتبار واعتماد الأصحاب علیها </w:t>
      </w:r>
      <w:r>
        <w:rPr>
          <w:rFonts w:eastAsia="IRNazanin" w:cs="IRNazanin"/>
          <w:color w:val="111111"/>
          <w:sz w:val="28"/>
          <w:szCs w:val="28"/>
          <w:rtl w:val="true"/>
          <w:lang w:bidi="fa-IR"/>
        </w:rPr>
        <w:t>.</w:t>
      </w:r>
    </w:p>
    <w:p>
      <w:pPr>
        <w:pStyle w:val="Heading4"/>
        <w:numPr>
          <w:ilvl w:val="3"/>
          <w:numId w:val="1"/>
        </w:numPr>
        <w:rPr/>
      </w:pPr>
      <w:bookmarkStart w:id="79" w:name="__RefHeading___Toc4159396_3804643083"/>
      <w:bookmarkStart w:id="80" w:name="_Toc29"/>
      <w:bookmarkEnd w:id="79"/>
      <w:r>
        <w:rPr>
          <w:rtl w:val="true"/>
        </w:rPr>
        <w:t>تقسیم الاُصول إلی قسمین من جهة الاعتبار</w:t>
      </w:r>
      <w:bookmarkEnd w:id="80"/>
    </w:p>
    <w:p>
      <w:pPr>
        <w:pStyle w:val="BookText"/>
        <w:rPr/>
      </w:pPr>
      <w:r>
        <w:rPr>
          <w:rFonts w:ascii="IRNazanin" w:hAnsi="IRNazanin" w:eastAsia="IRNazanin"/>
          <w:color w:val="111111"/>
          <w:sz w:val="28"/>
          <w:sz w:val="28"/>
          <w:szCs w:val="28"/>
          <w:rtl w:val="true"/>
          <w:lang w:bidi="fa-IR"/>
        </w:rPr>
        <w:t xml:space="preserve">یقول الشارح ـ بعد نقل خبر وقع فی سنده صفوان عن إسحاق بن عمّار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إسحاق بن عمّار اثنان ، أحدهما ثقة لیس بفطحی وهو ابن عمّار بن حیّان الصیرفی ، وثانیهما ابن عمّار بن موسی الساباطیّ ، وهو وإن کان فطحیاً ، لکنّه ثقة وله أصل معتمد علیه من الاُصول الأربعمئة ، بل أخص منها لأنّ الاُصول الأربعمئة منها ما کان معتمداً لجمیع الأصحاب ، ومنها ما کان معتمداً للأکثر ، وهذا من القسم الأوّل ؛ لأنّه یعبر عن الأوّل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أصل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الثانی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فبهذه الاعتبارات لا ینقص عن الصحیح ، بل الظاهر من القُدَماء أنّهم یقدمون أمثال هذه الأخبار علی کثیر من الصحاح ، ولذلک تراهم یضعفون خبر عمّار</w:t>
      </w:r>
      <w:bookmarkStart w:id="81" w:name="pg2516_26426"/>
    </w:p>
    <w:p>
      <w:pPr>
        <w:pStyle w:val="BookText"/>
        <w:rPr/>
      </w:pPr>
      <w:bookmarkEnd w:id="81"/>
      <w:r>
        <w:rPr>
          <w:rFonts w:ascii="IRNazanin" w:hAnsi="IRNazanin" w:eastAsia="IRNazanin"/>
          <w:color w:val="111111"/>
          <w:sz w:val="28"/>
          <w:sz w:val="28"/>
          <w:szCs w:val="28"/>
          <w:rtl w:val="true"/>
          <w:lang w:bidi="fa-IR"/>
        </w:rPr>
        <w:t>وابن بکیر وأمثالهما أحیاناً ، ولم نطلع إلی الآن من القُدَماء علی جرح أو تضعیف لخبر إسحاق</w:t>
      </w:r>
      <w:r>
        <w:rPr>
          <w:rFonts w:eastAsia="IRNazanin" w:cs="IRNazanin"/>
          <w:color w:val="111111"/>
          <w:sz w:val="28"/>
          <w:szCs w:val="28"/>
          <w:rtl w:val="true"/>
          <w:lang w:bidi="fa-IR"/>
        </w:rPr>
        <w:t xml:space="preserve">» . </w:t>
      </w:r>
      <w:r>
        <w:rPr>
          <w:rStyle w:val="FootnoteAnchor"/>
          <w:rtl w:val="true"/>
        </w:rPr>
        <w:footnoteReference w:id="195"/>
      </w:r>
    </w:p>
    <w:p>
      <w:pPr>
        <w:pStyle w:val="Heading3"/>
        <w:numPr>
          <w:ilvl w:val="2"/>
          <w:numId w:val="1"/>
        </w:numPr>
        <w:rPr/>
      </w:pPr>
      <w:bookmarkStart w:id="82" w:name="__RefHeading___Toc4159398_3804643083"/>
      <w:bookmarkStart w:id="83" w:name="_Toc30"/>
      <w:bookmarkEnd w:id="82"/>
      <w:r>
        <w:rPr>
          <w:rtl w:val="true"/>
        </w:rPr>
        <w:t>منهج المؤلّف فی الشرح</w:t>
      </w:r>
      <w:bookmarkEnd w:id="83"/>
    </w:p>
    <w:p>
      <w:pPr>
        <w:pStyle w:val="Heading4"/>
        <w:numPr>
          <w:ilvl w:val="3"/>
          <w:numId w:val="1"/>
        </w:numPr>
        <w:rPr/>
      </w:pPr>
      <w:bookmarkStart w:id="84" w:name="__RefHeading___Toc4159400_3804643083"/>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صرّح الشارح بذلک المعنی وعلّله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إذا تتبعت کتب الرجال وجدت أکثر أصحاب الاُصول الأربعمئة غیر مذکور فی شأنهم تعدیل ولا جرح ، أمّا لأنّه یکفی فی مدحهم وتوثیقهم أنّهم أصحاب الاُصول ، فإنّ أصحاب الإمام أبی عبداللّه جعفر بن محمّد الصادق علیه السلام المصنّفین للکتب کانوا أربعة آلاف رجل ، وصنّف أحمد بن محمّد بن سعید بن عُقدة کتاباً فی أحوالهم ونقل من کلّ واحد حدیثاً من کتابه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مئة وعشرین ألف حدیث بأسانیدها واُذاکر بثلاثمئة ألف حدیث ، واختاروا من جملتها وجملة ما نقله أصحاب بقیة أئمتنا ـ صلوات اللّه علیهم ـ أربعمئة کتاب وسمّوها الاُصول وکانت هذه الاُصول عند أصحابنا ویعملون علیها مع تقریر الأئمّة الّذین فی أزمنتهم ـ سلام اللّه علیهم ـ إیّاهم علی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وإمّا </w:t>
      </w:r>
      <w:r>
        <w:rPr>
          <w:rStyle w:val="FootnoteAnchor"/>
          <w:rtl w:val="true"/>
        </w:rPr>
        <w:footnoteReference w:id="196"/>
      </w:r>
      <w:r>
        <w:rPr>
          <w:rFonts w:ascii="IRNazanin" w:hAnsi="IRNazanin" w:eastAsia="IRNazanin"/>
          <w:color w:val="111111"/>
          <w:sz w:val="28"/>
          <w:sz w:val="28"/>
          <w:szCs w:val="28"/>
          <w:rtl w:val="true"/>
          <w:lang w:bidi="fa-IR"/>
        </w:rPr>
        <w:t>لبُعد العهد بین أرباب الرجال وبین أصحاب الاُصول وغیرهم من أصحاب الکتب الّتی تزید علی ثمانین ألف کتاب</w:t>
      </w:r>
      <w:r>
        <w:rPr>
          <w:rFonts w:eastAsia="IRNazanin" w:cs="IRNazanin"/>
          <w:color w:val="111111"/>
          <w:sz w:val="28"/>
          <w:szCs w:val="28"/>
          <w:rtl w:val="true"/>
          <w:lang w:bidi="fa-IR"/>
        </w:rPr>
        <w:t xml:space="preserve">» . </w:t>
      </w:r>
      <w:r>
        <w:rPr>
          <w:rStyle w:val="FootnoteAnchor"/>
          <w:rtl w:val="true"/>
        </w:rPr>
        <w:footnoteReference w:id="197"/>
      </w:r>
    </w:p>
    <w:p>
      <w:pPr>
        <w:pStyle w:val="Heading4"/>
        <w:numPr>
          <w:ilvl w:val="3"/>
          <w:numId w:val="1"/>
        </w:numPr>
        <w:rPr/>
      </w:pPr>
      <w:bookmarkStart w:id="86" w:name="__RefHeading___Toc4159402_3804643083"/>
      <w:bookmarkStart w:id="87" w:name="_Toc32"/>
      <w:bookmarkEnd w:id="86"/>
      <w:r>
        <w:rPr>
          <w:rtl w:val="true"/>
        </w:rPr>
        <w:t>إهمال عُلَماء الرجال فی ذکر التعدیل أو الجرح فی شأن مؤلّفی الاُصول</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مؤلَّفات أصحاب الأئمّة علیهم السلام کانت تزید علی الأربعمئة ، ولعلّها تبلغ أربعة آلاف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لاحظ الکتب المدرجة فی فهرس تصانیف الشیعة</w:t>
      </w:r>
    </w:p>
    <w:p>
      <w:pPr>
        <w:pStyle w:val="BookText"/>
        <w:rPr/>
      </w:pPr>
      <w:r>
        <w:rPr>
          <w:rFonts w:ascii="IRNazanin" w:hAnsi="IRNazanin" w:eastAsia="IRNazanin"/>
          <w:color w:val="111111"/>
          <w:sz w:val="28"/>
          <w:sz w:val="28"/>
          <w:szCs w:val="28"/>
          <w:rtl w:val="true"/>
          <w:lang w:bidi="fa-IR"/>
        </w:rPr>
        <w:t xml:space="preserve">کـرجال النجاشی والفهرست للشَّیخ الطوسی یجد أسماء کثیر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لاریب فی أنّ معنی اعتبار الأصحاب وإجماعهم علی العمل بأربعمئة کتاب وتسمیتها اُصولاً لم یکن بمعنی عدم قیمة سائر مؤلَّفات الأصحاب ، وأنّها لم تکن معتمدة عند الأصحاب ، کیف وقد کان کثیر من هذه الکتب والمصنّفات مصادر المشایخ الثلاثة فی الکتب الحدیثیة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الشَّیخ صرّح فی مقدّمة وخاتمة التهذیبین بأنّ کثیراً من مصادره کانت من الکتب المعتمدة ، وسمّی کثیراً من مؤلّفیها وذکر طرقه إلی کتبهم فی مشیخة هذین الکتابین ، مثل محمّد بن أحمد بن یَحیی الأشعری الّذی ألّف کتاب نوادر الحکمة ، ومحمّد بن الحسن بن الولید صاحب کتاب الجامع الّذی ذکره الشَّیخ الصَدوق أیضاً فی مقدّمة الفقیه عند ذکر نموذج من مصادر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الکتابان لاریب فی أنّهما لم یکونا من الاُصول ومع ذلک کانا معتمد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یمکن تقسیم هذه الکتب المعتمدة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منها اُلّفت قبل الاُصول أو مقارناً لها وهی تشترک مع کثیر من الاُصول فی عدم الترتیب ؛ لأنّ مؤلّفیها کانوا یکتبون کلّ یوم فی کتبهم ما سمعوه من المعصوم علیه السلام من المتفرقات الّتی کانت أغلبها أجوبة لمسائل کانت تُعرض علی الأئمّة ، وقسم آخر منها اُلّفت بعد الاُصول علی منهج الجوامع ، فأصحاب هذه الکتب جمعوا أحادیث الاُصول وقسماً مهمّاً من الکتب المعتمدة فی جوامعهم علی ترتیب أبواب الفقه ، وذلک لسهولة مراجعتها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هذه المقدّمة،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الشارح استفاد فی المقام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مدار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تصانیفهم هو القسم الأخیر من الکتب المعتمدة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سنذکر عنه فی الفصل الثانی قوله بأخذ المشایخ الثلاثة روایات کتبهم عن الاُصول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مؤلّفی الجوامع ـ الّتی کان مدار القُدَماء علیها ـ مع وثاقتهم فی النقل کان أغلبهم فاسدین فی العقیدة </w:t>
      </w:r>
      <w:r>
        <w:rPr>
          <w:rFonts w:eastAsia="IRNazanin" w:cs="IRNazanin"/>
          <w:color w:val="111111"/>
          <w:sz w:val="28"/>
          <w:szCs w:val="28"/>
          <w:rtl w:val="true"/>
          <w:lang w:bidi="fa-IR"/>
        </w:rPr>
        <w:t>.</w:t>
      </w:r>
      <w:bookmarkStart w:id="88" w:name="pg2516_26428"/>
    </w:p>
    <w:p>
      <w:pPr>
        <w:pStyle w:val="BookText"/>
        <w:rPr/>
      </w:pPr>
      <w:bookmarkEnd w:id="88"/>
      <w:r>
        <w:rPr>
          <w:rFonts w:ascii="IRNazanin" w:hAnsi="IRNazanin" w:eastAsia="IRNazanin"/>
          <w:color w:val="111111"/>
          <w:sz w:val="28"/>
          <w:sz w:val="28"/>
          <w:szCs w:val="28"/>
          <w:rtl w:val="true"/>
          <w:lang w:bidi="fa-IR"/>
        </w:rPr>
        <w:t xml:space="preserve">إذاً ننقل نصّ کلامه فی ذلک المشتمل علی دلیل استظهاره لئلاّ یخفی شیء علی الباحث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الشارح فی أوائل الروضة ـ بعد قوله بأنّ مرسلات الفقیه یجب أن تحمل علی أنّ الصَدوق وجدها فی اُصول الثقات، وإن کان الظاهر أنّه أخذها عن الکافی بعد المقابلة مع الاُصول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 عمل الطائفة علی تصانیف الطاطریین والبنی فضالیین وأضرابهم من الواقفیة والفطحیة والعامة کان لموافقة الاُصول الأربعمئة وجودة تصانیفهم ، فإنّ أخبار الاُصول کانت منتشرة غایة الانتشار ، فإنّهم کلما یسمعونه من المعصوم کانوا یکتبون فی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تراهم ینقلون من هذه الکتب مع وجود الاُصول عندهم کما فی زماننا ، بل زمان مُتقَدّمینا أیضاً بالنسبة إلی کتب الرجال ، کما تری الشهید الثانی رحمه الله والمحقّق الثانی رضی الله عنه یمدحان رجال الحسن بن داوود بجودته، مع أنّ أغلاطه أکثر من أن تحصی علی ماهو الظاهر عند الملاحظة والمقابلة مع الاُصول ، </w:t>
      </w:r>
      <w:r>
        <w:rPr>
          <w:rStyle w:val="FootnoteAnchor"/>
          <w:rtl w:val="true"/>
        </w:rPr>
        <w:footnoteReference w:id="198"/>
      </w:r>
      <w:r>
        <w:rPr>
          <w:rFonts w:ascii="IRNazanin" w:hAnsi="IRNazanin" w:eastAsia="IRNazanin"/>
          <w:color w:val="111111"/>
          <w:sz w:val="28"/>
          <w:sz w:val="28"/>
          <w:szCs w:val="28"/>
          <w:rtl w:val="true"/>
          <w:lang w:bidi="fa-IR"/>
        </w:rPr>
        <w:t>ولکِنّ الظن بالقُدَماء المقابلة مع الاُصول کما یظهر فی تتبع أحوالهم</w:t>
      </w:r>
      <w:r>
        <w:rPr>
          <w:rFonts w:eastAsia="IRNazanin" w:cs="IRNazanin"/>
          <w:color w:val="111111"/>
          <w:sz w:val="28"/>
          <w:szCs w:val="28"/>
          <w:rtl w:val="true"/>
          <w:lang w:bidi="fa-IR"/>
        </w:rPr>
        <w:t xml:space="preserve">» . </w:t>
      </w:r>
      <w:r>
        <w:rPr>
          <w:rStyle w:val="FootnoteAnchor"/>
          <w:rtl w:val="true"/>
        </w:rPr>
        <w:footnoteReference w:id="199"/>
      </w:r>
    </w:p>
    <w:p>
      <w:pPr>
        <w:pStyle w:val="Heading4"/>
        <w:numPr>
          <w:ilvl w:val="3"/>
          <w:numId w:val="1"/>
        </w:numPr>
        <w:rPr/>
      </w:pPr>
      <w:bookmarkStart w:id="89" w:name="__RefHeading___Toc4159404_3804643083"/>
      <w:bookmarkStart w:id="90" w:name="_Toc33"/>
      <w:bookmarkEnd w:id="89"/>
      <w:r>
        <w:rPr>
          <w:rtl w:val="true"/>
        </w:rPr>
        <w:t>ینبغی التنبیه علی أمرین</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مراد الشارح هنا من أنّ عمل الطائفة علی تصانیف الواقفیة والفطحیة ، کما هو الواضح لیس انحصار مصادر القُدَماء علی تصانیف هذه الجماعة ، بل کلامه هذا صدر من باب التغلیب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النقل من الجوامع المعتبرة مع وجود المصادر الأولیة أمر رائج فی کلّ علم ولا یختص بعلم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علم آخر ، کما رأیت تمثیل الشارح</w:t>
      </w:r>
      <w:bookmarkStart w:id="91" w:name="pg2516_26429"/>
    </w:p>
    <w:p>
      <w:pPr>
        <w:pStyle w:val="BookText"/>
        <w:rPr/>
      </w:pPr>
      <w:bookmarkEnd w:id="91"/>
      <w:r>
        <w:rPr>
          <w:rFonts w:ascii="IRNazanin" w:hAnsi="IRNazanin" w:eastAsia="IRNazanin"/>
          <w:color w:val="111111"/>
          <w:sz w:val="28"/>
          <w:sz w:val="28"/>
          <w:szCs w:val="28"/>
          <w:rtl w:val="true"/>
          <w:lang w:bidi="fa-IR"/>
        </w:rPr>
        <w:t xml:space="preserve">باستفادة المتأخّرین من رجال ابن داوود مع وجود رجال النجاشی والفهرست للشَّیخ الطوسی عندهم </w:t>
      </w:r>
      <w:r>
        <w:rPr>
          <w:rFonts w:eastAsia="IRNazanin" w:cs="IRNazanin"/>
          <w:color w:val="111111"/>
          <w:sz w:val="28"/>
          <w:szCs w:val="28"/>
          <w:rtl w:val="true"/>
          <w:lang w:bidi="fa-IR"/>
        </w:rPr>
        <w:t>.</w:t>
      </w:r>
    </w:p>
    <w:p>
      <w:pPr>
        <w:pStyle w:val="Heading4"/>
        <w:numPr>
          <w:ilvl w:val="3"/>
          <w:numId w:val="1"/>
        </w:numPr>
        <w:rPr/>
      </w:pPr>
      <w:bookmarkStart w:id="92" w:name="__RefHeading___Toc4159406_3804643083"/>
      <w:bookmarkStart w:id="93" w:name="_Toc34"/>
      <w:bookmarkEnd w:id="92"/>
      <w:r>
        <w:rPr>
          <w:rtl w:val="true"/>
        </w:rPr>
        <w:t>أسباب ضیاع الاُصول والکتب المعتمدة</w:t>
      </w:r>
      <w:bookmarkEnd w:id="93"/>
    </w:p>
    <w:p>
      <w:pPr>
        <w:pStyle w:val="BookText"/>
        <w:rPr/>
      </w:pPr>
      <w:r>
        <w:rPr>
          <w:rFonts w:ascii="IRNazanin" w:hAnsi="IRNazanin" w:eastAsia="IRNazanin"/>
          <w:color w:val="111111"/>
          <w:sz w:val="28"/>
          <w:sz w:val="28"/>
          <w:szCs w:val="28"/>
          <w:rtl w:val="true"/>
          <w:lang w:bidi="fa-IR"/>
        </w:rPr>
        <w:t xml:space="preserve">لاریب فی أنّ الاُصول بموادها الأصلیة باقیة ضمن المجامیع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تبق علی هیئتها الأولی إلاّ القلیل منها بسبب تعرضها للتلف والضیاع ، وأوّل تلف وقع فیها إحراق عندما کان منها موجوداً فی مکتبة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بالکرخ عندما دخل السلاجقة بقیادة طغرل بیک ـ أول ملوکهم ـ بغداد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وأحرقوا محلات الکرخ ، وکانت المکتبة مجاورة للسوق ، فسرت النیران إلیها فاُحرق ما فیها ، ولکن من المعلوم أنّ هذا وما کان من قبیله لیس العامل الأصلی لضیاع الاُصول ، ویبقی هناک سؤال فی ذهن المبتدئ عن العامل الأکبر ویسأل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وصلت إلینا الکتب الأربعة ولم تصل إلینا مصادرها وهی الاُصول مع أنّها ـ کلّها ـ باقیة فی زمان الشَّیخ ، فکیف وقع التلف بها تدریجیاً ولم یقع بالکتب الأربعة؟</w:t>
      </w:r>
    </w:p>
    <w:p>
      <w:pPr>
        <w:pStyle w:val="BookText"/>
        <w:rPr/>
      </w:pPr>
      <w:r>
        <w:rPr>
          <w:rFonts w:ascii="IRNazanin" w:hAnsi="IRNazanin" w:eastAsia="IRNazanin"/>
          <w:color w:val="111111"/>
          <w:sz w:val="28"/>
          <w:sz w:val="28"/>
          <w:szCs w:val="28"/>
          <w:rtl w:val="true"/>
          <w:lang w:bidi="fa-IR"/>
        </w:rPr>
        <w:t xml:space="preserve">وقد کشف الشارح النقاب عن العامل الأساسی لضیاع الاُصول وأجاب عن هذا السؤال بما یسکن به النفس ، فقال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وکانت الاُصول عند ثقة الإسلام ورئیس المُحَدّثین وشیخ الطائفة ، وجمعوا منها هذه الکتب الأربعة ولمّا اُحرِقت کتب الشَّیخ وکتب المُفید ، ضاعت أکثرها وبقی بعضها عندهم حتّی إنّه کان عند ابن إدریس طرف منها وبقی إلی الآن بعضها ؛ لکن لما کان هذه الأربعة کتب موافقة لها وکانت مرتبة بالترتیب الحَسِن ، ما اهتموا غایة الاهتمام بشأن نقل الاُصول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وکنت أنا أضعف عباد اللّه محمّد تقی أردت فی عنفوان الشباب أن اُرتب الکتب الأربعة بالترتیب الأحسن ، لأنّها مع ترتیبها کثیراً ما ینقلون الخبر فی غیر بابه ، وصار سبب الاشتباه علی بعض أصحابنا بأنّهم کثیراً ما ینفون الخبر مع وجوده فی</w:t>
      </w:r>
    </w:p>
    <w:p>
      <w:pPr>
        <w:pStyle w:val="BookText"/>
        <w:rPr/>
      </w:pPr>
      <w:r>
        <w:rPr>
          <w:rFonts w:ascii="IRNazanin" w:hAnsi="IRNazanin" w:eastAsia="IRNazanin"/>
          <w:color w:val="111111"/>
          <w:sz w:val="28"/>
          <w:sz w:val="28"/>
          <w:szCs w:val="28"/>
          <w:rtl w:val="true"/>
          <w:lang w:bidi="fa-IR"/>
        </w:rPr>
        <w:t>غیر بابه ، لکن خفت أن تضیع هذه الکتب، کما ضاعت الاُصول ولهذا ترکت الجمع والترتیب</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فتری أنّ الشارح جعل العامل الأکبر لضیاع الاُصول هو جمعها وترتیبها بنحو حسَن فی الکتب الأربعة ، فلمّا قابل القُدَماء الکتب الأربعة مع النسخ الأصلیة لهذه الاُصول ووجدوها مطابقة لها ، قلّت الرغبات فی استنساخ هذه الاُصول ، لعدم ترتیبها ومشقة الاستفادة منها ؛ فقلّ نسخها، وتلفت النسخ القدیمة تدریجیاً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ذلک لا یختص بالاُصول الأربعمئة ، بل یشمل سائر الکتب المعتمدة من الجوامع الّتی اُلّفت قبل الکتب الأربعة وما صنّفه الأصحاب مثل الاُصول من جهة عدم الترتیب ، فوقع علیها ما وقع علی الاُصول بنفس السبب الّذی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ما کان مثل الاُصول فی عدم الترتیب فواضح ، وأمّا بالنسبة إلی الجوامع المذکورة فهی وإن کانت مرتبة ، لکِنّ الترتیب الموجود فی الکتب الأربعة کان أحسن، ولو کانت الکتب الأربعة قد رُتّبت فی عصر القُدَماء بترتیب أحسن من هذا لم یبعد ضیاعها أیضاً ، کما أشار الشارح أنّ ذلک هو سبب انصرافه عن ترتیبها وجمعها مع أنّه کان من المتأخّرین </w:t>
      </w:r>
      <w:r>
        <w:rPr>
          <w:rFonts w:eastAsia="IRNazanin" w:cs="IRNazanin"/>
          <w:color w:val="111111"/>
          <w:sz w:val="28"/>
          <w:szCs w:val="28"/>
          <w:rtl w:val="true"/>
          <w:lang w:bidi="fa-IR"/>
        </w:rPr>
        <w:t>.</w:t>
      </w:r>
      <w:bookmarkStart w:id="94" w:name="pg2516_26431"/>
    </w:p>
    <w:p>
      <w:pPr>
        <w:pStyle w:val="Heading3"/>
        <w:numPr>
          <w:ilvl w:val="2"/>
          <w:numId w:val="1"/>
        </w:numPr>
        <w:rPr/>
      </w:pPr>
      <w:bookmarkStart w:id="95" w:name="__RefHeading___Toc4159408_3804643083"/>
      <w:bookmarkStart w:id="96" w:name="_Toc35"/>
      <w:bookmarkEnd w:id="94"/>
      <w:bookmarkEnd w:id="95"/>
      <w:r>
        <w:rPr>
          <w:rtl w:val="true"/>
        </w:rPr>
        <w:t xml:space="preserve">الفصل الثانی </w:t>
      </w:r>
      <w:r>
        <w:rPr>
          <w:rtl w:val="true"/>
        </w:rPr>
        <w:t xml:space="preserve">: </w:t>
      </w:r>
      <w:r>
        <w:rPr>
          <w:rtl w:val="true"/>
        </w:rPr>
        <w:t>مذاهب القُدَماء</w:t>
      </w:r>
      <w:bookmarkEnd w:id="96"/>
    </w:p>
    <w:p>
      <w:pPr>
        <w:pStyle w:val="Heading4"/>
        <w:numPr>
          <w:ilvl w:val="3"/>
          <w:numId w:val="1"/>
        </w:numPr>
        <w:rPr/>
      </w:pPr>
      <w:bookmarkStart w:id="97" w:name="__RefHeading___Toc4159410_3804643083"/>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من یراجع کتب التاریخ والرجال ، یجد أنّ القُدَماء یتکلمون عن کثیر من الفِرق الفاسدة ویرمون کثیراً من الرجال بالانتماء إلی تلک الفرق ، وکانت اُمهات هذه الفرق الداخلة فی مذهب التشیع بمعناه العام ستّة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الزیدیة ، والکیسانیة ، والفطحیة ، والناووسیة ، والواقفیة ، والإسماعیلیة ، والغُلاة ، والبتریة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اُمهات فِرق الشیعة غیر الفرقة الشاخصة الناجیة الّتی هی الإمامیة ، وکان الغُلاة فی زمان الأئمّة هُم الفرقة الأکثر عدداً من سائر تلک المذاهب الفاسدة ، وکان کثیر منهم رواة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یرجع إلی رجال النجاشی والفهرست للشَّیخ الطوسی یصدق صحَّة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نعلم بأنّ الغُلاة یجوّزون الکذب ووضع الأحادیث لنصرة مذهبهم ، ولذلک لا یجتمع الغلوّ مع العدالة حتّی الوثاقة فی النقل خاصة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القُدَماء کانوا مختلفین فی معنی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 الاعتقاد ببعض الاُمور المربوطة بعلو شأن الأئمّة علیهم السلام یعدّ عند بعضهم غلوّاً وکفراً ، وعند بعضهم الآخر ممّا یجب الاعتقاد به ، فلهذه الملاحظات الثلاثة ؛ أی کثرة من رُمِیَ بالغلو ، وتجویز الغُلاة الکذب ، واختلاف القُدَماء فی معنی الغلوّ ، ویجب علینا معرفة رأی القُدَماء والشارح</w:t>
      </w:r>
    </w:p>
    <w:p>
      <w:pPr>
        <w:pStyle w:val="BookText"/>
        <w:rPr/>
      </w:pPr>
      <w:r>
        <w:rPr>
          <w:rFonts w:ascii="IRNazanin" w:hAnsi="IRNazanin" w:eastAsia="IRNazanin"/>
          <w:color w:val="111111"/>
          <w:sz w:val="28"/>
          <w:sz w:val="28"/>
          <w:szCs w:val="28"/>
          <w:rtl w:val="true"/>
          <w:lang w:bidi="fa-IR"/>
        </w:rPr>
        <w:t xml:space="preserve">فی معنی الغلوّ ، لکی نعرف موقفهم إزاء صحَّة أو ضعف الأخبار الّتی رواها المرمیون بالغلو ، وهل یصح رمی کثیر من الرواة فی الکتب الرجالیة بالغلو أو لا؟ فعقدنا هذا الفصل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الغلوّ عند القُدَماء ، ورأی الشارح فی ذلک</w:t>
      </w:r>
    </w:p>
    <w:p>
      <w:pPr>
        <w:pStyle w:val="BookText"/>
        <w:rPr/>
      </w:pP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التجاوز عن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والغُلاة هُم الّذین یقولون فی شأن الأئمّة علیهم السلامأشیاء لا یقر الأئمّة أنفسهم بثبوتها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المفید رحمه الله فی تعریف الغُلاة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نسبوا أمیر المؤمنین والأئمّة من ذریته علیهم السلام إلی الاُلوهیة والنبوة ، ووصفوهم من الفضل فی الدین والدنیا إلی ما تجاوزوا فیه الحدّ ، وخرجوا عن القصد ، وهم ضُلاّل کُفّار ، حکم فیهم أمیر المؤمنین علیه السلام بالقتل والتحریق بالنار ، وقضت الأئمّة علیهم السلام علیهم بالإکفار والخروج عن الإسلام</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ویقول عبد القاهر البغدادی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الّذین قالوا بإلهیة الأئمّة ، وأباحوا محرمات الشریعة ، وأسقطوا وجوب فرائض الشریعة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هُم من فرق الإسلام وإن کانوا منتسبین إلیه</w:t>
      </w:r>
      <w:r>
        <w:rPr>
          <w:rFonts w:eastAsia="IRNazanin" w:cs="IRNazanin"/>
          <w:color w:val="111111"/>
          <w:sz w:val="28"/>
          <w:szCs w:val="28"/>
          <w:rtl w:val="true"/>
          <w:lang w:bidi="fa-IR"/>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وقال بقولهما عدد آخر من العُلَماء ، والقدر المشترک بین عباراتهم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الغُلاة یعتقدون إمّا باُلوهیة الأَئمة علیهم السلام أو بنبوّتهم ، وذلک یختلف تبعاً لاختلاف أصنافهم ، وقد حَکَمَ أهلُ البیت بکفرهم وخروجهم عن الإسلام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تحلیلهم المحرمات وإسقاطهم وجوب فرائض کالصلاة ، فلعلّ ذلک حال أغلبهم لا کلّهم ، إذ روی الکشّی بإسناده إلی هارون بن خارجة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ومراد</w:t>
      </w:r>
    </w:p>
    <w:p>
      <w:pPr>
        <w:pStyle w:val="BookText"/>
        <w:rPr/>
      </w:pPr>
      <w:r>
        <w:rPr>
          <w:rFonts w:ascii="IRNazanin" w:hAnsi="IRNazanin" w:eastAsia="IRNazanin"/>
          <w:color w:val="111111"/>
          <w:sz w:val="28"/>
          <w:sz w:val="28"/>
          <w:szCs w:val="28"/>
          <w:rtl w:val="true"/>
          <w:lang w:bidi="fa-IR"/>
        </w:rPr>
        <w:t xml:space="preserve">أخی عند أبی عبداللّه علیه السلام فقال له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بهؤلاء الّذین قتلوا ، یعنی أصحاب أبی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فأکبَّ علی الأرض ملیّاً ثمّ 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زعم القوم أنّهم لا یصلون</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وهنالک فرقة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المفوضة ، وهم صنف من الغُلاة إلاّ أنّ هناک فروقا بینهم وبین الأصناف الاُخری من الغلاة ، ویقول الشَّیخ المُفید رحمه الله فی الفرق بینهم وبین الغُلاة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وقولهم الّذی فارقوا به من سواهم من الغُلاة اعترافهم بحدوث الأئمّة وخلقهم ، ونفی القِدم عنهم ، وإفاضة الخلق والرزق مع ذلک إلیهم ، ودعواهم أنّ اللّه سبحانه وتعالی تفرّد بخلقهم خاصة ، وأنّه فوّض إلیهم خلق العالم بما فیه وجمیع الأفعال</w:t>
      </w:r>
      <w:r>
        <w:rPr>
          <w:rFonts w:eastAsia="IRNazanin" w:cs="IRNazanin"/>
          <w:color w:val="111111"/>
          <w:sz w:val="28"/>
          <w:szCs w:val="28"/>
          <w:rtl w:val="true"/>
          <w:lang w:bidi="fa-IR"/>
        </w:rPr>
        <w:t xml:space="preserve">» . </w:t>
      </w:r>
      <w:r>
        <w:rPr>
          <w:rStyle w:val="FootnoteAnchor"/>
          <w:rtl w:val="true"/>
        </w:rPr>
        <w:footnoteReference w:id="2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فی معنی الغلوّ والتفویض هو المتعارف عند أصحاب الأئمّة علیهم السلام وعند عدد من القُدَماء ، لکن نجد فی بعض عبارات القُدَماء التوسع فی معناه حتّی جعلوا مثل نفی السهو عن النَّبی صلی الله علیه و آله فی الصلاة غلوّاً ، فکیف ما هو أعلی منه مثل نقل المعجزات عن الأئمّة 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الوحید البهبهانی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أنّ کثیراً من القُدَماء سیّما القمّیین منهم والغضائری کانوا یعتقدون للأئمة علیهم السلام منزلة خاصة من الرفعة والجلالة ، ومرتبة معینة من العصمة والکمال بحسب اجتهادهم ورأیهم ، وما کانوا یجوّزون التعدّی عنها ، وکانوا یعدون التعدّی ارتفاعاً وغلوّاً حسب معتقدهم حتّی أنّهم جعلوا مثل نفی السهو عنهم غلوّاً ، بل ربّما جعلوا مطلق التفویض إلیهم ، أو التفویض الّذی اختلف فیه ، أو المبالغة فی معجزاتهم ونقل العجائب من خوارق العادات عنهم ، أو الإغراق فی شأنهم وإجلالهم وتنزیههم عن کثیر منه النقائص ، وإظهار کثیر قدرة لهم ، وذکر علمهم بمکونات السماء والأرض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کلّ ذلک ارتفاعاً أو مورثاً للتهمة</w:t>
      </w:r>
    </w:p>
    <w:p>
      <w:pPr>
        <w:pStyle w:val="BookText"/>
        <w:rPr/>
      </w:pPr>
      <w:r>
        <w:rPr>
          <w:rFonts w:ascii="IRNazanin" w:hAnsi="IRNazanin" w:eastAsia="IRNazanin"/>
          <w:color w:val="111111"/>
          <w:sz w:val="28"/>
          <w:sz w:val="28"/>
          <w:szCs w:val="28"/>
          <w:rtl w:val="true"/>
          <w:lang w:bidi="fa-IR"/>
        </w:rPr>
        <w:t>به ، سیّما بجهة أنّ الغُلاة کانوا مختفین فی الشیعة مخلوطین بهم مدلسین</w:t>
      </w:r>
      <w:r>
        <w:rPr>
          <w:rFonts w:eastAsia="IRNazanin" w:cs="IRNazanin"/>
          <w:color w:val="111111"/>
          <w:sz w:val="28"/>
          <w:szCs w:val="28"/>
          <w:rtl w:val="true"/>
          <w:lang w:bidi="fa-IR"/>
        </w:rPr>
        <w:t xml:space="preserve">»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ولا یخفی أنّ ما أشار إلیه من أنّ ذلک التوسع فی معنی الغلوّ کان مذهب کثیر من القُدَماء سیّما القمّیین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واُستاذه محمّد 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وسنورد فی المواضیع التالیة کلام الصَدوق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نسبة ذلک التوسع إلی کثیر من القُدَماء لا یخلو من التأمّل ، وسننقل عن الشارح ما یخالف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زعمه متابعة القمّیین ابن الولید والصَدوق وأحمد بن محمّد بن عیسی القمّی الّذی یعتقد مثل معتقدهما أیضاً ، إذ کلّ واحد منهم کان رئیس القمّیین فی وقته ولا یُستبعد متابعة القوم رئیسهم ، ولولا ذلک یکون قوله رجماً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الشارح ذهب مثل سائر المتأخّرین إلی القول بأنّ معنی الغلوّ هو ما تعارف بین أصحاب الأئمّة علیهم السلام من اعتقاد الغُلاة باُلوهیة الأئمّة علیهم السلام أو نبوّتهم، کما نقلنا آنفاً کلام المُفید رحمه الله فی ذلک ، إذ إنّه لا یری نقل المعجزات عنهم علیهم السلام وعلمهم بما کان وبما یکون فی مکنونات السماء والأرض غلوّاً ، فضلاً عن نفی السهو عنهم علیهم السلام ، بل اعتقد أنّ روایة هذه الاُمور تدلّ علی علو حال الراوی ، وأنّه من خواصهم علیهم السلام ولا یجوِّز جرح الرواة واتّهامهم بالغلو بسبب روایتهم لمثل هذه الاُمور ، ومن فعل ذلک ـ کابن الغضائری ـ لم یکن ذا فهم لعدم معرفته الأئمّة علیهم السلام ، کما ینبغی ، وقد صرّح الشارح بذلک فی مواضع عدیدة من 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وسنذکر نصوصه فی آخر هذا الباب إن شاء اللّه ، ویأتی شیء منها فی العناوین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وشیخه والکلینی قالوا بإسهاء النّبی من اللّه تعالی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وعدنا فی العنوان السابق أن ننقل کلام الصَدوق الدالّ علی أنّه واُستاذه ـ محمّد بن الحسن بن الولید ـ کانا من المتوسعین فی معنی الغلوّ ، حتّی جعلا مثل نفی السهو من</w:t>
      </w:r>
    </w:p>
    <w:p>
      <w:pPr>
        <w:pStyle w:val="BookText"/>
        <w:rPr/>
      </w:pPr>
      <w:r>
        <w:rPr>
          <w:rFonts w:ascii="IRNazanin" w:hAnsi="IRNazanin" w:eastAsia="IRNazanin"/>
          <w:color w:val="111111"/>
          <w:sz w:val="28"/>
          <w:sz w:val="28"/>
          <w:szCs w:val="28"/>
          <w:rtl w:val="true"/>
          <w:lang w:bidi="fa-IR"/>
        </w:rPr>
        <w:t xml:space="preserve">النَّبی صلی الله علیه و آله غلوّاً ، فضلاً عن نقل کثیر من معجزات الأئمّة وذکر علمهم بمکنونات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ننقل أولاً کلامه الدالّ علی ذلک ، ثمّ نعقبه بما قاله الشارح فی الردّ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فی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أحکام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حدیث صحیح السند دالّ علی إِسهاء النَّبی صلی الله علیه و آله من اللّه عز و 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مصنف هذا الکتاب رحمه الله إنّ الغُلاة والمفوضة ـ لعنهم اللّه ـ ینکرون سهو النَّبی صلی الله علیه و آله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أن یسهو فی الصلاة لجاز أن یسهو فی التبلیغ ؛ لأنّ الصلاة علیه فریضة ، کما أنّ التبلیغ علیه 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یلزمنا ، وذلک لأنّ جمیع الأحوال المشترکة یقع علی النَّبی صلی الله علیه و آله فیها ما یقع علی غیره ، وهو متعبّد بالصلاة کغیره ممّن لیس بنبی ، ولیس کلّ من سواه بنبی کهو ، فالحالة الّتی اختصّ بها هی النبوة والتبلیغ من شرائطها ، ولا یجوز أن یقع علیه فی التبلیغ ما یقع علیه فی الصلاة ؛ لأنّها عبادة مخصوصة والصلاة عبادة مشترکة ، وبها تثبت له العبودیة ، وبإثبات النوم له عن خدمة ربّه عز و جل من غیر إرادة له وقصد منه إلیه نفی الربوبیة عنه ، لأنّ الّذی لا تأخذه سنة ولا نوم هو اللّه الحی القیوم ، ولیس سهو النَّبی صلی الله علیه و آله کسهونا لأنّ سهوه من اللّه عز و جل ، وإنّما أسهاه لیعلم أنّه بشر مخلوق فلا یتخذ ربّاً معبوداً دونه ، ولیعلم الناس بسهوه حکم السهو متی سهوا ، وسهونا من الشیطان ولیس للشیطان علی النَّبی صلی الله علیه و آله والأئمّة ـ صلوات اللّه علیهم ـ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سُلْطَـنُهُ عَلَی الَّذِینَ یَتَوَلَّوْنَهُ وَ الَّذِینَ هُم بِهِ مُشْرِکُونَ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وعلی من تبعه من الغاوین</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شیخنا محمّد بن الحسن بن أحمد بن الولید رحمه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فی الغلوّ نفی السهو عن النَّبی صلی الله علیه و آله ولو جاز أن تُرَدّ الأخبار الواردة فی هذا المعنی ، لجاز أن تُرَدّ جمیع الأخبار ، وفی ردّها إبطال الدین والشریعة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أحتسب الأجر فی تصنیف</w:t>
      </w:r>
    </w:p>
    <w:p>
      <w:pPr>
        <w:pStyle w:val="BookText"/>
        <w:rPr/>
      </w:pPr>
      <w:r>
        <w:rPr>
          <w:rFonts w:ascii="IRNazanin" w:hAnsi="IRNazanin" w:eastAsia="IRNazanin"/>
          <w:color w:val="111111"/>
          <w:sz w:val="28"/>
          <w:sz w:val="28"/>
          <w:szCs w:val="28"/>
          <w:rtl w:val="true"/>
          <w:lang w:bidi="fa-IR"/>
        </w:rPr>
        <w:t>کتاب منفرد فی إثبات سهو النَّبی صلی الله علیه و آله والرد علی منکریه ، إن شاء اللّه تعالی</w:t>
      </w:r>
      <w:r>
        <w:rPr>
          <w:rFonts w:eastAsia="IRNazanin" w:cs="IRNazanin"/>
          <w:color w:val="111111"/>
          <w:sz w:val="28"/>
          <w:szCs w:val="28"/>
          <w:rtl w:val="true"/>
          <w:lang w:bidi="fa-IR"/>
        </w:rPr>
        <w:t xml:space="preserve">» .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وقال الشارح فی ذیل کلامه رداً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الصَدوق وشیخه ، بل محمّد بن یعقوب الکلینی رضی الله عنهم قالوا بإسهاء النَّبی صلی الله علیه و آله من اللّه تعالی لا بالسهو الّذی من الشیطان ، واتّفق علماؤنا قدیماً وحدیثاً سوی المشایخ الثلاثة علی عدم جواز السهو الإسهاء ؛ لأنّه إذا جوّز السهو علی الأنبیاء فلا یأمن المکلّف من سهوهم فی کلّ حکم من الأحکام فینتفی فائدة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الواردة فی سهوه صلی الله علیه و آله کثیرة من طرق العامة والخاصة ویحتمل ورودها من المعصومین ـ صلوات اللّه علیهم ـ تَقِیّة ، لما رواه الشَّیخ فی المُوَثَّق کالصحیح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هل سجد رسول اللّه صلی الله علیه و آله سجدتی السهو قط؟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سجدهما فقیه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وعلی هذا لا یُرَدّ الأخبار حتّی یَرِد جواز ردّ جمیع الأخبار ، علی أنّ الصَدوق أیضاً یَردّ الأخبار الّتی لا یوافق مذهبه فی کثیر من المسائل ، ومن تأمّل الأخبار الّتی وردت فی شأن النَّبی والأئمّة ـ صلوات اللّه علیهم ـ یعلم أنّ رتبتهم أعظم من السهو فی العبادة ، ولا یلزم أن یحصل منهم السهو حتّی یعلم أنّهم لیسوا بآلهة ، فإنّ ولادتهم وأکلهم وشربهم وذهابهم إلی بَیت الخَلاء ونومهم فی غیر حال الصلاة وموتهم کافیة فی ذلک ، مع قطع النظر عن تَجَسّمهم وتَحَیّزهم وتعبّدهم وإقرارهم بالعبودیة ، إلی غیر ذلک ممّا لا یُحصی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یمکن القول بالإسهاء إذا لم یکن للأخبار معارض ، وقد ذکرنا المعارض ، والأَولی التوقّف فی الإسهاء ؛ لأنّ الدلائل العقلیة لا یتمّ فی نفی الإسهاء ، والنقلیة الدالة علی علو مرتبتهم لا تنافی الإسهاء وإنّما تنافی السهو ، وهو منفی عنهم ـ صلوات اللّه</w:t>
      </w:r>
      <w:bookmarkStart w:id="99" w:name="pg2516_26437"/>
    </w:p>
    <w:p>
      <w:pPr>
        <w:pStyle w:val="BookText"/>
        <w:rPr/>
      </w:pPr>
      <w:bookmarkEnd w:id="99"/>
      <w:r>
        <w:rPr>
          <w:rFonts w:ascii="IRNazanin" w:hAnsi="IRNazanin" w:eastAsia="IRNazanin"/>
          <w:color w:val="111111"/>
          <w:sz w:val="28"/>
          <w:sz w:val="28"/>
          <w:szCs w:val="28"/>
          <w:rtl w:val="true"/>
          <w:lang w:bidi="fa-IR"/>
        </w:rPr>
        <w:t>علیهم ـ عند الجمیع ، ومن قال بالإسهاء والإنامة لا یتعدی عن المرّتین ، واللّه تعالی یعلم</w:t>
      </w:r>
      <w:r>
        <w:rPr>
          <w:rFonts w:eastAsia="IRNazanin" w:cs="IRNazanin"/>
          <w:color w:val="111111"/>
          <w:sz w:val="28"/>
          <w:szCs w:val="28"/>
          <w:rtl w:val="true"/>
          <w:lang w:bidi="fa-IR"/>
        </w:rPr>
        <w:t xml:space="preserve">» . </w:t>
      </w:r>
      <w:r>
        <w:rPr>
          <w:rStyle w:val="FootnoteAnchor"/>
          <w:rtl w:val="true"/>
        </w:rPr>
        <w:footnoteReference w:id="209"/>
      </w:r>
    </w:p>
    <w:p>
      <w:pPr>
        <w:pStyle w:val="Heading4"/>
        <w:numPr>
          <w:ilvl w:val="3"/>
          <w:numId w:val="1"/>
        </w:numPr>
        <w:rPr/>
      </w:pPr>
      <w:bookmarkStart w:id="100" w:name="__RefHeading___Toc4159412_3804643083"/>
      <w:bookmarkStart w:id="101" w:name="_Toc37"/>
      <w:bookmarkEnd w:id="100"/>
      <w:r>
        <w:rPr>
          <w:rtl w:val="true"/>
        </w:rPr>
        <w:t xml:space="preserve">زیادة </w:t>
      </w:r>
      <w:r>
        <w:rPr>
          <w:rtl w:val="true"/>
        </w:rPr>
        <w:t>«</w:t>
      </w:r>
      <w:r>
        <w:rPr>
          <w:rtl w:val="true"/>
        </w:rPr>
        <w:t xml:space="preserve">أشهد أنّ علیاً ولی اللّه </w:t>
      </w:r>
      <w:r>
        <w:rPr>
          <w:rtl w:val="true"/>
        </w:rPr>
        <w:t xml:space="preserve">» </w:t>
      </w:r>
      <w:r>
        <w:rPr>
          <w:rtl w:val="true"/>
        </w:rPr>
        <w:t>فی الأذان من معرِّفات المفوضة عند الصدوق</w:t>
      </w:r>
      <w:bookmarkEnd w:id="101"/>
    </w:p>
    <w:p>
      <w:pPr>
        <w:pStyle w:val="BookText"/>
        <w:rPr/>
      </w:pPr>
      <w:r>
        <w:rPr>
          <w:rFonts w:ascii="IRNazanin" w:hAnsi="IRNazanin" w:eastAsia="IRNazanin"/>
          <w:color w:val="111111"/>
          <w:sz w:val="28"/>
          <w:sz w:val="28"/>
          <w:szCs w:val="28"/>
          <w:rtl w:val="true"/>
          <w:lang w:bidi="fa-IR"/>
        </w:rPr>
        <w:t xml:space="preserve">ومن المواضیع الّتی یدلّ کلام الصَدوق علی توسعه فی معنی الغلوّ قوله فی باب الأذان والإقامة من کتاب الصلاة ، بعد أن نقل روایة أبی بکر الحضرمی وکلیب الأسدی عن أبی عبداللّه علیه السلام فی کیفیة الأذان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مصنّف هذا الکتاب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الأذان الصحیح لا یزاد فیه ولا ینقص منه ، والمفوضة ـ لعنهم اللّه ـ قد وضعوا أخباراً وزادوا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وفی بعض روایاتهم بعد أشهد أنّ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ومنهم من روی بدل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ولاشکّ فی أنّ علیّاً ولی اللّه وأنّه أمیر المؤمنین حقاً وأنّ محمّد وآله ـ صلوات اللّه علیهم ـ خیر البریة ، ولکن لیس ذلک فی أصل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ذکرت ذلک لیعرف بهذه الزیادة المتّهمون بالتفویض ، المدلسون أنفسهم فی جملتنا</w:t>
      </w:r>
      <w:r>
        <w:rPr>
          <w:rFonts w:eastAsia="IRNazanin" w:cs="IRNazanin"/>
          <w:color w:val="111111"/>
          <w:sz w:val="28"/>
          <w:szCs w:val="28"/>
          <w:rtl w:val="true"/>
          <w:lang w:bidi="fa-IR"/>
        </w:rPr>
        <w:t xml:space="preserve">» . </w:t>
      </w:r>
      <w:r>
        <w:rPr>
          <w:rStyle w:val="FootnoteAnchor"/>
          <w:rtl w:val="true"/>
        </w:rPr>
        <w:footnoteReference w:id="21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ردّ علیه الشارح بأنّ الجزم بأنّ هذه الأخبار من موضوعات المفوضة ، مشکل قال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علی أنّه غیر معلوم أنّ الصَدوق أی جماعة یرید من المفوضة ، والّذی یظهر منه ـ کما سیجیء ـ أنّه یقول کلّ من لم یقل بسهو النَّبی فإنّه من المفوضة ، وکلّ من یقول بزیادة العبادات من النَّبی فإنه من المفوضة ، فإن کان هؤلاء فهم کلّ الشیعة غیر الصَدوق وشیخه ، وإن کانوا غیر هؤلاء فلا نعلم مذهبهم حتّی ننسب إلیهم الوضع واللعن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کلّ من یقول باُلوهیة الأئمّة أو نبوتهم ، فإنّهم ملعونون</w:t>
      </w:r>
      <w:r>
        <w:rPr>
          <w:rFonts w:eastAsia="IRNazanin" w:cs="IRNazanin"/>
          <w:color w:val="111111"/>
          <w:sz w:val="28"/>
          <w:szCs w:val="28"/>
          <w:rtl w:val="true"/>
          <w:lang w:bidi="fa-IR"/>
        </w:rPr>
        <w:t xml:space="preserve">» . </w:t>
      </w:r>
      <w:r>
        <w:rPr>
          <w:rStyle w:val="FootnoteAnchor"/>
          <w:rtl w:val="true"/>
        </w:rPr>
        <w:footnoteReference w:id="211"/>
      </w:r>
      <w:bookmarkStart w:id="102" w:name="pg2516_26438"/>
    </w:p>
    <w:p>
      <w:pPr>
        <w:pStyle w:val="Heading3"/>
        <w:numPr>
          <w:ilvl w:val="2"/>
          <w:numId w:val="1"/>
        </w:numPr>
        <w:rPr/>
      </w:pPr>
      <w:bookmarkStart w:id="103" w:name="__RefHeading___Toc4159414_3804643083"/>
      <w:bookmarkStart w:id="104" w:name="_Toc38"/>
      <w:bookmarkEnd w:id="102"/>
      <w:bookmarkEnd w:id="103"/>
      <w:r>
        <w:rPr>
          <w:rtl w:val="true"/>
        </w:rPr>
        <w:t xml:space="preserve">الفصل الثالث </w:t>
      </w:r>
      <w:r>
        <w:rPr>
          <w:rtl w:val="true"/>
        </w:rPr>
        <w:t xml:space="preserve">: </w:t>
      </w:r>
      <w:r>
        <w:rPr>
          <w:rtl w:val="true"/>
        </w:rPr>
        <w:t>مشایخ الحدیث وکتبهم</w:t>
      </w:r>
      <w:bookmarkEnd w:id="104"/>
    </w:p>
    <w:p>
      <w:pPr>
        <w:pStyle w:val="Heading4"/>
        <w:numPr>
          <w:ilvl w:val="3"/>
          <w:numId w:val="1"/>
        </w:numPr>
        <w:rPr/>
      </w:pPr>
      <w:bookmarkStart w:id="105" w:name="__RefHeading___Toc4159416_3804643083"/>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قد عَرَفتَ فی الفصل الأوّل أنّ أصحابنا الإمامیة کتبوا منذ حیاة أمیر المؤمنین علیه السلام حتّی عصرنا الحاضر المؤلّفات الکبیرة والصغیرة فی الحدیث ، وعلمت أنّ الاُصول الّتی ألّفها أصحاب الأئمّة علیهم السلام ضاعت ولم تصل إلی المتأخّرین ، وإنّما وصلت إلینا الکتب الأربعة وهی الّتی جمعت ورتبت فیها کثیر من روایات الاُصول والکتب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هذا یجب علینا معرفة مدی اعتبار الکتب الأربعة ومراتب مؤلّفیها فی الضبط والإتقان ، ونشرع الآن فی بیان رأی الشارح حول ذلک </w:t>
      </w:r>
      <w:r>
        <w:rPr>
          <w:rFonts w:eastAsia="IRNazanin" w:cs="IRNazanin"/>
          <w:color w:val="111111"/>
          <w:sz w:val="28"/>
          <w:szCs w:val="28"/>
          <w:rtl w:val="true"/>
          <w:lang w:bidi="fa-IR"/>
        </w:rPr>
        <w:t>.</w:t>
      </w:r>
    </w:p>
    <w:p>
      <w:pPr>
        <w:pStyle w:val="Heading4"/>
        <w:numPr>
          <w:ilvl w:val="3"/>
          <w:numId w:val="1"/>
        </w:numPr>
        <w:rPr/>
      </w:pPr>
      <w:bookmarkStart w:id="107" w:name="__RefHeading___Toc4159418_3804643083"/>
      <w:bookmarkStart w:id="108" w:name="_Toc40"/>
      <w:bookmarkEnd w:id="107"/>
      <w:r>
        <w:rPr>
          <w:rtl w:val="true"/>
        </w:rPr>
        <w:t>صحَّة روایات الکتب الأربعة</w:t>
      </w:r>
      <w:bookmarkEnd w:id="108"/>
    </w:p>
    <w:p>
      <w:pPr>
        <w:pStyle w:val="BookText"/>
        <w:rPr/>
      </w:pPr>
      <w:r>
        <w:rPr>
          <w:rFonts w:ascii="IRNazanin" w:hAnsi="IRNazanin" w:eastAsia="IRNazanin"/>
          <w:color w:val="111111"/>
          <w:sz w:val="28"/>
          <w:sz w:val="28"/>
          <w:szCs w:val="28"/>
          <w:rtl w:val="true"/>
          <w:lang w:bidi="fa-IR"/>
        </w:rPr>
        <w:t xml:space="preserve">یعتقد الشارح أنّ الکلینی فعل کما فعل الصَدوق رحمهماالله فی الحکم بصحَّة أحادیث کتابه واستفاد ذلک من دیباجة الکافی ، وأمّا الشَّیخ بما أنّه ذکر فی آخر کتابیه التهذیب والاستبصار أنّه روی الأخبار عن الکتب المعتمدة والاُصول المعتبرة ، فقد استفاد الشارح فی أنّ روایات التهذیبین أیضاً لا تقصر عن الصحَّة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یعتقد أنّ حکم الصَدوقین بصحَّة کتابیهما وقول الشَّیخ بأخذه الروایات</w:t>
      </w:r>
    </w:p>
    <w:p>
      <w:pPr>
        <w:pStyle w:val="BookText"/>
        <w:rPr/>
      </w:pPr>
      <w:r>
        <w:rPr>
          <w:rFonts w:ascii="IRNazanin" w:hAnsi="IRNazanin" w:eastAsia="IRNazanin"/>
          <w:color w:val="111111"/>
          <w:sz w:val="28"/>
          <w:sz w:val="28"/>
          <w:szCs w:val="28"/>
          <w:rtl w:val="true"/>
          <w:lang w:bidi="fa-IR"/>
        </w:rPr>
        <w:t xml:space="preserve">من المصادر المعتبرة کافٍ لنا للاعتماد علی روایات الکتب الأربعة ، ولا نحتاج إلی تصحیح الروایات حسب اصطلاح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الشارح بکلّ ذلک وبرهن علیه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ابتداء شرح المشیخة بعد نقل موضع الاستشهاد من دیباجة الکافی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یظهر من الصَدوقین أنّهما یعلمان صدور هذه الأخبار الّتی فی الکافی والفقیه عن المعصومین علیهم السلام فکأنّهما سمعا من الأئمّة علیهم السلام تلک الأخبار ، والصحیح بهذا المعنی أعلی من الصحیح باصطلاح المتأخّرین بمراتب شتّی</w:t>
      </w:r>
      <w:r>
        <w:rPr>
          <w:rFonts w:eastAsia="IRNazanin" w:cs="IRNazanin"/>
          <w:color w:val="111111"/>
          <w:sz w:val="28"/>
          <w:szCs w:val="28"/>
          <w:rtl w:val="true"/>
          <w:lang w:bidi="fa-IR"/>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خاتمة شرح مشیخة الفقیه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الکتب طرق کثیرة فربما ینقل إلیها طرقاً ثلاثة ، وربما ینقل اثنین أو واحداً صحیحاً أو ضعیفاً علی رأی المتأخّرین ، بل لا نحتاج إلی الطریق إلاّ للأصحیة ؛ لأنّه حکم أولاً بصحَّة أحادیث الکافی کالصَدوق ، ولا ریب أنّ الظن الّذی یحصل من قوله أقوی من الظن الّذی یحصل من أقوال أصحاب الرجال ، وکلّ من تدبّر فی کتابه یحصل له العلم بأنّه کان مؤیداً من عند اللّه تعالی فی ضبط الأخبار وترتیبها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ذکره شیخ الطائفة فی آخر کتابیه أنّه روی هذه الأخبار عن الکتب المعتمدة والاُصول المعتبرة الّتی کان مدار الطائفة علی العمل بها ، ولاریب فی اشتهار هذه الکتب من مصنفیها وأنّ ذکر طرقه إلیها فی آخر الکتابین وفی فهرسنه لمجرد التیمّن والتبرّک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تدبّر متدبّر فی قوانین القُدَماء فی أنّهم کانوا لا ینقلون فی کتبهم ، إلاّ ما کان معلوم الصدور عن الأئمّة المعصومین ـ صلوات اللّه علیهم أجمعین ـ وکانوا یجردون کتبهم عن الأخبار الشاذة کخبر الشهادة الّذی تقدّم فی خبر ابن العذاقر </w:t>
      </w:r>
      <w:r>
        <w:rPr>
          <w:rStyle w:val="FootnoteAnchor"/>
          <w:rtl w:val="true"/>
        </w:rPr>
        <w:footnoteReference w:id="213"/>
      </w:r>
      <w:bookmarkStart w:id="109" w:name="pg2516_26440"/>
    </w:p>
    <w:p>
      <w:pPr>
        <w:pStyle w:val="BookText"/>
        <w:rPr/>
      </w:pPr>
      <w:bookmarkEnd w:id="109"/>
      <w:r>
        <w:rPr>
          <w:rFonts w:ascii="IRNazanin" w:hAnsi="IRNazanin" w:eastAsia="IRNazanin"/>
          <w:color w:val="111111"/>
          <w:sz w:val="28"/>
          <w:sz w:val="28"/>
          <w:szCs w:val="28"/>
          <w:rtl w:val="true"/>
          <w:lang w:bidi="fa-IR"/>
        </w:rPr>
        <w:t xml:space="preserve">وکاستثنائهم من کتاب محمّد بن أحمد بن یَحیی الأشعری </w:t>
      </w:r>
      <w:r>
        <w:rPr>
          <w:rStyle w:val="FootnoteAnchor"/>
          <w:rtl w:val="true"/>
        </w:rPr>
        <w:footnoteReference w:id="214"/>
      </w:r>
      <w:r>
        <w:rPr>
          <w:rFonts w:ascii="IRNazanin" w:hAnsi="IRNazanin" w:eastAsia="IRNazanin"/>
          <w:color w:val="111111"/>
          <w:sz w:val="28"/>
          <w:sz w:val="28"/>
          <w:szCs w:val="28"/>
          <w:rtl w:val="true"/>
          <w:lang w:bidi="fa-IR"/>
        </w:rPr>
        <w:t xml:space="preserve">، وکما ذکرنا من الصَدوق أنّه ذکر خبراً فیه محمّد بن عبداللّه المسمعی ، ثمّ ذکر أنّ شیخنا محمّد بن الحسن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کان سیئ الرأی فیه ، ولکن لما قرأت هذا الخبر من کتاب الرحمة لسعد بن عبداللّه علیه لم یقل شیئاً وصححه فلهذا ذکرته هنا </w:t>
      </w:r>
      <w:r>
        <w:rPr>
          <w:rStyle w:val="FootnoteAnchor"/>
          <w:rtl w:val="true"/>
        </w:rPr>
        <w:footnoteReference w:id="216"/>
      </w:r>
      <w:r>
        <w:rPr>
          <w:rFonts w:ascii="IRNazanin" w:hAnsi="IRNazanin" w:eastAsia="IRNazanin"/>
          <w:color w:val="111111"/>
          <w:sz w:val="28"/>
          <w:sz w:val="28"/>
          <w:szCs w:val="28"/>
          <w:rtl w:val="true"/>
          <w:lang w:bidi="fa-IR"/>
        </w:rPr>
        <w:t xml:space="preserve">، وکثیراً ما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کلما لم یصححه شیخنا لم نصححه ولا ننقله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وغیر ذلک ممّا ذکرته فی هذا الکتاب من اهتمامهم بتصحیح الأخبار ، لحصل </w:t>
      </w:r>
      <w:r>
        <w:rPr>
          <w:rStyle w:val="FootnoteAnchor"/>
          <w:rtl w:val="true"/>
        </w:rPr>
        <w:footnoteReference w:id="218"/>
      </w:r>
      <w:r>
        <w:rPr>
          <w:rFonts w:ascii="IRNazanin" w:hAnsi="IRNazanin" w:eastAsia="IRNazanin"/>
          <w:color w:val="111111"/>
          <w:sz w:val="28"/>
          <w:sz w:val="28"/>
          <w:szCs w:val="28"/>
          <w:rtl w:val="true"/>
          <w:lang w:bidi="fa-IR"/>
        </w:rPr>
        <w:t>له العلم أو الظن المتاخم للعلم أنّه لا یحتاج إلی التصحیح مرّة اُخری</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الفائدة الحادیة عشر من الفوائد الّتی ذکرها فی مقدّمة لوامع صاحبقرانی ، فقال مثل ما تقدّم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وقد تقدّم فی الفصل السابق بعض ما یوضح دلیله علی ذلک ویأتی أیضاً بعضه الآخر فی العناوین التالیة </w:t>
      </w:r>
      <w:r>
        <w:rPr>
          <w:rFonts w:eastAsia="IRNazanin" w:cs="IRNazanin"/>
          <w:color w:val="111111"/>
          <w:sz w:val="28"/>
          <w:szCs w:val="28"/>
          <w:rtl w:val="true"/>
          <w:lang w:bidi="fa-IR"/>
        </w:rPr>
        <w:t>.</w:t>
      </w:r>
    </w:p>
    <w:p>
      <w:pPr>
        <w:pStyle w:val="Heading4"/>
        <w:numPr>
          <w:ilvl w:val="3"/>
          <w:numId w:val="1"/>
        </w:numPr>
        <w:rPr/>
      </w:pPr>
      <w:bookmarkStart w:id="110" w:name="__RefHeading___Toc4159420_3804643083"/>
      <w:bookmarkStart w:id="111" w:name="_Toc41"/>
      <w:bookmarkEnd w:id="110"/>
      <w:r>
        <w:rPr>
          <w:rtl w:val="true"/>
        </w:rPr>
        <w:t>کیفیة علم الصَدوقَین بصحَّة أخبار کتبهما</w:t>
      </w:r>
      <w:bookmarkEnd w:id="1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الشارح فی أوائل شرح المشیخة ـ بعد ما استفاده بأنّ الکلینی أیضاً کالصَدوق حکم بصحَّة أحادیث کتابه ، وأنّ مرادهما وکذا مراد سائر القُدَماء من الصحَّة القطع</w:t>
      </w:r>
    </w:p>
    <w:p>
      <w:pPr>
        <w:pStyle w:val="BookText"/>
        <w:rPr/>
      </w:pPr>
      <w:r>
        <w:rPr>
          <w:rFonts w:ascii="Amiri" w:hAnsi="Amiri" w:eastAsia="Amiri" w:cs="Amiri"/>
          <w:color w:val="111111"/>
          <w:sz w:val="28"/>
          <w:sz w:val="28"/>
          <w:szCs w:val="28"/>
          <w:rtl w:val="true"/>
          <w:lang w:bidi="ar-SA"/>
        </w:rPr>
        <w:t xml:space="preserve">بالورود عن المعصوم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یمکن علمهما بصحَّة الأخبار الّتی وردت عن جماعة من الضُعَفاء أو کانت مراسیل ، ویمکن أن یکونوا ضعفاء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جَآءَکُمْ فَاسِقٌ بِنَبَإٍ فَتَبَیَّنُواْ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وغیر ذلک من الأخبار الّتی وردت فی الاجتناب عن جماعة روی الصَدوقان عنهما؟</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أنّ الأخبار المرویة من الأئمّة الأطهار علیهم السلام کانت کثیرة ویمکن أن یکون جمیع ما ذکراه متواترةً أو محفوفةً بالقرائن المُفیدة للعلم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النجاشی بطریقین قویین کالصحیح عن أحمد بن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الکوفة فی طلب الحدیث فلقیت بها الحسن بن علی الوشاء ، فسألته أن یخرج لی کتاب العلاء بن رزین القلا وأبان بن عثمان الأحمر ، فأخرجهما إلیّ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تجیزهما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وما عجلتک؟ اذهب فاکتبهما واسمع من بعد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 الحدثان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هذا الحدیث یکون له هذا الطلب لاستکثرت منه ، فإنّی أدرکت فی هذا المسجد تسعمئة شیخ کلّ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جعفر بن محمّد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وذکر العلاّمة فی ترجمة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کتباً ذکرناها فی کتابنا الکبیر منها کتاب أسماء الرجال الّذین رووا عن الصادق علیه السلام أربعة آلاف رجل وأخرج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رجل الحدیث الّذی رواه </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الأصحاب أخباراً عن ابن عقدة فی کتاب الرجال والمسموع من المشایخ أنّه کان کتاباً کبیراً بترتیب کتب الحدیث والفقه ، وذکر أحوال کلّ واحد واحد منهم وروی عن کتابه خبراً أو خبرین أو أکثر ، وکان ضعف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أنّه سمع جماعة یحکون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مئة وعشرین ألف حدیث بأسانیدها واُذاکر بثلاثمئة ألف حدیث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وهذه ما کان فی حفظه فقس علیه ما لم یکن فی حفظه وما لم یروه من الأخبار ، وإن رأیت التفصیل فانظر إلی فهرست الشَّیخ والنجاشی ـ رضی اللّه عنهما ـ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الأحادیث فی الکثرة بهذه المرتبة کان یمکن أن یکون تواتر کلّ خبر من الأخبار الّتی ذکراها أو کان محفوفاً بالقرائن فلا یحتاج إلی السند ، وإنّما ذکرا سنداً ضعیفاً منها أو مرسلاً مع أنّ الجماعة الّذین ضعّفهم المتأخّرون یمکن أن یکون کلّهم ثقات عندهم ، علی أنّ الأصحاب اختاروا من هذه الکتب أربعمئة کتاب وسموه بالاُصول وأجمعوا علی صحّتها ، أمّا لکون رواتهم من الّذین أجمعت العصابة علی تصحیح ما یصح عنهم ، أو کان الکتب معروضة علی الأئمّة علیهم السلام وکان متواتراً عندهم تقریر المعصوم علیه السلام لها إلی غیر ذلک من الوجوه الّتی ذکرناها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أنّه یمکن القول بصحَّة کلّ خبر یکون صاحب الکتاب ممّن أجمعت العصابة علی تصحیح ما یصح عنهم باصطلاح المتأخّرین ، ولا ینظر إلی ما قبله ؛ لأنّ الظاهر القریب من المعلوم أنّ کتبهم کان معتمد الأصحاب وکان مشتهراً بینهم ارتفاع الشمس فی رابعة النهار ، کما اشتهر بیننا الکتب الأربعة للمحمّدین الثلاث رضی الله عنهم ، بل الظاهر أنّها کانت أشهر من هذه الکتب لکثرة روایة الحدیث ورواتها وإجماعهم علیها ، بل إذا کان الکتاب من الاُصول الأربعمئة لاتفاق الأصحاب علیها ، ولا ینظر فی الصورتین إلی ما بعدهما أیضاً سیّما فی المجمع علیهم</w:t>
      </w:r>
      <w:r>
        <w:rPr>
          <w:rFonts w:eastAsia="IRNazanin" w:cs="IRNazanin"/>
          <w:color w:val="111111"/>
          <w:sz w:val="28"/>
          <w:szCs w:val="28"/>
          <w:rtl w:val="true"/>
          <w:lang w:bidi="fa-IR"/>
        </w:rPr>
        <w:t xml:space="preserve">» . </w:t>
      </w:r>
      <w:r>
        <w:rPr>
          <w:rStyle w:val="FootnoteAnchor"/>
          <w:rtl w:val="true"/>
        </w:rPr>
        <w:footnoteReference w:id="225"/>
      </w:r>
      <w:bookmarkStart w:id="112" w:name="pg2516_26443"/>
    </w:p>
    <w:p>
      <w:pPr>
        <w:pStyle w:val="Heading3"/>
        <w:numPr>
          <w:ilvl w:val="2"/>
          <w:numId w:val="1"/>
        </w:numPr>
        <w:rPr/>
      </w:pPr>
      <w:bookmarkStart w:id="113" w:name="__RefHeading___Toc4159422_3804643083"/>
      <w:bookmarkStart w:id="114" w:name="_Toc42"/>
      <w:bookmarkEnd w:id="112"/>
      <w:bookmarkEnd w:id="113"/>
      <w:r>
        <w:rPr>
          <w:rtl w:val="true"/>
        </w:rPr>
        <w:t xml:space="preserve">مکاشفاته وطریقه لروایة </w:t>
      </w:r>
      <w:r>
        <w:rPr>
          <w:rtl w:val="true"/>
        </w:rPr>
        <w:t xml:space="preserve">« </w:t>
      </w:r>
      <w:r>
        <w:rPr>
          <w:rtl w:val="true"/>
        </w:rPr>
        <w:t xml:space="preserve">الصحیفة السجادیة </w:t>
      </w:r>
      <w:r>
        <w:rPr>
          <w:rtl w:val="true"/>
        </w:rPr>
        <w:t>»</w:t>
      </w:r>
      <w:bookmarkEnd w:id="114"/>
    </w:p>
    <w:p>
      <w:pPr>
        <w:pStyle w:val="Heading4"/>
        <w:numPr>
          <w:ilvl w:val="3"/>
          <w:numId w:val="1"/>
        </w:numPr>
        <w:rPr/>
      </w:pPr>
      <w:bookmarkStart w:id="115" w:name="__RefHeading___Toc4159424_3804643083"/>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یقول الشارح فی آخر شرح خطبة الفقیه ـ بعد مااستفاده بأنّ الکلینی أیضاً کالصَدوق حکم بصحَّة أحادیث کتابه ، وأنّ مرادهما من الصحَّة القطع بالورود من المعصوم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منهم النقل من الکتب المعتبرة المشهورة ، فإذا کان صاحب الکتاب ثقة یکون الخبر صحیحاً ؛ لأنّ الظاهر من نقل السند إلی الکتاب المشهور المتواتر مجرد التیمن والتبرک ، سیّما إذا کان من الجماعة المشهورین کالفضیل بن یسار ، ومحمّد بن مسلم ـ رضی اللّه عنهما ـ فإنّ الظاهر أنّه لا یضر جهالة سندیهما ، ومع هذا فالاطمئنان الّذی یحصل للنفس من خبر زرارة وعلی بن جعفر باعتبار صحَّة الطریق إلیهما أکثر ، وإن أمکن أن یکون هذا باعتبار الاُلف باصطلاح المتأخّرین ، وإذا کان الکتاب معروفاً معتمداً وصاحبه غیر مُوَثَّق ، وکان الطریق إلیه صحیحاً فهو مثل العکس فی الاطمئنان ، وإذا کان فی الطریق جهالة ولم یوثّق صاحب الکتاب فالاطمئنان أقلّ ، وإذا کان أحدهما ضعیفاً باعتبار ذمّ الأصحاب لصاحب الکتاب أو لواحد من الرواة فیصیر أضعف ، وإذا کانا ضعیفین فأضعف منه</w:t>
      </w:r>
      <w:r>
        <w:rPr>
          <w:rFonts w:eastAsia="IRNazanin" w:cs="IRNazanin"/>
          <w:color w:val="111111"/>
          <w:sz w:val="28"/>
          <w:szCs w:val="28"/>
          <w:rtl w:val="true"/>
          <w:lang w:bidi="fa-IR"/>
        </w:rPr>
        <w:t xml:space="preserve">» . </w:t>
      </w:r>
      <w:r>
        <w:rPr>
          <w:rStyle w:val="FootnoteAnchor"/>
          <w:rtl w:val="true"/>
        </w:rPr>
        <w:footnoteReference w:id="226"/>
      </w:r>
    </w:p>
    <w:p>
      <w:pPr>
        <w:pStyle w:val="Heading4"/>
        <w:numPr>
          <w:ilvl w:val="3"/>
          <w:numId w:val="1"/>
        </w:numPr>
        <w:rPr/>
      </w:pPr>
      <w:bookmarkStart w:id="117" w:name="__RefHeading___Toc4159426_3804643083"/>
      <w:bookmarkStart w:id="118" w:name="_Toc44"/>
      <w:bookmarkEnd w:id="117"/>
      <w:r>
        <w:rPr>
          <w:rtl w:val="true"/>
        </w:rPr>
        <w:t>مراتب الصحَّة فی الأخبار المودعة فی الکتب الأربعة</w:t>
      </w:r>
      <w:bookmarkEnd w:id="118"/>
    </w:p>
    <w:p>
      <w:pPr>
        <w:pStyle w:val="BookText"/>
        <w:rPr/>
      </w:pPr>
      <w:r>
        <w:rPr>
          <w:rFonts w:ascii="IRNazanin" w:hAnsi="IRNazanin" w:eastAsia="IRNazanin"/>
          <w:color w:val="111111"/>
          <w:sz w:val="28"/>
          <w:sz w:val="28"/>
          <w:szCs w:val="28"/>
          <w:rtl w:val="true"/>
          <w:lang w:bidi="fa-IR"/>
        </w:rPr>
        <w:t xml:space="preserve">یقول الصَدوق رحمه الله فی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یصلّی فیه وما لا یصلّی فیه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حدیث فیه النهی أن یصلّی الرجل والسراج موضوع بین یدیه فی القبلة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الحدیث الّذی روی عن أبی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یصلّی الرجل والنار والسراج والصورة بین یدیه ، لأنّ الّذی یصلّی له أقرب إلیه من الّذی بین یدیه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حدیث یروی عن ثلاثة من المجهولین بإسناد منقطع یرویه الحسن بن علی</w:t>
      </w:r>
    </w:p>
    <w:p>
      <w:pPr>
        <w:pStyle w:val="BookText"/>
        <w:rPr/>
      </w:pPr>
      <w:r>
        <w:rPr>
          <w:rFonts w:ascii="IRNazanin" w:hAnsi="IRNazanin" w:eastAsia="IRNazanin"/>
          <w:color w:val="111111"/>
          <w:sz w:val="28"/>
          <w:sz w:val="28"/>
          <w:szCs w:val="28"/>
          <w:rtl w:val="true"/>
          <w:lang w:bidi="fa-IR"/>
        </w:rPr>
        <w:t xml:space="preserve">الکوفی وهو معروف ، عن الحسین بن عمرو ، عن أبیه ، عن عمرو بن إبراهیم الهمدانی ـ وهم مجهولون ـ یرفع الحدیث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ذلک</w:t>
      </w:r>
      <w:r>
        <w:rPr>
          <w:rFonts w:eastAsia="IRNazanin" w:cs="IRNazanin"/>
          <w:color w:val="111111"/>
          <w:sz w:val="28"/>
          <w:szCs w:val="28"/>
          <w:rtl w:val="true"/>
          <w:lang w:bidi="fa-IR"/>
        </w:rPr>
        <w:t xml:space="preserve">» .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ثمّ عقّبه الشارح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ویظهر منه أنّ کلّ من ذکره الصَدوق عنه کان عنده معروفاً ، بل ثقة للاستثناء هنا ، والظاهر أنّ ملاحظة الرجال هنا باعتبار الأصحیة ، وإلاّ فلا یجوز عنده العمل بالحدیث غیر الصحیح ، وصحّته باعتبار أنّ أهل الاُصول مثل الحسن </w:t>
      </w:r>
      <w:r>
        <w:rPr>
          <w:rStyle w:val="FootnoteAnchor"/>
          <w:rtl w:val="true"/>
        </w:rPr>
        <w:footnoteReference w:id="228"/>
      </w:r>
      <w:r>
        <w:rPr>
          <w:rFonts w:ascii="IRNazanin" w:hAnsi="IRNazanin" w:eastAsia="IRNazanin"/>
          <w:color w:val="111111"/>
          <w:sz w:val="28"/>
          <w:sz w:val="28"/>
          <w:szCs w:val="28"/>
          <w:rtl w:val="true"/>
          <w:lang w:bidi="fa-IR"/>
        </w:rPr>
        <w:t xml:space="preserve">ومحمّد بن أحمد </w:t>
      </w:r>
      <w:r>
        <w:rPr>
          <w:rStyle w:val="FootnoteAnchor"/>
          <w:rtl w:val="true"/>
        </w:rPr>
        <w:footnoteReference w:id="229"/>
      </w:r>
      <w:r>
        <w:rPr>
          <w:rFonts w:ascii="IRNazanin" w:hAnsi="IRNazanin" w:eastAsia="IRNazanin"/>
          <w:color w:val="111111"/>
          <w:sz w:val="28"/>
          <w:sz w:val="28"/>
          <w:szCs w:val="28"/>
          <w:rtl w:val="true"/>
          <w:lang w:bidi="fa-IR"/>
        </w:rPr>
        <w:t>وغیرهما ذکروه فی اُصولهم واعتبروه</w:t>
      </w:r>
      <w:r>
        <w:rPr>
          <w:rFonts w:eastAsia="IRNazanin" w:cs="IRNazanin"/>
          <w:color w:val="111111"/>
          <w:sz w:val="28"/>
          <w:szCs w:val="28"/>
          <w:rtl w:val="true"/>
          <w:lang w:bidi="fa-IR"/>
        </w:rPr>
        <w:t xml:space="preserve">»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ویقول الصَدوق أیضاً فی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زیارة قبر أبی عبداللّه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زیارة من روایة یوسف الکناسی عن أبی عبداللّه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أخرجت فی کتاب الزیارات ، وفی کتاب مقتل الحسین علیه السلام أنواعاً من الزیارات ، واخترت هذه لهذا الکتاب ؛ لأنّها أصح الزیارات عندی من طریق الروایة وفیها بلاغ وکفایة</w:t>
      </w:r>
      <w:r>
        <w:rPr>
          <w:rFonts w:eastAsia="IRNazanin" w:cs="IRNazanin"/>
          <w:color w:val="111111"/>
          <w:sz w:val="28"/>
          <w:szCs w:val="28"/>
          <w:rtl w:val="true"/>
          <w:lang w:bidi="fa-IR"/>
        </w:rPr>
        <w:t xml:space="preserve">» .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ثمّ قال الشارح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أنواعاً من الزیارات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کلّها صحیحة عنده ، لأنّ عادته ألاّ یذکر غیر الصحیح عنده فی کتاب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طریق الروایة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وظاهره أنّه یوثّقهم ویعرف عدالتهم أو کانت الصحَّة بإحدی المعانی الّتی ذکرتها فی أول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والکلینی أیضاً حکم بصحّتها وإن کان فی طریقها من جرحه أصحاب الرجال کالحسن بن راشد ؛ لکن لا یقصر تصحیح هذین الجلیلین عن تصحیح غیرهما من أصحاب الرجال ، واللّه تعالی یعلم حقیقة الحال</w:t>
      </w:r>
      <w:r>
        <w:rPr>
          <w:rFonts w:eastAsia="IRNazanin" w:cs="IRNazanin"/>
          <w:color w:val="111111"/>
          <w:sz w:val="28"/>
          <w:szCs w:val="28"/>
          <w:rtl w:val="true"/>
          <w:lang w:bidi="fa-IR"/>
        </w:rPr>
        <w:t xml:space="preserve">» . </w:t>
      </w:r>
      <w:r>
        <w:rPr>
          <w:rStyle w:val="FootnoteAnchor"/>
          <w:rtl w:val="true"/>
        </w:rPr>
        <w:footnoteReference w:id="2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الشارح فی شرح المشیخة عند کلامه حول مصادر الصَدوق ما لفظه </w:t>
      </w:r>
      <w:r>
        <w:rPr>
          <w:rFonts w:eastAsia="IRNazanin" w:cs="IRNazanin"/>
          <w:color w:val="111111"/>
          <w:sz w:val="28"/>
          <w:szCs w:val="28"/>
          <w:rtl w:val="true"/>
          <w:lang w:bidi="fa-IR"/>
        </w:rPr>
        <w:t>:</w:t>
      </w:r>
      <w:bookmarkStart w:id="119" w:name="pg2516_26445"/>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الجماعة الّذین لیسوا بمشهورین عندنا کانوا مشهورین عنده وعند سائر القُدَماء</w:t>
      </w:r>
      <w:r>
        <w:rPr>
          <w:rFonts w:eastAsia="IRNazanin" w:cs="IRNazanin"/>
          <w:color w:val="111111"/>
          <w:sz w:val="28"/>
          <w:szCs w:val="28"/>
          <w:rtl w:val="true"/>
          <w:lang w:bidi="fa-IR"/>
        </w:rPr>
        <w:t xml:space="preserve">» . </w:t>
      </w:r>
      <w:r>
        <w:rPr>
          <w:rStyle w:val="FootnoteAnchor"/>
          <w:rtl w:val="true"/>
        </w:rPr>
        <w:footnoteReference w:id="233"/>
      </w:r>
    </w:p>
    <w:p>
      <w:pPr>
        <w:pStyle w:val="Heading4"/>
        <w:numPr>
          <w:ilvl w:val="3"/>
          <w:numId w:val="1"/>
        </w:numPr>
        <w:rPr/>
      </w:pPr>
      <w:bookmarkStart w:id="120" w:name="__RefHeading___Toc4159428_3804643083"/>
      <w:bookmarkStart w:id="121" w:name="_Toc45"/>
      <w:bookmarkEnd w:id="120"/>
      <w:r>
        <w:rPr>
          <w:rtl w:val="true"/>
        </w:rPr>
        <w:t>سبب ترک الصَدوق الأخبار الصحیحة فی بعض الأبواب ونقل الخبر الضعیف</w:t>
      </w:r>
      <w:bookmarkEnd w:id="121"/>
    </w:p>
    <w:p>
      <w:pPr>
        <w:pStyle w:val="BookText"/>
        <w:rPr/>
      </w:pPr>
      <w:r>
        <w:rPr>
          <w:rFonts w:ascii="IRNazanin" w:hAnsi="IRNazanin" w:eastAsia="IRNazanin"/>
          <w:color w:val="111111"/>
          <w:sz w:val="28"/>
          <w:sz w:val="28"/>
          <w:szCs w:val="28"/>
          <w:rtl w:val="true"/>
          <w:lang w:bidi="fa-IR"/>
        </w:rPr>
        <w:t xml:space="preserve">روی الصَدوق فی کتاب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السکونی ، عن جعفر بن محمّد ، عن أبیه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فی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فکان مضمون الخبر عدم صحَّة المضاربة بما فی الذمّة ویقول الشارح فی ذیلها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عمل الأصحاب وانجبر ضعف الخبر بعملهم ؛ لأنّه یمکن أن یکون لهم أخبار متواترة ولم ینقلوا إلاّ هذا الخبر اعتماداً علی وجودها فی الکتب وبعده ضاع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تخصیص هذه الأخبار بالذکر من بینها أنّ مثل هذا الخبر یتصل بأمیر المؤمنین علیه السلام ورسول اللّه صلی الله علیه و آله فینقلونه تبرکاً باسمهما ولرغبة العامّة إلی کتبهم ، وهذا الوجه مشاهد من الصَدوق فی کثیر من الأبواب من هذا الکتاب وفی غیره من کتبه کما لا یخفی علی المتتبع</w:t>
      </w:r>
      <w:r>
        <w:rPr>
          <w:rFonts w:eastAsia="IRNazanin" w:cs="IRNazanin"/>
          <w:color w:val="111111"/>
          <w:sz w:val="28"/>
          <w:szCs w:val="28"/>
          <w:rtl w:val="true"/>
          <w:lang w:bidi="fa-IR"/>
        </w:rPr>
        <w:t xml:space="preserve">» . </w:t>
      </w:r>
      <w:r>
        <w:rPr>
          <w:rStyle w:val="FootnoteAnchor"/>
          <w:rtl w:val="true"/>
        </w:rPr>
        <w:footnoteReference w:id="234"/>
      </w:r>
    </w:p>
    <w:p>
      <w:pPr>
        <w:pStyle w:val="Heading4"/>
        <w:numPr>
          <w:ilvl w:val="3"/>
          <w:numId w:val="1"/>
        </w:numPr>
        <w:rPr/>
      </w:pPr>
      <w:bookmarkStart w:id="122" w:name="__RefHeading___Toc4159430_3804643083"/>
      <w:bookmarkStart w:id="123" w:name="_Toc46"/>
      <w:bookmarkEnd w:id="122"/>
      <w:r>
        <w:rPr>
          <w:rtl w:val="true"/>
        </w:rPr>
        <w:t>أقوال الصَدوق فی أوائل الفقیه هی متون الأخبار لا اجتهاداته</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الصَدوق رحمه الله قد ذکر فی أوائل الفقیه جملة من الأحکام یبدو من ظاهرها أنّها اجتهاداته ، ولکنها لیست کذلک وإن توهمه بعض المتأخّرین ، والشارح بسبب ما کان منهجه من ذکر جمیع الأخبار الّتی وردت فی مضمون کلّ خبر نقله الصَدوق وتأییده بها ، فقد ذکر لهذه الأحکام أیضاً الروایات الّتی وردت فی مضمونها ونقلها الکلینی أو الشَّیخ ، وقال بعد مدة من سلوکه علی هذا المنوال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bookmarkStart w:id="124" w:name="pg2516_26446"/>
    </w:p>
    <w:p>
      <w:pPr>
        <w:pStyle w:val="BookText"/>
        <w:rPr/>
      </w:pPr>
      <w:bookmarkEnd w:id="124"/>
      <w:r>
        <w:rPr>
          <w:rFonts w:ascii="IRNazanin" w:hAnsi="IRNazanin" w:eastAsia="IRNazanin"/>
          <w:color w:val="111111"/>
          <w:sz w:val="28"/>
          <w:sz w:val="28"/>
          <w:szCs w:val="28"/>
          <w:rtl w:val="true"/>
          <w:lang w:bidi="fa-IR"/>
        </w:rPr>
        <w:t xml:space="preserve">ما ذکره الصَدوق هو متون الأخبار المسندة فلا یظن به أنّه اجتهاده ، بل اجتهاد الأخباریین ترجیح بعض الأخبار علی بعض للقرائن الّتی تظهر لهم فی الصحَّة أو الأصحیة </w:t>
      </w:r>
      <w:r>
        <w:rPr>
          <w:rFonts w:eastAsia="IRNazanin" w:cs="IRNazanin"/>
          <w:color w:val="111111"/>
          <w:sz w:val="28"/>
          <w:szCs w:val="28"/>
          <w:rtl w:val="true"/>
          <w:lang w:bidi="fa-IR"/>
        </w:rPr>
        <w:t xml:space="preserve">...» . </w:t>
      </w:r>
      <w:r>
        <w:rPr>
          <w:rStyle w:val="FootnoteAnchor"/>
          <w:rtl w:val="true"/>
        </w:rPr>
        <w:footnoteReference w:id="235"/>
      </w:r>
    </w:p>
    <w:p>
      <w:pPr>
        <w:pStyle w:val="Heading3"/>
        <w:numPr>
          <w:ilvl w:val="2"/>
          <w:numId w:val="1"/>
        </w:numPr>
        <w:rPr/>
      </w:pPr>
      <w:bookmarkStart w:id="125" w:name="__RefHeading___Toc4159432_3804643083"/>
      <w:bookmarkStart w:id="126" w:name="_Toc47"/>
      <w:bookmarkEnd w:id="125"/>
      <w:r>
        <w:rPr>
          <w:rtl w:val="true"/>
        </w:rPr>
        <w:t>محتوی شرح المشیخة</w:t>
      </w:r>
      <w:bookmarkEnd w:id="126"/>
    </w:p>
    <w:p>
      <w:pPr>
        <w:pStyle w:val="Heading4"/>
        <w:numPr>
          <w:ilvl w:val="3"/>
          <w:numId w:val="1"/>
        </w:numPr>
        <w:rPr/>
      </w:pPr>
      <w:bookmarkStart w:id="127" w:name="__RefHeading___Toc4159434_3804643083"/>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صرّح جمع من العُلَماء بأنّ الحدیث ینقسم عند القُدَماء إلی صحیح وضعیف ، فکلّ حدیث تکرر فی أصل أو 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الاُصول المعتبرة والکتب المعتمدة بأسانید مختلفة ، یطلقون علیه تسمیة الصحیح ، لأنّ ذلک عندهم کاشف عن وجود أصل للحدیث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وبالتکرار یخرج الحدیث عن حدّ الغرابة ویصیر مستفیضاً ، ویعدون ما یقابل ذلک ـ وهو الحدیث الّذی لم یشتهر نقله فی الاُصول والکتب المعتبرة ـ ضعیفاً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الکلینی والصَدوق رحمهماالله قد سلکا هذا المنهج حیث کانا علی رأس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سار المتأخّرون علی منهج القُدَماء عن طریق تتبع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المواضع الّتی یستفاد منها ذلک المنهج قول الصَدوق فی کتاب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الوصی یمنع الوارث ماله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حیث قال ـ بعد نقل حدیث عن الکلینی ـ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مصنف هذا الکتاب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هذا الحدیث إلاّ فی کتاب محمّد بن یعقوب ، وما رویته إلاّ من طریقه ، حدّثنی به غیر واحد ، منهم محمّد بن محمّد بن عصام الکلینی رضی الله عنه عن محمّد بن یعقوب</w:t>
      </w:r>
      <w:r>
        <w:rPr>
          <w:rFonts w:eastAsia="IRNazanin" w:cs="IRNazanin"/>
          <w:color w:val="111111"/>
          <w:sz w:val="28"/>
          <w:szCs w:val="28"/>
          <w:rtl w:val="true"/>
          <w:lang w:bidi="fa-IR"/>
        </w:rPr>
        <w:t xml:space="preserve">» . </w:t>
      </w:r>
      <w:r>
        <w:rPr>
          <w:rStyle w:val="FootnoteAnchor"/>
          <w:rtl w:val="true"/>
        </w:rPr>
        <w:footnoteReference w:id="2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الشارح فی توضیح کلام الشَّیخ الصَدوق ومنهج القُدَماء فی تصحیح الأخبار والعمل بها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دأبهم فی العمل بالخبر تکرره فی الکتب بأسانید مختلفة وبه یصیر الخبر أمّا متواتراً أو مستفیضاً ، ولو لم یکن کذلک کان خبراً واحداً ولا</w:t>
      </w:r>
      <w:bookmarkStart w:id="129" w:name="pg2516_26447"/>
    </w:p>
    <w:p>
      <w:pPr>
        <w:pStyle w:val="BookText"/>
        <w:rPr/>
      </w:pPr>
      <w:bookmarkEnd w:id="129"/>
      <w:r>
        <w:rPr>
          <w:rFonts w:ascii="IRNazanin" w:hAnsi="IRNazanin" w:eastAsia="IRNazanin"/>
          <w:color w:val="111111"/>
          <w:sz w:val="28"/>
          <w:sz w:val="28"/>
          <w:szCs w:val="28"/>
          <w:rtl w:val="true"/>
          <w:lang w:bidi="fa-IR"/>
        </w:rPr>
        <w:t>یعملون به غالباً ، إلاّ ما کان من الکتب المعتمدة فیعملون به حینئذٍ مع عدم المعارض ، فذکره وعمل به وأشار إلی الواقع</w:t>
      </w:r>
      <w:r>
        <w:rPr>
          <w:rFonts w:eastAsia="IRNazanin" w:cs="IRNazanin"/>
          <w:color w:val="111111"/>
          <w:sz w:val="28"/>
          <w:szCs w:val="28"/>
          <w:rtl w:val="true"/>
          <w:lang w:bidi="fa-IR"/>
        </w:rPr>
        <w:t xml:space="preserve">» . </w:t>
      </w:r>
      <w:r>
        <w:rPr>
          <w:rStyle w:val="FootnoteAnchor"/>
          <w:rtl w:val="true"/>
        </w:rPr>
        <w:footnoteReference w:id="237"/>
      </w:r>
    </w:p>
    <w:p>
      <w:pPr>
        <w:pStyle w:val="Heading4"/>
        <w:numPr>
          <w:ilvl w:val="3"/>
          <w:numId w:val="1"/>
        </w:numPr>
        <w:rPr/>
      </w:pPr>
      <w:bookmarkStart w:id="130" w:name="__RefHeading___Toc4159436_3804643083"/>
      <w:bookmarkStart w:id="131" w:name="_Toc49"/>
      <w:bookmarkEnd w:id="130"/>
      <w:r>
        <w:rPr>
          <w:rtl w:val="true"/>
        </w:rPr>
        <w:t>روایات الکتب الأربعة مأخوذة من الاُصول والکتب المعتبرة</w:t>
      </w:r>
      <w:bookmarkEnd w:id="131"/>
    </w:p>
    <w:p>
      <w:pPr>
        <w:pStyle w:val="BookText"/>
        <w:rPr/>
      </w:pPr>
      <w:r>
        <w:rPr>
          <w:rFonts w:ascii="IRNazanin" w:hAnsi="IRNazanin" w:eastAsia="IRNazanin"/>
          <w:color w:val="111111"/>
          <w:sz w:val="28"/>
          <w:sz w:val="28"/>
          <w:szCs w:val="28"/>
          <w:rtl w:val="true"/>
          <w:lang w:bidi="fa-IR"/>
        </w:rPr>
        <w:t xml:space="preserve">قد عَرَفتَ أنّ المصادر الأولیة لحدیث الشیعة کتب معتبرة تسمّی الاُصول ، والشارح جزم هنا بأنّ المشایخ الثلاثة نقلوا فی کتبهم من هذه الاُصول ومن سائر الکتب المعتبرة من الجوامع الّتی اُلّفت قبل زمان ثقة الإسلام الکلینی ، وترکوا الشواذ من الأخبار الّتی نقلت فی الکتب غیر المعتبرة ، فصار هذا منشأ حکم الصَدوقین بصحَّة کتبهما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بذلک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آنفاً ضمن کلامه فی خاتمة شرح المشیخة ،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والمرأة الحائض إذا رأت الطهر فی السفر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الکلینی عن العدّة ، عن سهل بن زیاد ، عن ابن محبوب ، عن ابن رئاب ، عن أبی عبیدة ،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الکلینی أخذ الخبر من کتاب الحسن بن محبوب ، کما هو طریقة الشَّیخ والصَدوق ، أو من کتاب أبی عبیدة ؛ لأنّ الاُصول کانت عندهم ، ولهذا حکم الکلینی والصَدوق بصحَّة کتابهما ، فلا یضر الضعف بسهل بن زیاد</w:t>
      </w:r>
      <w:r>
        <w:rPr>
          <w:rFonts w:eastAsia="IRNazanin" w:cs="IRNazanin"/>
          <w:color w:val="111111"/>
          <w:sz w:val="28"/>
          <w:szCs w:val="28"/>
          <w:rtl w:val="true"/>
          <w:lang w:bidi="fa-IR"/>
        </w:rPr>
        <w:t xml:space="preserve">» . </w:t>
      </w:r>
      <w:r>
        <w:rPr>
          <w:rStyle w:val="FootnoteAnchor"/>
          <w:rtl w:val="true"/>
        </w:rPr>
        <w:footnoteReference w:id="2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أمیر المؤمنین علیه السلام صیام شهر الصبر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الکلینی فی الحَسِن کالصحیح عن الحلبی ـ والظاهر أنّ الصَدوق أخذه من کتابه ، فیکون صحیحاً لصحَّة طریقه إلی کتابه أیضاً ، وإن کان الظاهر من التتبع أنّ الکلینی رحمه الله أیضاً أخذه من کتابه ، لأنّ طریقه إلیه فی أکثر أخبار الحلبی واحد ،</w:t>
      </w:r>
      <w:bookmarkStart w:id="132" w:name="pg2516_26448"/>
    </w:p>
    <w:p>
      <w:pPr>
        <w:pStyle w:val="BookText"/>
        <w:rPr/>
      </w:pPr>
      <w:bookmarkEnd w:id="132"/>
      <w:r>
        <w:rPr>
          <w:rFonts w:ascii="IRNazanin" w:hAnsi="IRNazanin" w:eastAsia="IRNazanin"/>
          <w:color w:val="111111"/>
          <w:sz w:val="28"/>
          <w:sz w:val="28"/>
          <w:szCs w:val="28"/>
          <w:rtl w:val="true"/>
          <w:lang w:bidi="fa-IR"/>
        </w:rPr>
        <w:t xml:space="preserve">فلا تغفل عن أمثال هذه القرائن ، وکثرتها تفید القطع کما حصل لی ـ عن أبی عبداللّه علیه السلام </w:t>
      </w:r>
      <w:r>
        <w:rPr>
          <w:rFonts w:eastAsia="IRNazanin" w:cs="IRNazanin"/>
          <w:color w:val="111111"/>
          <w:sz w:val="28"/>
          <w:szCs w:val="28"/>
          <w:rtl w:val="true"/>
          <w:lang w:bidi="fa-IR"/>
        </w:rPr>
        <w:t xml:space="preserve">... »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مقدّمة الروضة بعد الفراغ من شرح خطبة الفقیه ، حیث قال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فإنّ الظاهر أنّ الشَّیخین نقلا جمیع مافی الکتابین من الاُصول الأربعمئة الّتی کان اعتماد الطائفة المحقّة علیها کما ذکره الصَدوق صریحاً ویفهم من کلام ثقة الإسلام أیضاً</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وقال بمثله فی اللوامع </w:t>
      </w:r>
      <w:r>
        <w:rPr>
          <w:rStyle w:val="FootnoteAnchor"/>
          <w:rtl w:val="true"/>
        </w:rPr>
        <w:footnoteReference w:id="241"/>
      </w:r>
      <w:r>
        <w:rPr>
          <w:rFonts w:ascii="IRNazanin" w:hAnsi="IRNazanin" w:eastAsia="IRNazanin"/>
          <w:color w:val="111111"/>
          <w:sz w:val="28"/>
          <w:sz w:val="28"/>
          <w:szCs w:val="28"/>
          <w:rtl w:val="true"/>
          <w:lang w:bidi="fa-IR"/>
        </w:rPr>
        <w:t xml:space="preserve">إلاّ أنّه أضاف إلی الصَّدوقین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 ما نقلناه من الشارح هنا من أخذ المشایخ الثلاثة جمیع روایات کتبهم من الاُصول الأربعمئة ینافی ما نقلنا عنه فی الفصل الأوّل من أنّ عمل الطائفة یقوم علی الجوامع الّتی ألّفها الطاطریون وبنو الفضّال ، لموافقتها الاُصول الأربعمئة وجودة تصانیفهم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أیضاً فی العنوان التالی أنّ مصادر الصَدوق لیست کلّها من الاُصول </w:t>
      </w:r>
      <w:r>
        <w:rPr>
          <w:rFonts w:eastAsia="IRNazanin" w:cs="IRNazanin"/>
          <w:color w:val="111111"/>
          <w:sz w:val="28"/>
          <w:szCs w:val="28"/>
          <w:rtl w:val="true"/>
          <w:lang w:bidi="fa-IR"/>
        </w:rPr>
        <w:t>.</w:t>
      </w:r>
    </w:p>
    <w:p>
      <w:pPr>
        <w:pStyle w:val="Heading4"/>
        <w:numPr>
          <w:ilvl w:val="3"/>
          <w:numId w:val="1"/>
        </w:numPr>
        <w:rPr/>
      </w:pPr>
      <w:bookmarkStart w:id="133" w:name="__RefHeading___Toc4159438_3804643083"/>
      <w:bookmarkStart w:id="134" w:name="_Toc50"/>
      <w:bookmarkEnd w:id="133"/>
      <w:r>
        <w:rPr>
          <w:rtl w:val="true"/>
        </w:rPr>
        <w:t xml:space="preserve">مصادر الصدوق فی </w:t>
      </w:r>
      <w:r>
        <w:rPr>
          <w:rtl w:val="true"/>
        </w:rPr>
        <w:t>«</w:t>
      </w:r>
      <w:r>
        <w:rPr>
          <w:rtl w:val="true"/>
        </w:rPr>
        <w:t>الفقیه</w:t>
      </w:r>
      <w:r>
        <w:rPr>
          <w:rtl w:val="true"/>
        </w:rPr>
        <w:t xml:space="preserve">» </w:t>
      </w:r>
      <w:r>
        <w:rPr>
          <w:rtl w:val="true"/>
        </w:rPr>
        <w:t>لیست کلّها من الاُصول</w:t>
      </w:r>
      <w:bookmarkEnd w:id="134"/>
    </w:p>
    <w:p>
      <w:pPr>
        <w:pStyle w:val="BookText"/>
        <w:rPr/>
      </w:pPr>
      <w:r>
        <w:rPr>
          <w:rFonts w:ascii="IRNazanin" w:hAnsi="IRNazanin" w:eastAsia="IRNazanin"/>
          <w:color w:val="111111"/>
          <w:sz w:val="28"/>
          <w:sz w:val="28"/>
          <w:szCs w:val="28"/>
          <w:rtl w:val="true"/>
          <w:lang w:bidi="fa-IR"/>
        </w:rPr>
        <w:t xml:space="preserve">إنّ مصادر الصَدوق فی کتاب الفقیه مشهورة عند القُدَماء ، وإن لم نعرف بعضها ، لکن لیست کلّها من الاُصول الأربعمئة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ذلک المعنی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یخطر بالبال دائماً أنّ قول المصنف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مافیه مستخرج من کتب مشهورة علیها المعوّل وإلیها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باله أوّلاً أنّ یذکر فی هذا الکتاب الأخبار المستخرجة منها ، ثمّ آل القول إلی أن ذکر فیه من غیر ذلک الأخبار أیضاً ، لأنّه ذکر عن جماعة لیس بمشهور ولا کتبهم ، أو یکون المراد بالجمیع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لکنهما سوء ظن بالمصنف ، بل بأکثر الأصحاب ، فإنّهم ذکروا مراسیله وذکروا أنّ الصَدوق ضمن صحَّة جمیع مافی کتابه </w:t>
      </w:r>
      <w:r>
        <w:rPr>
          <w:rFonts w:eastAsia="IRNazanin" w:cs="IRNazanin"/>
          <w:color w:val="111111"/>
          <w:sz w:val="28"/>
          <w:szCs w:val="28"/>
          <w:rtl w:val="true"/>
          <w:lang w:bidi="fa-IR"/>
        </w:rPr>
        <w:t>.</w:t>
      </w:r>
      <w:bookmarkStart w:id="135" w:name="pg2516_26449"/>
    </w:p>
    <w:p>
      <w:pPr>
        <w:pStyle w:val="BookText"/>
        <w:rPr/>
      </w:pPr>
      <w:bookmarkEnd w:id="135"/>
      <w:r>
        <w:rPr>
          <w:rFonts w:ascii="IRNazanin" w:hAnsi="IRNazanin" w:eastAsia="IRNazanin"/>
          <w:color w:val="111111"/>
          <w:sz w:val="28"/>
          <w:sz w:val="28"/>
          <w:szCs w:val="28"/>
          <w:rtl w:val="true"/>
          <w:lang w:bidi="fa-IR"/>
        </w:rPr>
        <w:t xml:space="preserve">بل الظاهر أنّ الجماعة الّذین لیسوا بمشهورین عندنا کانوا مشهورین عنده وعند سائر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ذکر بعض الأصحاب أنّ هذه العبارة تدلّ علی أنّ الکتب الّتی ینقل عنها کانت من الاُصول الأربعمئة ، وهو خلاف الظاهر ، فإنّ الشَّیخ ذکر کثیراً منهم لیسوا بهذه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یمکن أن یکون أکثرهم هؤلاء واللّه تعالی یعلم</w:t>
      </w:r>
      <w:r>
        <w:rPr>
          <w:rFonts w:eastAsia="IRNazanin" w:cs="IRNazanin"/>
          <w:color w:val="111111"/>
          <w:sz w:val="28"/>
          <w:szCs w:val="28"/>
          <w:rtl w:val="true"/>
          <w:lang w:bidi="fa-IR"/>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ثمّ إنّ الشارح قال بعد ذلک فی موضع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الکتب الّتی نقل الصَدوق عنها وهی قریبة من أربعمئة أکثرها من الاُصول الأربعمئة مع أنّها کانت معتمدة عندهم</w:t>
      </w:r>
      <w:r>
        <w:rPr>
          <w:rFonts w:eastAsia="IRNazanin" w:cs="IRNazanin"/>
          <w:color w:val="111111"/>
          <w:sz w:val="28"/>
          <w:szCs w:val="28"/>
          <w:rtl w:val="true"/>
          <w:lang w:bidi="fa-IR"/>
        </w:rPr>
        <w:t xml:space="preserve">» . </w:t>
      </w:r>
      <w:r>
        <w:rPr>
          <w:rStyle w:val="FootnoteAnchor"/>
          <w:rtl w:val="true"/>
        </w:rPr>
        <w:footnoteReference w:id="243"/>
      </w:r>
    </w:p>
    <w:p>
      <w:pPr>
        <w:pStyle w:val="Heading4"/>
        <w:numPr>
          <w:ilvl w:val="3"/>
          <w:numId w:val="1"/>
        </w:numPr>
        <w:rPr/>
      </w:pPr>
      <w:bookmarkStart w:id="136" w:name="__RefHeading___Toc4159440_3804643083"/>
      <w:bookmarkStart w:id="137" w:name="_Toc51"/>
      <w:bookmarkEnd w:id="136"/>
      <w:r>
        <w:rPr>
          <w:rtl w:val="true"/>
        </w:rPr>
        <w:t>للمشایخ الثلاثة طُرق کثیرة إلی أصحاب الاُصول</w:t>
      </w:r>
      <w:bookmarkEnd w:id="137"/>
    </w:p>
    <w:p>
      <w:pPr>
        <w:pStyle w:val="BookText"/>
        <w:rPr/>
      </w:pPr>
      <w:r>
        <w:rPr>
          <w:rFonts w:ascii="IRNazanin" w:hAnsi="IRNazanin" w:eastAsia="IRNazanin"/>
          <w:color w:val="111111"/>
          <w:sz w:val="28"/>
          <w:sz w:val="28"/>
          <w:szCs w:val="28"/>
          <w:rtl w:val="true"/>
          <w:lang w:bidi="fa-IR"/>
        </w:rPr>
        <w:t xml:space="preserve">لا یخفی علی الباحث فی هذا الفنّ أنّه اذا ثبت بأنّ للمشایخ الثلاثة طُرق کثیرة إلی أصحاب الاُصول المعتمدة والکتب المعتبرة لحصل العلم باستفاضة هذه المصادر واشتهارها عند المشایخ الثلاثة ، وذلک یعنی صحَّة انتسابها إلی مؤلّفیها فحینئذٍ لا یضرّ ضعف بعض تلک الطرق ، ویحصل إضافة إلی ما تقدّم ـ من أنّ المشایخ الثلاثة ینقلون فی کتبهم غالباً من هذه المصادر ـ نوع من الاطمئنان بصدور الروایات المنقولة فی الکتب الأربعة عن مؤلّفی الاُصول والکتب المعتبرة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الشارح بکثرة طرق المشایخ الثلاثة إلی بعض أصحاب الاُصول فی مواضع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کتاب الطلاق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الحسن بن محبوب ، عن علی بن رئاب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الصحیح کالشَّیخ والکلینی فی الحَسِن کالصحیح ، والظاهر أنّه من کتاب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وللکلینی إلیه طرق کثیرة ، ولتفنّن الطریق تارة یذکر فیه عن علی ، عن أبیه ، عن الحسن وتارة عن محمّد بن</w:t>
      </w:r>
    </w:p>
    <w:p>
      <w:pPr>
        <w:pStyle w:val="BookText"/>
        <w:rPr/>
      </w:pPr>
      <w:r>
        <w:rPr>
          <w:rFonts w:ascii="IRNazanin" w:hAnsi="IRNazanin" w:eastAsia="IRNazanin"/>
          <w:color w:val="111111"/>
          <w:sz w:val="28"/>
          <w:sz w:val="28"/>
          <w:szCs w:val="28"/>
          <w:rtl w:val="true"/>
          <w:lang w:bidi="fa-IR"/>
        </w:rPr>
        <w:t xml:space="preserve">یَحیی ، عن أحمد بن محمّد ، عن الحسن ، وتارة عن علی بن محمّد ، عن سهل بن زیاد عن الحسن ، وتارة عن العدّة ، عن أحمد بن محمّد بن عیسی عنه ، وتارة عن العدّة ، عن أحمد بن محمّد بن خالد عنه ، وتارة عن العدّة ، عن سهل عنه ، وتارة مرکباً عن اثنتین ، وتارة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علی المشهور أصفه بالحَسِن أو القوی ، لکن الاعتقاد الصحَّة لکثرة المزاولة ، وعلیک أیضاً بکثرتها حتّی یحصل لک ما حصل لی</w:t>
      </w:r>
      <w:r>
        <w:rPr>
          <w:rFonts w:eastAsia="IRNazanin" w:cs="IRNazanin"/>
          <w:color w:val="111111"/>
          <w:sz w:val="28"/>
          <w:szCs w:val="28"/>
          <w:rtl w:val="true"/>
          <w:lang w:bidi="fa-IR"/>
        </w:rPr>
        <w:t xml:space="preserve">» .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کتاب النکاح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عبداللّه بن القاسم ، عن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حیث قال بعد الحکم بضعف عبداللّه بن القاسم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الحکم بصحّته ؛ لأنّه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فی هذا الکتاب عن عبداللّه بن سنان بطریق صحیح عالی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به عن ذکر غیره ، فإنّ الظاهر أنّ کتب عبداللّه کانت فی حفظه وکان یعلم أنّ هذا الحدیث وأمثاله موجود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یذکرون بالطرق الکثیرة لتفنن الطرق ، ونحن قد تتبعنا ذلک منه ، ومن الکلینی ـ رضی اللّه عنهما ـ فإنّهما کانا ینقلان من الکتب وکان لهما إلی کلّ کتاب طرق متعددة ، وکانا ینقلان مرّة بطریق ومرّة بآخر ـ کما لا یخفی علی المتتبع ـ ، ولهذا یحکمان بصحَّة جمیع مافی الکتابین مع أنّ الظاهر أن کلّ خبر ینقلانه من طریق فإنّه کان لهما طرق کثیرة علی ما تتبعنا من کتب المصنّف</w:t>
      </w:r>
      <w:r>
        <w:rPr>
          <w:rFonts w:eastAsia="IRNazanin" w:cs="IRNazanin"/>
          <w:color w:val="111111"/>
          <w:sz w:val="28"/>
          <w:szCs w:val="28"/>
          <w:rtl w:val="true"/>
          <w:lang w:bidi="fa-IR"/>
        </w:rPr>
        <w:t xml:space="preserve">» . </w:t>
      </w:r>
      <w:r>
        <w:rPr>
          <w:rStyle w:val="FootnoteAnchor"/>
          <w:rtl w:val="true"/>
        </w:rPr>
        <w:footnoteReference w:id="2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شرح رجال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الحسین بن عبد الملک الأودی ، بالواو أو بالزای یقع غالباً فی طریق الحسن بن محبوب عنه ویشتبه بغیره لو لم یذکر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یروی الشَّیخ عن أحمد بن عبدون ، عن علی بن محمّد بن الزبیر ، عنه عن ابن محبوب ، والغالب ذلک فی أوائل التهذیب استئناساً للمبتدئ ، ثمّ بعده یروی عن الحسن بن محبوب صاحب الکتاب کغیره من الأخبار ، ثمّ ذکر فی آخر الکتاب أنّ</w:t>
      </w:r>
      <w:bookmarkStart w:id="138" w:name="pg2516_26451"/>
    </w:p>
    <w:p>
      <w:pPr>
        <w:pStyle w:val="BookText"/>
        <w:rPr/>
      </w:pPr>
      <w:bookmarkEnd w:id="138"/>
      <w:r>
        <w:rPr>
          <w:rFonts w:ascii="IRNazanin" w:hAnsi="IRNazanin" w:eastAsia="IRNazanin"/>
          <w:color w:val="111111"/>
          <w:sz w:val="28"/>
          <w:sz w:val="28"/>
          <w:szCs w:val="28"/>
          <w:rtl w:val="true"/>
          <w:lang w:bidi="fa-IR"/>
        </w:rPr>
        <w:t xml:space="preserve">جمیع ما ذکرته فی هذا الکتاب عن ابن محبوب فقد أخبرنی فلان عن فلان عنه ، ویذکر طریقاً أو طریقین إلیه ، ویذکر فی الفهرست ذلک الطرق مع غیرها ، ویذکر أنّه یروی جمیع کتبه وروایاته بالطرق الّتی یذکرها ، فمثل هذا الطریق إذا کان فیه جهالة أو ضعف فلا یضر إذا کان له طریق آخر صحیح فی آخر الکتاب أو الفهرست ، والغالب وجدان طرق صحیحة ولو بما ذکرناه فی هذا المشیخة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لا یحتاج إلی الطریق أصلاً ؛ لأنّه لاریب فی أنّه کان أمثال هذه الکتب الّتی کان مدار الطائفة علیها کانت مشتهرة بینهم زائداً علی اشتهار الکتب الأربعة عندنا ، ولاریب فی أنّ الطریق لصحَّة انتساب الکتاب إلی صاحبه ، فإذا کان الکتاب متواتراً فالتمسک بأخبار الآحاد الصحیحة کتعرف الشمس بالسراج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تری ما رواه الشَّیخ بهذا السند عن ابن محبوب أنّ الکلینی أیضاً رواه بسنده عنه ، والصَدوق رواه بسنده عنه ؛ بل تری کلّ من یروی هذا الخبر فهو یروی عن ابن محبوب بسنده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لما أرادوا أن یخرج الخبر بظاهره عن صورة الإرسال ذکروا طریقاً إلیه تیمناً وتبرکاً ، وهؤلاء مشایخ الإجازة المحض </w:t>
      </w:r>
      <w:r>
        <w:rPr>
          <w:rFonts w:eastAsia="IRNazanin" w:cs="IRNazanin"/>
          <w:color w:val="111111"/>
          <w:sz w:val="28"/>
          <w:szCs w:val="28"/>
          <w:rtl w:val="true"/>
          <w:lang w:bidi="fa-IR"/>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Heading4"/>
        <w:numPr>
          <w:ilvl w:val="3"/>
          <w:numId w:val="1"/>
        </w:numPr>
        <w:rPr/>
      </w:pPr>
      <w:bookmarkStart w:id="139" w:name="__RefHeading___Toc4159442_3804643083"/>
      <w:bookmarkStart w:id="140" w:name="_Toc52"/>
      <w:bookmarkEnd w:id="139"/>
      <w:r>
        <w:rPr>
          <w:rtl w:val="true"/>
        </w:rPr>
        <w:t xml:space="preserve">الظن الحاصل من وصف الصَدوقین أخبار کتابیهما بالصحّة أقوی من أقوال </w:t>
      </w:r>
      <w:r>
        <w:rPr>
          <w:rtl w:val="true"/>
        </w:rPr>
        <w:t>. . .</w:t>
      </w:r>
      <w:bookmarkEnd w:id="1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w:t>
      </w:r>
      <w:r>
        <w:rPr>
          <w:rStyle w:val="FootnoteAnchor"/>
          <w:rtl w:val="true"/>
        </w:rPr>
        <w:footnoteReference w:id="248"/>
      </w:r>
      <w:r>
        <w:rPr>
          <w:rFonts w:ascii="IRNazanin" w:hAnsi="IRNazanin" w:eastAsia="IRNazanin"/>
          <w:color w:val="111111"/>
          <w:sz w:val="28"/>
          <w:sz w:val="28"/>
          <w:szCs w:val="28"/>
          <w:rtl w:val="true"/>
          <w:lang w:bidi="fa-IR"/>
        </w:rPr>
        <w:t>أنّ الشارح استفاد من دیباجة الکافی أنّه أیضاً ـ کالصَدوق ـ حکم بصحَّة أحادیث کتابه ، ولا ریب أنّ أقوال عُلَماء الرجال فی الحکم بالضعف أو وثاقة الرواة</w:t>
      </w:r>
    </w:p>
    <w:p>
      <w:pPr>
        <w:pStyle w:val="BookText"/>
        <w:rPr/>
      </w:pPr>
      <w:r>
        <w:rPr>
          <w:rFonts w:ascii="IRNazanin" w:hAnsi="IRNazanin" w:eastAsia="IRNazanin"/>
          <w:color w:val="111111"/>
          <w:sz w:val="28"/>
          <w:sz w:val="28"/>
          <w:szCs w:val="28"/>
          <w:rtl w:val="true"/>
          <w:lang w:bidi="fa-IR"/>
        </w:rPr>
        <w:t xml:space="preserve">لا یفید إلاّ الظن ، وکان المدار فی علم الرجال الاعتماد علی الظن ، ثمّ إنّ الشارح یعتقد أنّ الظن الّذی یحصل من وصف الصَدوقین أخبار کتابیهما بالصحَّة ، أقوی من الظن الّذی یحصل من أقوال أصحاب الرجال ؛ لأنّهم لم یَدّعوا العلم بصدور أخبار الراوی الّذی حکموا بوثاقته ، وکذلک لم یَدّعوا العلم بعدم صدور أخبار الراوی الّذی حکموا بضعفه ، لکن مقتضی حکم الصَدوقین بصحَّة أخبار کتابیهما ، أنّهما یعلمان صدورها عن الأئمّة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یحصل لنا من قولهما العلم الّذی حصل لهما ، لکِنّ الظن الّذی یحصل من ذلک یکون أقوی من الظن الّذی یحصل من أقوال عُلَماء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تقدّمت بعض عبارات الشارح فی ذلک المعنی حین تکلمنا عن صحَّة روایات الکتب الأربعة ، وإن کانت عباراته خصت برجحان قول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حکمه بصحَّة أحادیث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أقوال أصحاب الرجال ، لکِنّ الشارح ـ کما یظهر من العبارات الّتی سنوردها ـ لا یفرق فی ذلک بین قوله وقول الصَدوق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المواضع الّتی صرح فیها الشارح بذلک المعنی وضمّ إلیه رجحان حکم الصَدوقین بصحَّة أخبار کتابیهما علی حکم المتأخّرین بصحَّة الأحادیث ، قوله فی مقدّمة لوامع صاحبقرانی ، حیث قال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یمکن القول أنّ جمیع أحادیثهما فی کتاب الکافی ، و کتاب من لا یحضره الفقیه صحیحة ، لأنّ شهادة هذین الشَّیخین الجلیلین لا تقل عن شهادة أصحاب الرجال یقیناً ، بل هی أفضل منها ؛ وذلک لأنّ ما یسمّیانه صحیحاً فمعنی ذلک أنّ الیقین هو أنّ الأئمّة المعصومین ـ صلوات اللّه علیهم ـ قالوه ، وقد حصل لهما الیقین بوجه من الوجوه ، وما یسمّیه المتأخّرون صحیحاً معناه أنّ الجماعة الّذین رووه کانوا ثقات ، ومن المحتمل کذب وسهو أی واحد منهم</w:t>
      </w:r>
      <w:r>
        <w:rPr>
          <w:rFonts w:eastAsia="IRNazanin" w:cs="IRNazanin"/>
          <w:color w:val="111111"/>
          <w:sz w:val="28"/>
          <w:szCs w:val="28"/>
          <w:rtl w:val="true"/>
          <w:lang w:bidi="fa-IR"/>
        </w:rPr>
        <w:t xml:space="preserve">» . </w:t>
      </w:r>
      <w:r>
        <w:rPr>
          <w:rStyle w:val="FootnoteAnchor"/>
          <w:rtl w:val="true"/>
        </w:rPr>
        <w:footnoteReference w:id="249"/>
      </w:r>
      <w:bookmarkStart w:id="141" w:name="pg2516_26453"/>
    </w:p>
    <w:p>
      <w:pPr>
        <w:pStyle w:val="BookText"/>
        <w:rPr/>
      </w:pPr>
      <w:bookmarkEnd w:id="141"/>
      <w:r>
        <w:rPr>
          <w:rFonts w:ascii="IRNazanin" w:hAnsi="IRNazanin" w:eastAsia="IRNazanin"/>
          <w:color w:val="111111"/>
          <w:sz w:val="28"/>
          <w:sz w:val="28"/>
          <w:szCs w:val="28"/>
          <w:rtl w:val="true"/>
          <w:lang w:bidi="fa-IR"/>
        </w:rPr>
        <w:t xml:space="preserve">ثمّ إنّ الشارح أظهر تعجبه فی شرح المشیخة من فعل المتأخّرین حیث یعدّون الراوی الّذی وصفه عُلَماء الرجال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ممدوحاً ویجعلون خبره فی سلک الحسان ، لکن لم یتوجهوا إلی وصف الصَدوق مصادر کتابه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مشهورة علیها المعوّل وإلیها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یطرحون کثیراً من أخبار الفقیه ؛ لوجود بعض المجهولین أو الضُعَفاء فی الإسناد ، وغفلوا من أنّ ذلک الوصف یدلّ علی وجود أصل لکلّ روایات الفقیه ، وهذا أحسن للوثوق بصدورها عن الأئمّة علیهم السلام من طریق المتأخّرین ، وهو النظر فی کلّ واحد من رجال الإسناد وقبول ما روی بسند رجاله کلّهم ثقات أو ممدوحون </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142" w:name="__RefHeading___Toc4159444_3804643083"/>
      <w:bookmarkStart w:id="143" w:name="_Toc53"/>
      <w:bookmarkEnd w:id="142"/>
      <w:r>
        <w:rPr>
          <w:rtl w:val="true"/>
        </w:rPr>
        <w:t>عذر المشایخ فی النقل عن کتب بعض الضُعَفاء</w:t>
      </w:r>
      <w:bookmarkEnd w:id="143"/>
    </w:p>
    <w:p>
      <w:pPr>
        <w:pStyle w:val="BookText"/>
        <w:rPr/>
      </w:pPr>
      <w:r>
        <w:rPr>
          <w:rFonts w:ascii="IRNazanin" w:hAnsi="IRNazanin" w:eastAsia="IRNazanin"/>
          <w:color w:val="111111"/>
          <w:sz w:val="28"/>
          <w:sz w:val="28"/>
          <w:szCs w:val="28"/>
          <w:rtl w:val="true"/>
          <w:lang w:bidi="fa-IR"/>
        </w:rPr>
        <w:t xml:space="preserve">قد تقدّم فی العناوین السابقة أنّ الشارح اعتقد صحَّة روایات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صدورها عن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الروایات المنقولة فی هذه الکتب مأخوذة من الاُصول والکتب المعتبرة ، وللمشایخ الثلاثة طرق کثیرة إلی أصحاب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ولکن نجد فی الکتب الأربعة نقل غیر قلیل من الروایات عن کتب بعض الضُعَفاء والفاسدین فی المذهب ، فمع وجود هذه الروایات من أین اعتقد الشارح الصحَّة؟ وهل یمکن الجزم بصدور هذه الروایات من المعصومین علیهم السلام؟</w:t>
      </w:r>
    </w:p>
    <w:p>
      <w:pPr>
        <w:pStyle w:val="BookText"/>
        <w:rPr/>
      </w:pPr>
      <w:r>
        <w:rPr>
          <w:rFonts w:ascii="IRNazanin" w:hAnsi="IRNazanin" w:eastAsia="IRNazanin"/>
          <w:color w:val="111111"/>
          <w:sz w:val="28"/>
          <w:sz w:val="28"/>
          <w:szCs w:val="28"/>
          <w:rtl w:val="true"/>
          <w:lang w:bidi="fa-IR"/>
        </w:rPr>
        <w:t xml:space="preserve">فأحسّ الشارح لزوم حلّ هذه المعضلة للمبتدئین فی هذا المجال وبیّن هنا أنّ عذر المشایخ فی النقل عن هذه الکتب وثاقة مؤلّفیها فی النقل ، أو حُسن ترتیب کتبهم مع ما ذکر ، أو لکونهم من مشایخ الإجازة ، أو موافقة روایاتهم الأخبار الصحیحة ، أو لکون الأخبار نقلت عنهم حال الاستقامة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نذکر فیما یلی بعض عبارات الشارح الصریحة فی ذلک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شرح طریق الصَدوق إلی الحسن بن علی بن أبی حمزة ، فإنّه قال ـ بعد نقل عبارات عُلَماء الرجال فی تضعیف الرجل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الطعون باعتبار مذهبه الفاسد ، ولهذا روی عنه مشایخنا ، لثقته فی النقل مع أنّ أمثاله لم یلق الأئمّة علیهم السلامحتّی ینقلوا عنهم علیهم السلام وإنّما کانوا ینقلون عن الکتب ، وکانت الاُصول عندهم وکانت غیر مرتبة وکتبهم مرتبة ، فلهذا ینقلون عنهم أو لکونهم من مشایخ الإجازة غالباً ولا یبالون بضعفهم</w:t>
      </w:r>
      <w:r>
        <w:rPr>
          <w:rFonts w:eastAsia="IRNazanin" w:cs="IRNazanin"/>
          <w:color w:val="111111"/>
          <w:sz w:val="28"/>
          <w:szCs w:val="28"/>
          <w:rtl w:val="true"/>
          <w:lang w:bidi="fa-IR"/>
        </w:rPr>
        <w:t xml:space="preserve">» .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شرح طریق الصَدوق إلی علی بن أبی حمزة البطائنی ، فإنّه قال ـ بعد نقل عبارات عُلَماء الرجال فی فساد مذهبه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أن یکون العمل </w:t>
      </w:r>
      <w:r>
        <w:rPr>
          <w:rStyle w:val="FootnoteAnchor"/>
          <w:rtl w:val="true"/>
        </w:rPr>
        <w:footnoteReference w:id="252"/>
      </w:r>
      <w:r>
        <w:rPr>
          <w:rFonts w:ascii="IRNazanin" w:hAnsi="IRNazanin" w:eastAsia="IRNazanin"/>
          <w:color w:val="111111"/>
          <w:sz w:val="28"/>
          <w:sz w:val="28"/>
          <w:szCs w:val="28"/>
          <w:rtl w:val="true"/>
          <w:lang w:bidi="fa-IR"/>
        </w:rPr>
        <w:t>لموافقة أخباره أخبار الثقات ، أو لکونه ثقة فی غیر ما یتعلّق بمذهبه الباطل أو لکون الأخبار نقلت عنه حال الاستقامة</w:t>
      </w:r>
      <w:r>
        <w:rPr>
          <w:rFonts w:eastAsia="IRNazanin" w:cs="IRNazanin"/>
          <w:color w:val="111111"/>
          <w:sz w:val="28"/>
          <w:szCs w:val="28"/>
          <w:rtl w:val="true"/>
          <w:lang w:bidi="fa-IR"/>
        </w:rPr>
        <w:t xml:space="preserve">» .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ترجمة علی بن الحسن بن علی بن فضال ـ بعد نقل عبارات الرجالیین فی کونه ثقة فطحیاً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الشَّیخ فی العدّة أنّ الطائفة عملت بما رواه بنو فضال ، والطاطریون ، وعبداللّه بن بکیر ، وسماعة ، وعلی بن أبی حمزة ، وعثمان بن عیسی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واعلم أنّ الأصحاب إنّما عملت بأخبارهم لکون أکثرهم نقلة الأخبار عن الاُصول وکتبهم عین کتب القُدَماء ، لکنّها مرتبة وکانوا یقابلون مع الاُصول ، فلما وجدوها بعد المقابلة صحیحة عملوا علیها مع فساد مذهبهم ، وعلی بن الحسن من هذا الباب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جعلنا أخباره فی المُوَثَّقات کالصحاح ، ومثل عثمان بن عیسی من الجماعة</w:t>
      </w:r>
      <w:bookmarkStart w:id="144" w:name="pg2516_26455"/>
    </w:p>
    <w:p>
      <w:pPr>
        <w:pStyle w:val="BookText"/>
        <w:rPr/>
      </w:pPr>
      <w:bookmarkEnd w:id="144"/>
      <w:r>
        <w:rPr>
          <w:rFonts w:ascii="IRNazanin" w:hAnsi="IRNazanin" w:eastAsia="IRNazanin"/>
          <w:color w:val="111111"/>
          <w:sz w:val="28"/>
          <w:sz w:val="28"/>
          <w:szCs w:val="28"/>
          <w:rtl w:val="true"/>
          <w:lang w:bidi="fa-IR"/>
        </w:rPr>
        <w:t xml:space="preserve">الّذین کانوا تارة ینقلون من الکتب ، وتارة ینقلون من المعصوم علیه السلام عملوا بأخبارهم أمّا بما رووه قبل الفساد ، وأمّا لموافقة أخبارهم لأخبار الاُصول السابقة کأُصول زرارة ، ومحمّد بن مسلم ، وبرید ، وأبی بصیر ، والفضیل ، وأمثالهم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التتبع هذا المعنی ، واضطراب بعض الأصحاب فی العمل بأخبار أمثالهم تارة والردّ اُخری ، لعدم التدبّر</w:t>
      </w:r>
      <w:r>
        <w:rPr>
          <w:rFonts w:eastAsia="IRNazanin" w:cs="IRNazanin"/>
          <w:color w:val="111111"/>
          <w:sz w:val="28"/>
          <w:szCs w:val="28"/>
          <w:rtl w:val="true"/>
          <w:lang w:bidi="fa-IR"/>
        </w:rPr>
        <w:t xml:space="preserve">» . </w:t>
      </w:r>
      <w:r>
        <w:rPr>
          <w:rStyle w:val="FootnoteAnchor"/>
          <w:rtl w:val="true"/>
        </w:rPr>
        <w:footnoteReference w:id="255"/>
      </w:r>
    </w:p>
    <w:p>
      <w:pPr>
        <w:pStyle w:val="Heading4"/>
        <w:numPr>
          <w:ilvl w:val="3"/>
          <w:numId w:val="1"/>
        </w:numPr>
        <w:rPr/>
      </w:pPr>
      <w:bookmarkStart w:id="145" w:name="__RefHeading___Toc4159446_3804643083"/>
      <w:bookmarkStart w:id="146" w:name="_Toc54"/>
      <w:bookmarkEnd w:id="145"/>
      <w:r>
        <w:rPr>
          <w:rtl w:val="true"/>
        </w:rPr>
        <w:t>اضطرار المشایخ الثلاثة فی النقل عن الغُلاة وتهذیب روایاتهم</w:t>
      </w:r>
      <w:bookmarkEnd w:id="14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آنفاً أنّ المشایخ الثلاثة قد استفادوا من کتب بعض الضُعَفاء والفاسدین فی المذهب فی الکتب الأربعة ، وأنّ عذرهم فی ذلک اُمور تقدّم ذکرها وکان منها حُسن ترتیب کتبهم ، فیقع فی ذهن الباحث قلّة وجود الکتب المرتبة الّتی کان مؤلّفوها مستقیمین علی مذهب الإمامیة واضطرار القُدَماء إلی النقل والاستفادة عن کتب الفاسدین فی المذهب ، وهذا شیء قبله الشارح وأکّده سیّما بالنسبة إلی الغُلاة ، حیث یقول فی شرح المشیخة ـ بعد ترجمة محمّد بن علی الکوفی الّذی یلقّب أبا سمینة حین شرح طریق الصَدوق إلی هارون بن خارجة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مذکور فی کثیر من الأخبار ، لکِنّ الظاهر أنّه واقع فی مشایخ الإجازة کما هنا ولهذا ساهلوا </w:t>
      </w:r>
      <w:r>
        <w:rPr>
          <w:rStyle w:val="FootnoteAnchor"/>
          <w:rtl w:val="true"/>
        </w:rPr>
        <w:footnoteReference w:id="256"/>
      </w:r>
      <w:r>
        <w:rPr>
          <w:rFonts w:ascii="IRNazanin" w:hAnsi="IRNazanin" w:eastAsia="IRNazanin"/>
          <w:color w:val="111111"/>
          <w:sz w:val="28"/>
          <w:sz w:val="28"/>
          <w:szCs w:val="28"/>
          <w:rtl w:val="true"/>
          <w:lang w:bidi="fa-IR"/>
        </w:rPr>
        <w:t>فی أمره مع أنّهم ذکروا عنه ما کان صحیحاً وطرحوا ما کان باطلاً ، وکانوا یعرفون الصحیح من الباطل بالموافقة للجمع علیهم أو کانوا یطرحون ما یدلّ علی الغلوّ فی زعمهم ، بل ما یشعر بالغلو ویتمسک بها الغُلاة ، وکان فی ذلک الزمان الغُلاة کثیراً ولهذا اضطروا بأمثال ذلک</w:t>
      </w:r>
      <w:r>
        <w:rPr>
          <w:rFonts w:eastAsia="IRNazanin" w:cs="IRNazanin"/>
          <w:color w:val="111111"/>
          <w:sz w:val="28"/>
          <w:szCs w:val="28"/>
          <w:rtl w:val="true"/>
          <w:lang w:bidi="fa-IR"/>
        </w:rPr>
        <w:t xml:space="preserve">» . </w:t>
      </w:r>
      <w:r>
        <w:rPr>
          <w:rStyle w:val="FootnoteAnchor"/>
          <w:rtl w:val="true"/>
        </w:rPr>
        <w:footnoteReference w:id="257"/>
      </w:r>
      <w:bookmarkStart w:id="147" w:name="pg2516_26456"/>
    </w:p>
    <w:p>
      <w:pPr>
        <w:pStyle w:val="BookText"/>
        <w:rPr/>
      </w:pPr>
      <w:bookmarkEnd w:id="147"/>
      <w:r>
        <w:rPr>
          <w:rFonts w:ascii="IRNazanin" w:hAnsi="IRNazanin" w:eastAsia="IRNazanin"/>
          <w:color w:val="111111"/>
          <w:sz w:val="28"/>
          <w:sz w:val="28"/>
          <w:szCs w:val="28"/>
          <w:rtl w:val="true"/>
          <w:lang w:bidi="fa-IR"/>
        </w:rPr>
        <w:t xml:space="preserve">ثمّ لا یخفی أنّ کثرة الغُلاة وسائر الفاسدین فی المذهب فی ذلک الزمان شیء معروف فمن یُراجع ترجمة الرجال فی رجال النجاشی والفهرست للشَّیخ الطوسی یصدّق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علّل الشَّیخ فی مقدّمة الفهرست لزوم ذکر عقائد مؤلّفی الشیعة وما قیل فیهم من التعدیل والتجریح ، بانتحال کثیر من مصنفی أصحابنا المذاهب الفاسدة </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148" w:name="__RefHeading___Toc4159448_3804643083"/>
      <w:bookmarkStart w:id="149" w:name="_Toc55"/>
      <w:bookmarkEnd w:id="148"/>
      <w:r>
        <w:rPr>
          <w:rtl w:val="true"/>
        </w:rPr>
        <w:t>تأریخ التألیف</w:t>
      </w:r>
      <w:bookmarkEnd w:id="149"/>
    </w:p>
    <w:p>
      <w:pPr>
        <w:pStyle w:val="Heading4"/>
        <w:numPr>
          <w:ilvl w:val="3"/>
          <w:numId w:val="1"/>
        </w:numPr>
        <w:rPr/>
      </w:pPr>
      <w:bookmarkStart w:id="150" w:name="__RefHeading___Toc4159450_3804643083"/>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ذکر الشارح هنا أنّ مشایخنا القُدَماء نقلوا عن أبی سمینة ما کان صحیحاً وطرحوا ما کان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قوله هذا لا یختص بهذا الرجل الغالی ، بل هو یعتقد أنّ مثل هذه الغربلة جرت علی سائر الغُلاة أیضاً ، والدلیل التامّ علی هذا التعمیم اعتقاده صحَّة روایات الکتب الأربعة وجمیع کتب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 قوله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روایات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قوله فی ترجمة کثیر من المنسوبین إلی الغلوّ کسهل بن زیاد </w:t>
      </w:r>
      <w:r>
        <w:rPr>
          <w:rStyle w:val="FootnoteAnchor"/>
          <w:rtl w:val="true"/>
        </w:rPr>
        <w:footnoteReference w:id="259"/>
      </w:r>
      <w:r>
        <w:rPr>
          <w:rFonts w:ascii="IRNazanin" w:hAnsi="IRNazanin" w:eastAsia="IRNazanin"/>
          <w:color w:val="111111"/>
          <w:sz w:val="28"/>
          <w:sz w:val="28"/>
          <w:szCs w:val="28"/>
          <w:rtl w:val="true"/>
          <w:lang w:bidi="fa-IR"/>
        </w:rPr>
        <w:t xml:space="preserve">وجابر بن یزید الجعفی </w:t>
      </w:r>
      <w:r>
        <w:rPr>
          <w:rStyle w:val="FootnoteAnchor"/>
          <w:rtl w:val="true"/>
        </w:rPr>
        <w:footnoteReference w:id="260"/>
      </w:r>
      <w:r>
        <w:rPr>
          <w:rFonts w:ascii="IRNazanin" w:hAnsi="IRNazanin" w:eastAsia="IRNazanin"/>
          <w:color w:val="111111"/>
          <w:sz w:val="28"/>
          <w:sz w:val="28"/>
          <w:szCs w:val="28"/>
          <w:rtl w:val="true"/>
          <w:lang w:bidi="fa-IR"/>
        </w:rPr>
        <w:t xml:space="preserve">، بأنّه لم یجد ولم یطلع علی روایة تدلّ علی غلوّهم ؛ لأنّ ذلک القول یستلزم عدم تهذیب روایات الغُلاة ، وإمکان وجود أباطیلهم فی الکتب الأربعة </w:t>
      </w:r>
      <w:r>
        <w:rPr>
          <w:rFonts w:eastAsia="IRNazanin" w:cs="IRNazanin"/>
          <w:color w:val="111111"/>
          <w:sz w:val="28"/>
          <w:szCs w:val="28"/>
          <w:rtl w:val="true"/>
          <w:lang w:bidi="fa-IR"/>
        </w:rPr>
        <w:t>.</w:t>
      </w:r>
    </w:p>
    <w:p>
      <w:pPr>
        <w:pStyle w:val="Heading4"/>
        <w:numPr>
          <w:ilvl w:val="3"/>
          <w:numId w:val="1"/>
        </w:numPr>
        <w:rPr/>
      </w:pPr>
      <w:bookmarkStart w:id="152" w:name="__RefHeading___Toc4159452_3804643083"/>
      <w:bookmarkStart w:id="153" w:name="_Toc57"/>
      <w:bookmarkEnd w:id="152"/>
      <w:r>
        <w:rPr>
          <w:rtl w:val="true"/>
        </w:rPr>
        <w:t>تنبیه</w:t>
      </w:r>
      <w:bookmarkEnd w:id="1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نعلم أنّ الأخبار المنقولة فی الکتب الأربعة قد یقع التعارض بینها من جهة کیفیة النقل بمعنی أنّ الخبر قد یُروی مرّة فی الکافی مثلاً بزیادة کلمة ، ویُروی نفس الخبر مرّة اُخری فی الفقیه بنقصان تلک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الکلمة ممّا تؤثر فی المعنی وتختلف بزیادتها أو نقصانها الحکم ، أو یُروی فی الکافی مرّة علی وجه ، ومرّة اُخری فی التهذیب</w:t>
      </w:r>
    </w:p>
    <w:p>
      <w:pPr>
        <w:pStyle w:val="BookText"/>
        <w:rPr/>
      </w:pPr>
      <w:r>
        <w:rPr>
          <w:rFonts w:ascii="IRNazanin" w:hAnsi="IRNazanin" w:eastAsia="IRNazanin"/>
          <w:color w:val="111111"/>
          <w:sz w:val="28"/>
          <w:sz w:val="28"/>
          <w:szCs w:val="28"/>
          <w:rtl w:val="true"/>
          <w:lang w:bidi="fa-IR"/>
        </w:rPr>
        <w:t xml:space="preserve">علی وجه آخر مخالف له ، بحیث یوجب اختلاف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لنا حینئذٍ من اختیار أحد النقلین المتعارضین لمزیّة توجب ترجیحه ، وأهمّ مزیة توجب رجحان نقل علی نقل آخر ، الترجیح بصفات الروای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یجب علینا معرفة مراتب مؤلّفی الکتب الأربعة فی الضبط والإتقان ، وأنّه هل وقع من بعضهم تصرف فی نقل بعض الأخبار أو السهو الّذی تجاوز حدّ المعمول؟ وقد تکلم الشارح فی کلّ ذلک وأوضح الأمر بما یکفی للباحث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أهمّ عباراته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التتبع أنّ الاعتماد علی الکلینی أکثر ، وبعده علی الصَدوق ، وبعده علی الشَّیخ ، وإن کان فضل الشَّیخ غیر مخفی ، ولیس لأحد فضله ، لکن باعتبار کثرة التصانیف قد یقع منه السهو أو من نساخ کتابه باعتبار الإهمال بخلاف الکلینی ، فإنّه صنّف الکافی فی عشرین سنة ، والصَدوق وسط بینهما ، فإنّه وإن کان کثیر التصنیف أیضاً ، لکن تصانیف الشَّیخ أکثر أو أشکل ، فإنّ جمع الأخبار أسهل من تصنیف مثل التبیان والمبسوط والنهایة ، وغیرها کما لا یخفی</w:t>
      </w:r>
      <w:r>
        <w:rPr>
          <w:rFonts w:eastAsia="IRNazanin" w:cs="IRNazanin"/>
          <w:color w:val="111111"/>
          <w:sz w:val="28"/>
          <w:szCs w:val="28"/>
          <w:rtl w:val="true"/>
          <w:lang w:bidi="fa-IR"/>
        </w:rPr>
        <w:t xml:space="preserve">» .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سجدة الشکر والقول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روایة رواها الشَّیخ ومقایسة تلک الروایة بالکیفیة الّتی نقلها الصَدوق ،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أنّه سقط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النساخ أو من قلم الصَدوق ، وعلی تقدیر عدم السقط یکون الغرض من قول ابن أبی عمیر تأییداً بروایته بفعله أیضاً وهو بعید ، والظاهر أنّ هذه الإجمالات من التغییرات کما هو شأن الصَدوق کثیراً</w:t>
      </w:r>
      <w:r>
        <w:rPr>
          <w:rFonts w:eastAsia="IRNazanin" w:cs="IRNazanin"/>
          <w:color w:val="111111"/>
          <w:sz w:val="28"/>
          <w:szCs w:val="28"/>
          <w:rtl w:val="true"/>
          <w:lang w:bidi="fa-IR"/>
        </w:rPr>
        <w:t xml:space="preserve">» . </w:t>
      </w:r>
      <w:r>
        <w:rPr>
          <w:rStyle w:val="FootnoteAnchor"/>
          <w:rtl w:val="true"/>
        </w:rPr>
        <w:footnoteReference w:id="26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تأیید فتوی الصَدوق بنقل ما رواه الکلینی والشَّیخ ،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الصَدوق فهم من هذا الخبر أنّه</w:t>
      </w:r>
      <w:bookmarkStart w:id="154" w:name="pg2516_26458"/>
    </w:p>
    <w:p>
      <w:pPr>
        <w:pStyle w:val="BookText"/>
        <w:rPr/>
      </w:pPr>
      <w:bookmarkEnd w:id="154"/>
      <w:r>
        <w:rPr>
          <w:rFonts w:ascii="IRNazanin" w:hAnsi="IRNazanin" w:eastAsia="IRNazanin"/>
          <w:color w:val="111111"/>
          <w:sz w:val="28"/>
          <w:sz w:val="28"/>
          <w:szCs w:val="28"/>
          <w:rtl w:val="true"/>
          <w:lang w:bidi="fa-IR"/>
        </w:rPr>
        <w:t xml:space="preserve">مخیر بین قطع الصلاة والاستئناف علیهما وبین أن یتمّ الصلاة علی الاُولی ویستأنف الصلاة علی الثانیة ، وغیّر متن الحدیث موافقاً لفهمه منه وتبعه الأصحاب إلاّ الشهید رحمه الله </w:t>
      </w:r>
      <w:r>
        <w:rPr>
          <w:rFonts w:eastAsia="IRNazanin" w:cs="IRNazanin"/>
          <w:color w:val="111111"/>
          <w:sz w:val="28"/>
          <w:szCs w:val="28"/>
          <w:rtl w:val="true"/>
          <w:lang w:bidi="fa-IR"/>
        </w:rPr>
        <w:t xml:space="preserve">.. .» .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قال الشارح مثل تلک العبارات الصریحة فی تصرف الصَدوق فی بعض الأخبار فی مواضع کثیرة من شرحه ، وفیما نقلناه کفایة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القران بین الأسابیع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الاختلاف فی لفظ خبر ذکره من تهذیب الأحکام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السهو معلوماً منه رضی الله عنه فإنّ الشَّیخ باعتبار کثرة التصنیف حصل منه السهو الکثیر ، ونحن نشیر إلیها فی ضمن إیرادنا النسخ الاُخر من الکتب ، لکن قلّما یکون مغیّراً للمعنی وکأنّ مساهلته رضی الله عنه باعتبار تجویزه النقل بالمعنی</w:t>
      </w:r>
      <w:r>
        <w:rPr>
          <w:rFonts w:eastAsia="IRNazanin" w:cs="IRNazanin"/>
          <w:color w:val="111111"/>
          <w:sz w:val="28"/>
          <w:szCs w:val="28"/>
          <w:rtl w:val="true"/>
          <w:lang w:bidi="fa-IR"/>
        </w:rPr>
        <w:t xml:space="preserve">» .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بعد نقل أخبار فی آخر 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الحقّ المعلوم والماعون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الصَدوق نقل أکثر هذه الأخبار بالمعنی اختصاراً</w:t>
      </w:r>
      <w:r>
        <w:rPr>
          <w:rFonts w:eastAsia="IRNazanin" w:cs="IRNazanin"/>
          <w:color w:val="111111"/>
          <w:sz w:val="28"/>
          <w:szCs w:val="28"/>
          <w:rtl w:val="true"/>
          <w:lang w:bidi="fa-IR"/>
        </w:rPr>
        <w:t xml:space="preserve">» . </w:t>
      </w:r>
      <w:r>
        <w:rPr>
          <w:rStyle w:val="FootnoteAnchor"/>
          <w:rtl w:val="true"/>
        </w:rPr>
        <w:footnoteReference w:id="266"/>
      </w:r>
    </w:p>
    <w:p>
      <w:pPr>
        <w:pStyle w:val="Heading4"/>
        <w:numPr>
          <w:ilvl w:val="3"/>
          <w:numId w:val="1"/>
        </w:numPr>
        <w:rPr/>
      </w:pPr>
      <w:bookmarkStart w:id="155" w:name="__RefHeading___Toc4159454_3804643083"/>
      <w:bookmarkStart w:id="156" w:name="_Toc58"/>
      <w:bookmarkEnd w:id="155"/>
      <w:r>
        <w:rPr>
          <w:rtl w:val="true"/>
        </w:rPr>
        <w:t>نقل الصدوق عن الکافی فی الفقیه ، والشَّیخ فی التهذیبین عن الفقیه</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ـ بعد نقل مرسلة الصَدوق عن أبی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طاهر إلاّ ما علمت أنّه قذر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بهذه العبارة غیر مذکور فی الاُصول ، والّذی ظهر لنا من التتبع أنّ مرسلات الصَدوق أکثرها من الکافی ، وهذا الخبر موجود فی کتاب محمّد بن أحمد بن یَحیی بن عمران الأشعری بروایة الشَّیخ علی النحو الّذی ذکره</w:t>
      </w:r>
    </w:p>
    <w:p>
      <w:p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267"/>
      </w:r>
      <w:r>
        <w:rPr>
          <w:rFonts w:ascii="IRNazanin" w:hAnsi="IRNazanin" w:eastAsia="IRNazanin"/>
          <w:color w:val="111111"/>
          <w:sz w:val="28"/>
          <w:sz w:val="28"/>
          <w:szCs w:val="28"/>
          <w:rtl w:val="true"/>
          <w:lang w:bidi="fa-IR"/>
        </w:rPr>
        <w:t xml:space="preserve">، والمذکور فیه طریقان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مرسل ، والآخر فیه جهالة عن حماد 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محمّد بن یَحیی عن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کلّه طاهر حتّی یعلم أنّه قذر </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وروی الشَّیخ فی المُوَثَّق عن عمّار ، عن أبی عبداللّه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نظیف حتّی تعلم أنّه قذر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فیمکن أن یکون النقل بالمعنی أو کانت نسخة الصَدوق علی الوجه الّذی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 حال فالظاهر صحَّة الخبر لکونه فی أصل حمّاد بن عثمان وحمّاد بن عیسی وعمّار ، وإذا وجده فی الاُصول من الثقات ، فالظاهر أنّه یمکنه الجزم بأنّه من قول الصادق علیه السلام وعلی ذلک یجب أن تحمل مرسلاته وإن کان بحسب الظاهر عن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الصَدوق قابل الکافی أوّلاً مع الاُصول ووجده صحیحاً ، وعند التصنیف لم یلاحظها باعتبار الجزم الّذی حصل له قبله</w:t>
      </w:r>
      <w:r>
        <w:rPr>
          <w:rFonts w:eastAsia="IRNazanin" w:cs="IRNazanin"/>
          <w:color w:val="111111"/>
          <w:sz w:val="28"/>
          <w:szCs w:val="28"/>
          <w:rtl w:val="true"/>
          <w:lang w:bidi="fa-IR"/>
        </w:rPr>
        <w:t xml:space="preserve">» . </w:t>
      </w:r>
      <w:r>
        <w:rPr>
          <w:rStyle w:val="FootnoteAnchor"/>
          <w:rtl w:val="true"/>
        </w:rPr>
        <w:footnoteReference w:id="2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قول الشارح فی ابتداء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إنّه بعد ذلک جزم وصرح فی مواضع متعددة بکثرة استفادة الصَدوق من الکافی </w:t>
      </w:r>
      <w:r>
        <w:rPr>
          <w:rStyle w:val="FootnoteAnchor"/>
          <w:rtl w:val="true"/>
        </w:rPr>
        <w:footnoteReference w:id="271"/>
      </w:r>
      <w:r>
        <w:rPr>
          <w:rFonts w:ascii="IRNazanin" w:hAnsi="IRNazanin" w:eastAsia="IRNazanin"/>
          <w:color w:val="111111"/>
          <w:sz w:val="28"/>
          <w:sz w:val="28"/>
          <w:szCs w:val="28"/>
          <w:rtl w:val="true"/>
          <w:lang w:bidi="fa-IR"/>
        </w:rPr>
        <w:t xml:space="preserve">، وأنّ مداره کان علیه وعلّلها بالسهولة لما فی الکافی من صحَّة النظم فی الأبواب بخلاف الاُصول والکتب المعتبرة ، فإنّه لیس لأحد منها هذا النظم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الصَدوق وقد استظهر الشارح أنّ الشَّیخ أیضاً استفاد فی التهذیبین من الفقیه ، صرّح بذلک فی مواضع منها قوله فی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یجزی عن المعتق عشیة عرفة من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الصحیح کالشَّیخ علی الظاهر وإن کان الأظهر أنّه أخذ الشَّیخ من هذا الکتاب </w:t>
      </w:r>
      <w:r>
        <w:rPr>
          <w:rStyle w:val="FootnoteAnchor"/>
          <w:rtl w:val="true"/>
        </w:rPr>
        <w:footnoteReference w:id="272"/>
      </w:r>
      <w:r>
        <w:rPr>
          <w:rFonts w:ascii="IRNazanin" w:hAnsi="IRNazanin" w:eastAsia="IRNazanin"/>
          <w:color w:val="111111"/>
          <w:sz w:val="28"/>
          <w:sz w:val="28"/>
          <w:szCs w:val="28"/>
          <w:rtl w:val="true"/>
          <w:lang w:bidi="fa-IR"/>
        </w:rPr>
        <w:t>، کما هو المجرب من أنّه کلما یذکر من آخر السند فهو منه غالباً</w:t>
      </w:r>
      <w:r>
        <w:rPr>
          <w:rFonts w:eastAsia="IRNazanin" w:cs="IRNazanin"/>
          <w:color w:val="111111"/>
          <w:sz w:val="28"/>
          <w:szCs w:val="28"/>
          <w:rtl w:val="true"/>
          <w:lang w:bidi="fa-IR"/>
        </w:rPr>
        <w:t xml:space="preserve">» . </w:t>
      </w:r>
      <w:r>
        <w:rPr>
          <w:rStyle w:val="FootnoteAnchor"/>
          <w:rtl w:val="true"/>
        </w:rPr>
        <w:footnoteReference w:id="273"/>
      </w:r>
      <w:bookmarkStart w:id="157" w:name="pg2516_26461"/>
    </w:p>
    <w:p>
      <w:pPr>
        <w:pStyle w:val="Heading3"/>
        <w:numPr>
          <w:ilvl w:val="2"/>
          <w:numId w:val="1"/>
        </w:numPr>
        <w:rPr/>
      </w:pPr>
      <w:bookmarkStart w:id="158" w:name="__RefHeading___Toc4159456_3804643083"/>
      <w:bookmarkStart w:id="159" w:name="_Toc59"/>
      <w:bookmarkEnd w:id="157"/>
      <w:bookmarkEnd w:id="158"/>
      <w:r>
        <w:rPr>
          <w:rtl w:val="true"/>
        </w:rPr>
        <w:t xml:space="preserve">الفصل الرابع </w:t>
      </w:r>
      <w:r>
        <w:rPr>
          <w:rtl w:val="true"/>
        </w:rPr>
        <w:t xml:space="preserve">: </w:t>
      </w:r>
      <w:r>
        <w:rPr>
          <w:rtl w:val="true"/>
        </w:rPr>
        <w:t>أعلام الجرح والتعدیل ومناهجهم</w:t>
      </w:r>
      <w:bookmarkEnd w:id="159"/>
    </w:p>
    <w:p>
      <w:pPr>
        <w:pStyle w:val="Heading4"/>
        <w:numPr>
          <w:ilvl w:val="3"/>
          <w:numId w:val="1"/>
        </w:numPr>
        <w:rPr/>
      </w:pPr>
      <w:bookmarkStart w:id="160" w:name="__RefHeading___Toc4159458_3804643083"/>
      <w:bookmarkStart w:id="161" w:name="_Toc60"/>
      <w:bookmarkEnd w:id="160"/>
      <w:r>
        <w:rPr>
          <w:rtl w:val="true"/>
        </w:rPr>
        <w:t>اشاره</w:t>
      </w:r>
      <w:bookmarkEnd w:id="161"/>
    </w:p>
    <w:p>
      <w:pPr>
        <w:pStyle w:val="Heading4"/>
        <w:numPr>
          <w:ilvl w:val="3"/>
          <w:numId w:val="1"/>
        </w:numPr>
        <w:rPr/>
      </w:pPr>
      <w:bookmarkStart w:id="162" w:name="__RefHeading___Toc4159460_3804643083"/>
      <w:bookmarkStart w:id="163" w:name="_Toc61"/>
      <w:bookmarkEnd w:id="162"/>
      <w:r>
        <w:rPr>
          <w:rtl w:val="true"/>
        </w:rPr>
        <w:t>مقدمة فی کلّیات علم الرجال</w:t>
      </w:r>
      <w:bookmarkEnd w:id="163"/>
    </w:p>
    <w:p>
      <w:pPr>
        <w:pStyle w:val="BookText"/>
        <w:rPr/>
      </w:pPr>
      <w:r>
        <w:rPr>
          <w:rFonts w:ascii="IRNazanin" w:hAnsi="IRNazanin" w:eastAsia="IRNazanin"/>
          <w:color w:val="111111"/>
          <w:sz w:val="28"/>
          <w:sz w:val="28"/>
          <w:szCs w:val="28"/>
          <w:rtl w:val="true"/>
          <w:lang w:bidi="fa-IR"/>
        </w:rPr>
        <w:t xml:space="preserve">ألّف عُلَماء الشیعة منذ حیاة الإمام الکاظم علیه السلام حتّی عصرنا الحاضر مصنفات جَمَّة فی علم الرجال مابین مختصر ومطوّل ، والأهم منها ما ألّفه قدماء أصحابنا ؛ لأنّ آراءهم مستندة إلی النقل عن مشایخهم بخلاف المتأخّرین ، فإنّهم یکتبون فی کتبهم آراء القُدَماء فقط ، وکتبهم عبارة عن جمع أقوال القُدَماء ، غایة الأمر سعیهم فیما تعارض من الأقوال فی حال بعض الرواة اختیار القول الراجح وذکر وجه ترجیحه أو الجمع بینهما مهما أمکن ، فإنّ السلسلة قد انقطعت بعد الشَّیخ ، فلابُدّ للمتأخّرین من الاعتماد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ـ مع الأسف ـ لم یصل إلینا من کتب القُدَماء إلاّ ستة منها ،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المعبّر عنه فی الفهرست للشَّیخ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الرجال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المعبّر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الّذی وصل منه إلی المتأخّرین اختیار الشَّیخ من أصل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لشَّیخ الطائفة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له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للنجاشی ویعرف الکتاب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لابن الغضائری </w:t>
      </w:r>
      <w:r>
        <w:rPr>
          <w:rFonts w:eastAsia="IRNazanin" w:cs="IRNazanin"/>
          <w:color w:val="111111"/>
          <w:sz w:val="28"/>
          <w:szCs w:val="28"/>
          <w:rtl w:val="true"/>
          <w:lang w:bidi="fa-IR"/>
        </w:rPr>
        <w:t>.</w:t>
      </w:r>
      <w:bookmarkStart w:id="164" w:name="pg2516_26462"/>
    </w:p>
    <w:p>
      <w:pPr>
        <w:pStyle w:val="BookText"/>
        <w:rPr/>
      </w:pPr>
      <w:bookmarkEnd w:id="164"/>
      <w:r>
        <w:rPr>
          <w:rFonts w:ascii="IRNazanin" w:hAnsi="IRNazanin" w:eastAsia="IRNazanin"/>
          <w:color w:val="111111"/>
          <w:sz w:val="28"/>
          <w:sz w:val="28"/>
          <w:szCs w:val="28"/>
          <w:rtl w:val="true"/>
          <w:lang w:bidi="fa-IR"/>
        </w:rPr>
        <w:t xml:space="preserve">ونظراً إلی وقوع التعارض أحیاناً بین أقوال مؤلّفی الاُصول الستّة ولزوم اختیار القول الراجح ، یجب علی الباحث فی هذا الفنّ معرفة مراتب ضبطهم وبصیرتهم بأحوال الرواة ، وکذا منهجهم فی تضعیف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 المجلسی الأوّل فی ثلاثة منهم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والشَّیخ وابن الغضائری ، ولم یقل شیئاً فی البرقی والکشّی ؛ لأنّ رجال البرقی لیس موضوعاً لذکر الوثاقة والضعف ولا یوجد فیه أیّ تعدیل وتجریح ، فموضوع الکتاب معرفة طبقات الرواة وفائدته معرفة المسند من الأحادیث وتمییزه عن المرسل ، ورجال الکشّی أیضاً اختصّ بذکر ما ورد مسنداً بشأن الرواة من جرح أو تعدیل وقلّما یوجد فیه حکم المؤلّف وربّما ذکر فیه أخباراً متعارضة بشأن الشخص الواحد ممّا یتعسّر علی الباحث ترجیح بعضها علی بعض ، مضافاً إلی أنّ ما وصل منه إلی المتأخّرین اختیار الشَّیخ من أصل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فنذکر فی هذا الفصل ما قاله الشارح فی نفس المشایخ الثلاثة أوّلاً ، ثمّ نعقبها بما قاله فی منهجهم فی التضعیف والردّ علیهم سیّما ابن الغضائری ، لکن نقدّم علی کلّ ذلک بعض ما أفاده فی کلیات علم الرجال </w:t>
      </w:r>
      <w:r>
        <w:rPr>
          <w:rFonts w:eastAsia="IRNazanin" w:cs="IRNazanin"/>
          <w:color w:val="111111"/>
          <w:sz w:val="28"/>
          <w:szCs w:val="28"/>
          <w:rtl w:val="true"/>
          <w:lang w:bidi="fa-IR"/>
        </w:rPr>
        <w:t>.</w:t>
      </w:r>
    </w:p>
    <w:p>
      <w:pPr>
        <w:pStyle w:val="Heading4"/>
        <w:numPr>
          <w:ilvl w:val="3"/>
          <w:numId w:val="1"/>
        </w:numPr>
        <w:rPr/>
      </w:pPr>
      <w:bookmarkStart w:id="165" w:name="__RefHeading___Toc4159462_3804643083"/>
      <w:bookmarkStart w:id="166" w:name="_Toc62"/>
      <w:bookmarkEnd w:id="165"/>
      <w:r>
        <w:rPr>
          <w:rtl w:val="true"/>
        </w:rPr>
        <w:t>المدار فی علم الرجال الاعتماد علی الظن</w:t>
      </w:r>
      <w:bookmarkEnd w:id="166"/>
    </w:p>
    <w:p>
      <w:pPr>
        <w:pStyle w:val="BookText"/>
        <w:rPr/>
      </w:pPr>
      <w:r>
        <w:rPr>
          <w:rFonts w:ascii="IRNazanin" w:hAnsi="IRNazanin" w:eastAsia="IRNazanin"/>
          <w:color w:val="111111"/>
          <w:sz w:val="28"/>
          <w:sz w:val="28"/>
          <w:szCs w:val="28"/>
          <w:rtl w:val="true"/>
          <w:lang w:bidi="fa-IR"/>
        </w:rPr>
        <w:t xml:space="preserve">سیأتی شرح هذا الموضوع فی الذیل </w:t>
      </w:r>
      <w:r>
        <w:rPr>
          <w:rFonts w:eastAsia="IRNazanin" w:cs="IRNazanin"/>
          <w:color w:val="111111"/>
          <w:sz w:val="28"/>
          <w:szCs w:val="28"/>
          <w:rtl w:val="true"/>
          <w:lang w:bidi="fa-IR"/>
        </w:rPr>
        <w:t>.</w:t>
      </w:r>
    </w:p>
    <w:p>
      <w:pPr>
        <w:pStyle w:val="Heading4"/>
        <w:numPr>
          <w:ilvl w:val="3"/>
          <w:numId w:val="1"/>
        </w:numPr>
        <w:rPr/>
      </w:pPr>
      <w:bookmarkStart w:id="167" w:name="__RefHeading___Toc4159464_3804643083"/>
      <w:bookmarkStart w:id="168" w:name="_Toc63"/>
      <w:bookmarkEnd w:id="167"/>
      <w:r>
        <w:rPr>
          <w:rtl w:val="true"/>
        </w:rPr>
        <w:t>الأسماء المشترکة فی الأسناد تنصرف إلی المشهورین</w:t>
      </w:r>
      <w:bookmarkEnd w:id="168"/>
    </w:p>
    <w:p>
      <w:pPr>
        <w:pStyle w:val="BookText"/>
        <w:rPr/>
      </w:pPr>
      <w:r>
        <w:rPr>
          <w:rFonts w:ascii="IRNazanin" w:hAnsi="IRNazanin" w:eastAsia="IRNazanin"/>
          <w:color w:val="111111"/>
          <w:sz w:val="28"/>
          <w:sz w:val="28"/>
          <w:szCs w:val="28"/>
          <w:rtl w:val="true"/>
          <w:lang w:bidi="fa-IR"/>
        </w:rPr>
        <w:t xml:space="preserve">سیأتی شرح هذا الموضوع فی العنوان التالی </w:t>
      </w:r>
      <w:r>
        <w:rPr>
          <w:rFonts w:eastAsia="IRNazanin" w:cs="IRNazanin"/>
          <w:color w:val="111111"/>
          <w:sz w:val="28"/>
          <w:szCs w:val="28"/>
          <w:rtl w:val="true"/>
          <w:lang w:bidi="fa-IR"/>
        </w:rPr>
        <w:t>.</w:t>
      </w:r>
    </w:p>
    <w:p>
      <w:pPr>
        <w:pStyle w:val="Heading4"/>
        <w:numPr>
          <w:ilvl w:val="3"/>
          <w:numId w:val="1"/>
        </w:numPr>
        <w:rPr/>
      </w:pPr>
      <w:bookmarkStart w:id="169" w:name="__RefHeading___Toc4159466_3804643083"/>
      <w:bookmarkStart w:id="170" w:name="_Toc64"/>
      <w:bookmarkEnd w:id="169"/>
      <w:r>
        <w:rPr>
          <w:rtl w:val="true"/>
        </w:rPr>
        <w:t>ذکر تدلیس جماعة من المجتهدین</w:t>
      </w:r>
      <w:bookmarkEnd w:id="1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ـ مدار الرجال ومعرفتهم بالظنون لا بالعلم ، فإنّه لو روی أحد عن زرارة عن أبی جعفر علیه السلام ، فإنّ الظن أن یکون زرارة المشهور ، ویحتمل أن یکون المسمّی بزرارة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روایتهم نادرة لم یذکروه ، کما احتمل فی روایة حمّاد عن حریز</w:t>
      </w:r>
      <w:bookmarkStart w:id="171" w:name="pg2516_26463"/>
    </w:p>
    <w:p>
      <w:pPr>
        <w:pStyle w:val="BookText"/>
        <w:rPr/>
      </w:pPr>
      <w:bookmarkEnd w:id="171"/>
      <w:r>
        <w:rPr>
          <w:rFonts w:ascii="IRNazanin" w:hAnsi="IRNazanin" w:eastAsia="IRNazanin"/>
          <w:color w:val="111111"/>
          <w:sz w:val="28"/>
          <w:sz w:val="28"/>
          <w:szCs w:val="28"/>
          <w:rtl w:val="true"/>
          <w:lang w:bidi="fa-IR"/>
        </w:rPr>
        <w:t xml:space="preserve">واحد من فحول الفضلاء أن یکون حمّاد من المجاهیل ، وقال فی المعتبر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مشترک</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 لکنّه عنه عجیب والحقّ معه بحسب الاحتمال ، لکنه لو فتح هذا الباب فی الرجال انسد باب المعرفة ، کما لا یخفی علی الخبیر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انّه اشتبه علیه حاشا ، بل اضطر إلی ذلک لمعارضته أخبار اُخَر وللاُصول والقواعد کما هو شأن کثیر منهم ، فإنّ جماعة من المتأخّرین إذا أرادوا العمل بخبر أبی بصیر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عن أبی بصیر ، ولو أرادوا ألاّ یعملوا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أو مشترک أو ضعیف ، ویعتذرون بأنّ مرادنا من الصحَّة ، الإضافیة 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الخبر الّذی یریدون أن یعملوا به وکان فیه محمّد بن عیسی أو محمّد بن عیسی عن یونس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وإذا کان فی ذمّ زرارة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عیسی وهو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ولا تکن من المقلدین </w:t>
      </w:r>
      <w:r>
        <w:rPr>
          <w:rFonts w:eastAsia="IRNazanin" w:cs="IRNazanin"/>
          <w:color w:val="111111"/>
          <w:sz w:val="28"/>
          <w:szCs w:val="28"/>
          <w:rtl w:val="true"/>
          <w:lang w:bidi="fa-IR"/>
        </w:rPr>
        <w:t xml:space="preserve">» .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 ـ یقول الشارح فی شرح رجال الفقیه عند ترجمة محمّد بن میسر الّذی وثّقه النجاشی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قد یقع فی الأخبار بعنوان محمّد بن میسره بزیادة الهاء ، والظاهر أنّه هو للتصریح باسم جدّه أیضاً فی أخبار اُخَر ، ویؤیده تصحیح العلاّمة وغیره أخباره وإن ذکر الشَّیخ محمّد بن میسرة الکندی مجهولاً فی أَصحاب الصادق </w:t>
      </w:r>
      <w:r>
        <w:rPr>
          <w:rStyle w:val="FootnoteAnchor"/>
          <w:rtl w:val="true"/>
        </w:rPr>
        <w:footnoteReference w:id="276"/>
      </w:r>
      <w:r>
        <w:rPr>
          <w:rFonts w:ascii="IRNazanin" w:hAnsi="IRNazanin" w:eastAsia="IRNazanin"/>
          <w:color w:val="111111"/>
          <w:sz w:val="28"/>
          <w:sz w:val="28"/>
          <w:szCs w:val="28"/>
          <w:rtl w:val="true"/>
          <w:lang w:bidi="fa-IR"/>
        </w:rPr>
        <w:t>علیه السلام مع احتمال الوحدة ، ومع التعدد لا یضر أیضاً ؛ لأنّ المطلق ینصرف إلی المشاهیر بقرینة الکتاب والرواة ، کما فی نظائره من الأجلاء ، واللّه تعالی یعلم</w:t>
      </w:r>
      <w:r>
        <w:rPr>
          <w:rFonts w:eastAsia="IRNazanin" w:cs="IRNazanin"/>
          <w:color w:val="111111"/>
          <w:sz w:val="28"/>
          <w:szCs w:val="28"/>
          <w:rtl w:val="true"/>
          <w:lang w:bidi="fa-IR"/>
        </w:rPr>
        <w:t xml:space="preserve">» . </w:t>
      </w:r>
      <w:r>
        <w:rPr>
          <w:rStyle w:val="FootnoteAnchor"/>
          <w:rtl w:val="true"/>
        </w:rPr>
        <w:footnoteReference w:id="277"/>
      </w:r>
    </w:p>
    <w:p>
      <w:pPr>
        <w:pStyle w:val="Heading4"/>
        <w:numPr>
          <w:ilvl w:val="3"/>
          <w:numId w:val="1"/>
        </w:numPr>
        <w:rPr/>
      </w:pPr>
      <w:bookmarkStart w:id="172" w:name="__RefHeading___Toc4159468_3804643083"/>
      <w:bookmarkStart w:id="173" w:name="_Toc65"/>
      <w:bookmarkEnd w:id="172"/>
      <w:r>
        <w:rPr>
          <w:rtl w:val="true"/>
        </w:rPr>
        <w:t>حجّیة توثیقات المتأخّرین</w:t>
      </w:r>
      <w:bookmarkEnd w:id="1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بیانه فی العنوان التالی </w:t>
      </w:r>
      <w:r>
        <w:rPr>
          <w:rFonts w:eastAsia="IRNazanin" w:cs="IRNazanin"/>
          <w:color w:val="111111"/>
          <w:sz w:val="28"/>
          <w:szCs w:val="28"/>
          <w:rtl w:val="true"/>
          <w:lang w:bidi="fa-IR"/>
        </w:rPr>
        <w:t>.</w:t>
      </w:r>
      <w:bookmarkStart w:id="174" w:name="pg2516_26464"/>
    </w:p>
    <w:p>
      <w:pPr>
        <w:pStyle w:val="Heading4"/>
        <w:numPr>
          <w:ilvl w:val="3"/>
          <w:numId w:val="1"/>
        </w:numPr>
        <w:rPr/>
      </w:pPr>
      <w:bookmarkStart w:id="175" w:name="__RefHeading___Toc4159470_3804643083"/>
      <w:bookmarkStart w:id="176" w:name="_Toc66"/>
      <w:bookmarkEnd w:id="174"/>
      <w:bookmarkEnd w:id="175"/>
      <w:r>
        <w:rPr>
          <w:rtl w:val="true"/>
        </w:rPr>
        <w:t>مدار القدماء فی توثیق الرواة عدم وجود الغلط فی کتبهم</w:t>
      </w:r>
      <w:bookmarkEnd w:id="176"/>
    </w:p>
    <w:p>
      <w:pPr>
        <w:pStyle w:val="BookText"/>
        <w:rPr/>
      </w:pPr>
      <w:r>
        <w:rPr>
          <w:rFonts w:ascii="IRNazanin" w:hAnsi="IRNazanin" w:eastAsia="IRNazanin"/>
          <w:color w:val="111111"/>
          <w:sz w:val="28"/>
          <w:sz w:val="28"/>
          <w:szCs w:val="28"/>
          <w:rtl w:val="true"/>
          <w:lang w:bidi="fa-IR"/>
        </w:rPr>
        <w:t xml:space="preserve">یقول الشارح فی أوائل شرح المشیخة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وأمّا ما ذکره بعض الأصحاب أنّه یشترط فی المزکی أن یکون عدلین وبالغ فی اشتراطه بوجوده کثیرة رداً علی شیخنا البهائی رحمه الله ، وذکر شیخنا وجوهاً فی الرد علیه فعلی تقدیر الاشتراط لا یوجد رجل لم یوثّقه عدلان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هذا الفاضل </w:t>
      </w:r>
      <w:r>
        <w:rPr>
          <w:rStyle w:val="FootnoteAnchor"/>
          <w:rtl w:val="true"/>
        </w:rPr>
        <w:footnoteReference w:id="278"/>
      </w:r>
      <w:r>
        <w:rPr>
          <w:rFonts w:ascii="IRNazanin" w:hAnsi="IRNazanin" w:eastAsia="IRNazanin"/>
          <w:color w:val="111111"/>
          <w:sz w:val="28"/>
          <w:sz w:val="28"/>
          <w:szCs w:val="28"/>
          <w:rtl w:val="true"/>
          <w:lang w:bidi="fa-IR"/>
        </w:rPr>
        <w:t xml:space="preserve">الأخبار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یکون صحیحاً عنده ، وصحیحاً عند الجمهور وأسقط أکثر الأخبار الصحیحة عن الصحّة عنده ظناً منه أنّ من لم یوثّقه القدماء فلیس بثقة ولم یعتبر توثیق العلاّمة والسیّد ابن طاووس والشهید الثانی ، بل أکثر الأصحاب بشبهة أنّهم ناقلون عن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خیال ضعیف ؛ لأنّ المدار علی الشهادة ، ومن أین علم أنّ هؤلاءِ الأجلاء شهدوا کذباً ، بل جمیع أصحابنا ، حیث عدّوا أخبارهم صحیحة ، مع أنّهم لو ذکروا وجه الصحّة ـ کابن داوود والمتأخّرین بأنّه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رجال الشَّیخ أو الفهرست ـ لکان له وجهاً ، وإن کان الظاهر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بالتوثیق ، وذکر هؤلاءِ لتقویة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وثّقه الشَّیخ أو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نقل التوثیق عنهما ، علی أنّ حکم القدماء بتوثیق من وثّقهم کان أیضاً من النقل ، فینبغی ألاّ یعتمد علی توثیق أحد ، سیّما إذا کان بمجرد نقلهم من الکتاب ؛ لأنّه تقدّم الأخبار بأنّه لا یجوز التعویل علی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یصل إلینا توثیق هؤلاء الأجلاء فکیف یعتمد علی تزکیتهم؟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إلینا متواتراً أو مستفیضاً ثقتهم وعدالتهم مع تتبع کتبهم الواصلة إلینا متواتراً ، ویعلم من تقواهم أنّ مثل العلاّمة ـ مع کونه آیة اللّه فی العالمین ـ لا یجزم بفتوی غالباً ومداره علی الإشکال والنظر ، بل الظاهر للمتتبع أنّ مدار القدماء فی التوثیق کان علی هذا ؛ فإنّ محمّد بن أبی عمیر کان ینقل فی کتابه عن زرارة ومحمّد بن</w:t>
      </w:r>
      <w:bookmarkStart w:id="177" w:name="pg2516_26465"/>
    </w:p>
    <w:p>
      <w:pPr>
        <w:pStyle w:val="BookText"/>
        <w:rPr/>
      </w:pPr>
      <w:bookmarkEnd w:id="177"/>
      <w:r>
        <w:rPr>
          <w:rFonts w:ascii="IRNazanin" w:hAnsi="IRNazanin" w:eastAsia="IRNazanin"/>
          <w:color w:val="111111"/>
          <w:sz w:val="28"/>
          <w:sz w:val="28"/>
          <w:szCs w:val="28"/>
          <w:rtl w:val="true"/>
          <w:lang w:bidi="fa-IR"/>
        </w:rPr>
        <w:t xml:space="preserve">مسلم وبرید وغیرهم ، وکانت کتبهم عندهم وکانوا ینظرون إلی الکتب ویقابلونها مع کتبهم ولا یحصل المخالفة فی شیء من الفاء والواو ، فیعلمون أنّهم کانوا ثقات وکان مدارهم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ومتی سمعت أنّ أحداً من الضعفاء شرب خمراً أو قامر أو فعل صغیرة؟ وحاشاهم أن یفعلوا أمثال هذه المخالفات ، بل کان ضعف الحدیث غالباً بنسیان فی النقل ، ولو فعل فی خبر مثل ذلک کانوا لا یعتمدون علی کتابه ولا ینقلون عنه وکانوا یسمونه کذاباً ؛ فإنّه روی عن وهب بن وهب أنّه نقل خبراً للمنصور فی جواز الرهان علی الطیر ، وکذا عن حفص بن غیاث للرشید مع أنّ الخبر الّذی رویاه ذکره المصنف وحکم بصحّته ، لکن لا یدلّ علی المطلوب ، وإنّما کان فیه ذکر الریش وهو کنایة عن السهم فتوهما الإطلاق وذکراه لهما ، فلهذا سموهما کذابین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تتبع الأخبار والآثار لا یبقی له شکّ فیما ذکرناه ولا یحتاج إلی إدراک الزمان ، حتّی یحکم بتوثیق أحد فإنّا لم ندرک الشهید الثانی ولا الأردبیلی ونجزم بعدالتهما وثقتهما لما تواتر ذلک وتتبعنا آثارهما ، بل الغالب فی حکمهم بالضعف إمّا روایتهم الأخبار الّتی وردت فی أسرار الأئمّة ، أو کانوا یروون من العامة للتأیید وکانوا یسمونه مخلّطاً ولا یعتمدون علی کتبهم لذلک</w:t>
      </w:r>
      <w:r>
        <w:rPr>
          <w:rFonts w:eastAsia="IRNazanin" w:cs="IRNazanin"/>
          <w:color w:val="111111"/>
          <w:sz w:val="28"/>
          <w:szCs w:val="28"/>
          <w:rtl w:val="true"/>
          <w:lang w:bidi="fa-IR"/>
        </w:rPr>
        <w:t xml:space="preserve">» . </w:t>
      </w:r>
      <w:r>
        <w:rPr>
          <w:rStyle w:val="FootnoteAnchor"/>
          <w:rtl w:val="true"/>
        </w:rPr>
        <w:footnoteReference w:id="279"/>
      </w:r>
    </w:p>
    <w:p>
      <w:pPr>
        <w:pStyle w:val="Heading4"/>
        <w:numPr>
          <w:ilvl w:val="3"/>
          <w:numId w:val="1"/>
        </w:numPr>
        <w:rPr/>
      </w:pPr>
      <w:bookmarkStart w:id="178" w:name="__RefHeading___Toc4159472_3804643083"/>
      <w:bookmarkStart w:id="179" w:name="_Toc67"/>
      <w:bookmarkEnd w:id="178"/>
      <w:r>
        <w:rPr>
          <w:rtl w:val="true"/>
        </w:rPr>
        <w:t>إطلاق التوثیق فی الکتب الرجالیة یدلّ علی أنّ الرجل إمامی</w:t>
      </w:r>
      <w:bookmarkEnd w:id="1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باب المتعة من کتاب النکاح بعد نقل روایات وقع فی سندها سیف بن عمیرة ما یدلّ علی هذا المعنی ، حیث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فعمل بها جماعة من الأصحاب ولم یعمل بها الأکثر ؛ لأنّه واحد لاشتراک سیف فی الجمیع وهو وإن کان ثقة ، لکن نقل عن ابن شهرآشوب المازندرانی أنّه واقفی وإن کان الحکم بوقفه به</w:t>
      </w:r>
      <w:bookmarkStart w:id="180" w:name="pg2516_26466"/>
    </w:p>
    <w:p>
      <w:pPr>
        <w:pStyle w:val="BookText"/>
        <w:rPr/>
      </w:pPr>
      <w:bookmarkEnd w:id="180"/>
      <w:r>
        <w:rPr>
          <w:rFonts w:ascii="IRNazanin" w:hAnsi="IRNazanin" w:eastAsia="IRNazanin"/>
          <w:color w:val="111111"/>
          <w:sz w:val="28"/>
          <w:sz w:val="28"/>
          <w:szCs w:val="28"/>
          <w:rtl w:val="true"/>
          <w:lang w:bidi="fa-IR"/>
        </w:rPr>
        <w:t>مشکلاً ؛ لأنّ عُلَماء الرجال ذکروه بالتوثیق ولم یذکروا وقفه ولو کان لما خفی علیهم</w:t>
      </w:r>
      <w:r>
        <w:rPr>
          <w:rFonts w:eastAsia="IRNazanin" w:cs="IRNazanin"/>
          <w:color w:val="111111"/>
          <w:sz w:val="28"/>
          <w:szCs w:val="28"/>
          <w:rtl w:val="true"/>
          <w:lang w:bidi="fa-IR"/>
        </w:rPr>
        <w:t xml:space="preserve">» . </w:t>
      </w:r>
      <w:r>
        <w:rPr>
          <w:rStyle w:val="FootnoteAnchor"/>
          <w:rtl w:val="true"/>
        </w:rPr>
        <w:footnoteReference w:id="280"/>
      </w:r>
    </w:p>
    <w:p>
      <w:pPr>
        <w:pStyle w:val="Heading4"/>
        <w:numPr>
          <w:ilvl w:val="3"/>
          <w:numId w:val="1"/>
        </w:numPr>
        <w:rPr/>
      </w:pPr>
      <w:bookmarkStart w:id="181" w:name="__RefHeading___Toc4159474_3804643083"/>
      <w:bookmarkStart w:id="182" w:name="_Toc68"/>
      <w:bookmarkEnd w:id="181"/>
      <w:r>
        <w:rPr>
          <w:rtl w:val="true"/>
        </w:rPr>
        <w:t xml:space="preserve">المبحث الأوّل </w:t>
      </w:r>
      <w:r>
        <w:rPr>
          <w:rtl w:val="true"/>
        </w:rPr>
        <w:t xml:space="preserve">: </w:t>
      </w:r>
      <w:r>
        <w:rPr>
          <w:rtl w:val="true"/>
        </w:rPr>
        <w:t>فیما قاله الشارح فی مشایخ الجرح والتعدیل</w:t>
      </w:r>
      <w:bookmarkEnd w:id="182"/>
    </w:p>
    <w:p>
      <w:pPr>
        <w:pStyle w:val="Heading5"/>
        <w:numPr>
          <w:ilvl w:val="4"/>
          <w:numId w:val="1"/>
        </w:numPr>
        <w:rPr/>
      </w:pPr>
      <w:bookmarkStart w:id="183" w:name="__RefHeading___Toc4159476_3804643083"/>
      <w:bookmarkStart w:id="184" w:name="_Toc69"/>
      <w:bookmarkEnd w:id="183"/>
      <w:r>
        <w:rPr>
          <w:rtl w:val="true"/>
        </w:rPr>
        <w:t>اشاره</w:t>
      </w:r>
      <w:bookmarkEnd w:id="184"/>
    </w:p>
    <w:p>
      <w:pPr>
        <w:pStyle w:val="Heading5"/>
        <w:numPr>
          <w:ilvl w:val="4"/>
          <w:numId w:val="1"/>
        </w:numPr>
        <w:rPr/>
      </w:pPr>
      <w:bookmarkStart w:id="185" w:name="__RefHeading___Toc4159478_3804643083"/>
      <w:bookmarkStart w:id="186" w:name="_Toc70"/>
      <w:bookmarkEnd w:id="185"/>
      <w:r>
        <w:rPr/>
        <w:t>1</w:t>
      </w:r>
      <w:r>
        <w:rPr>
          <w:rtl w:val="true"/>
        </w:rPr>
        <w:t xml:space="preserve"> . </w:t>
      </w:r>
      <w:r>
        <w:rPr>
          <w:rtl w:val="true"/>
        </w:rPr>
        <w:t>النجاشی</w:t>
      </w:r>
      <w:bookmarkEnd w:id="186"/>
    </w:p>
    <w:p>
      <w:pPr>
        <w:pStyle w:val="BookText"/>
        <w:rPr/>
      </w:pPr>
      <w:r>
        <w:rPr>
          <w:rFonts w:ascii="IRNazanin" w:hAnsi="IRNazanin" w:eastAsia="IRNazanin"/>
          <w:color w:val="111111"/>
          <w:sz w:val="28"/>
          <w:sz w:val="28"/>
          <w:szCs w:val="28"/>
          <w:rtl w:val="true"/>
          <w:lang w:bidi="fa-IR"/>
        </w:rPr>
        <w:t xml:space="preserve">هو أبو العبّاس أحمد بن علی بن أحمد النجاشی الأسدی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العلاّمة الحلّی فی الخلاصة عند ترجمة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ثقة ، معتمد علیه عندی ، له کتاب الرجال ، نقلنا منه فی کتابنا هذا وغیره أشیاء کثیرة ، وله کتب اُخر ذکرناها فی الکتاب الکبیر</w:t>
      </w:r>
      <w:r>
        <w:rPr>
          <w:rFonts w:eastAsia="IRNazanin" w:cs="IRNazanin"/>
          <w:color w:val="111111"/>
          <w:sz w:val="28"/>
          <w:szCs w:val="28"/>
          <w:rtl w:val="true"/>
          <w:lang w:bidi="fa-IR"/>
        </w:rPr>
        <w:t xml:space="preserve">» .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وقال المیرداماد فی الرواشح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واعلمن أنّ أبا العبّاس النجاشی شیخنا الثقة الفاضل الجلیل القدر ، السند المعتمد علیه </w:t>
      </w:r>
      <w:r>
        <w:rPr>
          <w:rFonts w:eastAsia="IRNazanin" w:cs="IRNazanin"/>
          <w:color w:val="111111"/>
          <w:sz w:val="28"/>
          <w:szCs w:val="28"/>
          <w:rtl w:val="true"/>
          <w:lang w:bidi="fa-IR"/>
        </w:rPr>
        <w:t xml:space="preserve">.. .»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وقال الحر العاملی فی أمل الآمل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أحمد بن العبّاس النجاشی ثقة ، جلیل القدر ، یروی عن المُفید</w:t>
      </w:r>
      <w:r>
        <w:rPr>
          <w:rFonts w:eastAsia="IRNazanin" w:cs="IRNazanin"/>
          <w:color w:val="111111"/>
          <w:sz w:val="28"/>
          <w:szCs w:val="28"/>
          <w:rtl w:val="true"/>
          <w:lang w:bidi="fa-IR"/>
        </w:rPr>
        <w:t xml:space="preserve">» . </w:t>
      </w:r>
      <w:r>
        <w:rPr>
          <w:rStyle w:val="FootnoteAnchor"/>
          <w:rtl w:val="true"/>
        </w:rPr>
        <w:footnoteReference w:id="28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فاعلم أنّ موقف الشارح هنا هو المشهور من أنّ النجاشی معتمد علیه ویجوز التعویل علیه فی معرفة الرواة ، بل أکثر من ذلک بالنسبة إلی سائر عُلَماء الرجال ، لکن لا ینفی عنه الخطأ بالکل ، فإنّه قال فی ترجمته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وثّقه العلاّمة ، بل أکثر الأصحاب لأنّهم یعتمدون علیه فی التعدیل والجرح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ثبت کما یظهر من التتبع ، لکنّه یقع منه الاجتهاد الغلط فی بعض الأوقات ، ویظهر منه أنّه اجتهاده ـ کما نبّهْنا علیه</w:t>
      </w:r>
      <w:bookmarkStart w:id="187" w:name="pg2516_26467"/>
    </w:p>
    <w:p>
      <w:pPr>
        <w:pStyle w:val="BookText"/>
        <w:rPr/>
      </w:pPr>
      <w:bookmarkEnd w:id="187"/>
      <w:r>
        <w:rPr>
          <w:rFonts w:ascii="IRNazanin" w:hAnsi="IRNazanin" w:eastAsia="IRNazanin"/>
          <w:color w:val="111111"/>
          <w:sz w:val="28"/>
          <w:sz w:val="28"/>
          <w:szCs w:val="28"/>
          <w:rtl w:val="true"/>
          <w:lang w:bidi="fa-IR"/>
        </w:rPr>
        <w:t xml:space="preserve">وسننبه أیضاً إن شاء اللّه ـ ، ولکنّه أثبت من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التتبع التامّ ، واللّه تعالی یعلم</w:t>
      </w:r>
      <w:r>
        <w:rPr>
          <w:rFonts w:eastAsia="IRNazanin" w:cs="IRNazanin"/>
          <w:color w:val="111111"/>
          <w:sz w:val="28"/>
          <w:szCs w:val="28"/>
          <w:rtl w:val="true"/>
          <w:lang w:bidi="fa-IR"/>
        </w:rPr>
        <w:t xml:space="preserve">» .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وقد أشار الشارح إلی اثنین من تلک الأغلاط ، أحدهما فی کتاب النکاح ، حیث یقول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مثل ما رواه الشَّیخان فی الصحیح عن أبی عبداللّه الفرّاء ، والظاهر أنّه سلیم الثقة وإن ذکره النجاشی مرّتین ، لأنّ مثل هذا فی کتابه کثیر</w:t>
      </w:r>
      <w:r>
        <w:rPr>
          <w:rFonts w:eastAsia="IRNazanin" w:cs="IRNazanin"/>
          <w:color w:val="111111"/>
          <w:sz w:val="28"/>
          <w:szCs w:val="28"/>
          <w:rtl w:val="true"/>
          <w:lang w:bidi="fa-IR"/>
        </w:rPr>
        <w:t xml:space="preserve">» .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وثانیهما فی ترجمة محمّد بن جعفر بن بطّة ، حیث ضعّفه النجاشی بما لا یراه الشارح من أسباب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وسنذکر نصّ عبارته عند کلامه فی منهج عُلَماء الرجال فی التضعیف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الأغلاط غیر ما وقع منه من متابعة ابن الغضائری ـ الّذی ستأتی ترجمته ـ فی معنی الغلوّ وجرح کثیر من أصحاب أسرار الأئمّة علیهم السلام بذلک ، وسیأتی تفصیل ذلک فی نصوص الشارح </w:t>
      </w:r>
      <w:r>
        <w:rPr>
          <w:rFonts w:eastAsia="IRNazanin" w:cs="IRNazanin"/>
          <w:color w:val="111111"/>
          <w:sz w:val="28"/>
          <w:szCs w:val="28"/>
          <w:rtl w:val="true"/>
          <w:lang w:bidi="fa-IR"/>
        </w:rPr>
        <w:t>.</w:t>
      </w:r>
    </w:p>
    <w:p>
      <w:pPr>
        <w:pStyle w:val="Heading5"/>
        <w:numPr>
          <w:ilvl w:val="4"/>
          <w:numId w:val="1"/>
        </w:numPr>
        <w:rPr/>
      </w:pPr>
      <w:bookmarkStart w:id="188" w:name="__RefHeading___Toc4159480_3804643083"/>
      <w:bookmarkStart w:id="189" w:name="_Toc71"/>
      <w:bookmarkEnd w:id="188"/>
      <w:r>
        <w:rPr/>
        <w:t>2</w:t>
      </w:r>
      <w:r>
        <w:rPr>
          <w:rtl w:val="true"/>
        </w:rPr>
        <w:t xml:space="preserve"> . </w:t>
      </w:r>
      <w:r>
        <w:rPr>
          <w:rtl w:val="true"/>
        </w:rPr>
        <w:t>الشَّیخ</w:t>
      </w:r>
      <w:bookmarkEnd w:id="189"/>
    </w:p>
    <w:p>
      <w:pPr>
        <w:pStyle w:val="BookText"/>
        <w:rPr/>
      </w:pPr>
      <w:r>
        <w:rPr>
          <w:rFonts w:ascii="IRNazanin" w:hAnsi="IRNazanin" w:eastAsia="IRNazanin"/>
          <w:color w:val="111111"/>
          <w:sz w:val="28"/>
          <w:sz w:val="28"/>
          <w:szCs w:val="28"/>
          <w:rtl w:val="true"/>
          <w:lang w:bidi="fa-IR"/>
        </w:rPr>
        <w:t xml:space="preserve">هو أبو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الإطلاق ، ألّف کتابین فی علم الرجال هُما الفهرست والرجال ، وقد تقدّم فی ترجمة النجاشی أنّ الشارح یقدّم النجاشی علیه وعلی سائر عُلَماء الرجال ، لکونه أثبت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سیأتی فی بعض العناوین التالیة أنّ الشارح قد یرجح الشَّیخ علیه ، لتبحره فی العلوم المختلفة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لم یذکر فی شأن الشَّیخ إلاّ شیئاً قلیلاً وهو أنّ الشَّیخ یراعی علوّ الإسناد فی الإجازات ، فقال فی ترجمة عبداللّه بن سعید ، أبو شبل الأسدی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شبل ، له کتاب ،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ذکر القاسم بن إسماعیل</w:t>
      </w:r>
      <w:bookmarkStart w:id="190" w:name="pg2516_26468"/>
    </w:p>
    <w:p>
      <w:pPr>
        <w:pStyle w:val="BookText"/>
        <w:rPr/>
      </w:pPr>
      <w:bookmarkEnd w:id="190"/>
      <w:r>
        <w:rPr>
          <w:rFonts w:ascii="IRNazanin" w:hAnsi="IRNazanin" w:eastAsia="IRNazanin"/>
          <w:color w:val="111111"/>
          <w:sz w:val="28"/>
          <w:sz w:val="28"/>
          <w:szCs w:val="28"/>
          <w:rtl w:val="true"/>
          <w:lang w:bidi="fa-IR"/>
        </w:rPr>
        <w:t>کثیراً ؛ لأنّه کان معمّراً ، والطریق إلیه عالی الإسناد فإنّه یروی الکلینی ، عن حمید بن زیاد ، عن القاسم ، عن أصحاب أبی عبداللّه علیه السلام ، والشَّیخ یراعی علوّ الإسناد فی الإجازات کثیراً فلا تغفل</w:t>
      </w:r>
      <w:r>
        <w:rPr>
          <w:rFonts w:eastAsia="IRNazanin" w:cs="IRNazanin"/>
          <w:color w:val="111111"/>
          <w:sz w:val="28"/>
          <w:szCs w:val="28"/>
          <w:rtl w:val="true"/>
          <w:lang w:bidi="fa-IR"/>
        </w:rPr>
        <w:t xml:space="preserve">» . </w:t>
      </w:r>
      <w:r>
        <w:rPr>
          <w:rStyle w:val="FootnoteAnchor"/>
          <w:rtl w:val="true"/>
        </w:rPr>
        <w:footnoteReference w:id="287"/>
      </w:r>
    </w:p>
    <w:p>
      <w:pPr>
        <w:pStyle w:val="Heading5"/>
        <w:numPr>
          <w:ilvl w:val="4"/>
          <w:numId w:val="1"/>
        </w:numPr>
        <w:rPr/>
      </w:pPr>
      <w:bookmarkStart w:id="191" w:name="__RefHeading___Toc4159482_3804643083"/>
      <w:bookmarkStart w:id="192" w:name="_Toc72"/>
      <w:bookmarkEnd w:id="191"/>
      <w:r>
        <w:rPr/>
        <w:t>3</w:t>
      </w:r>
      <w:r>
        <w:rPr>
          <w:rtl w:val="true"/>
        </w:rPr>
        <w:t xml:space="preserve"> . </w:t>
      </w:r>
      <w:r>
        <w:rPr>
          <w:rtl w:val="true"/>
        </w:rPr>
        <w:t>ابن الغضائری</w:t>
      </w:r>
      <w:bookmarkEnd w:id="192"/>
    </w:p>
    <w:p>
      <w:pPr>
        <w:pStyle w:val="BookText"/>
        <w:rPr/>
      </w:pPr>
      <w:r>
        <w:rPr>
          <w:rFonts w:ascii="IRNazanin" w:hAnsi="IRNazanin" w:eastAsia="IRNazanin"/>
          <w:color w:val="111111"/>
          <w:sz w:val="28"/>
          <w:sz w:val="28"/>
          <w:szCs w:val="28"/>
          <w:rtl w:val="true"/>
          <w:lang w:bidi="fa-IR"/>
        </w:rPr>
        <w:t>هو أبو الحسین أحمد بن الحسین البغدادی ، الشهیر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یعلم سنة وفاته ، ولکنّه تُوفّی فی أواسط القرن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یوجد فی کلام القُدَماء توثیق صریح للرجل ، لکن وَصَفَهُ بعض المتأخّرین بمدائح جلیلة تزید علی وثاقته وعدّوه من الأعلام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وقد نسب إلیه کتاب فی الرجال ، وقیل إنّه لوالده الحسین بن عبید اللّه ، وذلک الکتاب اختفی خبره حتّی وجده أحمد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ابن الغضائری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یصل الکتاب إلی المتأخّرین بطرق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هذا الکتاب الضُعَفاء من رجال الشیعة علی وجه الخصوص حسب اعتقاد مصنّفه ، وجرّح فیه رجالاً لم یسبقه أحد بجرحهم ، بل ضعّف رجالاً وثّقهم أعلام الفنّ مثل النجاشی والشَّیخ ، فحصل بحثاً عظیماً فی حال المؤلّف وقیمة کتابه ، ورأی الشارح فی الرجل وکتابه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الکتاب من تألیفات ابن الغضائری لا والده الحسین بن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مجهول الحال حتّی عند العلاّمة ، ولهذا یقدّم توثیق النجاشی والشَّیخ علی جرحه ، وأنّه لم یکن بصیراً بالرجال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تجریحاته وقعت لمصلحة هی دفع تمسک الغُلاة بأخبار عدد من خواص</w:t>
      </w:r>
    </w:p>
    <w:p>
      <w:pPr>
        <w:pStyle w:val="BookText"/>
        <w:rPr/>
      </w:pPr>
      <w:r>
        <w:rPr>
          <w:rFonts w:ascii="IRNazanin" w:hAnsi="IRNazanin" w:eastAsia="IRNazanin"/>
          <w:color w:val="111111"/>
          <w:sz w:val="28"/>
          <w:sz w:val="28"/>
          <w:szCs w:val="28"/>
          <w:rtl w:val="true"/>
          <w:lang w:bidi="fa-IR"/>
        </w:rPr>
        <w:t xml:space="preserve">الأئمّة علیهم السلام للاحتجاج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وأوضح کلّ ذلک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فی ترجمة الرجل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الحسین بن عبید اللّه بن إبراهیم الغضائری ، الظاهر أنّه الّذی کتب جزءاً فی ذکر الضُعَفاء ، ولم یذکر أصحابنا فیه مدحاً ولا ذمّاً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لما کان العلاّمة رحمه الله یدخل علیه الشکّ من جرحه ، یتوهم أنّه یعتقد أنّه ثقة ولیس کذلک ، لأنّ هذا المعنی من لوازم البشریة أنّه یدخل علی النفس بعض الشکّ من قول الفاسق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من کثیر من الموارد أنّه لم یکن له قوة التمییز مع وجود معنی ، وهو أنّ الغُلاة وأمثالهم من المبتدئة کانوا یستمسکون بأخبار من جماعة یتوهم من کلامهم الغلوّ کنقل المعجزات من الأئمّة علیهم السلام ویفترون علیهم الأباطیل ، ولهذا المعنی یقدح أمثال هؤلاء الممیزین فیهم بأنّهم من أصحابنا ـ کما مرّ فی أبی هاشم الجعفری ، وفی محمّد بن أبی عبداللّه الأسدی مع أنّهما من أرکان الدین وروی الأخبار الکثیرة فی علوّ شأنهما ، وکذا فی غیرهما ـ لئلاّ یتمسک بأخبارهم المبتدئة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یقدّم العلاّمة توثیق الشَّیخ والنجاشی علی جرحه ، مع أنّه ذکر العلاّمة وغیره فی الکتب الاُصولیة أنّ الجرح مقدم علی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ویعترض علیه من لا معرفة له بأنّه مخالف لقوله وقولهم ، وفی الحقیقة هذا قدح فی جمیع أصحابنا لعملهم بأخبارهم ، فتدبّر ولا تکن من المقلدین الجاهلین</w:t>
      </w:r>
      <w:r>
        <w:rPr>
          <w:rFonts w:eastAsia="IRNazanin" w:cs="IRNazanin"/>
          <w:color w:val="111111"/>
          <w:sz w:val="28"/>
          <w:szCs w:val="28"/>
          <w:rtl w:val="true"/>
          <w:lang w:bidi="fa-IR"/>
        </w:rPr>
        <w:t xml:space="preserve">» . </w:t>
      </w:r>
      <w:r>
        <w:rPr>
          <w:rStyle w:val="FootnoteAnchor"/>
          <w:rtl w:val="true"/>
        </w:rPr>
        <w:footnoteReference w:id="2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ترجمة إبراهیم بن عمر بعد نقل کلام العلاّمة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ثقة ، من أصحاب الباقر والصادق علیهماالسلام ذکر ذلک أبو العباس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اُصول رواها عنه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إسحاق ،</w:t>
      </w:r>
    </w:p>
    <w:p>
      <w:pPr>
        <w:pStyle w:val="BookText"/>
        <w:rPr/>
      </w:pPr>
      <w:r>
        <w:rPr>
          <w:rFonts w:ascii="Amiri" w:hAnsi="Amiri" w:eastAsia="Amiri" w:cs="Amiri"/>
          <w:color w:val="111111"/>
          <w:sz w:val="28"/>
          <w:sz w:val="28"/>
          <w:szCs w:val="28"/>
          <w:rtl w:val="true"/>
          <w:lang w:bidi="ar-SA"/>
        </w:rPr>
        <w:t xml:space="preserve">ضعیف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الغضائری</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وقال العلاّمة ـ بعد ذکر کلام النجاشی وابن الغضائری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والأرجح عندی قبول روایته وإن حصل بعض الشکّ بالطعن فیه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بل لا یحصل الشکّ ، لأنّ اُصوله معتمد الأصحاب بشهادة الصَدوق والمُفید ، ووثّقه الثقتان والجارح مجهول الحال ، ولو لم یکن کذلک لکان علیه أن یقدّم الجرح ، کما ذکره العلاّمة فی کتبه الاُصولیة</w:t>
      </w:r>
      <w:r>
        <w:rPr>
          <w:rFonts w:eastAsia="IRNazanin" w:cs="IRNazanin"/>
          <w:color w:val="111111"/>
          <w:sz w:val="28"/>
          <w:szCs w:val="28"/>
          <w:rtl w:val="true"/>
          <w:lang w:bidi="fa-IR"/>
        </w:rPr>
        <w:t xml:space="preserve">» .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ترجمة محمّد بن إسماعیل البرمکی بعد نقل کلام العلاّمة أیضاً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إسماعیل البرمکی ، ابن أحمد بن بشیر ، المعروف بصاحب الصومعة أبو عبداللّه ، سکن قم ولیس أصله منها ، ذکر ذلک ابن نوح وکان ثقة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محمّد بن جعفر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النجاشی عندی أرجح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لعدم توثیق ابن الغضائری فی کتب الرجال</w:t>
      </w:r>
      <w:r>
        <w:rPr>
          <w:rFonts w:eastAsia="IRNazanin" w:cs="IRNazanin"/>
          <w:color w:val="111111"/>
          <w:sz w:val="28"/>
          <w:szCs w:val="28"/>
          <w:rtl w:val="true"/>
          <w:lang w:bidi="fa-IR"/>
        </w:rPr>
        <w:t xml:space="preserve">» . </w:t>
      </w:r>
      <w:r>
        <w:rPr>
          <w:rStyle w:val="FootnoteAnchor"/>
          <w:rtl w:val="true"/>
        </w:rPr>
        <w:footnoteReference w:id="2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سیأتی فی العناوین التالیة تصریح الشارح بأنّ لابن الغضائری منهجاً خاصاً فی التضعیف ، فمتی رأی أنّ الراوی نقل خوارق العادات والعجائب عن الأئمّة علیهم السلام بادر إلی جرحه واتّهمه بالوضع ، حیث إنّه یعتقد ذلک غلوّاً ، وهذا خلاف الرؤیة الصحیحة والمتداولة بین عُلَماء الرجال ؛ لأنّهم ینقلون فی أحوال الرواة ما أخذوه من مشایخهم</w:t>
      </w:r>
      <w:bookmarkStart w:id="193" w:name="pg2516_26471"/>
    </w:p>
    <w:p>
      <w:pPr>
        <w:pStyle w:val="BookText"/>
        <w:rPr/>
      </w:pPr>
      <w:bookmarkEnd w:id="193"/>
      <w:r>
        <w:rPr>
          <w:rFonts w:ascii="IRNazanin" w:hAnsi="IRNazanin" w:eastAsia="IRNazanin"/>
          <w:color w:val="111111"/>
          <w:sz w:val="28"/>
          <w:sz w:val="28"/>
          <w:szCs w:val="28"/>
          <w:rtl w:val="true"/>
          <w:lang w:bidi="fa-IR"/>
        </w:rPr>
        <w:t xml:space="preserve">أو ما کان معروفاً عند الطائفة ، علی أنّ نقل المعجزات عن الأئمّة علیهم السلام وذکر علمهم بمکنونات السماء والأرض لیس غلوّاً ، وسیأتی تصریح الشارح بذلک </w:t>
      </w:r>
      <w:r>
        <w:rPr>
          <w:rFonts w:eastAsia="IRNazanin" w:cs="IRNazanin"/>
          <w:color w:val="111111"/>
          <w:sz w:val="28"/>
          <w:szCs w:val="28"/>
          <w:rtl w:val="true"/>
          <w:lang w:bidi="fa-IR"/>
        </w:rPr>
        <w:t>.</w:t>
      </w:r>
    </w:p>
    <w:p>
      <w:pPr>
        <w:pStyle w:val="Heading4"/>
        <w:numPr>
          <w:ilvl w:val="3"/>
          <w:numId w:val="1"/>
        </w:numPr>
        <w:rPr/>
      </w:pPr>
      <w:bookmarkStart w:id="194" w:name="__RefHeading___Toc4159484_3804643083"/>
      <w:bookmarkStart w:id="195" w:name="_Toc73"/>
      <w:bookmarkEnd w:id="194"/>
      <w:r>
        <w:rPr>
          <w:rtl w:val="true"/>
        </w:rPr>
        <w:t xml:space="preserve">المبحث الثانی </w:t>
      </w:r>
      <w:r>
        <w:rPr>
          <w:rtl w:val="true"/>
        </w:rPr>
        <w:t xml:space="preserve">: </w:t>
      </w:r>
      <w:r>
        <w:rPr>
          <w:rtl w:val="true"/>
        </w:rPr>
        <w:t>فی منهج المشایخ الثلاثة فی التضعیف</w:t>
      </w:r>
      <w:bookmarkEnd w:id="195"/>
    </w:p>
    <w:p>
      <w:pPr>
        <w:pStyle w:val="BookText"/>
        <w:rPr/>
      </w:pPr>
      <w:r>
        <w:rPr>
          <w:rFonts w:ascii="IRNazanin" w:hAnsi="IRNazanin" w:eastAsia="IRNazanin"/>
          <w:color w:val="111111"/>
          <w:sz w:val="28"/>
          <w:sz w:val="28"/>
          <w:szCs w:val="28"/>
          <w:rtl w:val="true"/>
          <w:lang w:bidi="fa-IR"/>
        </w:rPr>
        <w:t xml:space="preserve">یقول الشارح 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روایة رواها جابر بن یزید الجعفی ،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ظهر لنا من التتبع أنّه ثقة جلیل من أصحاب أسرار الأئمّة وخواصهم والعامة تضعفه لهذا ، کما یظهر من مقدّمة صحیح مسلم وتبعهم بعض الخاصة ، لأنّ أحادیثه تدلّ علی جلالة الأئمّة علیهم السلام ولما لم یمکنه القدح فیه لجلالته قدح فی رواته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تأمّلت أحادیثه یظهر لک أنّ القدح لیس فیهم ، بل فی من قدحه باعتبار عدم معرفة الأئمّة ـ صلوات اللّه علیهم ـ کما ینبغی والّذی ظهر لنا من التتبع التامّ أنّ أکثر المجروحین سبب جرحهم علو حالهم ، کما یظهر من الأخبار الّتی وردت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الرجال علی قدر روایاتهم عنّا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والظاهر 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الأخبار العالیة الّتی لا یصل إلیها عقول أکثر الناس ، وورد متواتراً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حدیثنا صعب مستصعب لا یحتمله إلاّ ملک مقرب ، أو نبی مرسل ، أو عبد مؤمن امتحن اللّه قلبه للإیمان </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تری ثقة الإسلام ، وعلی بن إبراهیم ، ومحمّد بن الحسن الصفّار ، وسعد بن عبداللّه ، وأضرابهم ینقلون أخبارهم ویعتمدون علیهم ، وابن الغضائری المجهول حاله وشخصه یجرحهم ، والمتأخّرون ـ رحمهم اللّه تعالی ـ یعتمدون علی قوله ،</w:t>
      </w:r>
      <w:bookmarkStart w:id="196" w:name="pg2516_26472"/>
    </w:p>
    <w:p>
      <w:pPr>
        <w:pStyle w:val="BookText"/>
        <w:rPr/>
      </w:pPr>
      <w:bookmarkEnd w:id="196"/>
      <w:r>
        <w:rPr>
          <w:rFonts w:ascii="IRNazanin" w:hAnsi="IRNazanin" w:eastAsia="IRNazanin"/>
          <w:color w:val="111111"/>
          <w:sz w:val="28"/>
          <w:sz w:val="28"/>
          <w:szCs w:val="28"/>
          <w:rtl w:val="true"/>
          <w:lang w:bidi="fa-IR"/>
        </w:rPr>
        <w:t xml:space="preserve">وبسببه یضعف أکثر أخبار الأئمّة ـ صلوات اللّه علیهم ـ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للتفصیل اُنظر العنوان التالی </w:t>
      </w:r>
      <w:r>
        <w:rPr>
          <w:rFonts w:eastAsia="IRNazanin" w:cs="IRNazanin"/>
          <w:color w:val="111111"/>
          <w:sz w:val="28"/>
          <w:szCs w:val="28"/>
          <w:rtl w:val="true"/>
          <w:lang w:bidi="fa-IR"/>
        </w:rPr>
        <w:t>.</w:t>
      </w:r>
    </w:p>
    <w:p>
      <w:pPr>
        <w:pStyle w:val="Heading4"/>
        <w:numPr>
          <w:ilvl w:val="3"/>
          <w:numId w:val="1"/>
        </w:numPr>
        <w:rPr/>
      </w:pPr>
      <w:bookmarkStart w:id="197" w:name="__RefHeading___Toc4159486_3804643083"/>
      <w:bookmarkStart w:id="198" w:name="_Toc74"/>
      <w:bookmarkEnd w:id="197"/>
      <w:r>
        <w:rPr>
          <w:rtl w:val="true"/>
        </w:rPr>
        <w:t>قدح بعض الرجال لنقلهم خوارق العادات عن الأئمّة</w:t>
      </w:r>
      <w:bookmarkEnd w:id="198"/>
    </w:p>
    <w:p>
      <w:pPr>
        <w:pStyle w:val="BookText"/>
        <w:rPr/>
      </w:pPr>
      <w:r>
        <w:rPr>
          <w:rFonts w:ascii="IRNazanin" w:hAnsi="IRNazanin" w:eastAsia="IRNazanin"/>
          <w:color w:val="111111"/>
          <w:sz w:val="28"/>
          <w:sz w:val="28"/>
          <w:szCs w:val="28"/>
          <w:rtl w:val="true"/>
          <w:lang w:bidi="fa-IR"/>
        </w:rPr>
        <w:t xml:space="preserve">صرّح الشارح بذلک المعنی فی ترجمة عدّة من الرجال ، نذکر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مالک ، کوفی ثقة ، ویضعّفه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مولد القائم أعاجیب ، لم یرو عنهم علیهم السلام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وروی شیخ الطائفة عنه کثیراً فی کتاب الغیبة ، وکذا الصَدوق فی کتبه سیّما فی إکمال الدین وذکر الأعاجیب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ولاشکّ فی أنّ اُموره علیه السلام کلّها أعاجیب ، بل معجزات الأنبیاء ـ صلوات اللّه علیهم ـ کلّها أعاجیب ، ولا عجب من ابن الغضائری فی أمثال هذه ، والعجب من الشَّیخ ؛ لکن الظاهر أنّ الشَّیخ ذکر ذلک لبیان وجه تضعیف القوم لا للذم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فاسد المذهب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کیف روی عنه شیخنا النبیل الثقة أبو علی بن همام ، وشیخنا الجلیل الثقة أبو غالب الزراری رحمهماالله له کتب روی عنه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والعجب من النجاشی أنّه مع معرفته هذه الأجلاء وروایتهم عنه کیف سمع قول جاهل مجهول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الجمیع نشأ من قول ابن الغضائری کما صرح به النجاشی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فی الحدیث ، قال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وضعاً </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أنّه متی یجوز نسبة الوضع إلی أحد لروایة الأعاجیب والحال أنّه لم یروها</w:t>
      </w:r>
    </w:p>
    <w:p>
      <w:pPr>
        <w:pStyle w:val="BookText"/>
        <w:rPr/>
      </w:pPr>
      <w:r>
        <w:rPr>
          <w:rFonts w:ascii="Amiri" w:hAnsi="Amiri" w:eastAsia="Amiri" w:cs="Amiri"/>
          <w:color w:val="111111"/>
          <w:sz w:val="28"/>
          <w:sz w:val="28"/>
          <w:szCs w:val="28"/>
          <w:rtl w:val="true"/>
          <w:lang w:bidi="ar-SA"/>
        </w:rPr>
        <w:t xml:space="preserve">فقط ، بل رواها جماعة من الثقات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الأعاجیب الّذی رووا عن حکیمة بنت الجواد علیه السلام من حضورها وقت الولادة وظهور المعجزات فی ذلک الوقت ، وظهور طیر ودفع أبی محمّد علیه السلام الصاحب علیه السلام إلی الطیر فغاب وکان یجیء به فی کل أربعین یوماً مرّة ،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العجیب رواه جماعة کثیرة عن حکیمة ـ رضی اللّه تعالی عنها ـ ، فهذا المعنی أعجب أو وجوده ـ صلوات اللّه علیه ـ فی سبعمئة سنة؟ ، ولیس کلّ ذلک بعجیب من قدرة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رأیناهم یضعفون بعض الأصحاب لبعض الأشیاء والمعجزات کثیراً لا نجزم بقولهم بمجرد ما لم یذکروا سبب القدح ، کما ذکره جماعة من لزوم ذکر سبب الجرح فی الجارح ، فإنّ للناس فیه مذاهب مختلفة وآراء متشتتة ، واللّه تعالی یعلم</w:t>
      </w:r>
      <w:r>
        <w:rPr>
          <w:rFonts w:eastAsia="IRNazanin" w:cs="IRNazanin"/>
          <w:color w:val="111111"/>
          <w:sz w:val="28"/>
          <w:szCs w:val="28"/>
          <w:rtl w:val="true"/>
          <w:lang w:bidi="fa-IR"/>
        </w:rPr>
        <w:t xml:space="preserve">» .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 ـ یقول الشارح فی کتاب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الرجل یوصی بوصیة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نقل الصَدوق روایة وقع فی إسنادها سهل بن زیاد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وثّقه الشَّیخ فی الرجال </w:t>
      </w:r>
      <w:r>
        <w:rPr>
          <w:rStyle w:val="FootnoteAnchor"/>
          <w:rtl w:val="true"/>
        </w:rPr>
        <w:footnoteReference w:id="306"/>
      </w:r>
      <w:r>
        <w:rPr>
          <w:rFonts w:ascii="IRNazanin" w:hAnsi="IRNazanin" w:eastAsia="IRNazanin"/>
          <w:color w:val="111111"/>
          <w:sz w:val="28"/>
          <w:sz w:val="28"/>
          <w:szCs w:val="28"/>
          <w:rtl w:val="true"/>
          <w:lang w:bidi="fa-IR"/>
        </w:rPr>
        <w:t xml:space="preserve">وضعّفه النجاشی </w:t>
      </w:r>
      <w:r>
        <w:rPr>
          <w:rStyle w:val="FootnoteAnchor"/>
          <w:rtl w:val="true"/>
        </w:rPr>
        <w:footnoteReference w:id="307"/>
      </w:r>
      <w:r>
        <w:rPr>
          <w:rFonts w:ascii="IRNazanin" w:hAnsi="IRNazanin" w:eastAsia="IRNazanin"/>
          <w:color w:val="111111"/>
          <w:sz w:val="28"/>
          <w:sz w:val="28"/>
          <w:szCs w:val="28"/>
          <w:rtl w:val="true"/>
          <w:lang w:bidi="fa-IR"/>
        </w:rPr>
        <w:t xml:space="preserve">، لکنه معتمد الکلینی والمصنف وابن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فی تضعیفه أنّه روی بعض الأخبار الدالّة علی علو رتبة الأئمّة علیهم السلامولهذا أخرجه ابن عیسی من قم مع جماعة منهم أحمد بن محمّد بن خالد ، وبعده طلب أحمد وتاب ومشی فی جنازته حافیاً حاسراً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الإخراج کان من الاجتهاد وغلطه فی الاجتهاد کثیر ، والجزم بضعفه مشکل مع شهادة عظماء أصحابنا بتزکیته وثقته وکثرة روایته ، مع أنّا لم نطلع علی روایة تدلّ علی غلوّه</w:t>
      </w:r>
      <w:r>
        <w:rPr>
          <w:rFonts w:eastAsia="IRNazanin" w:cs="IRNazanin"/>
          <w:color w:val="111111"/>
          <w:sz w:val="28"/>
          <w:szCs w:val="28"/>
          <w:rtl w:val="true"/>
          <w:lang w:bidi="fa-IR"/>
        </w:rPr>
        <w:t xml:space="preserve">» . </w:t>
      </w:r>
      <w:r>
        <w:rPr>
          <w:rStyle w:val="FootnoteAnchor"/>
          <w:rtl w:val="true"/>
        </w:rPr>
        <w:footnoteReference w:id="308"/>
      </w:r>
      <w:bookmarkStart w:id="199" w:name="pg2516_26474"/>
    </w:p>
    <w:p>
      <w:pPr>
        <w:pStyle w:val="BookText"/>
        <w:rPr/>
      </w:pPr>
      <w:bookmarkEnd w:id="199"/>
      <w:r>
        <w:rPr>
          <w:rFonts w:ascii="IRNazanin" w:hAnsi="IRNazanin" w:eastAsia="IRNazanin"/>
          <w:color w:val="111111"/>
          <w:sz w:val="28"/>
          <w:sz w:val="28"/>
          <w:szCs w:val="28"/>
          <w:rtl w:val="true"/>
          <w:lang w:bidi="fa-IR"/>
        </w:rPr>
        <w:t xml:space="preserve">ج ـ یقول الشارح فی شرح المشیخة عند ترجمة محمّد 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وثّقه المُفید </w:t>
      </w:r>
      <w:r>
        <w:rPr>
          <w:rStyle w:val="FootnoteAnchor"/>
          <w:rtl w:val="true"/>
        </w:rPr>
        <w:footnoteReference w:id="309"/>
      </w:r>
      <w:r>
        <w:rPr>
          <w:rFonts w:ascii="IRNazanin" w:hAnsi="IRNazanin" w:eastAsia="IRNazanin"/>
          <w:color w:val="111111"/>
          <w:sz w:val="28"/>
          <w:sz w:val="28"/>
          <w:szCs w:val="28"/>
          <w:rtl w:val="true"/>
          <w:lang w:bidi="fa-IR"/>
        </w:rPr>
        <w:t xml:space="preserve">وضعّفه الباقون ونسبوه إلی الغلوّ </w:t>
      </w:r>
      <w:r>
        <w:rPr>
          <w:rStyle w:val="FootnoteAnchor"/>
          <w:rtl w:val="true"/>
        </w:rPr>
        <w:footnoteReference w:id="310"/>
      </w:r>
      <w:r>
        <w:rPr>
          <w:rFonts w:ascii="IRNazanin" w:hAnsi="IRNazanin" w:eastAsia="IRNazanin"/>
          <w:color w:val="111111"/>
          <w:sz w:val="28"/>
          <w:sz w:val="28"/>
          <w:szCs w:val="28"/>
          <w:rtl w:val="true"/>
          <w:lang w:bidi="fa-IR"/>
        </w:rPr>
        <w:t xml:space="preserve">، وروی الکشّی أخباره فی الغلوّ ، ولا نجد فیها غلوّاً ، بل الّذی یظهر منها أنّه کان من أصحاب الأسرار فلننقل ما رووه فیه لتعلم أنّ أکثر ما یرمون الأجلاء أمثال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أیها الأخ فی اللّه بعین الإنصاف فی هذه الأخبار ، فإنّها لیست إلاّ معجزاته علیه السلام ولاشکّ فی أنّ الأئمّة علیهم السلاممن حین الولادة یتکلمون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لما ذکر بعض من لا فهم له ضعّفه بهذه الأشیاء</w:t>
      </w:r>
      <w:r>
        <w:rPr>
          <w:rFonts w:eastAsia="IRNazanin" w:cs="IRNazanin"/>
          <w:color w:val="111111"/>
          <w:sz w:val="28"/>
          <w:szCs w:val="28"/>
          <w:rtl w:val="true"/>
          <w:lang w:bidi="fa-IR"/>
        </w:rPr>
        <w:t xml:space="preserve">» . </w:t>
      </w:r>
      <w:r>
        <w:rPr>
          <w:rStyle w:val="FootnoteAnchor"/>
          <w:rtl w:val="true"/>
        </w:rPr>
        <w:footnoteReference w:id="311"/>
      </w:r>
    </w:p>
    <w:p>
      <w:pPr>
        <w:pStyle w:val="Heading4"/>
        <w:numPr>
          <w:ilvl w:val="3"/>
          <w:numId w:val="1"/>
        </w:numPr>
        <w:rPr/>
      </w:pPr>
      <w:bookmarkStart w:id="200" w:name="__RefHeading___Toc4159488_3804643083"/>
      <w:bookmarkStart w:id="201" w:name="_Toc75"/>
      <w:bookmarkEnd w:id="200"/>
      <w:r>
        <w:rPr>
          <w:rtl w:val="true"/>
        </w:rPr>
        <w:t>تضعیف بعض أصحاب الأسرار کسراً لمذهب الغُلاة</w:t>
      </w:r>
      <w:bookmarkEnd w:id="201"/>
    </w:p>
    <w:p>
      <w:pPr>
        <w:pStyle w:val="BookText"/>
        <w:rPr/>
      </w:pPr>
      <w:r>
        <w:rPr>
          <w:rFonts w:ascii="IRNazanin" w:hAnsi="IRNazanin" w:eastAsia="IRNazanin"/>
          <w:color w:val="111111"/>
          <w:sz w:val="28"/>
          <w:sz w:val="28"/>
          <w:szCs w:val="28"/>
          <w:rtl w:val="true"/>
          <w:lang w:bidi="fa-IR"/>
        </w:rPr>
        <w:t xml:space="preserve">قد علمت ممّا مرّ فی العنوانین السابقین أنّ الشارح یعتقد أنّ جرح بعض الرواة من ناحیة عُلَماء الرجال سیّما ابن الغضائری کان لنقلهم المعجزات وخوارق العادات عن الأئمّة علیهم السلامفهم لعدم فهمهم هذه المعانی أنکروا وقوعها عن الأئمّة علیهم السلام وجعلوها غلوّاً فی منزلتهم ، واتهموا الّذین ینقلون هذه الاُمور بالوضع نصرة لمذهبهم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تقدّم فیما قاله الشارح فی ابن الغضائری أنّ له نظراً آخر أیضاً ، وهو وقوع تلکم التضعیفات عن مصلحة ، وهی دفع تمسک الغُلاة بأخبار عدّة من خواص الأئمّة علیهم السلام للاحتجاج علینا ، فعُلَماء الرجال معترفون بجلالة الّذین أقدموا علی جرحهم وصحَّة أحادیثهم ، لکن اضطروا إلی تضعیفهم لئلاّ یتخذ الغُلاة أحادیثهم نصرة لمذهبهم وحجّة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التفصیل من النصوص الّتی ننقلها عن الشارح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 یقول الشارح فی نهایة ترجمة المعَلی بن خنیس ـ بعد نقل عبارات النجاشی</w:t>
      </w:r>
    </w:p>
    <w:p>
      <w:pPr>
        <w:pStyle w:val="BookText"/>
        <w:rPr/>
      </w:pPr>
      <w:r>
        <w:rPr>
          <w:rFonts w:ascii="IRNazanin" w:hAnsi="IRNazanin" w:eastAsia="IRNazanin"/>
          <w:color w:val="111111"/>
          <w:sz w:val="28"/>
          <w:sz w:val="28"/>
          <w:szCs w:val="28"/>
          <w:rtl w:val="true"/>
          <w:lang w:bidi="fa-IR"/>
        </w:rPr>
        <w:t xml:space="preserve">وابن الغضائری فی ضعفه والروایات المادحة عن الکشی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أیها المنصف أنّه أیّ أشیاء نسب إلیه وهو فی أیّ مرتبة ، والّذی حصل لی من التتبع التام وعسی أن یحصل لک ما حصل لی أنّ جماعة من أصحاب الرجال رأوا أنّ الغُلاة ـ لعنهم اللّه ـ نسبوا إلی جماعة أشیاءً ترویجاً لمذاهبهم الفاسدة کجابر ، والمفضل بن عمر ، والمعَلی وأمثالهم ، وهم بریئون ممّا نسبوا إلیهم أن یضعفوا هؤلاء کسراً لمذاهبهم الباطلة حتّی لا یمکنهم إلزامنا بأخبارهم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دأب العامة معنا فی نقل الأخبار عن جماعة منهم کأبی الطفیل ، وأبی نعیم ، وجابر بن عبداللّه ، وعبداللّه بن العباس وغیرهم ممّا لا یحصی وضعّفوهم ، بأنّهم روافض حتّی لا یمکننا إلزامهم بأخبارهم ، وتبعهم بعض أصحابنا فی الغُلاة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فتدبّر حتّی یحصل لک العلم کما حصل لی ولا تجتر بجرح الفحول من أصحاب الأئمّة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وقرینة الوضع علیهم دون غیرهم أنّهم کانوا من أصحاب الأسرار وکانوا ینقلون معجزاتهم علیهم السلام فکانوا یضعون علیهم والجاهل بالأحوال لا یستنکر ذلک ، کما تقدّم أنّ المعَلی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الأئمّة علیهم السلام محدثون بمنزلة الأنبیاء ، بل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اُمتی کأنبیاء بنی إسرائیل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فتوهموا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أنبیاء </w:t>
      </w:r>
      <w:r>
        <w:rPr>
          <w:rFonts w:eastAsia="IRNazanin" w:cs="IRNazanin"/>
          <w:color w:val="111111"/>
          <w:sz w:val="28"/>
          <w:szCs w:val="28"/>
          <w:rtl w:val="true"/>
          <w:lang w:bidi="fa-IR"/>
        </w:rPr>
        <w:t xml:space="preserve">» .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 ـ یقول الشارح فی ترجمة محمّد بن الفضیل بن کثیر الأزدی ـ بعد نقل ما ذکره الشَّیخ فی ترجمة الرجل من أنّه یرمی بالغلوّ </w:t>
      </w:r>
      <w:r>
        <w:rPr>
          <w:rStyle w:val="FootnoteAnchor"/>
          <w:rtl w:val="true"/>
        </w:rPr>
        <w:footnoteReference w:id="31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الشَّیخ لم یحکم بغلوّه وإنّما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بالغلوّ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أنّه لما یرویه ما لا یفهمون من الأخبار المشتملة علی المعانی الدقیقة فی فضائل أهل البیت علیهم السلام ، کما رواه الکلینی وابن بابویه فی کتبهما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یخطر ببالی أنّ الباعث للمشایخ أو بعضهم علی جرح أمثال هؤلاء أنّ الغُلاة</w:t>
      </w:r>
      <w:bookmarkStart w:id="202" w:name="pg2516_26476"/>
    </w:p>
    <w:p>
      <w:pPr>
        <w:pStyle w:val="BookText"/>
        <w:rPr/>
      </w:pPr>
      <w:bookmarkEnd w:id="202"/>
      <w:r>
        <w:rPr>
          <w:rFonts w:ascii="Amiri" w:hAnsi="Amiri" w:eastAsia="Amiri" w:cs="Amiri"/>
          <w:color w:val="111111"/>
          <w:sz w:val="28"/>
          <w:sz w:val="28"/>
          <w:szCs w:val="28"/>
          <w:rtl w:val="true"/>
          <w:lang w:bidi="ar-SA"/>
        </w:rPr>
        <w:t xml:space="preserve">لعنهم اللّه ـ إذا رأوا معجزة مشتملة علی الإخبار بالمغیبات یجعلونها حجّة لهم بأنّه لا یعلم الغیب إلاّ اللّه ، وأمثال هذه الأخبار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 ونحن باب اللّه ، ونحن وجه اللّه ؛ بل الأخبار الواردة فی رؤیة اللّه محمولة علی ألسنتهم علی أنّ المراد برؤیته تعالی رؤیة حججه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وتقدّم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کان بعض الأجلاء ینقلون أمثال هذه الأخبار ویجعلها الغُلاة حجّة لهم ، فاضطروا إلی أن یجرحوا وینسبوا إلی الضعف أمثالهم لئلا یتخذها الغُلاة حجّة علینا</w:t>
      </w:r>
      <w:r>
        <w:rPr>
          <w:rFonts w:eastAsia="IRNazanin" w:cs="IRNazanin"/>
          <w:color w:val="111111"/>
          <w:sz w:val="28"/>
          <w:szCs w:val="28"/>
          <w:rtl w:val="true"/>
          <w:lang w:bidi="fa-IR"/>
        </w:rPr>
        <w:t xml:space="preserve">» . </w:t>
      </w:r>
      <w:r>
        <w:rPr>
          <w:rStyle w:val="FootnoteAnchor"/>
          <w:rtl w:val="true"/>
        </w:rPr>
        <w:footnoteReference w:id="316"/>
      </w:r>
    </w:p>
    <w:p>
      <w:pPr>
        <w:pStyle w:val="Heading4"/>
        <w:numPr>
          <w:ilvl w:val="3"/>
          <w:numId w:val="1"/>
        </w:numPr>
        <w:rPr/>
      </w:pPr>
      <w:bookmarkStart w:id="203" w:name="__RefHeading___Toc4159490_3804643083"/>
      <w:bookmarkStart w:id="204" w:name="_Toc76"/>
      <w:bookmarkEnd w:id="203"/>
      <w:r>
        <w:rPr>
          <w:rtl w:val="true"/>
        </w:rPr>
        <w:t>التضعیف لذکر الأسانید من دون المتون والمتون من دون الأسانید</w:t>
      </w:r>
      <w:bookmarkEnd w:id="204"/>
    </w:p>
    <w:p>
      <w:pPr>
        <w:pStyle w:val="BookText"/>
        <w:rPr/>
      </w:pPr>
      <w:r>
        <w:rPr>
          <w:rFonts w:ascii="IRNazanin" w:hAnsi="IRNazanin" w:eastAsia="IRNazanin"/>
          <w:color w:val="111111"/>
          <w:sz w:val="28"/>
          <w:sz w:val="28"/>
          <w:szCs w:val="28"/>
          <w:rtl w:val="true"/>
          <w:lang w:bidi="fa-IR"/>
        </w:rPr>
        <w:t xml:space="preserve">وسیأتی بیانه فی العنوان التالی </w:t>
      </w:r>
      <w:r>
        <w:rPr>
          <w:rFonts w:eastAsia="IRNazanin" w:cs="IRNazanin"/>
          <w:color w:val="111111"/>
          <w:sz w:val="28"/>
          <w:szCs w:val="28"/>
          <w:rtl w:val="true"/>
          <w:lang w:bidi="fa-IR"/>
        </w:rPr>
        <w:t>.</w:t>
      </w:r>
    </w:p>
    <w:p>
      <w:pPr>
        <w:pStyle w:val="Heading4"/>
        <w:numPr>
          <w:ilvl w:val="3"/>
          <w:numId w:val="1"/>
        </w:numPr>
        <w:rPr/>
      </w:pPr>
      <w:bookmarkStart w:id="205" w:name="__RefHeading___Toc4159492_3804643083"/>
      <w:bookmarkStart w:id="206" w:name="_Toc77"/>
      <w:bookmarkEnd w:id="205"/>
      <w:r>
        <w:rPr>
          <w:rtl w:val="true"/>
        </w:rPr>
        <w:t>التسرع إلی نسبة وضع الأخبار إلی الرواة</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بن المطلب الشیبانی أبو المفضل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الروایة ، حسن الحفظ غیر أنّه ضعّفه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روایاته عنه جماعة من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والظاهر أنّه کان من مشایخ الإجازة فلهذا یروی عنه الشَّیخ کثیراً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المفضل ، وضّاع ، کثیر المناکیر ، رأیت کتبه وفیها الأسانید من دون المتون ، والمتون من دون الأسانید ، وأری ترک ما ینفرد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 </w:t>
      </w:r>
      <w:r>
        <w:rPr>
          <w:rStyle w:val="FootnoteAnchor"/>
          <w:rtl w:val="true"/>
        </w:rPr>
        <w:footnoteReference w:id="318"/>
      </w:r>
      <w:bookmarkStart w:id="207" w:name="pg2516_26477"/>
    </w:p>
    <w:p>
      <w:pPr>
        <w:pStyle w:val="BookText"/>
        <w:rPr/>
      </w:pPr>
      <w:bookmarkEnd w:id="207"/>
      <w:r>
        <w:rPr>
          <w:rFonts w:ascii="IRNazanin" w:hAnsi="IRNazanin" w:eastAsia="IRNazanin"/>
          <w:color w:val="111111"/>
          <w:sz w:val="28"/>
          <w:sz w:val="28"/>
          <w:szCs w:val="28"/>
          <w:rtl w:val="true"/>
          <w:lang w:bidi="fa-IR"/>
        </w:rPr>
        <w:t xml:space="preserve">الظاهر أنّ ذکر الأسانید بدون المتون کان لبیان السند ، کما فی کتب الرجال والفهارس ، والمتون من دون الأسانید ، کما فی کتب الفقه من معاصریه کعلی بن الحسین بن بابویه ، والنهایة للشَّیخ وکثیر من کتب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جرح أمثال هؤلاء بهؤلاء لا یجوز فی نظرنا ، وکیف یجوز نسبة وضع الأخبار إلی أحد بخصوصه ما لم یسمع منه أنّی وضعتها وإن کان الخبر موضوعاً ، فإنّا نقطع بوضع کثیر من أخبار العامّة ، بل الخاصّة أیضاً کما فی الواقفة والغُلاة ، ولکن لا نعلم إلاّ أن یکون ینسبه إلی السماع من المعصوم علیه السلام ویکون خلافه معلوماً ولم یکن قابلاً للتأویل ، حتّی أنّ أخبار الید والرجل الّذی نقلها العامّة ونقطع بخلافها یمکن تأویلها کما فعلته العامّة</w:t>
      </w:r>
      <w:r>
        <w:rPr>
          <w:rFonts w:eastAsia="IRNazanin" w:cs="IRNazanin"/>
          <w:color w:val="111111"/>
          <w:sz w:val="28"/>
          <w:szCs w:val="28"/>
          <w:rtl w:val="true"/>
          <w:lang w:bidi="fa-IR"/>
        </w:rPr>
        <w:t xml:space="preserve">» . </w:t>
      </w:r>
      <w:r>
        <w:rPr>
          <w:rStyle w:val="FootnoteAnchor"/>
          <w:rtl w:val="true"/>
        </w:rPr>
        <w:footnoteReference w:id="319"/>
      </w:r>
    </w:p>
    <w:p>
      <w:pPr>
        <w:pStyle w:val="Heading4"/>
        <w:numPr>
          <w:ilvl w:val="3"/>
          <w:numId w:val="1"/>
        </w:numPr>
        <w:rPr/>
      </w:pPr>
      <w:bookmarkStart w:id="208" w:name="__RefHeading___Toc4159494_3804643083"/>
      <w:bookmarkStart w:id="209" w:name="_Toc78"/>
      <w:bookmarkEnd w:id="208"/>
      <w:r>
        <w:rPr>
          <w:rtl w:val="true"/>
        </w:rPr>
        <w:t>حکم الرجالی بالضعف لیس بجرح</w:t>
      </w:r>
      <w:bookmarkEnd w:id="209"/>
    </w:p>
    <w:p>
      <w:pPr>
        <w:pStyle w:val="BookText"/>
        <w:rPr/>
      </w:pPr>
      <w:r>
        <w:rPr>
          <w:rFonts w:ascii="IRNazanin" w:hAnsi="IRNazanin" w:eastAsia="IRNazanin"/>
          <w:color w:val="111111"/>
          <w:sz w:val="28"/>
          <w:sz w:val="28"/>
          <w:szCs w:val="28"/>
          <w:rtl w:val="true"/>
          <w:lang w:bidi="fa-IR"/>
        </w:rPr>
        <w:t xml:space="preserve">أطلق المشایخ الثلاثة فی ترجمة کثیر من الرواة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یقیدوه لا بنفس الراوی ولا بروایته ، وقد فهم المشهور أنّ المراد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الضعف فی نفس الراوی ولهذا عدّوه من ألفاظ الجرح </w:t>
      </w:r>
      <w:r>
        <w:rPr>
          <w:rStyle w:val="FootnoteAnchor"/>
          <w:rtl w:val="true"/>
        </w:rPr>
        <w:footnoteReference w:id="320"/>
      </w:r>
      <w:r>
        <w:rPr>
          <w:rFonts w:ascii="IRNazanin" w:hAnsi="IRNazanin" w:eastAsia="IRNazanin"/>
          <w:color w:val="111111"/>
          <w:sz w:val="28"/>
          <w:sz w:val="28"/>
          <w:szCs w:val="28"/>
          <w:rtl w:val="true"/>
          <w:lang w:bidi="fa-IR"/>
        </w:rPr>
        <w:t xml:space="preserve">، فصار هذا سبباً لتضعیف کثیر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الشارح یعتقد أنّ عُلَماء الرجال لم یریدوا دائماً من إطلاق هذا اللفظ ما فهمه منه المتأخّرون ؛ لأنّ تضعیفهم غیر مقصور علی الفسق ، فلعلّ منشأ حکمهم بالضعف سوء الضبط والروایة من غیر إجازة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 خفی أنّ أمثال ما ذکر لیس منافیاً للعدالة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ولفظ الشارح فی ذلک المعنی هو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الحکم بالضعف لیس بجرح ، فإنّ العادل الّذی لا یکون ضابطاً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 أی لیس قوة حدیثه کقوة الثقة ، بل تراهم</w:t>
      </w:r>
      <w:bookmarkStart w:id="210" w:name="pg2516_26478"/>
    </w:p>
    <w:p>
      <w:pPr>
        <w:pStyle w:val="BookText"/>
        <w:rPr/>
      </w:pPr>
      <w:bookmarkEnd w:id="210"/>
      <w:r>
        <w:rPr>
          <w:rFonts w:ascii="IRNazanin" w:hAnsi="IRNazanin" w:eastAsia="IRNazanin"/>
          <w:color w:val="111111"/>
          <w:sz w:val="28"/>
          <w:sz w:val="28"/>
          <w:szCs w:val="28"/>
          <w:rtl w:val="true"/>
          <w:lang w:bidi="fa-IR"/>
        </w:rPr>
        <w:t>یطلقون الضعیف علی من یروی عن الضُعَفاء ویرسل الأخبار مع أنّ رئیس المُحَدّثین وثقة الإسلام وشیخ الطائفة دأبهم ذلک</w:t>
      </w:r>
      <w:r>
        <w:rPr>
          <w:rFonts w:eastAsia="IRNazanin" w:cs="IRNazanin"/>
          <w:color w:val="111111"/>
          <w:sz w:val="28"/>
          <w:szCs w:val="28"/>
          <w:rtl w:val="true"/>
          <w:lang w:bidi="fa-IR"/>
        </w:rPr>
        <w:t xml:space="preserve">» . </w:t>
      </w:r>
      <w:r>
        <w:rPr>
          <w:rStyle w:val="FootnoteAnchor"/>
          <w:rtl w:val="true"/>
        </w:rPr>
        <w:footnoteReference w:id="321"/>
      </w:r>
    </w:p>
    <w:p>
      <w:pPr>
        <w:pStyle w:val="Heading4"/>
        <w:numPr>
          <w:ilvl w:val="3"/>
          <w:numId w:val="1"/>
        </w:numPr>
        <w:rPr/>
      </w:pPr>
      <w:bookmarkStart w:id="211" w:name="__RefHeading___Toc4159496_3804643083"/>
      <w:bookmarkStart w:id="212" w:name="_Toc79"/>
      <w:bookmarkEnd w:id="211"/>
      <w:r>
        <w:rPr>
          <w:rtl w:val="true"/>
        </w:rPr>
        <w:t>التضعیف لتخلیط الراوی فیما یسنده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بن أحمد بن بُطَّة المؤدِّب ، أبو جعفر القمّی ، کان کبیر المنزلة بقم ، کثیر الأدب والفضل والعلم ، یتساهل فی الحدیث ویعلّق الأسانید بالإجازات ، وفهرست ما رواه غلط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جعفر بن بطّة ضعیفاً مخلطاً فیما 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الحسن بن حمزة العلوی الطبری وأبو المفضل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الظاهر أنّ تخلیطه کان لفضله وکان یعلم أنّ الإجازات لمجرد اتصال السند ، فکان یقول فیما اُجیز له من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فلان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نوع من التخلیط وکان الأحسن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إجازة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الأشهر جواز ما فعله أیضاً مع أنّه کان رأیه الجواز ، وکان ابن الولید کالبخاری من العامّة یشترط شروطاً غیر لازمة ، وذکر مسلم بن الحجاج فی أوّل صحیحه شروطه واعترض علیه بأنّ هذه الشروط غیر لازمة ، وإنّما هی بدعة ابتدعها البخاری ، وذکر جزءاً فی إبطال ما ذکره من الشروط ، وکذلک النجاشی والشَّیخ ، فإنّ الشَّیخ لتبحره فی العلوم کان یعلم أو یظن عدم لزوم ما ذکره النجاشی ، فلهذا اعتمد الشَّیخ علی جمیع إجازات ابن بطّة فی فهرسته ، فتدبّر فی أکثر ما یضعفون الأصحاب ، فإنّه من هذا القبیل</w:t>
      </w:r>
      <w:r>
        <w:rPr>
          <w:rFonts w:eastAsia="IRNazanin" w:cs="IRNazanin"/>
          <w:color w:val="111111"/>
          <w:sz w:val="28"/>
          <w:szCs w:val="28"/>
          <w:rtl w:val="true"/>
          <w:lang w:bidi="fa-IR"/>
        </w:rPr>
        <w:t xml:space="preserve">» . </w:t>
      </w:r>
      <w:r>
        <w:rPr>
          <w:rStyle w:val="FootnoteAnchor"/>
          <w:rtl w:val="true"/>
        </w:rPr>
        <w:footnoteReference w:id="323"/>
      </w:r>
      <w:bookmarkStart w:id="213" w:name="pg2516_26479"/>
    </w:p>
    <w:p>
      <w:pPr>
        <w:pStyle w:val="Heading4"/>
        <w:numPr>
          <w:ilvl w:val="3"/>
          <w:numId w:val="1"/>
        </w:numPr>
        <w:rPr/>
      </w:pPr>
      <w:bookmarkStart w:id="214" w:name="__RefHeading___Toc4159498_3804643083"/>
      <w:bookmarkStart w:id="215" w:name="_Toc80"/>
      <w:bookmarkEnd w:id="213"/>
      <w:bookmarkEnd w:id="214"/>
      <w:r>
        <w:rPr>
          <w:rtl w:val="true"/>
        </w:rPr>
        <w:t>التضعیف لاعتبار القراءة فی الإجازة</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بن عبید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استثناه أبو جعفر بن بابویه من رجال نوادر الحکمة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أروی ما یختص بروایته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کان یذهب مذهب الغُلاة ، له کتب روی عنه 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والّذی یخطر ببالی أنّ تضعیف الشَّیخ باعتبار تضعیف ابن بابویه ، وتضعیفه باعتبار ابن الولید کما صرح به مراراً ، وتضعیف ابن الولید لکون اعتقاده أنّه یعتبر فی الإجازة أن یقرأ علی الشَّیخ أو یقرأه الشَّیخ ویکون السامع فاهماً لما یرویه ، وکان لا یعتبر الإجازة المشهورة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لک أن تروی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محمّد بن عیسی صغیر السن ولا یعتمدون علی فهمه عند القراءة ولا علی إجازة یونس له ، ولهذا ضعّفه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بأنّه لا یشترط ذلک ، بل یکفی الإجازة فی الکتب ، بل لا یحتاج فی الکتب المتواترة إلی الإجازة</w:t>
      </w:r>
      <w:r>
        <w:rPr>
          <w:rFonts w:eastAsia="IRNazanin" w:cs="IRNazanin"/>
          <w:color w:val="111111"/>
          <w:sz w:val="28"/>
          <w:szCs w:val="28"/>
          <w:rtl w:val="true"/>
          <w:lang w:bidi="fa-IR"/>
        </w:rPr>
        <w:t xml:space="preserve">» . </w:t>
      </w:r>
      <w:r>
        <w:rPr>
          <w:rStyle w:val="FootnoteAnchor"/>
          <w:rtl w:val="true"/>
        </w:rPr>
        <w:footnoteReference w:id="325"/>
      </w:r>
      <w:bookmarkStart w:id="216" w:name="pg2516_26481"/>
    </w:p>
    <w:p>
      <w:pPr>
        <w:pStyle w:val="Heading2"/>
        <w:numPr>
          <w:ilvl w:val="1"/>
          <w:numId w:val="1"/>
        </w:numPr>
        <w:rPr/>
      </w:pPr>
      <w:bookmarkStart w:id="217" w:name="__RefHeading___Toc4159500_3804643083"/>
      <w:bookmarkStart w:id="218" w:name="_Toc81"/>
      <w:bookmarkEnd w:id="216"/>
      <w:bookmarkEnd w:id="217"/>
      <w:r>
        <w:rPr>
          <w:rtl w:val="true"/>
        </w:rPr>
        <w:t xml:space="preserve">الباب الثانی </w:t>
      </w:r>
      <w:r>
        <w:rPr>
          <w:rtl w:val="true"/>
        </w:rPr>
        <w:t xml:space="preserve">: </w:t>
      </w:r>
      <w:r>
        <w:rPr>
          <w:rtl w:val="true"/>
        </w:rPr>
        <w:t>مصطلح الحدیث عند المُلاّ محمّدتقی المجلسی</w:t>
      </w:r>
      <w:bookmarkEnd w:id="218"/>
    </w:p>
    <w:p>
      <w:pPr>
        <w:pStyle w:val="Heading3"/>
        <w:numPr>
          <w:ilvl w:val="2"/>
          <w:numId w:val="1"/>
        </w:numPr>
        <w:rPr/>
      </w:pPr>
      <w:bookmarkStart w:id="219" w:name="__RefHeading___Toc4159502_3804643083"/>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الأخبار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 الوضع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تنویع الخبر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تحمّل الحدیث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المدح والذمّ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فی الدرایة والرجال</w:t>
      </w:r>
      <w:bookmarkStart w:id="221" w:name="pg2516_26483"/>
    </w:p>
    <w:p>
      <w:pPr>
        <w:pStyle w:val="Heading3"/>
        <w:numPr>
          <w:ilvl w:val="2"/>
          <w:numId w:val="1"/>
        </w:numPr>
        <w:rPr/>
      </w:pPr>
      <w:bookmarkStart w:id="222" w:name="__RefHeading___Toc4159504_3804643083"/>
      <w:bookmarkStart w:id="223" w:name="_Toc83"/>
      <w:bookmarkEnd w:id="221"/>
      <w:bookmarkEnd w:id="222"/>
      <w:r>
        <w:rPr>
          <w:rtl w:val="true"/>
        </w:rPr>
        <w:t xml:space="preserve">الفصل الأوّل </w:t>
      </w:r>
      <w:r>
        <w:rPr>
          <w:rtl w:val="true"/>
        </w:rPr>
        <w:t xml:space="preserve">: </w:t>
      </w:r>
      <w:r>
        <w:rPr>
          <w:rtl w:val="true"/>
        </w:rPr>
        <w:t>تصحیح الأخبار</w:t>
      </w:r>
      <w:bookmarkEnd w:id="223"/>
    </w:p>
    <w:p>
      <w:pPr>
        <w:pStyle w:val="Heading4"/>
        <w:numPr>
          <w:ilvl w:val="3"/>
          <w:numId w:val="1"/>
        </w:numPr>
        <w:rPr/>
      </w:pPr>
      <w:bookmarkStart w:id="224" w:name="__RefHeading___Toc4159506_3804643083"/>
      <w:bookmarkStart w:id="225" w:name="_Toc84"/>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إنّ لتصحیح الأخبار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المُتقَدّمین من أصحابنا ، وهو الحکم بصحَّة الروایات الّتی قامت القرائن الداخلیة والخارجیة علی صدورها من المعصوم علیه السلام مثل التکرار فی المصادر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الأربعمئة والکتب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کان بعض رجال الطریق إلی صاحب الخبر ضعیفاً ؛ لأنّ التکرار کاشف عن وجود أصل للحدیث واهتمام الأصحاب بنقله ، وقد نطمئن ونذکر فی محلّه نصّ الشارح ـ إن شاء اللّه ـ علی أنّ أصحاب الأئمّة علیهم السلام لحضورهم فی مجالس الأئمّة علیهم السلام کانوا یمیّزون ما صدر عن التَقِیّة عمّا صدر عنهم علیهم السلام للعمل ؛ فلم یکثروا فی نقل ما روی عنهم علیهم السلام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اهتمام الأصحاب بنقل حدیث وغرابته کان قرینة قویّة عند القُدَماء علی أنّ الحدیث لم یصلح للعمل حتّی وإن کان رجال طریقه ثقات ، وکذلک بالنسبة إلی ما اختلقه الوضّاعون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 والمفوّضة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اتّبع الأخباریون من علمائنا المتأخّرین طریق القُدَماء فی تصحیح الأخبار ، إلاّ أنّهم لعدم وصول المصادر الأوّلیّة إلیهم اتّفقوا علی کفایة تصحیح القُدَماء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المتأخّرین من أصحابنا وهو النظر فی رجال السند وتقسیم الصالح</w:t>
      </w:r>
      <w:bookmarkStart w:id="226" w:name="pg2516_26484"/>
    </w:p>
    <w:p>
      <w:pPr>
        <w:pStyle w:val="BookText"/>
        <w:rPr/>
      </w:pPr>
      <w:bookmarkEnd w:id="226"/>
      <w:r>
        <w:rPr>
          <w:rFonts w:ascii="IRNazanin" w:hAnsi="IRNazanin" w:eastAsia="IRNazanin"/>
          <w:color w:val="111111"/>
          <w:sz w:val="28"/>
          <w:sz w:val="28"/>
          <w:szCs w:val="28"/>
          <w:rtl w:val="true"/>
          <w:lang w:bidi="fa-IR"/>
        </w:rPr>
        <w:t xml:space="preserve">للعمل إلی صحیحٍ وموثّقٍ وحسنٍ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وسنورد فی الفصل الثالث عبارات الشارح فی توضیح هذه الأقسام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الشارح أوضح إجمالاً طریق القُدَماء بصورة جیدة وذکر تفاوته مع طریق المتأخّرین ونتج عن ذلک ثمرة عملیّة ـ سیـأتی ذکرها إن شاء اللّه ـ ، وذکر آراءه فی کیفیة تصحیح کثیر من الأخبار وکشف النقاب عن طریق العلاّمة فی تصحیح بعض الطرق الّتی ظاهرها الضعف وفقاً لمنهج المتأخّرین فی تصحیح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نشرع بذکر نصوص الشارح حول کلّ ذلک تدریجیاً فی ذیل العناوین التالیة </w:t>
      </w:r>
      <w:r>
        <w:rPr>
          <w:rFonts w:eastAsia="IRNazanin" w:cs="IRNazanin"/>
          <w:color w:val="111111"/>
          <w:sz w:val="28"/>
          <w:szCs w:val="28"/>
          <w:rtl w:val="true"/>
          <w:lang w:bidi="fa-IR"/>
        </w:rPr>
        <w:t>:</w:t>
      </w:r>
    </w:p>
    <w:p>
      <w:pPr>
        <w:pStyle w:val="Heading4"/>
        <w:numPr>
          <w:ilvl w:val="3"/>
          <w:numId w:val="1"/>
        </w:numPr>
        <w:rPr/>
      </w:pPr>
      <w:bookmarkStart w:id="227" w:name="__RefHeading___Toc4159508_3804643083"/>
      <w:bookmarkStart w:id="228" w:name="_Toc85"/>
      <w:bookmarkEnd w:id="227"/>
      <w:r>
        <w:rPr>
          <w:rtl w:val="true"/>
        </w:rPr>
        <w:t>دأب القُدَماء تصحیح الکتب لا النظر فی کلّ واحد من رجال السند</w:t>
      </w:r>
      <w:bookmarkEnd w:id="228"/>
    </w:p>
    <w:p>
      <w:pPr>
        <w:pStyle w:val="BookText"/>
        <w:rPr/>
      </w:pPr>
      <w:r>
        <w:rPr>
          <w:rFonts w:ascii="IRNazanin" w:hAnsi="IRNazanin" w:eastAsia="IRNazanin"/>
          <w:color w:val="111111"/>
          <w:sz w:val="28"/>
          <w:sz w:val="28"/>
          <w:szCs w:val="28"/>
          <w:rtl w:val="true"/>
          <w:lang w:bidi="fa-IR"/>
        </w:rPr>
        <w:t xml:space="preserve">یقول الشارح فی أربعة مواضع من شرحه ما یوضح هذا المعنی ، ویستفاد من العبارة الثالثة والرابعة اللتین سنوردهما ثمرة رجالیّة ینبغی کمال الاعتناء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نوضح تلک الثمرة بعد نقل العبارة الرابعة ، فإلیک نصوص الشارح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یقول الشارح فی ترجمة محمّد بن حسان بعد أن نقل عن النجاشی أنّه یروی عن الضُعَفاء کثیراً </w:t>
      </w:r>
      <w:r>
        <w:rPr>
          <w:rStyle w:val="FootnoteAnchor"/>
          <w:rtl w:val="true"/>
        </w:rPr>
        <w:footnoteReference w:id="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المعروف من دأب القُدَماء العمل بالکتاب وکلّ من کان یروی عن الضُعَفاء أو یروی المراسیل فی کتابه کان ذلک نقصاً وضعفاً أمّا إذا کان الخبر الضعیف أو المرسل لمجرد التأیید فلا بأس ، وکلما تتبعنا من کتبهم کان کذلک أو کان من مراسیل المعتمدین المجمع علیهم أو کان ذکرهما بعد نقل الصحیح أو کان مضمونه متواتراً عندهم ، ولما وصل الأمر إلی المتأخّرین غفلوا عن دأبهم وصار الأخبار أکثرها ضعیفة ، وإن کانوا ینادون أنّها صحیحة وهی حجّة بیننا وبین ربّنا</w:t>
      </w:r>
      <w:r>
        <w:rPr>
          <w:rFonts w:eastAsia="IRNazanin" w:cs="IRNazanin"/>
          <w:color w:val="111111"/>
          <w:sz w:val="28"/>
          <w:szCs w:val="28"/>
          <w:rtl w:val="true"/>
          <w:lang w:bidi="fa-IR"/>
        </w:rPr>
        <w:t xml:space="preserve">» . </w:t>
      </w:r>
      <w:r>
        <w:rPr>
          <w:rStyle w:val="FootnoteAnchor"/>
          <w:rtl w:val="true"/>
        </w:rPr>
        <w:footnoteReference w:id="32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یقول الشارح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القضایا والأحکام بعد نقل</w:t>
      </w:r>
    </w:p>
    <w:p>
      <w:pPr>
        <w:pStyle w:val="BookText"/>
        <w:rPr/>
      </w:pPr>
      <w:r>
        <w:rPr>
          <w:rFonts w:ascii="IRNazanin" w:hAnsi="IRNazanin" w:eastAsia="IRNazanin"/>
          <w:color w:val="111111"/>
          <w:sz w:val="28"/>
          <w:sz w:val="28"/>
          <w:szCs w:val="28"/>
          <w:rtl w:val="true"/>
          <w:lang w:bidi="fa-IR"/>
        </w:rPr>
        <w:t xml:space="preserve">الصَدوق خبر وهب بن وهب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إلیه صحیح وهو وإن کان ضعیفاً ، لکن لما کان خبره مشهوراً ورواه الثقات من غیر طریقه اعتمد المصنّف علیه ، بل الظاهر من أحوال القُدَماء أنّهم کانوا ینظرون إلی الکتاب ، فإن کان روایاته موجودة فی غیر ذلک الکتاب وکان صاحبه ثقة فی النقل ولو بملاحظة الکتاب کانوا یعتمدون علیه</w:t>
      </w:r>
      <w:r>
        <w:rPr>
          <w:rFonts w:eastAsia="IRNazanin" w:cs="IRNazanin"/>
          <w:color w:val="111111"/>
          <w:sz w:val="28"/>
          <w:szCs w:val="28"/>
          <w:rtl w:val="true"/>
          <w:lang w:bidi="fa-IR"/>
        </w:rPr>
        <w:t xml:space="preserve">»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ج ـ یقول الشارح فی ترجمة محمّد بن خالد البرقی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الغالب فی إطلاقاتهم </w:t>
      </w:r>
      <w:r>
        <w:rPr>
          <w:rStyle w:val="FootnoteAnchor"/>
          <w:rtl w:val="true"/>
        </w:rPr>
        <w:footnoteReference w:id="329"/>
      </w:r>
      <w:r>
        <w:rPr>
          <w:rFonts w:ascii="IRNazanin" w:hAnsi="IRNazanin" w:eastAsia="IRNazanin"/>
          <w:color w:val="111111"/>
          <w:sz w:val="28"/>
          <w:sz w:val="28"/>
          <w:szCs w:val="28"/>
          <w:rtl w:val="true"/>
          <w:lang w:bidi="fa-IR"/>
        </w:rPr>
        <w:t xml:space="preserve">أنّه ضعیف فی الحدیث </w:t>
      </w:r>
      <w:r>
        <w:rPr>
          <w:rStyle w:val="FootnoteAnchor"/>
          <w:rtl w:val="true"/>
        </w:rPr>
        <w:footnoteReference w:id="330"/>
      </w:r>
      <w:r>
        <w:rPr>
          <w:rFonts w:ascii="IRNazanin" w:hAnsi="IRNazanin" w:eastAsia="IRNazanin"/>
          <w:color w:val="111111"/>
          <w:sz w:val="28"/>
          <w:sz w:val="28"/>
          <w:szCs w:val="28"/>
          <w:rtl w:val="true"/>
          <w:lang w:bidi="fa-IR"/>
        </w:rPr>
        <w:t>أی یروی عن کلّ أحد ، واعتمادهم کان علی الکتاب فحینئذٍ لا یمکن أن یعمل علی الجمیع أمّا علی طریقة المتأخّرین فلا یضر نقله عن الضعیف ، لأنّهم ینظرون کلّ واحد من الرجال</w:t>
      </w:r>
      <w:r>
        <w:rPr>
          <w:rFonts w:eastAsia="IRNazanin" w:cs="IRNazanin"/>
          <w:color w:val="111111"/>
          <w:sz w:val="28"/>
          <w:szCs w:val="28"/>
          <w:rtl w:val="true"/>
          <w:lang w:bidi="fa-IR"/>
        </w:rPr>
        <w:t xml:space="preserve">» .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 ـ یقول الشارح فی ترجمة محمّد بن أحمد بن یَحیی ـ بعد ذکر استثناء ابن الولید جماعة من رجال کتابه المسمّی بنوادر الحکمة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الاستثناء لکونهم یعتمدون علی جمیع ما فی الکتاب وأمّا عند المتأخّرین فلا حاجة لهم إلیه ؛ لأنّهم یلاحظون من روی عنه</w:t>
      </w:r>
      <w:r>
        <w:rPr>
          <w:rFonts w:eastAsia="IRNazanin" w:cs="IRNazanin"/>
          <w:color w:val="111111"/>
          <w:sz w:val="28"/>
          <w:szCs w:val="28"/>
          <w:rtl w:val="true"/>
          <w:lang w:bidi="fa-IR"/>
        </w:rPr>
        <w:t xml:space="preserve">» . </w:t>
      </w:r>
      <w:r>
        <w:rPr>
          <w:rStyle w:val="FootnoteAnchor"/>
          <w:rtl w:val="true"/>
        </w:rPr>
        <w:footnoteReference w:id="33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الدرایة یقولون إنّ قول الرجالی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هناک شبهة فی دلالته علی القدح فی نفس الراوی ، لکن لاریب فی إفادة الذمّ فی روایة الراوی </w:t>
      </w:r>
      <w:r>
        <w:rPr>
          <w:rStyle w:val="FootnoteAnchor"/>
          <w:rtl w:val="true"/>
        </w:rPr>
        <w:footnoteReference w:id="333"/>
      </w:r>
      <w:r>
        <w:rPr>
          <w:rFonts w:ascii="IRNazanin" w:hAnsi="IRNazanin" w:eastAsia="IRNazanin"/>
          <w:color w:val="111111"/>
          <w:sz w:val="28"/>
          <w:sz w:val="28"/>
          <w:szCs w:val="28"/>
          <w:rtl w:val="true"/>
          <w:lang w:bidi="fa-IR"/>
        </w:rPr>
        <w:t xml:space="preserve">هذا قولهم فی دلالة العبارة ، لکنهم لم یبحثوا عن السبب الّذی أوجب قول الرجالی تلک العبارة فی ترجمة عدد من الرواة بخلاف الشارح ، فإنّه عیّن السبب وهو عدم مبالاة الراوی فی الروایة عن الضُعَفاء </w:t>
      </w:r>
      <w:r>
        <w:rPr>
          <w:rFonts w:eastAsia="IRNazanin" w:cs="IRNazanin"/>
          <w:color w:val="111111"/>
          <w:sz w:val="28"/>
          <w:szCs w:val="28"/>
          <w:rtl w:val="true"/>
          <w:lang w:bidi="fa-IR"/>
        </w:rPr>
        <w:t>.</w:t>
      </w:r>
      <w:bookmarkStart w:id="229" w:name="pg2516_26486"/>
    </w:p>
    <w:p>
      <w:pPr>
        <w:pStyle w:val="BookText"/>
        <w:rPr/>
      </w:pPr>
      <w:bookmarkEnd w:id="229"/>
      <w:r>
        <w:rPr>
          <w:rFonts w:ascii="IRNazanin" w:hAnsi="IRNazanin" w:eastAsia="IRNazanin"/>
          <w:color w:val="111111"/>
          <w:sz w:val="28"/>
          <w:sz w:val="28"/>
          <w:szCs w:val="28"/>
          <w:rtl w:val="true"/>
          <w:lang w:bidi="fa-IR"/>
        </w:rPr>
        <w:t xml:space="preserve">نعم ، وافقه بعض الأجلّة عند البحث عن دلالة قول الرجالی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القدح فی نفس الراوی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 الأکثر یفهمون منه القدح فی نفس الرجل ، ویحکمون به بسببه ، ولا یخلو من ضعف ؛ لما سنذکر فی داوود بن کثیر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کثرة الإرسال ذمّاً وقدحاً ، وفی جعفر بن محمّد بن مالک الروایة عن الضُعَفاء والمجاهیل من عیوب الضُعَفاء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اعلم أنّه فرق بیّن ظاهر بین 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فالحکم بالقدح منه أضعف</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ثمّ لا یخفی أنّه لو فسّرنا وقبلنا أنّ السبب فی قول الرجالی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الراوی أحیاناً عن الضُعَفاء ، لابُدّ لنا أن نقبل أنّ تلک العبارة لا یمکن أن تفید الذمّ حتّی فی روایة الراوی فضلاً عن دلالته علی القدح فی نفس الراوی ؛ لأنّ المتأخّرین ـ کما قال الشارح ـ ینظرون إلی کلّ واحد من رجال السند ، فإذا روی الراوی الّذی قیل فی ترجمته تلک العبارة عن الثقة یأخذون منه ، وإذا روی عن المجروح لا یأخذون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العبارة لا تفید شیئاً عند المتأخّرین </w:t>
      </w:r>
      <w:r>
        <w:rPr>
          <w:rFonts w:eastAsia="IRNazanin" w:cs="IRNazanin"/>
          <w:color w:val="111111"/>
          <w:sz w:val="28"/>
          <w:szCs w:val="28"/>
          <w:rtl w:val="true"/>
          <w:lang w:bidi="fa-IR"/>
        </w:rPr>
        <w:t>.</w:t>
      </w:r>
    </w:p>
    <w:p>
      <w:pPr>
        <w:pStyle w:val="Heading4"/>
        <w:numPr>
          <w:ilvl w:val="3"/>
          <w:numId w:val="1"/>
        </w:numPr>
        <w:rPr/>
      </w:pPr>
      <w:bookmarkStart w:id="230" w:name="__RefHeading___Toc4159510_3804643083"/>
      <w:bookmarkStart w:id="231" w:name="_Toc86"/>
      <w:bookmarkEnd w:id="230"/>
      <w:r>
        <w:rPr>
          <w:rtl w:val="true"/>
        </w:rPr>
        <w:t>المعتمد هو الکتاب</w:t>
      </w:r>
      <w:bookmarkEnd w:id="2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فی العنوان السابق أنّ سیرة القُدَماء هی تصحیح الکتب ، ولو کان الراوی ممّن یروی عن الضُعَفاء لصار هذا موجباً لعدم اعتماد الأصحاب علی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لو انعکس الأمر بأن کان الراوی ضعیفاً فی نفسه وصحیحاً فی نقله ، فقد یُستفاد من ثانی العبارات الّتی نقلناها هناک أنّ ذلک لا یضرّ بشیء عندهم ، فهم یصححون الکتاب ویعتمدون علیه ولو کان مؤلّفه ضعیفاً فی نفسه ، وقد صرّح الشارح بذلک المعنی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العتق ـ بعد نقل الصَدوق خبر أبی البختری ـ حیث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کتابه معتمد وإن کان ضعیفاً فی نفسه فإنّ مدار القُدَماء کان علی الکتاب</w:t>
      </w:r>
      <w:r>
        <w:rPr>
          <w:rFonts w:eastAsia="IRNazanin" w:cs="IRNazanin"/>
          <w:color w:val="111111"/>
          <w:sz w:val="28"/>
          <w:szCs w:val="28"/>
          <w:rtl w:val="true"/>
          <w:lang w:bidi="fa-IR"/>
        </w:rPr>
        <w:t xml:space="preserve">» . </w:t>
      </w:r>
      <w:r>
        <w:rPr>
          <w:rStyle w:val="FootnoteAnchor"/>
          <w:rtl w:val="true"/>
        </w:rPr>
        <w:footnoteReference w:id="335"/>
      </w:r>
      <w:bookmarkStart w:id="232" w:name="pg2516_26487"/>
    </w:p>
    <w:p>
      <w:pPr>
        <w:pStyle w:val="Heading4"/>
        <w:numPr>
          <w:ilvl w:val="3"/>
          <w:numId w:val="1"/>
        </w:numPr>
        <w:rPr/>
      </w:pPr>
      <w:bookmarkStart w:id="233" w:name="__RefHeading___Toc4159512_3804643083"/>
      <w:bookmarkStart w:id="234" w:name="_Toc87"/>
      <w:bookmarkEnd w:id="232"/>
      <w:bookmarkEnd w:id="233"/>
      <w:r>
        <w:rPr>
          <w:rtl w:val="true"/>
        </w:rPr>
        <w:t>منهج العلاّمة فی تصحیح الطرق</w:t>
      </w:r>
      <w:bookmarkEnd w:id="234"/>
    </w:p>
    <w:p>
      <w:pPr>
        <w:pStyle w:val="BookText"/>
        <w:rPr/>
      </w:pPr>
      <w:r>
        <w:rPr>
          <w:rFonts w:ascii="IRNazanin" w:hAnsi="IRNazanin" w:eastAsia="IRNazanin"/>
          <w:color w:val="111111"/>
          <w:sz w:val="28"/>
          <w:sz w:val="28"/>
          <w:szCs w:val="28"/>
          <w:rtl w:val="true"/>
          <w:lang w:bidi="fa-IR"/>
        </w:rPr>
        <w:t xml:space="preserve">وسیأتی فی العنوان التالی </w:t>
      </w:r>
      <w:r>
        <w:rPr>
          <w:rFonts w:eastAsia="IRNazanin" w:cs="IRNazanin"/>
          <w:color w:val="111111"/>
          <w:sz w:val="28"/>
          <w:szCs w:val="28"/>
          <w:rtl w:val="true"/>
          <w:lang w:bidi="fa-IR"/>
        </w:rPr>
        <w:t>.</w:t>
      </w:r>
    </w:p>
    <w:p>
      <w:pPr>
        <w:pStyle w:val="Heading4"/>
        <w:numPr>
          <w:ilvl w:val="3"/>
          <w:numId w:val="1"/>
        </w:numPr>
        <w:rPr/>
      </w:pPr>
      <w:bookmarkStart w:id="235" w:name="__RefHeading___Toc4159514_3804643083"/>
      <w:bookmarkStart w:id="236" w:name="_Toc88"/>
      <w:bookmarkEnd w:id="235"/>
      <w:r>
        <w:rPr>
          <w:rtl w:val="true"/>
        </w:rPr>
        <w:t>لا نحتاج إلی السند</w:t>
      </w:r>
      <w:bookmarkEnd w:id="236"/>
    </w:p>
    <w:p>
      <w:pPr>
        <w:pStyle w:val="BookText"/>
        <w:rPr/>
      </w:pPr>
      <w:r>
        <w:rPr>
          <w:rFonts w:ascii="IRNazanin" w:hAnsi="IRNazanin" w:eastAsia="IRNazanin"/>
          <w:color w:val="111111"/>
          <w:sz w:val="28"/>
          <w:sz w:val="28"/>
          <w:szCs w:val="28"/>
          <w:rtl w:val="true"/>
          <w:lang w:bidi="fa-IR"/>
        </w:rPr>
        <w:t xml:space="preserve">أوضح الشارح هذا المعنی ومنهج العلاّمة فی تصحیح بعض الطُرق الّتی ظاهرها الضعف علی منهج المتأخّرین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قوله فی شرح رجال الفقیه عند ترجمة أحمد بن الحسین بن عبد الملک الأودی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أنّه لا یحتاج إلی الطریق أصلاً ؛ لأنّه لا ریب فی أنّه کان أمثال هذه الکتب الّتی کان مدار الطائفة علیها کانت مشتهرة بینهم زائداً علی اشتهار الکتب الأربعة عندنا ، ولاریب فی أنّ الطریق لصحَّة انتساب الکتاب إلی صاحبه فإذا کان الکتاب متواتراً فالتمسک بأخبار الآحاد الصحیحة کان کتعرف الشمس بالسراج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لما أرادوا أن یخرج الخبر بظاهره عن صورة الإرسال ذکروا طریقاً إلیه تیمناً وتبرکاً ، وهؤلاء مشایخ الإجازة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تری العلاّمة وغیره یصفون الخبر بالصحَّة ولو کان فی أوائل السند مجاهیل کأحمد بن محمّد بن الحسن ، وأحمد بن محمّد بن یَحیی ، وماجیلویه ، ومحمّد بن إسماعیل ، وغیرهم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لم یکن له اطّلاع علی ذلک فتارة یعترض علیه ، وتارة یحکم بثقة هؤلاء مع أنّ الظاهر أنّه لو کان لهؤلاء توثیق فی الکتب لکنّا نطلع علیه ؛ لأنّه لم یکن للعلاّمة کتاب غیر هذه الاُصول الّتی فی أیدینا ، ولو کان له غیرها لکان یذکر مرّة أنّه ذکر فلان فی الکتاب الفلانی أنّ فلاناً ثقة ، لکن الأصحاب نظروا إلی أنّه لو کان لم یعتبر مشایخ الإجازة وضعفهم لکان یحکم بصحَّة الجمیع ، لأنّهم جمیعاً منهم مع أنّه لیس کذلک دأبه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یلاحظوا أنّه فرق بین مشایخ الإجازة ، فبعضهم لم یکن له کتاب ولا روایة أصلاً وکان لبعضهم کتاب وروایة وإن لم یکن یروی هذا الخبر إلاّ من صاحب الکتاب ،</w:t>
      </w:r>
    </w:p>
    <w:p>
      <w:pPr>
        <w:pStyle w:val="BookText"/>
        <w:rPr/>
      </w:pPr>
      <w:r>
        <w:rPr>
          <w:rFonts w:ascii="IRNazanin" w:hAnsi="IRNazanin" w:eastAsia="IRNazanin"/>
          <w:color w:val="111111"/>
          <w:sz w:val="28"/>
          <w:sz w:val="28"/>
          <w:szCs w:val="28"/>
          <w:rtl w:val="true"/>
          <w:lang w:bidi="fa-IR"/>
        </w:rPr>
        <w:t>فإنّه یمکن أن یکون روی من غیر هذا الکتاب ولم یکن ذلک الکتاب معتبراً ولا راویة ثقة ، فکانوا ینظرون إلی هذا المعنی ویصفون الخبر بالضعف أو الجهالة ، لجهالة الطرق بخلاف من لم یکن له کتاب فإنّه ذکر لمجرد اتصال السند ، والظاهر أنّ الباعث للعلاّمة وأمثاله ذلک ، لکن الباعث للشَّیخ ومن تقدّمه من الأصحاب ما ذکرناه مراراً من اعتبار الکتب والاُصول المعتمدة وهم لا ینظرون إلی ما قبلها ولا ما بعدها</w:t>
      </w:r>
      <w:r>
        <w:rPr>
          <w:rFonts w:eastAsia="IRNazanin" w:cs="IRNazanin"/>
          <w:color w:val="111111"/>
          <w:sz w:val="28"/>
          <w:szCs w:val="28"/>
          <w:rtl w:val="true"/>
          <w:lang w:bidi="fa-IR"/>
        </w:rPr>
        <w:t xml:space="preserve">»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 ـ قوله فی شرح المشیخة عند ترجمة الحسین بن الحسن بن أبان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شیخنا التستری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وأمثاله مثل محمّد بن إسماعیل الّذی یوجد فی أوائل سند الکافی ، وأحمد بن محمّد بن یَحیی العطار الّذی یروی الشَّیخ عنه بواسطة الحسین بن عبید اللّه الغضائری ، وأحمد بن محمّد بن الحسن بن الولید الّذی یروی الشَّیخ عنه بواسطة المُفید ، ومحمّد بن علی ماجیلویه الّذی یروی الصَدوق عنه ممّن عدّه العلاّمة خبره صحیحاً وتحیّر فی أمره المتأخّرون ، فالظاهر أنّ تصحیح هذه الأخبار لکونهم من مشایخ الإجازة وکان المدار علی الکتب فجهالتهم لا تضر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کنّا نباحث معه أنّه لو کان غرض العلاّمة لکان ینبغی أن یساهل فی جمیعهم مع أنّه ذکر فی آخر الخلاصة طرق الشَّیخ إلی أصحاب الکتب وطرق المصنّف إلیهم وحکم بالضعف فی کثیر من الأخبار ولم یکن له 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ظهر لی من التتبع التامّ أنّ مشایخ الإجازة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کان لهم کتب مثل سهل بن زیاد وإذا کان أمثاله فی السند أمکن أن یکون نقله فی کتابه ، وأخذ الخبر من کتابه فلا یعتمد علیه ، وأمّا من کان معلوماً أو مظنوناً أنّه لم یکن لهم کتاب وکان ذکرهم لمجرد اتصال السند فلم یبال بوجودهم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الحقّ الّذی نجزم به أنّ أصحاب الکتب مختلفون فمثل کتاب الفضیل بن</w:t>
      </w:r>
      <w:bookmarkStart w:id="237" w:name="pg2516_26489"/>
    </w:p>
    <w:p>
      <w:pPr>
        <w:pStyle w:val="BookText"/>
        <w:rPr/>
      </w:pPr>
      <w:bookmarkEnd w:id="237"/>
      <w:r>
        <w:rPr>
          <w:rFonts w:ascii="IRNazanin" w:hAnsi="IRNazanin" w:eastAsia="IRNazanin"/>
          <w:color w:val="111111"/>
          <w:sz w:val="28"/>
          <w:sz w:val="28"/>
          <w:szCs w:val="28"/>
          <w:rtl w:val="true"/>
          <w:lang w:bidi="fa-IR"/>
        </w:rPr>
        <w:t>یسار ، ومحمّد بن مسلم ، وأمثالهما فلاشکّ أنّه کان متواتراً عن مؤلّفه وکان انتساب الکتاب إلیهم مثل انتساب الکتب الأربعة إلی مؤلّفیها فلابأس أن یساهل فیه ، وأمّا مثل إبراهیم بن میمون الّذی لم یذکره الأصحاب ولا کتابه فینبغی أن یلاحظ أحوالهم علی قوانینهم</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Heading4"/>
        <w:numPr>
          <w:ilvl w:val="3"/>
          <w:numId w:val="1"/>
        </w:numPr>
        <w:rPr/>
      </w:pPr>
      <w:bookmarkStart w:id="238" w:name="__RefHeading___Toc4159516_3804643083"/>
      <w:bookmarkStart w:id="239" w:name="_Toc89"/>
      <w:bookmarkEnd w:id="238"/>
      <w:r>
        <w:rPr>
          <w:rtl w:val="true"/>
        </w:rPr>
        <w:t>جواز العمل بالأخبار الّتی صححّها القُدَماء</w:t>
      </w:r>
      <w:bookmarkEnd w:id="2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عند شرح خطبة الفقیه ـ بعد نقل ما ذکره الشَّیخ البهائی فی مشرق الشمسین فی المراد من الصحَّة فی کلام القُدَماء وتغایرها مع الصحَّة فی کلام المتأخّرین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وبالجملة لاریب فی تغایر مصطلح المُتقَدّمین والمتأخّرین ولا مشاحة فی الاصطلاح ، لکن هل یجوز لنا العمل باصطلاح القُدَماء مع خفاء القرائن الّتی کانت لهم؟ فإن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الواحد الصحیح فی نفسه حجّة ، کما هو مذهب أکثر المتأخّرین فالظاهر أنّه یجوز أن یحکم بصحّته ، کما حکم ثقة الإسلام محمّد بن یعقوب الکلینی ورئیس المُحَدّثین محمّد بن بابویه القمّی ـ رضی اللّه عنهما ـ فإنّ تصحیحهما لا یقصر عن توثیق الرواة من واحد من عُلَماء الرجال کالشَّیخ ، والنجاشی ، والکشّی ، فإنّ الظاهر من تصحیحهم الحدیث القول بأنّه قال المعصوم یقیناً کما هو الظاهر من تتبع کلامهم ، أو ظناً علی احتمال ، مع أنّه لا یحصل من توثیق واحد منهم سوی الظن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الجرح والتعدیل من باب الخبر ، 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باب الشهادة فیمکن أن یعمل علی تصحیح کلّ واحد منهما ؛ لأنّ تصحیحهما بمنزلة قال الإمام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توثیق الرواة فیحتاج فی العمل إلی التعدد ، فإن کان الخبر موجوداً فی الکافی والفقیه یعمل به وإلاّ فلا ، إلاّ مع ثقة الرواة أو عدالتهم ، کما</w:t>
      </w:r>
    </w:p>
    <w:p>
      <w:pPr>
        <w:pStyle w:val="BookText"/>
        <w:rPr/>
      </w:pPr>
      <w:r>
        <w:rPr>
          <w:rFonts w:ascii="IRNazanin" w:hAnsi="IRNazanin" w:eastAsia="IRNazanin"/>
          <w:color w:val="111111"/>
          <w:sz w:val="28"/>
          <w:sz w:val="28"/>
          <w:szCs w:val="28"/>
          <w:rtl w:val="true"/>
          <w:lang w:bidi="fa-IR"/>
        </w:rPr>
        <w:t xml:space="preserve">یفهم من مقبولة عمر بن حنظلة الّتی علیها مدار العُلَماء فی الفتوی والحکم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الواحد بنفسه لیس بحجّة ما لم ینضم إلیه قرینة أخرجته من باب الظن إلی باب العلم کما هو طریقة القُدَماء ، ومال إلیها صاحب المعتبر ، وشیخنا التستری رحمه الله فهذا الخبر أیضاً کسائر الأخبار الصحیحة یحتاج إلی ضمّ القرینة ، والظاهر أنّ مرادهم من العلم الظن المتاخم للعلم ، کما یفهم من عبارات الشَّیخ وصاحب المعتبر لا الیقین ، فإنّ الشَّیخ رحمه اللهذکر فی دیباجة الاستبصار فی ذکر القرائن أنّ الخبر إذا کان مطابقاً لأدلة العقل ومقتضاه أو یکون مطابقاً لظاهر القرآن أو عمومه أو دلیل خطابه أو فحواه ، أو یکون موافقاً للسنّة المقطوع بها أمّا صریحاً أو دلیلاً أو فحوی أو عموماً ، أو یکون مطابقاً لما أجمع المسلمون علیه ، أو کما أجمعت الفرقة المحقّة وغیر ذلک من الأشیاء الّتی لا تفید فی نظرنا سوی الظن فیصیر ظن الخبر بانضمامه قویاً معلوماً ، إلاّ أن یکون موافقاً لصریح القرآن أو صریح السنّة المتواترة أو الإجماع المعلوم دخول المعصوم فیه ، فحینئذٍ لا یظهر للخبر فائدة ، وکذا من ملاحظة حال المحقّق ومقاله فی المعتبر ولولا خوف الإطالة لذکرناها فلاحظ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حینئذٍ أنّ إفراط بعض المعاصرین فی حصول العلم بهذه الأخبار حتّی فی حصوله بکلّ خبر منسوب إلی الإمام وإن کان من العامة ، وکذا تفریط بعضهم بردّ کلّ الأخبار بناءً علی أنّها آحاد ولا تفید إلاّ الظن مع ورود النهی عن اتباعه خارجان عن الاعتدال ، بل الظاهر جواز العمل بالخبر الصحیح الخالی عن القرینة أیضاً إلاّ مع مخالفة لظاهر القرآن والسنّة المتواترة ، بل العمل لغیر الصحیح مع انضمام القرائن أیضاً ، کما حققناه فی بعض الکتب وسنحققه إن شاء اللّه فی کتاب کبیر</w:t>
      </w:r>
      <w:r>
        <w:rPr>
          <w:rFonts w:eastAsia="IRNazanin" w:cs="IRNazanin"/>
          <w:color w:val="111111"/>
          <w:sz w:val="28"/>
          <w:szCs w:val="28"/>
          <w:rtl w:val="true"/>
          <w:lang w:bidi="fa-IR"/>
        </w:rPr>
        <w:t xml:space="preserve">» . </w:t>
      </w:r>
      <w:r>
        <w:rPr>
          <w:rStyle w:val="FootnoteAnchor"/>
          <w:rtl w:val="true"/>
        </w:rPr>
        <w:footnoteReference w:id="339"/>
      </w:r>
      <w:bookmarkStart w:id="240" w:name="pg2516_26491"/>
    </w:p>
    <w:p>
      <w:pPr>
        <w:pStyle w:val="Heading4"/>
        <w:numPr>
          <w:ilvl w:val="3"/>
          <w:numId w:val="1"/>
        </w:numPr>
        <w:rPr/>
      </w:pPr>
      <w:bookmarkStart w:id="241" w:name="__RefHeading___Toc4159518_3804643083"/>
      <w:bookmarkStart w:id="242" w:name="_Toc90"/>
      <w:bookmarkEnd w:id="240"/>
      <w:bookmarkEnd w:id="241"/>
      <w:r>
        <w:rPr>
          <w:rtl w:val="true"/>
        </w:rPr>
        <w:t>کتب الأجلاّء متواترة</w:t>
      </w:r>
      <w:bookmarkEnd w:id="242"/>
    </w:p>
    <w:p>
      <w:pPr>
        <w:pStyle w:val="BookText"/>
        <w:rPr/>
      </w:pPr>
      <w:r>
        <w:rPr>
          <w:rFonts w:ascii="IRNazanin" w:hAnsi="IRNazanin" w:eastAsia="IRNazanin"/>
          <w:color w:val="111111"/>
          <w:sz w:val="28"/>
          <w:sz w:val="28"/>
          <w:szCs w:val="28"/>
          <w:rtl w:val="true"/>
          <w:lang w:bidi="fa-IR"/>
        </w:rPr>
        <w:t xml:space="preserve">یقول الشارح فی کتاب الصلاة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وفضلها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الصَدوق خبر الفضیل بن یسار عن أبی عبداللّه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کتابه کان متواتراً وإن لم نقل بتواتر الکلّ ، لأنّ الظاهر نهایة الاعتناء بکتب هؤلاء الأجلاء ، فلا یضرّ جهالة الطریق</w:t>
      </w:r>
      <w:r>
        <w:rPr>
          <w:rFonts w:eastAsia="IRNazanin" w:cs="IRNazanin"/>
          <w:color w:val="111111"/>
          <w:sz w:val="28"/>
          <w:szCs w:val="28"/>
          <w:rtl w:val="true"/>
          <w:lang w:bidi="fa-IR"/>
        </w:rPr>
        <w:t xml:space="preserve">» . </w:t>
      </w:r>
      <w:r>
        <w:rPr>
          <w:rStyle w:val="FootnoteAnchor"/>
          <w:rtl w:val="true"/>
        </w:rPr>
        <w:footnoteReference w:id="340"/>
      </w:r>
    </w:p>
    <w:p>
      <w:pPr>
        <w:pStyle w:val="Heading4"/>
        <w:numPr>
          <w:ilvl w:val="3"/>
          <w:numId w:val="1"/>
        </w:numPr>
        <w:rPr/>
      </w:pPr>
      <w:bookmarkStart w:id="243" w:name="__RefHeading___Toc4159520_3804643083"/>
      <w:bookmarkStart w:id="244" w:name="_Toc91"/>
      <w:bookmarkEnd w:id="243"/>
      <w:r>
        <w:rPr>
          <w:rtl w:val="true"/>
        </w:rPr>
        <w:t>تکرار الخبر فی الاُصول والکتب کافٍ فی الصحَّة</w:t>
      </w:r>
      <w:bookmarkEnd w:id="244"/>
    </w:p>
    <w:p>
      <w:pPr>
        <w:pStyle w:val="BookText"/>
        <w:rPr/>
      </w:pPr>
      <w:r>
        <w:rPr>
          <w:rFonts w:ascii="IRNazanin" w:hAnsi="IRNazanin" w:eastAsia="IRNazanin"/>
          <w:color w:val="111111"/>
          <w:sz w:val="28"/>
          <w:sz w:val="28"/>
          <w:szCs w:val="28"/>
          <w:rtl w:val="true"/>
          <w:lang w:bidi="fa-IR"/>
        </w:rPr>
        <w:t xml:space="preserve">ذکرنا فی مقدّمة هذا الفصل أنّ تکرار الخبر فی المصادر الأولیة من القرائن الّتی توجب صحَّة الخبر عند القُدَماء ولعلّه من أهمّها ، لکن هل یلزم مع ذلک تعدد الراوی کما یقول به الشَّیخ أو یکفی مجرد التکرار ولو کان الراوی واحداً ، کما استظهر الشارح؟ فانظر نصّ الشَّیخ ومخالفة الشارح له فی العبارة التالیة من کتاب الطهارة ـ بعد نقل روایة من الکافی فی جواز الغسل والوضوء بماء الورد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الکلینی عن علی بن محمّد ،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یونس ، عن أبی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یغتسل بماء الورد ویتوضأ به للصلاة؟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بذلک</w:t>
      </w:r>
      <w:r>
        <w:rPr>
          <w:rFonts w:eastAsia="IRNazanin" w:cs="IRNazanin"/>
          <w:color w:val="111111"/>
          <w:sz w:val="28"/>
          <w:szCs w:val="28"/>
          <w:rtl w:val="true"/>
          <w:lang w:bidi="fa-IR"/>
        </w:rPr>
        <w:t xml:space="preserve">» . </w:t>
      </w:r>
      <w:r>
        <w:rPr>
          <w:rStyle w:val="FootnoteAnchor"/>
          <w:rtl w:val="true"/>
        </w:rPr>
        <w:footnoteReference w:id="3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الخبر شاذ شدید الشذوذ وإن تکرر فی الکتب والاُصول ، فإنّما أصله عن یونس عن أبی الحسن علیه السلام ، وقد اجمعت العصابة علی ترک العمل بظاهره </w:t>
      </w:r>
      <w:r>
        <w:rPr>
          <w:rFonts w:eastAsia="IRNazanin" w:cs="IRNazanin"/>
          <w:color w:val="111111"/>
          <w:sz w:val="28"/>
          <w:szCs w:val="28"/>
          <w:rtl w:val="true"/>
          <w:lang w:bidi="fa-IR"/>
        </w:rPr>
        <w:t xml:space="preserve">. . .» </w:t>
      </w:r>
      <w:r>
        <w:rPr>
          <w:rStyle w:val="FootnoteAnchor"/>
          <w:rtl w:val="true"/>
        </w:rPr>
        <w:footnoteReference w:id="342"/>
      </w:r>
      <w:r>
        <w:rPr>
          <w:rFonts w:ascii="IRNazanin" w:hAnsi="IRNazanin" w:eastAsia="IRNazanin"/>
          <w:color w:val="111111"/>
          <w:sz w:val="28"/>
          <w:sz w:val="28"/>
          <w:szCs w:val="28"/>
          <w:rtl w:val="true"/>
          <w:lang w:bidi="fa-IR"/>
        </w:rPr>
        <w:t xml:space="preserve">أمّا قول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 مع التکرر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به الشذوذ من حیث العمل ، إذ التکرر فی الاُصول إنّما ینفع إذا کان الراوی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یجب ، فإنّ التکرر فی الاُصول کافٍ فی الصحَّة</w:t>
      </w:r>
      <w:r>
        <w:rPr>
          <w:rFonts w:eastAsia="IRNazanin" w:cs="IRNazanin"/>
          <w:color w:val="111111"/>
          <w:sz w:val="28"/>
          <w:szCs w:val="28"/>
          <w:rtl w:val="true"/>
          <w:lang w:bidi="fa-IR"/>
        </w:rPr>
        <w:t xml:space="preserve">» . </w:t>
      </w:r>
      <w:r>
        <w:rPr>
          <w:rStyle w:val="FootnoteAnchor"/>
          <w:rtl w:val="true"/>
        </w:rPr>
        <w:footnoteReference w:id="343"/>
      </w:r>
      <w:bookmarkStart w:id="245" w:name="pg2516_26492"/>
    </w:p>
    <w:p>
      <w:pPr>
        <w:pStyle w:val="Heading4"/>
        <w:numPr>
          <w:ilvl w:val="3"/>
          <w:numId w:val="1"/>
        </w:numPr>
        <w:rPr/>
      </w:pPr>
      <w:bookmarkStart w:id="246" w:name="__RefHeading___Toc4159522_3804643083"/>
      <w:bookmarkStart w:id="247" w:name="_Toc92"/>
      <w:bookmarkEnd w:id="245"/>
      <w:bookmarkEnd w:id="246"/>
      <w:r>
        <w:rPr>
          <w:rtl w:val="true"/>
        </w:rPr>
        <w:t>صحَّة أخبار أصحاب الإجماع والاُصول</w:t>
      </w:r>
      <w:bookmarkEnd w:id="247"/>
    </w:p>
    <w:p>
      <w:pPr>
        <w:pStyle w:val="BookText"/>
        <w:rPr/>
      </w:pPr>
      <w:r>
        <w:rPr>
          <w:rFonts w:ascii="IRNazanin" w:hAnsi="IRNazanin" w:eastAsia="IRNazanin"/>
          <w:color w:val="111111"/>
          <w:sz w:val="28"/>
          <w:sz w:val="28"/>
          <w:szCs w:val="28"/>
          <w:rtl w:val="true"/>
          <w:lang w:bidi="fa-IR"/>
        </w:rPr>
        <w:t xml:space="preserve">قبل نقل عبارات الشارح فی ذلک وبیان رأیه ، لابُدّ لنا من ذکر 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الکشّی فی رجاله إجماع الأصحاب أولاً علی صحَّة روایات ستّة نفر من أصحاب أبی جعفر الباقر ، وأبی عبداللّه الصادق علیهماالسلام ، ثمّ ستّة نفر من أصحاب الصادق علیه السلام خاصة ، ثمّ ستّة نفر من أصحاب أبی إبراهیم الکاظم وأبی الحسن الرضا علیهماالسلام ، فیکون المجموع ثمانیة عشر نفراً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عبارة الکشّی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تصحیح ما یصحّ عن هؤلاء وتصدیقهم لما یقولون ، وأقرّوا لهم بالفقه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یذکر هذه العبارة قبل تسمیة کلّ من الستّة </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ثمّ إنّه وقع اختلاف عظیم فی المراد من تلک العبارة ، نذکر فی هذا المجال أهم موارد هذا الاختلاف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تصحیح روایة من قیل فی حقّه ذلک ، فلا یلاحظ ما بعده إلی المعصوم وإن کان فیه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مفاده تصدیق مرویّاتهم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به کون من قیل فی حقّه ذلک صحیح الحدیث لا غیر ، بحیث إذا کان فی سند فوثّق من عداه ممّن قبله وبعده ، أو صحّح السند بغیر التوثیق بالنسبة إلی غیره ، عُدّ السند حینئذٍ صحیحاً ، ولا یتوقّف من جهته ، وأمّا من قبله وبعده فلا یحکم بصحَّة حدیث أحد منهم لهذا الإجماع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به توثیق خصوص من قیل فی حقّه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هو توثیق هؤلاء ومن رووا عنه </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ذکرناه فی أَصحاب الإجماع قدّمناه علی عبارات الشارح حتّی یتبین</w:t>
      </w:r>
    </w:p>
    <w:p>
      <w:pPr>
        <w:pStyle w:val="BookText"/>
        <w:rPr/>
      </w:pPr>
      <w:r>
        <w:rPr>
          <w:rFonts w:ascii="IRNazanin" w:hAnsi="IRNazanin" w:eastAsia="IRNazanin"/>
          <w:color w:val="111111"/>
          <w:sz w:val="28"/>
          <w:sz w:val="28"/>
          <w:szCs w:val="28"/>
          <w:rtl w:val="true"/>
          <w:lang w:bidi="fa-IR"/>
        </w:rPr>
        <w:t xml:space="preserve">للمبتدئین المقصود منها ، وأمّا الاُصول ـ وهی المصادر الأولیة لحدیث الشیعة ـ فقد تقدّم فی الباب الأوّل تفصیل المراد منها ، فلا نعیده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الشارح بصحَّة أخبار أصحاب الإجماع والاُصول وأوضح ما اختاره من عبارة الکشّی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قوله فی مقدّمة شرح المشیخة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القول بصحَّة کلّ خبر یکون صاحب الکتاب ممّن أجمعت العصابة علی تصحیح ما یصح عنهم باصطلاح المتأخّرین ، ولا ینظر إلی ما قبله ؛ لأنّ الظاهر القریب من المعلوم أنّ کتبهم کان معتمد الأصحاب وکان مشتهراً بینهم ارتفاع الشمس فی رابعة النهار ، کما اشتهر بیننا الکتب الأربعة للمحمّدین الثلاث رضی الله عنهم ، بل الظاهر أنّها کانت أشهر من هذه الکتب لکثرة روایة الحدیث ورواتها وإجماعهم علیها ، بل إذا کان الکتاب من الاُصول الأربعمئة ، لاتفاق الأصحاب علیها ولا ینظر فی الصورتین إلی ما بعدهما أیضاً سیّما فی المجمع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کانوا یقبلون مراسیل ابن أبی عمیر ، والبزنطی ، وصفوان بن یَحیی ، وحمّاد بن عیسی ؛ لأنّ فائدة الإجماع ذلک علی الظاهر وإلاّ کان یکفی حکمهم بتوثیقه</w:t>
      </w:r>
      <w:r>
        <w:rPr>
          <w:rFonts w:eastAsia="IRNazanin" w:cs="IRNazanin"/>
          <w:color w:val="111111"/>
          <w:sz w:val="28"/>
          <w:szCs w:val="28"/>
          <w:rtl w:val="true"/>
          <w:lang w:bidi="fa-IR"/>
        </w:rPr>
        <w:t xml:space="preserve">» .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ب ـ قوله فی شرح المشیخة عند ترجمة صفوان بن یَحیی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الظاهر من إجماع الأصحاب علی تصحیح ما یصح عنه أنّهم لم یکونوا ینظرون إلی ما بعده ، فإنّهم کانوا یعلمون أنّه لا یروی إلاّ ما کان معلوم الصدور عن الأئمّة علیهم السلام ، ومن تتبع آثارهم یعلم أنّ مرادهم هذا لا أنّه لا یروی کاذباً علی من یروی عنه ویکون عبارة اُخری عن التوثیق ، فإنّه إذا کان کذلک فأیّ اختصاص لهذا المعنی بهؤلاء الثمانیة عشر؟ </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المتأخّرین ینظرون إلی حال من بعده ونحن نسجنا علی منوالهم وسمینا</w:t>
      </w:r>
      <w:bookmarkStart w:id="248" w:name="pg2516_26494"/>
    </w:p>
    <w:p>
      <w:pPr>
        <w:pStyle w:val="BookText"/>
        <w:rPr/>
      </w:pPr>
      <w:bookmarkEnd w:id="248"/>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بعده مجهولاً أو ضعیفاً ، والظاهر أنّه لا یحتاج إلی النظر إلی من کان قبله ، فإنّ الظاهر أنّ کتبه کانت من الاُصول وکانت متواترة عنه فلا یضر ضعفهم</w:t>
      </w:r>
      <w:r>
        <w:rPr>
          <w:rFonts w:eastAsia="IRNazanin" w:cs="IRNazanin"/>
          <w:color w:val="111111"/>
          <w:sz w:val="28"/>
          <w:szCs w:val="28"/>
          <w:rtl w:val="true"/>
          <w:lang w:bidi="fa-IR"/>
        </w:rPr>
        <w:t xml:space="preserve">» . </w:t>
      </w:r>
      <w:r>
        <w:rPr>
          <w:rStyle w:val="FootnoteAnchor"/>
          <w:rtl w:val="true"/>
        </w:rPr>
        <w:footnoteReference w:id="348"/>
      </w:r>
    </w:p>
    <w:p>
      <w:pPr>
        <w:pStyle w:val="Heading4"/>
        <w:numPr>
          <w:ilvl w:val="3"/>
          <w:numId w:val="1"/>
        </w:numPr>
        <w:rPr/>
      </w:pPr>
      <w:bookmarkStart w:id="249" w:name="__RefHeading___Toc4159524_3804643083"/>
      <w:bookmarkStart w:id="250" w:name="_Toc93"/>
      <w:bookmarkEnd w:id="249"/>
      <w:r>
        <w:rPr>
          <w:rtl w:val="true"/>
        </w:rPr>
        <w:t>تنبیه</w:t>
      </w:r>
      <w:bookmarkEnd w:id="250"/>
    </w:p>
    <w:p>
      <w:pPr>
        <w:pStyle w:val="BookText"/>
        <w:rPr/>
      </w:pPr>
      <w:r>
        <w:rPr>
          <w:rFonts w:ascii="IRNazanin" w:hAnsi="IRNazanin" w:eastAsia="IRNazanin"/>
          <w:color w:val="111111"/>
          <w:sz w:val="28"/>
          <w:sz w:val="28"/>
          <w:szCs w:val="28"/>
          <w:rtl w:val="true"/>
          <w:lang w:bidi="fa-IR"/>
        </w:rPr>
        <w:t xml:space="preserve">نعلم أنّ الکشّی بعد تسمیة الستّة الاُولی من أصحاب الإجماع ـ وهم أَصحاب أبی جعفر الباقر ، وأبی عبداللّه علیهماالسلام ـ ذکر لأحدهم ، وهو أبو بصیر الأسدی ، بدلاً فقال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أبی بصیر الأسدی ، أبو بصیر المرادی وهو لیث بن البختری</w:t>
      </w:r>
      <w:r>
        <w:rPr>
          <w:rFonts w:eastAsia="IRNazanin" w:cs="IRNazanin"/>
          <w:color w:val="111111"/>
          <w:sz w:val="28"/>
          <w:szCs w:val="28"/>
          <w:rtl w:val="true"/>
          <w:lang w:bidi="fa-IR"/>
        </w:rPr>
        <w:t xml:space="preserve">»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وکذلک بعد تسمیة الستّة الثالثة من أَصحاب الإجماع ـ وهم أصحاب أبی إبراهیم الکاظم وأبی الحسن الرضا علیهماالسلام ـ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الحسن بن محبوب ، الحسن بن علی بن فضّال ، وفضالة بن أیّوب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فضالة بن أیّوب ، عثمان بن عیسی</w:t>
      </w:r>
      <w:r>
        <w:rPr>
          <w:rFonts w:eastAsia="IRNazanin" w:cs="IRNazanin"/>
          <w:color w:val="111111"/>
          <w:sz w:val="28"/>
          <w:szCs w:val="28"/>
          <w:rtl w:val="true"/>
          <w:lang w:bidi="fa-IR"/>
        </w:rPr>
        <w:t xml:space="preserve">» . </w:t>
      </w:r>
      <w:r>
        <w:rPr>
          <w:rStyle w:val="FootnoteAnchor"/>
          <w:rtl w:val="true"/>
        </w:rPr>
        <w:footnoteReference w:id="35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یمکن أن یقال إنّ إجماع الأصحاب بذکر البدل ینتقض فی المبدل عنه ، فقال الشارح عند ترجمة الحسن بن محبوب فی شرح المشیخة ردّاً علی هذا التَوَهُّم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الإجماع المذکور لا ینتقض ببدیل غیره ؛ لأنّ جماعة نقلوا الإجماع فی عصر علی ستّة مثلاً ، ونقله جماعة اُخری علی ستّة غیر هذه الستّة بتبدیل واحد أو اثنین ولا یشترط أن یکون ستّة</w:t>
      </w:r>
      <w:r>
        <w:rPr>
          <w:rFonts w:eastAsia="IRNazanin" w:cs="IRNazanin"/>
          <w:color w:val="111111"/>
          <w:sz w:val="28"/>
          <w:szCs w:val="28"/>
          <w:rtl w:val="true"/>
          <w:lang w:bidi="fa-IR"/>
        </w:rPr>
        <w:t xml:space="preserve">» . </w:t>
      </w:r>
      <w:r>
        <w:rPr>
          <w:rStyle w:val="FootnoteAnchor"/>
          <w:rtl w:val="true"/>
        </w:rPr>
        <w:footnoteReference w:id="351"/>
      </w:r>
      <w:bookmarkStart w:id="251" w:name="pg2516_26495"/>
    </w:p>
    <w:p>
      <w:pPr>
        <w:pStyle w:val="Heading4"/>
        <w:numPr>
          <w:ilvl w:val="3"/>
          <w:numId w:val="1"/>
        </w:numPr>
        <w:rPr/>
      </w:pPr>
      <w:bookmarkStart w:id="252" w:name="__RefHeading___Toc4159526_3804643083"/>
      <w:bookmarkStart w:id="253" w:name="_Toc94"/>
      <w:bookmarkEnd w:id="251"/>
      <w:bookmarkEnd w:id="252"/>
      <w:r>
        <w:rPr>
          <w:rtl w:val="true"/>
        </w:rPr>
        <w:t>إلحاق بعض الرواة بأصحاب الإجماع</w:t>
      </w:r>
      <w:bookmarkEnd w:id="253"/>
    </w:p>
    <w:p>
      <w:pPr>
        <w:pStyle w:val="BookText"/>
        <w:rPr/>
      </w:pPr>
      <w:r>
        <w:rPr>
          <w:rFonts w:ascii="IRNazanin" w:hAnsi="IRNazanin" w:eastAsia="IRNazanin"/>
          <w:color w:val="111111"/>
          <w:sz w:val="28"/>
          <w:sz w:val="28"/>
          <w:szCs w:val="28"/>
          <w:rtl w:val="true"/>
          <w:lang w:bidi="fa-IR"/>
        </w:rPr>
        <w:t xml:space="preserve">یقول الشارح فی شرح المشیخة عند ترجمة الحسین بن سعید ـ بعد نقل أقوال الرجالیین فی وثاقته وحُسن کتبه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ومدار العُلَماء علی العمل بکتبه وروایاته ، وهو وإن لم ینقل الإجماع علیه ، لکن المشاهد الاتّفاق علیه وعلی أخباره</w:t>
      </w:r>
      <w:r>
        <w:rPr>
          <w:rFonts w:eastAsia="IRNazanin" w:cs="IRNazanin"/>
          <w:color w:val="111111"/>
          <w:sz w:val="28"/>
          <w:szCs w:val="28"/>
          <w:rtl w:val="true"/>
          <w:lang w:bidi="fa-IR"/>
        </w:rPr>
        <w:t xml:space="preserve">» . </w:t>
      </w:r>
      <w:r>
        <w:rPr>
          <w:rStyle w:val="FootnoteAnchor"/>
          <w:rtl w:val="true"/>
        </w:rPr>
        <w:footnoteReference w:id="352"/>
      </w:r>
    </w:p>
    <w:p>
      <w:pPr>
        <w:pStyle w:val="Heading4"/>
        <w:numPr>
          <w:ilvl w:val="3"/>
          <w:numId w:val="1"/>
        </w:numPr>
        <w:rPr/>
      </w:pPr>
      <w:bookmarkStart w:id="254" w:name="__RefHeading___Toc4159528_3804643083"/>
      <w:bookmarkStart w:id="255" w:name="_Toc95"/>
      <w:bookmarkEnd w:id="254"/>
      <w:r>
        <w:rPr>
          <w:rtl w:val="true"/>
        </w:rPr>
        <w:t>مراسیل کلّ من أجمعت الطائفة علی النقل عنهم کالمسانید</w:t>
      </w:r>
      <w:bookmarkEnd w:id="255"/>
    </w:p>
    <w:p>
      <w:pPr>
        <w:pStyle w:val="BookText"/>
        <w:rPr/>
      </w:pPr>
      <w:r>
        <w:rPr>
          <w:rFonts w:ascii="IRNazanin" w:hAnsi="IRNazanin" w:eastAsia="IRNazanin"/>
          <w:color w:val="111111"/>
          <w:sz w:val="28"/>
          <w:sz w:val="28"/>
          <w:szCs w:val="28"/>
          <w:rtl w:val="true"/>
          <w:lang w:bidi="fa-IR"/>
        </w:rPr>
        <w:t xml:space="preserve">یقول الشارح فی 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أحکام الممالیک والإماء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نقل مرسلة عن البزنطی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مراسیله کالمسانید کما ذکره الشهید مع صفوان بن یَحیی ، وحمّاد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یختصّ بهم ، بل هو جار لجمیع من أجمعت العصابة علی تصحیح ما یصح عنهم ، بل لکلّ من أجمعت الطائفة علی النقل عنهم کالسکونی ، وغیاث بن کلوب ، وحفص بن غیاث ، ونوح بن درّاج وغیرهم من العامّة ، وبما رواه بنو فضّال ، والطاطریون ، وعبداللّه بن بکیر ، وسماعة ، وعلی بن أبی حمزة ، وعثمان بن عیسی ، ولم یکن عندهم خلافه ، کما ذکره شیخ الطائفة فی العدّة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Heading4"/>
        <w:numPr>
          <w:ilvl w:val="3"/>
          <w:numId w:val="1"/>
        </w:numPr>
        <w:rPr/>
      </w:pPr>
      <w:bookmarkStart w:id="256" w:name="__RefHeading___Toc4159530_3804643083"/>
      <w:bookmarkStart w:id="257" w:name="_Toc96"/>
      <w:bookmarkEnd w:id="256"/>
      <w:r>
        <w:rPr>
          <w:rtl w:val="true"/>
        </w:rPr>
        <w:t>صحَّة مرسلات الأجلاّء</w:t>
      </w:r>
      <w:bookmarkEnd w:id="25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کتاب الطهارة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ینجس الثوب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الصَدوق خبراً عن أبی الحسن موسی بن جعفر علیه السلام مرسلاً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الکلینی والشَّیخ فی الصحیح عن محمّد بن إسماعیل بن بزیع ، عن بعض أصحابنا ، عن أبی الحسن علیه السلام ، والظاهر أنّهم أخذوا من أصل محمّد بن إسماعیل ، وهو من صالحی هذه الطائفة وثقاتهم ، وروی فی شأنه أخبار تدلّ علی جلالة قدره وعلوّ منزلته ، فلا یضرّ الإرسال ؛ لأنّ</w:t>
      </w:r>
      <w:bookmarkStart w:id="258" w:name="pg2516_26496"/>
    </w:p>
    <w:p>
      <w:pPr>
        <w:pStyle w:val="BookText"/>
        <w:rPr/>
      </w:pPr>
      <w:bookmarkEnd w:id="258"/>
      <w:r>
        <w:rPr>
          <w:rFonts w:ascii="IRNazanin" w:hAnsi="IRNazanin" w:eastAsia="IRNazanin"/>
          <w:color w:val="111111"/>
          <w:sz w:val="28"/>
          <w:sz w:val="28"/>
          <w:szCs w:val="28"/>
          <w:rtl w:val="true"/>
          <w:lang w:bidi="fa-IR"/>
        </w:rPr>
        <w:t>الأجلاء من أصحاب الأئمّة کان دأبهم ألاّ ینقلوا الخبر إلاّ من الثقات خصوصاً هذا الجلیل فإنّ أکثر روایته من الرضا ـ صلوات اللّه علیه ـ ومن الفضلاء من أصحاب الصادق علیه السلام وأکثر روایة الفضل بن شاذان وأضرابه من الأجلاء منه مع شهادة الصَدوقین بصحَّة هذا الخبر</w:t>
      </w:r>
      <w:r>
        <w:rPr>
          <w:rFonts w:eastAsia="IRNazanin" w:cs="IRNazanin"/>
          <w:color w:val="111111"/>
          <w:sz w:val="28"/>
          <w:szCs w:val="28"/>
          <w:rtl w:val="true"/>
          <w:lang w:bidi="fa-IR"/>
        </w:rPr>
        <w:t xml:space="preserve">» . </w:t>
      </w:r>
      <w:r>
        <w:rPr>
          <w:rStyle w:val="FootnoteAnchor"/>
          <w:rtl w:val="true"/>
        </w:rPr>
        <w:footnoteReference w:id="355"/>
      </w:r>
    </w:p>
    <w:p>
      <w:pPr>
        <w:pStyle w:val="Heading4"/>
        <w:numPr>
          <w:ilvl w:val="3"/>
          <w:numId w:val="1"/>
        </w:numPr>
        <w:rPr/>
      </w:pPr>
      <w:bookmarkStart w:id="259" w:name="__RefHeading___Toc4159532_3804643083"/>
      <w:bookmarkStart w:id="260" w:name="_Toc97"/>
      <w:bookmarkEnd w:id="259"/>
      <w:r>
        <w:rPr>
          <w:rtl w:val="true"/>
        </w:rPr>
        <w:t>حجّیة موقوفات الأجلاّء</w:t>
      </w:r>
      <w:bookmarkEnd w:id="260"/>
    </w:p>
    <w:p>
      <w:pPr>
        <w:pStyle w:val="BookText"/>
        <w:rPr/>
      </w:pPr>
      <w:r>
        <w:rPr>
          <w:rFonts w:ascii="IRNazanin" w:hAnsi="IRNazanin" w:eastAsia="IRNazanin"/>
          <w:color w:val="111111"/>
          <w:sz w:val="28"/>
          <w:sz w:val="28"/>
          <w:szCs w:val="28"/>
          <w:rtl w:val="true"/>
          <w:lang w:bidi="fa-IR"/>
        </w:rPr>
        <w:t xml:space="preserve">وفی الصحیح ، عن صفوان بن یَحیی ، عمّن رواه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بعد طلوع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ولا یضر الإرسال لأنّه من صفوان ، وذکر الأصحاب أنّ مراسیله فی حکم المسانید مع إجماع العصابة ، ولا وقفه </w:t>
      </w:r>
      <w:r>
        <w:rPr>
          <w:rStyle w:val="FootnoteAnchor"/>
          <w:rtl w:val="true"/>
        </w:rPr>
        <w:footnoteReference w:id="356"/>
      </w:r>
      <w:r>
        <w:rPr>
          <w:rFonts w:ascii="IRNazanin" w:hAnsi="IRNazanin" w:eastAsia="IRNazanin"/>
          <w:color w:val="111111"/>
          <w:sz w:val="28"/>
          <w:sz w:val="28"/>
          <w:szCs w:val="28"/>
          <w:rtl w:val="true"/>
          <w:lang w:bidi="fa-IR"/>
        </w:rPr>
        <w:t xml:space="preserve">أو إضماره ؛ لأنّ المعهود من أحوال الأجلاء أنّهم ما کانوا ینقلون إلاّ ما سمعوا من الأئمّة ـ صلوات اللّه علیهم ـ </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261" w:name="__RefHeading___Toc4159534_3804643083"/>
      <w:bookmarkStart w:id="262" w:name="_Toc98"/>
      <w:bookmarkEnd w:id="261"/>
      <w:r>
        <w:rPr>
          <w:rtl w:val="true"/>
        </w:rPr>
        <w:t>التواتر فی النقل عن المصادر الأوّلیة</w:t>
      </w:r>
      <w:bookmarkEnd w:id="262"/>
    </w:p>
    <w:p>
      <w:pPr>
        <w:pStyle w:val="BookText"/>
        <w:rPr/>
      </w:pPr>
      <w:r>
        <w:rPr>
          <w:rFonts w:ascii="IRNazanin" w:hAnsi="IRNazanin" w:eastAsia="IRNazanin"/>
          <w:color w:val="111111"/>
          <w:sz w:val="28"/>
          <w:sz w:val="28"/>
          <w:szCs w:val="28"/>
          <w:rtl w:val="true"/>
          <w:lang w:bidi="fa-IR"/>
        </w:rPr>
        <w:t xml:space="preserve">أ ـ یقول الشارح فی شرح المشیخة عند ترجمة عمّار بن موسی الساباطی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 ثقة ، وکذلک أحمد بن الحسن ، وعمرو بن سعید ، ومصدق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الواقعون فی طریق الصَدوق إلی 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فطحیون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أخبار عمّار أنّه کان ینقل بالمعنی مجتهداً فی معناه بخلاف الحسن بن علی ، بل علی بن الحسن وإن کان فطحیاً لکن یحتاط فی النقل باللفظ ، بل الثلاثة الّذین ینقلون نقلهم عنه صحیح ، وکلّ ما وقع فی خبره فمن فهمه الناقص بخلاف غیره ، فإنّهم ینقلون ممّا نقله فی کتابه وفی هذا النوع لا یمکن الکذب عادة ؛ فإنّ الکتاب کان موجوداً عندهم وکانوا یلاحظونه ، وإنّما کان یقع منهم ترتیب کتب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کانوا یعتمدون علی کتب الحسین بن سعید ، وعلی بن مهزیار ، وحمّاد ، وصفوان ، وعلی بن الحسن غایة الاعتماد فیما ینقلون فی کتبهم عن زرارة ، ومحمّد بن مسلم ، وبرید وأمثالهم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تدبّرت ذلک علمت أنّ الکتب الأربعة کانت بعد ترتیب المُتقَدّمین علیهم فی اُصولهم المعتمدة ، فکثیراً ما یحصل العلم بورود هذه الأخبار المنقولة عن أصحاب الصادقین علیهماالسلام ، لکن العلم بصدورها من المعصومین علیهم السلام لا یحصل مثل ما یحصل بصدورها عنهم ، فیحتاج إلی جماعة کثیرة من الثقات حتّی یحصل العلم ؛ لأنّهم کانوا ینقلون بالمعنی کثیراً ویمکن غفلتهم حال السماع أو الغلط فی الفهم ، ولهذا تراهم ینقلون خبراً واحداً بعبارات مختلفة وإن أمکن تکرّر السماع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خلافه ولا یحصل ذلک الاختلاف من الناقلین عنهم ؛ لأنّ دأبهم کان أن یکتبوا حین السماع أو بعد الرجوع إلی منازلهم فی کتبهم ویمکن السهو والعمد فی الغلط بخلاف الناقلین ، فإنّ أکثر الکتب کان عند أکثرهم فلو اطّلعوا علی غلط لم یعتمدوا علی الکتاب الّذی وجد فیه وکانوا یسمونه کذّاباً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یندفع ما یتوهم أنّه لا یمکن التواتر فی مثل عصرنا فإنّ أکثر الأخبار المعمولة فی الکتب الأربعة من المشایخ الثلاثة والغالب عدم حصول العلم من ثلاثة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معک فی الصدور عن المعصوم لا فی النقل عن الکتب ؛ فإنّه إذا نقلوا هذه الثلاثة خبراً من کتاب الحسین بن سعید أو الحسن بن محبوب وکان ألفاظه متفقة یحصل العلم بأنّه کان کذلک فی کتابه ، وکذا إذا نقل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وحماد وابن أبی عمیر خبراً من کتاب لیث المرادی أو زرارة أو محمّد بن مسلم یحصل العلم بکونه فی کتاب زرارة ، وأمّا إذا وجد خبر متفق اللفظ والمعنی فی کتب زرارة ومحمّد بن مسلم وبرید مثلاً لا یحصل ذلک العلم الّذی حصل من الناقلین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تواتر من کتبهم ، ثُمَّ روی جماعة کثیرة من المعصوم علیه السلام أمکن حصول العلم بصدوره من</w:t>
      </w:r>
    </w:p>
    <w:p>
      <w:pPr>
        <w:pStyle w:val="BookText"/>
        <w:rPr/>
      </w:pPr>
      <w:r>
        <w:rPr>
          <w:rFonts w:ascii="IRNazanin" w:hAnsi="IRNazanin" w:eastAsia="IRNazanin"/>
          <w:color w:val="111111"/>
          <w:sz w:val="28"/>
          <w:sz w:val="28"/>
          <w:szCs w:val="28"/>
          <w:rtl w:val="true"/>
          <w:lang w:bidi="fa-IR"/>
        </w:rPr>
        <w:t xml:space="preserve">المعصوم علیه السلام وذلک یختلف باختلاف الأشخاص ؛ فإذا روی خبراً مثل زرارة ، ومحمّد بن مسلم ، وبرید ، ولیث ، والفضیل بن یسار ، وعبید اللّه الحلبی بشرط العلم بصدوره عنهم ، فالغالب بالنظر إلینا حصول العلم سیّما إذا کان موافقاً للقرآن ولعمل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الأحوال یحصل العلم بأقل من ذلک ، ولهذا تراک تعلم من أخبار المخالفین مالا یحصل لک ذلک العلم من أخبار أَصحابک ، فإنّه کثیراً ما یحصل العلم بصدور خبر عن أبی هریرة لکثرة الناقلین الضابطین أو عمر بن الخطاب ، مثل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لکلّ امرئ ما 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کثیراً من أصحابنا وأصحابهم یدعون تواتره لکن من عمر ، ونحن جازمون بصدوره عنه وشاکون فی صدروه عن رسول اللّه صلی الله علیه و آله ، بل کثیراً ما یحصل الجزم بخلافه کما هو 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نجزم بصدوره عن أبی بکر ، ونجزم بوضعه لعداوة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فیما ذکرناه ، فإنّه یشتبه علی کثیر ولا یفرّقون بینهما ، بل الأصحاب علی ضربین ، فطائفة ینکرون حصول التواتر من مطلق الأخبار المتداولة فی الکتب ، وطائفة یجزمون بحصول العلم من ثلاثة کالأخباریین ومنهم المصنف ، وإن أمکن توجیه کلامه بالإمکان لکنه خلاف عملهم</w:t>
      </w:r>
      <w:r>
        <w:rPr>
          <w:rFonts w:eastAsia="IRNazanin" w:cs="IRNazanin"/>
          <w:color w:val="111111"/>
          <w:sz w:val="28"/>
          <w:szCs w:val="28"/>
          <w:rtl w:val="true"/>
          <w:lang w:bidi="fa-IR"/>
        </w:rPr>
        <w:t xml:space="preserve">» . </w:t>
      </w:r>
      <w:r>
        <w:rPr>
          <w:rStyle w:val="FootnoteAnchor"/>
          <w:rtl w:val="true"/>
        </w:rPr>
        <w:footnoteReference w:id="35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یقول الشارح فی شرح رجال الفقیه ـ بعد ترجمة علی بن الحسین السَعْدآبادی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تأمّلت فی الأخبار ورأیت ارتباط بعضها ببعض بأنّ الخبر المنقول عن زرارة مثلاً نقله المصنّف عن أصله ، ثمّ رأیت حمّاداً یذکر ذلک الخبر بالواسطة عن أصله ، ثمّ الحسین بن سعید یروی هذا الخبر بعینه فی کتابه عن حمّاد ، أو ابن أبی عمیر ، أو غیرهما ثمّ من تأخّر عنهما إلی الشَّیخ نقلوا ذلک الخبر بعینه ، فبعد التأمّل والتتبّع یحصل لک العلم بأنّ الخبر کان فی أصل زرارة ، وکذا فی أخبار محمّد بن مسلم</w:t>
      </w:r>
      <w:bookmarkStart w:id="263" w:name="pg2516_26499"/>
    </w:p>
    <w:p>
      <w:pPr>
        <w:pStyle w:val="BookText"/>
        <w:rPr/>
      </w:pPr>
      <w:bookmarkEnd w:id="263"/>
      <w:r>
        <w:rPr>
          <w:rFonts w:ascii="IRNazanin" w:hAnsi="IRNazanin" w:eastAsia="IRNazanin"/>
          <w:color w:val="111111"/>
          <w:sz w:val="28"/>
          <w:sz w:val="28"/>
          <w:szCs w:val="28"/>
          <w:rtl w:val="true"/>
          <w:lang w:bidi="fa-IR"/>
        </w:rPr>
        <w:t xml:space="preserve">وأبی بصیر والفضیل وابن مسکان ، فهذه الجماعة تکفی لحصول العلم بصدور الخبر عن المعصوم علیه السلام ویصیر متواتراً عنه ولو بالمعنی ، وهذا هو المراد بإجماع الأصحاب کما دلّ علیه خبر عمر بن حنظلة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الإجماعات الّتی نقلوها کانت کذلک وکان یحسن لهم العلم بأنّ قول المعصوم علیه السلام ذلک وکانوا یعبّرون بغیره فی کتبهم الاُصولیة رغماً للعامة ، لأنّهم یستمسکون بأباطیلهم فی الإجماعات وکان أصحابنا یناظرونهم ویردّون علیهم بالإجماع وإلاّ فساحتهم بریئة عن تلک المزخرفات ، کما نبّه بذلک شیخنا المحقّق فی المعتبر وفی اُصوله ، وشیخنا الشهید فی ذکراه ، وشیخنا التستری فی کتبه وفی الدرس مکرراً</w:t>
      </w:r>
      <w:r>
        <w:rPr>
          <w:rFonts w:eastAsia="IRNazanin" w:cs="IRNazanin"/>
          <w:color w:val="111111"/>
          <w:sz w:val="28"/>
          <w:szCs w:val="28"/>
          <w:rtl w:val="true"/>
          <w:lang w:bidi="fa-IR"/>
        </w:rPr>
        <w:t xml:space="preserve">» . </w:t>
      </w:r>
      <w:r>
        <w:rPr>
          <w:rStyle w:val="FootnoteAnchor"/>
          <w:rtl w:val="true"/>
        </w:rPr>
        <w:footnoteReference w:id="359"/>
      </w:r>
    </w:p>
    <w:p>
      <w:pPr>
        <w:pStyle w:val="Heading4"/>
        <w:numPr>
          <w:ilvl w:val="3"/>
          <w:numId w:val="1"/>
        </w:numPr>
        <w:rPr/>
      </w:pPr>
      <w:bookmarkStart w:id="264" w:name="__RefHeading___Toc4159536_3804643083"/>
      <w:bookmarkStart w:id="265" w:name="_Toc99"/>
      <w:bookmarkEnd w:id="264"/>
      <w:r>
        <w:rPr>
          <w:rtl w:val="true"/>
        </w:rPr>
        <w:t>شهادة متن الخبر بصحّته</w:t>
      </w:r>
      <w:bookmarkEnd w:id="265"/>
    </w:p>
    <w:p>
      <w:pPr>
        <w:pStyle w:val="BookText"/>
        <w:rPr/>
      </w:pPr>
      <w:r>
        <w:rPr>
          <w:rFonts w:ascii="IRNazanin" w:hAnsi="IRNazanin" w:eastAsia="IRNazanin"/>
          <w:color w:val="111111"/>
          <w:sz w:val="28"/>
          <w:sz w:val="28"/>
          <w:szCs w:val="28"/>
          <w:rtl w:val="true"/>
          <w:lang w:bidi="fa-IR"/>
        </w:rPr>
        <w:t xml:space="preserve">نصّ الشارح علی هذا المعنی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باب النوادر ـ بعد نقل الصَدوق خبراً عن الحسن بن راشد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وإن کان ضعیفاً ، لکن کان کتابه معتمد الأصحاب ، ولهذا روی المصنّف عنه مع أنّ متنه متواتر ـ کما تقدّم ـ ، ومتنه یشهد بصحّته أیضاً لو لم یکن غیره </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شرح المشیخة عند ترجمة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الإسترآبادی</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اعتمد علیه الصَدوق وکان شیخه ، فما ذکره ابن الغضائری باطل وتوهّم أنّ مثل هذا التفسیر لا یلیق أن ینسب إلی المعصوم علیه السلام ، ومن کان مرتبطاً بکلام الأئمّة علیهم السلام یعلم أنّه کلامهم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 علیه شیخنا الشهید الثانی ، ونقل أخباراً کثیرة</w:t>
      </w:r>
      <w:bookmarkStart w:id="266" w:name="pg2516_26500"/>
    </w:p>
    <w:p>
      <w:pPr>
        <w:pStyle w:val="BookText"/>
        <w:rPr/>
      </w:pPr>
      <w:bookmarkEnd w:id="266"/>
      <w:r>
        <w:rPr>
          <w:rFonts w:ascii="IRNazanin" w:hAnsi="IRNazanin" w:eastAsia="IRNazanin"/>
          <w:color w:val="111111"/>
          <w:sz w:val="28"/>
          <w:sz w:val="28"/>
          <w:szCs w:val="28"/>
          <w:rtl w:val="true"/>
          <w:lang w:bidi="fa-IR"/>
        </w:rPr>
        <w:t>عنه فی کتبه ، واعتماد التلمیذ الّذی کان مثل الصَدوق یکفی ، عفا اللّه عنّا وعنهم</w:t>
      </w:r>
      <w:r>
        <w:rPr>
          <w:rFonts w:eastAsia="IRNazanin" w:cs="IRNazanin"/>
          <w:color w:val="111111"/>
          <w:sz w:val="28"/>
          <w:szCs w:val="28"/>
          <w:rtl w:val="true"/>
          <w:lang w:bidi="fa-IR"/>
        </w:rPr>
        <w:t xml:space="preserve">» .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باب النوادر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بکتاب 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 إلی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الشهید الثانی رضی الله عنه بأسانیده عن الصادق علیه السلام ومتنه یدلّ علی صحّته</w:t>
      </w:r>
      <w:r>
        <w:rPr>
          <w:rFonts w:eastAsia="IRNazanin" w:cs="IRNazanin"/>
          <w:color w:val="111111"/>
          <w:sz w:val="28"/>
          <w:szCs w:val="28"/>
          <w:rtl w:val="true"/>
          <w:lang w:bidi="fa-IR"/>
        </w:rPr>
        <w:t xml:space="preserve">» .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الوصیة ـ بعد نقل الصَدوق خبراً عن سلیم بن قیس الهلالی مرسلاً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أنّه أخذه من کتابه وعندنا کتابه ، ومتنه یشهد بصحّته وما نسبه إلیه بعض المجاهیل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الکتاب وضعه أبان ونسبه إلی سلیم فغلط نشأ من عدم التتبّع ، فإنّه رواه ثقات أصحابنا وعرضوه علی الأئمّة علیهم السلام</w:t>
      </w:r>
      <w:r>
        <w:rPr>
          <w:rFonts w:eastAsia="IRNazanin" w:cs="IRNazanin"/>
          <w:color w:val="111111"/>
          <w:sz w:val="28"/>
          <w:szCs w:val="28"/>
          <w:rtl w:val="true"/>
          <w:lang w:bidi="fa-IR"/>
        </w:rPr>
        <w:t xml:space="preserve">» . </w:t>
      </w:r>
      <w:r>
        <w:rPr>
          <w:rStyle w:val="FootnoteAnchor"/>
          <w:rtl w:val="true"/>
        </w:rPr>
        <w:footnoteReference w:id="363"/>
      </w:r>
    </w:p>
    <w:p>
      <w:pPr>
        <w:pStyle w:val="Heading4"/>
        <w:numPr>
          <w:ilvl w:val="3"/>
          <w:numId w:val="1"/>
        </w:numPr>
        <w:rPr/>
      </w:pPr>
      <w:bookmarkStart w:id="267" w:name="__RefHeading___Toc4159538_3804643083"/>
      <w:bookmarkStart w:id="268" w:name="_Toc100"/>
      <w:bookmarkEnd w:id="267"/>
      <w:r>
        <w:rPr>
          <w:rtl w:val="true"/>
        </w:rPr>
        <w:t>ضعف الخبر ینجبر بعمل الأصحاب</w:t>
      </w:r>
      <w:bookmarkEnd w:id="268"/>
    </w:p>
    <w:p>
      <w:pPr>
        <w:pStyle w:val="BookText"/>
        <w:rPr/>
      </w:pPr>
      <w:r>
        <w:rPr>
          <w:rFonts w:ascii="IRNazanin" w:hAnsi="IRNazanin" w:eastAsia="IRNazanin"/>
          <w:color w:val="111111"/>
          <w:sz w:val="28"/>
          <w:sz w:val="28"/>
          <w:szCs w:val="28"/>
          <w:rtl w:val="true"/>
          <w:lang w:bidi="fa-IR"/>
        </w:rPr>
        <w:t xml:space="preserve">اعتقد الشارح ـ مثل کثیر من العُلَماء ـ بأنّ الحدیث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عمل به مشهور القُدَماء وأفتوا علی طبق مضمونه ینجبر ضعف سنده ویصیر حجّة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توجّه إلی ذلک وصرّح به فی مواضع کثیرة من شرحه بعد نقل عدد من الروایات الضعیفة ، ننقل هنا أحدها وهی المشتملة علی دلیل ذهابه إلی هذا القول ؛ فإنّه 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من أفطر أو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الصوم بعد نقل الصَدوق روایة عن المفضل بن عمر عن أبی عبداللّه علیه السلام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المحقّق فی المعتبر والعلاّمة فی المنتهی أنّ هذه الروایة وإن کانت ضعیفة السند ، إلاّ أنّ أصحابنا ادّعوا الإجماع علی مضمونها مع ظهور العمل والقول بها ونسبة الفتوی إلی الأئمّة علیهم السلام ، وإذا عرف ذلک لم یعتد بالناقلین ، إذ یعلم أقوال أرباب المذاهب بنقل أتباعهم وإن اُسندت فی الأصل إلی الضُعَفاء والمجاهیل</w:t>
      </w:r>
      <w:r>
        <w:rPr>
          <w:rFonts w:eastAsia="IRNazanin" w:cs="IRNazanin"/>
          <w:color w:val="111111"/>
          <w:sz w:val="28"/>
          <w:szCs w:val="28"/>
          <w:rtl w:val="true"/>
          <w:lang w:bidi="fa-IR"/>
        </w:rPr>
        <w:t xml:space="preserve">» . </w:t>
      </w:r>
      <w:r>
        <w:rPr>
          <w:rStyle w:val="FootnoteAnchor"/>
          <w:rtl w:val="true"/>
        </w:rPr>
        <w:footnoteReference w:id="364"/>
      </w:r>
      <w:bookmarkStart w:id="269" w:name="pg2516_26501"/>
    </w:p>
    <w:p>
      <w:pPr>
        <w:pStyle w:val="Heading4"/>
        <w:numPr>
          <w:ilvl w:val="3"/>
          <w:numId w:val="1"/>
        </w:numPr>
        <w:rPr/>
      </w:pPr>
      <w:bookmarkStart w:id="270" w:name="__RefHeading___Toc4159540_3804643083"/>
      <w:bookmarkStart w:id="271" w:name="_Toc101"/>
      <w:bookmarkEnd w:id="269"/>
      <w:bookmarkEnd w:id="270"/>
      <w:r>
        <w:rPr>
          <w:rtl w:val="true"/>
        </w:rPr>
        <w:t>المکاتبات کالمشافهات فی الاعتبار</w:t>
      </w:r>
      <w:bookmarkEnd w:id="271"/>
    </w:p>
    <w:p>
      <w:pPr>
        <w:pStyle w:val="BookText"/>
        <w:rPr/>
      </w:pPr>
      <w:r>
        <w:rPr>
          <w:rFonts w:ascii="IRNazanin" w:hAnsi="IRNazanin" w:eastAsia="IRNazanin"/>
          <w:color w:val="111111"/>
          <w:sz w:val="28"/>
          <w:sz w:val="28"/>
          <w:szCs w:val="28"/>
          <w:rtl w:val="true"/>
          <w:lang w:bidi="fa-IR"/>
        </w:rPr>
        <w:t xml:space="preserve">أ ـ یقول الشارح بعد نقل صحیحة محمّد بن إسماعیل بن بزیع عن الرضا علیه السلام فی عدم فساد ماء البئر إلاّ أن یتغیر طعمه أو ریحه ، والإشارة إلی علوّها وصراحتها ما هو صریح فی هذا المعنی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 الأصحاب ضعّف الخبر بأنّه مکاتبة وغفل عن المشافهة مع أنّ هذه المکاتبات لا تقصر عن المشافهات ، بل کانت عند القُدَماء أکثر اعتباراً من المشافهات ویباهون بها کما یظهر لمن تتبع آثارهم وسیجیء من الصَدوق أیضاً ما یشعر بما قلناه</w:t>
      </w:r>
      <w:r>
        <w:rPr>
          <w:rFonts w:eastAsia="IRNazanin" w:cs="IRNazanin"/>
          <w:color w:val="111111"/>
          <w:sz w:val="28"/>
          <w:szCs w:val="28"/>
          <w:rtl w:val="true"/>
          <w:lang w:bidi="fa-IR"/>
        </w:rPr>
        <w:t xml:space="preserve">» .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 ـ فی باب قضاء الصوم عن المیت ، یقول الصَدوق بعد نقل مکاتبة محمّد بن الحسن الصفّار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مصنّف هذا الکتاب رحمه الله وهذا التوقیع عندی مع توقیعاته إلی محمّد بن الحسن الصفّار بخطّه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ویقول الشارح فی ذیل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ویفهم من مباهاة الصَدوق أنّ الاعتناء بالمکاتیب کان أکثر من المسانید بالمشافهة کما هو الظاهر من أحوالهم ، وإن أمکن أن یکون المباهاة بخطّه علیه السلام المنسوب إلیه</w:t>
      </w:r>
      <w:r>
        <w:rPr>
          <w:rFonts w:eastAsia="IRNazanin" w:cs="IRNazanin"/>
          <w:color w:val="111111"/>
          <w:sz w:val="28"/>
          <w:szCs w:val="28"/>
          <w:rtl w:val="true"/>
          <w:lang w:bidi="fa-IR"/>
        </w:rPr>
        <w:t xml:space="preserve">» . </w:t>
      </w:r>
      <w:r>
        <w:rPr>
          <w:rStyle w:val="FootnoteAnchor"/>
          <w:rtl w:val="true"/>
        </w:rPr>
        <w:footnoteReference w:id="366"/>
      </w:r>
    </w:p>
    <w:p>
      <w:pPr>
        <w:pStyle w:val="Heading4"/>
        <w:numPr>
          <w:ilvl w:val="3"/>
          <w:numId w:val="1"/>
        </w:numPr>
        <w:rPr/>
      </w:pPr>
      <w:bookmarkStart w:id="272" w:name="__RefHeading___Toc4159542_3804643083"/>
      <w:bookmarkStart w:id="273" w:name="_Toc102"/>
      <w:bookmarkEnd w:id="272"/>
      <w:r>
        <w:rPr>
          <w:rtl w:val="true"/>
        </w:rPr>
        <w:t>تنبیه</w:t>
      </w:r>
      <w:bookmarkEnd w:id="2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هنا أنّ الشارح اعتقد بأنّ المکاتبات تساوی المشافهات فی الاعتبار ، بل کانت عند القُدَماء أکثر اعتبارا ، لکن سیجیء فی الباب الثالث نصّ کلامه الدالّ علی أنّه یقول ما قاله المشهور من قصور حجّیة مضمون المکاتبات بالنسبة إلی المشافهات ؛ لأنّ احتمال التَقِیّة فیها أزید من غیرها وذلک لإمکان وقوعها فی أیدی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 الإنکار والعذر یُسمعان فی القول ولا یسمع شیء منهما فی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bookmarkStart w:id="274" w:name="pg2516_26502"/>
    </w:p>
    <w:p>
      <w:pPr>
        <w:pStyle w:val="BookText"/>
        <w:rPr/>
      </w:pPr>
      <w:bookmarkEnd w:id="274"/>
      <w:r>
        <w:rPr>
          <w:rFonts w:ascii="IRNazanin" w:hAnsi="IRNazanin" w:eastAsia="IRNazanin"/>
          <w:color w:val="111111"/>
          <w:sz w:val="28"/>
          <w:sz w:val="28"/>
          <w:szCs w:val="28"/>
          <w:rtl w:val="true"/>
          <w:lang w:bidi="fa-IR"/>
        </w:rPr>
        <w:t xml:space="preserve">إلاّ أن یقال بأنّ مراده من اعتبار المکاتبات وأکثریته بالنسبة إلی المشافهات کان بحسب صدورها من الأئمّة علیهم السلام فلا ینافی قصور الحجّیة فی جانب المضمون </w:t>
      </w:r>
      <w:r>
        <w:rPr>
          <w:rFonts w:eastAsia="IRNazanin" w:cs="IRNazanin"/>
          <w:color w:val="111111"/>
          <w:sz w:val="28"/>
          <w:szCs w:val="28"/>
          <w:rtl w:val="true"/>
          <w:lang w:bidi="fa-IR"/>
        </w:rPr>
        <w:t>.</w:t>
      </w:r>
    </w:p>
    <w:p>
      <w:pPr>
        <w:pStyle w:val="Heading4"/>
        <w:numPr>
          <w:ilvl w:val="3"/>
          <w:numId w:val="1"/>
        </w:numPr>
        <w:rPr/>
      </w:pPr>
      <w:bookmarkStart w:id="275" w:name="__RefHeading___Toc4159544_3804643083"/>
      <w:bookmarkStart w:id="276" w:name="_Toc103"/>
      <w:bookmarkEnd w:id="275"/>
      <w:r>
        <w:rPr>
          <w:rtl w:val="true"/>
        </w:rPr>
        <w:t>الأصل فی الرواة عدالتهم</w:t>
      </w:r>
      <w:bookmarkEnd w:id="276"/>
    </w:p>
    <w:p>
      <w:pPr>
        <w:pStyle w:val="BookText"/>
        <w:rPr/>
      </w:pPr>
      <w:r>
        <w:rPr>
          <w:rFonts w:ascii="IRNazanin" w:hAnsi="IRNazanin" w:eastAsia="IRNazanin"/>
          <w:color w:val="111111"/>
          <w:sz w:val="28"/>
          <w:sz w:val="28"/>
          <w:szCs w:val="28"/>
          <w:rtl w:val="true"/>
          <w:lang w:bidi="fa-IR"/>
        </w:rPr>
        <w:t xml:space="preserve">أ ـ یقول الشارح فی شرح رجال الفقیه عند ترجمة علی بن الحسین السَعْدآبادی الّذی أهمل عُلَماء الرجال وصفه بشیء من المدح أو الذمّ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بعض الأصحاب حدیثه حسناً ولابأس به ؛ لأنّه من مشایخ الإجازة البحت ، بل لا یستبعد جعله صحیحاً سیّما علی قانون الشَّیخ من أنّ الأصل العدالة ، أو لأنّ النهی وقع عن العمل بخبر الفاسق والمجهول لیس منه ، بل لا یجوز تفسیقه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المتأخّرین اصطلحوا علی أنّ مرادنا بالفاسق غیر معلوم العدالة وهذا الاصطلاح باطل ، بل حرام علی الظاهر وهم أخطؤوا فیه ، تجاوز اللّه عنّا وعنهم ، مع أنّهم أفتوا بأنّه لو قال أحد لمستور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یافاسق ، فإنّه یُفَسّقُ ویُعَزّر ، بل یجب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معلوم العدالة أو لا نعرف حاله</w:t>
      </w:r>
      <w:r>
        <w:rPr>
          <w:rFonts w:eastAsia="IRNazanin" w:cs="IRNazanin"/>
          <w:color w:val="111111"/>
          <w:sz w:val="28"/>
          <w:szCs w:val="28"/>
          <w:rtl w:val="true"/>
          <w:lang w:bidi="fa-IR"/>
        </w:rPr>
        <w:t xml:space="preserve">» .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ب ـ یقول الشارح فی شرح المشیخة عند ترجمة النضر بن شعیب المجهول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الأصل العدالة کما ذهب إلیه الشَّیخ وجماعة ، ویشهد لهم بعض الروایات سیّما فی أَصحابنا المُحَدّثین</w:t>
      </w:r>
      <w:r>
        <w:rPr>
          <w:rFonts w:eastAsia="IRNazanin" w:cs="IRNazanin"/>
          <w:color w:val="111111"/>
          <w:sz w:val="28"/>
          <w:szCs w:val="28"/>
          <w:rtl w:val="true"/>
          <w:lang w:bidi="fa-IR"/>
        </w:rPr>
        <w:t xml:space="preserve">» . </w:t>
      </w:r>
      <w:r>
        <w:rPr>
          <w:rStyle w:val="FootnoteAnchor"/>
          <w:rtl w:val="true"/>
        </w:rPr>
        <w:footnoteReference w:id="368"/>
      </w:r>
    </w:p>
    <w:p>
      <w:pPr>
        <w:pStyle w:val="Heading4"/>
        <w:numPr>
          <w:ilvl w:val="3"/>
          <w:numId w:val="1"/>
        </w:numPr>
        <w:rPr/>
      </w:pPr>
      <w:bookmarkStart w:id="277" w:name="__RefHeading___Toc4159546_3804643083"/>
      <w:bookmarkStart w:id="278" w:name="_Toc104"/>
      <w:bookmarkEnd w:id="277"/>
      <w:r>
        <w:rPr>
          <w:rtl w:val="true"/>
        </w:rPr>
        <w:t>نقل شهادة الراوی لنفسه فی الکتب المعتبرة أمارة لصحّتها</w:t>
      </w:r>
      <w:bookmarkEnd w:id="2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شرح رجال الفقیه عند ترجمة عبد الأعلی مولی آل 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أو المُوَثَّق کالصحیح بعلی بن أسباط وجهل حاله أنّه رجع أم لا ،</w:t>
      </w:r>
      <w:bookmarkStart w:id="279" w:name="pg2516_26503"/>
    </w:p>
    <w:p>
      <w:pPr>
        <w:pStyle w:val="BookText"/>
        <w:rPr/>
      </w:pPr>
      <w:bookmarkEnd w:id="279"/>
      <w:r>
        <w:rPr>
          <w:rFonts w:ascii="IRNazanin" w:hAnsi="IRNazanin" w:eastAsia="IRNazanin"/>
          <w:color w:val="111111"/>
          <w:sz w:val="28"/>
          <w:sz w:val="28"/>
          <w:szCs w:val="28"/>
          <w:rtl w:val="true"/>
          <w:lang w:bidi="fa-IR"/>
        </w:rPr>
        <w:t>والظاهر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الأعلی قال ، 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یعیّبون علیّ بالکلام وأنا أکلّم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مثلک من یقع ثمّ یطیر فنعم ، وأمّا من یقع ثمّ لا یطیر فلا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أی من کان له قدرة فیه بحیث لو صار عاجزاً کان له أن یتفکّر ویخرج قریباً ، کما هو مشاهد فی بعض الفضلاء باعتبار الإدراک والتبحر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نکاح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الأعلی بن أعین مولی آل سام</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فهو ممدوح ، وذکر بعض الفضلاء أنّه لا ینفع لأنّه شهادة لنفسه ، ولکن العلاّمة </w:t>
      </w:r>
      <w:r>
        <w:rPr>
          <w:rStyle w:val="FootnoteAnchor"/>
          <w:rtl w:val="true"/>
        </w:rPr>
        <w:footnoteReference w:id="371"/>
      </w:r>
      <w:r>
        <w:rPr>
          <w:rFonts w:ascii="IRNazanin" w:hAnsi="IRNazanin" w:eastAsia="IRNazanin"/>
          <w:color w:val="111111"/>
          <w:sz w:val="28"/>
          <w:sz w:val="28"/>
          <w:szCs w:val="28"/>
          <w:rtl w:val="true"/>
          <w:lang w:bidi="fa-IR"/>
        </w:rPr>
        <w:t>والأکثر اعتبروها لنقل فضلاء الأصحاب ذلک عنه ولو لم یکن لهم من القرائن ما یشهد بصحّتها لما نقلوها فی کتبهم سیّما فی الکتب الرجالیة ، ولکنّه فرق بین أن یکون الشهادة لنفسه أو لغیره وفیما کانت لغیره کانت أقوی</w:t>
      </w:r>
      <w:r>
        <w:rPr>
          <w:rFonts w:eastAsia="IRNazanin" w:cs="IRNazanin"/>
          <w:color w:val="111111"/>
          <w:sz w:val="28"/>
          <w:szCs w:val="28"/>
          <w:rtl w:val="true"/>
          <w:lang w:bidi="fa-IR"/>
        </w:rPr>
        <w:t xml:space="preserve">» . </w:t>
      </w:r>
      <w:r>
        <w:rPr>
          <w:rStyle w:val="FootnoteAnchor"/>
          <w:rtl w:val="true"/>
        </w:rPr>
        <w:footnoteReference w:id="372"/>
      </w:r>
    </w:p>
    <w:p>
      <w:pPr>
        <w:pStyle w:val="Heading4"/>
        <w:numPr>
          <w:ilvl w:val="3"/>
          <w:numId w:val="1"/>
        </w:numPr>
        <w:rPr/>
      </w:pPr>
      <w:bookmarkStart w:id="280" w:name="__RefHeading___Toc4159548_3804643083"/>
      <w:bookmarkStart w:id="281" w:name="_Toc105"/>
      <w:bookmarkEnd w:id="280"/>
      <w:r>
        <w:rPr>
          <w:rtl w:val="true"/>
        </w:rPr>
        <w:t>روایة الواقفی عن الرضا علیه السلام تدلّ علی رجوعه</w:t>
      </w:r>
      <w:bookmarkEnd w:id="281"/>
    </w:p>
    <w:p>
      <w:pPr>
        <w:pStyle w:val="BookText"/>
        <w:rPr/>
      </w:pPr>
      <w:r>
        <w:rPr>
          <w:rFonts w:ascii="IRNazanin" w:hAnsi="IRNazanin" w:eastAsia="IRNazanin"/>
          <w:color w:val="111111"/>
          <w:sz w:val="28"/>
          <w:sz w:val="28"/>
          <w:szCs w:val="28"/>
          <w:rtl w:val="true"/>
          <w:lang w:bidi="fa-IR"/>
        </w:rPr>
        <w:t xml:space="preserve">یقول الشارح فی شرح المشیخة بعد ترجمة أحمد بن الحسن المیثمی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روایته عن الرضا علیه السلام تدلّ علی رجوعه عن الوقف کما یظهر من التتبع ، فإنّهم کانوا أعادی له علیه السلام بخلاف الفطحیة ، فإنّهم کانوا یعتقدونه علیه السلام بالإمامة</w:t>
      </w:r>
      <w:r>
        <w:rPr>
          <w:rFonts w:eastAsia="IRNazanin" w:cs="IRNazanin"/>
          <w:color w:val="111111"/>
          <w:sz w:val="28"/>
          <w:szCs w:val="28"/>
          <w:rtl w:val="true"/>
          <w:lang w:bidi="fa-IR"/>
        </w:rPr>
        <w:t xml:space="preserve">» . </w:t>
      </w:r>
      <w:r>
        <w:rPr>
          <w:rStyle w:val="FootnoteAnchor"/>
          <w:rtl w:val="true"/>
        </w:rPr>
        <w:footnoteReference w:id="373"/>
      </w:r>
    </w:p>
    <w:p>
      <w:pPr>
        <w:pStyle w:val="Heading4"/>
        <w:numPr>
          <w:ilvl w:val="3"/>
          <w:numId w:val="1"/>
        </w:numPr>
        <w:rPr/>
      </w:pPr>
      <w:bookmarkStart w:id="282" w:name="__RefHeading___Toc4159550_3804643083"/>
      <w:bookmarkStart w:id="283" w:name="_Toc106"/>
      <w:bookmarkEnd w:id="282"/>
      <w:r>
        <w:rPr>
          <w:rtl w:val="true"/>
        </w:rPr>
        <w:t>نقص ضعف السند بالاشتراک فی الاسم</w:t>
      </w:r>
      <w:bookmarkEnd w:id="2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بعد نقل خبر وقع فی سنده صفوان عن إسحاق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إسحاق بن عمّار اثنان ، وأحدهما ثقة لیس بفطحی وهو ابن عمّار بن حیّان الصیرفی ،</w:t>
      </w:r>
    </w:p>
    <w:p>
      <w:pPr>
        <w:pStyle w:val="BookText"/>
        <w:rPr/>
      </w:pPr>
      <w:r>
        <w:rPr>
          <w:rFonts w:ascii="IRNazanin" w:hAnsi="IRNazanin" w:eastAsia="IRNazanin"/>
          <w:color w:val="111111"/>
          <w:sz w:val="28"/>
          <w:sz w:val="28"/>
          <w:szCs w:val="28"/>
          <w:rtl w:val="true"/>
          <w:lang w:bidi="fa-IR"/>
        </w:rPr>
        <w:t xml:space="preserve">وثانیهما ابن عمّار بن موسی الساباطی وهو وإن کان فطحیّاً ، لکنّه ثقة وله أصل معتمد علیه من الاُصول الأربعمئة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والظن من الفضلاء مثل صفوان وابن أبی عمیر نقلهم من غیر الفطحی ، وبالاشتراک ینقص الضعف سیّما إذا کان المظنون غیر الضعیف ، فتدبّر فإنّه ینفعک کثیراً</w:t>
      </w:r>
      <w:r>
        <w:rPr>
          <w:rFonts w:eastAsia="IRNazanin" w:cs="IRNazanin"/>
          <w:color w:val="111111"/>
          <w:sz w:val="28"/>
          <w:szCs w:val="28"/>
          <w:rtl w:val="true"/>
          <w:lang w:bidi="fa-IR"/>
        </w:rPr>
        <w:t xml:space="preserve">» . </w:t>
      </w:r>
      <w:r>
        <w:rPr>
          <w:rStyle w:val="FootnoteAnchor"/>
          <w:rtl w:val="true"/>
        </w:rPr>
        <w:footnoteReference w:id="37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هذا الاشتراک کما یقلل الضعف عمّا صدر فی الواقع عن الضعیف ، کذلک یوجب التَوَهُّم بضعف ما صدر فی الواقع عن الثقة </w:t>
      </w:r>
      <w:r>
        <w:rPr>
          <w:rFonts w:eastAsia="IRNazanin" w:cs="IRNazanin"/>
          <w:color w:val="111111"/>
          <w:sz w:val="28"/>
          <w:szCs w:val="28"/>
          <w:rtl w:val="true"/>
          <w:lang w:bidi="fa-IR"/>
        </w:rPr>
        <w:t>.</w:t>
      </w:r>
      <w:bookmarkStart w:id="284" w:name="pg2516_26505"/>
    </w:p>
    <w:p>
      <w:pPr>
        <w:pStyle w:val="Heading3"/>
        <w:numPr>
          <w:ilvl w:val="2"/>
          <w:numId w:val="1"/>
        </w:numPr>
        <w:rPr/>
      </w:pPr>
      <w:bookmarkStart w:id="285" w:name="__RefHeading___Toc4159552_3804643083"/>
      <w:bookmarkStart w:id="286" w:name="_Toc107"/>
      <w:bookmarkEnd w:id="284"/>
      <w:bookmarkEnd w:id="285"/>
      <w:r>
        <w:rPr>
          <w:rtl w:val="true"/>
        </w:rPr>
        <w:t xml:space="preserve">الفصل الثانی </w:t>
      </w:r>
      <w:r>
        <w:rPr>
          <w:rtl w:val="true"/>
        </w:rPr>
        <w:t xml:space="preserve">: </w:t>
      </w:r>
      <w:r>
        <w:rPr>
          <w:rtl w:val="true"/>
        </w:rPr>
        <w:t>معرِّفات الوضع</w:t>
      </w:r>
      <w:bookmarkEnd w:id="286"/>
    </w:p>
    <w:p>
      <w:pPr>
        <w:pStyle w:val="Heading4"/>
        <w:numPr>
          <w:ilvl w:val="3"/>
          <w:numId w:val="1"/>
        </w:numPr>
        <w:rPr/>
      </w:pPr>
      <w:bookmarkStart w:id="287" w:name="__RefHeading___Toc4159554_3804643083"/>
      <w:bookmarkStart w:id="288" w:name="_Toc10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لا یخفی أنّ أیام حیاة الأئمّة علیهم السلام ـ مع شدة اهتمام الأصحاب بحفظ آثارهم ـ تمکن بعض الکذّابین من جعل الحدیث واختلقوا روایات کثیرة وأدرجوها فی کتب الأصحاب ونشروها بینهم حتّی صار بعضها مستفیضاً ، بل مشهوراً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فی هذا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محمّد بن قولویه والحسین بن الحسن بن بندار القمّی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 عن یونس بن عبد الرحمن </w:t>
      </w:r>
      <w:r>
        <w:rPr>
          <w:rStyle w:val="FootnoteAnchor"/>
          <w:rtl w:val="true"/>
        </w:rPr>
        <w:footnoteReference w:id="375"/>
      </w:r>
      <w:r>
        <w:rPr>
          <w:rFonts w:ascii="IRNazanin" w:hAnsi="IRNazanin" w:eastAsia="IRNazanin"/>
          <w:color w:val="111111"/>
          <w:sz w:val="28"/>
          <w:sz w:val="28"/>
          <w:szCs w:val="28"/>
          <w:rtl w:val="true"/>
          <w:lang w:bidi="fa-IR"/>
        </w:rPr>
        <w:t xml:space="preserve">أنّ بعض أصحابنا سأله ـ وأنا حاضر ـ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ما أشدّک فی الحدیث وأکثر إنکارک لما یرویه أصحابنا ، فما الّذی یحملک علی ردّ الأحادیث؟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بن الحکم أنّه سمع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علینا حدیثاً إلاّ ما وافق القرآن والسنّة أو تجدون معه شاهداً من أحادیثنا المُتقَدّمة ، فإنّ المغیرة بن سعید ـ لعنه اللّه ـ دسّ فی کتب أصحاب أبی أحادیث لم یحدّث بها أبی ، فاتّقوا اللّه ولا تقبلوا علینا ما خالف قول ربّنا تعالی وسنّة نبینا صلی الله علیه و آله فإنّا إذا حدّثنا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 وقال رسول اللّه صلی الله علیه و آله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علیه السلام ووجدت</w:t>
      </w:r>
    </w:p>
    <w:p>
      <w:pPr>
        <w:pStyle w:val="BookText"/>
        <w:rPr/>
      </w:pPr>
      <w:r>
        <w:rPr>
          <w:rFonts w:ascii="IRNazanin" w:hAnsi="IRNazanin" w:eastAsia="IRNazanin"/>
          <w:color w:val="111111"/>
          <w:sz w:val="28"/>
          <w:sz w:val="28"/>
          <w:szCs w:val="28"/>
          <w:rtl w:val="true"/>
          <w:lang w:bidi="fa-IR"/>
        </w:rPr>
        <w:t xml:space="preserve">أصحاب أبی عبداللّه علیه السلام متوافرین فسمعت منهم وأخذت کتبهم ، فعرضتها من بعد علی أبی الحسن الرضا علیه السلام فأنکر منها أحادیث کثیرة أن یکون من أحادیث أبی عبداللّه علیه السلام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کذّب علی أبی عبداللّه علیه السلام لعن اللّه أبا الخطّاب ، وکذلک أصحاب أبی الخطّاب ، یدسّون هذه الأحادیث إلی یومنا هذا فی کتب أصحاب أبی عبداللّه علیه السلام فلا تقبلوا علینا خلاف القرآن </w:t>
      </w:r>
      <w:r>
        <w:rPr>
          <w:rFonts w:eastAsia="IRNazanin" w:cs="IRNazanin"/>
          <w:color w:val="111111"/>
          <w:sz w:val="28"/>
          <w:szCs w:val="28"/>
          <w:rtl w:val="true"/>
          <w:lang w:bidi="fa-IR"/>
        </w:rPr>
        <w:t xml:space="preserve">.. .»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هذا ما وقع فی عهد الأئمّة علیهم السلام ، والأخباریون من أصحابنا اعتقدوا أنّ قدماء أصحابنا کالمشایخ الثلاثة قد هذّبوا الروایات وجمعوا الصحاح منها فی کتبهم فلم یصل إلینا إلاّ الصحیح منها ، وقد تقدّم کلام الشارح فی ذلک المعنی فی الفصل الثالث من الباب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المجتهدین من أصحابنا خالفوهم فی ذلک واعتقدوا وجود کثیر من الموضوعات فیما بین أیدینا حتّی فی الکتب الأربعة ، وصرّحوا بعدم کفایة حکم الصَدوقین بصحَّة کتبهما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قد جعلوا للوضع معرفات وإلیک أهمّها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واضعه بوضعه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قرینة تقوم مقام الاعتراف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یحدّث عن شیخ فی بلد لم یرحل إلیه ، أو عن شیخ ولد الراوی بعد وفاته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رکاکة ألفاظ الروایة ومعانیها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مخالفاً لدلالة الکتاب القطعیة ، أو للعقل ، أو السنّة المتواترة ولا یقبل التأویل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یدفعه الحس والمشاهدة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الباذنجان شفاء من کلّ داء </w:t>
      </w:r>
      <w:r>
        <w:rPr>
          <w:rFonts w:eastAsia="IRNazanin" w:cs="IRNazanin"/>
          <w:color w:val="111111"/>
          <w:sz w:val="28"/>
          <w:szCs w:val="28"/>
          <w:rtl w:val="true"/>
          <w:lang w:bidi="fa-IR"/>
        </w:rPr>
        <w:t>.</w:t>
      </w:r>
      <w:bookmarkStart w:id="289" w:name="pg2516_26507"/>
    </w:p>
    <w:p>
      <w:pPr>
        <w:pStyle w:val="BookText"/>
        <w:rPr/>
      </w:pPr>
      <w:bookmarkEnd w:id="28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إخباراً عن أمر جسیم تتوفر الدواعی علی نقله بمحضر الجمع ، لکن لم ینقله إلاّ واحد ، مثل عدم توریث الأنبیاء وما ترکوه صدقة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الإفراط فی الثواب العظیم علی العمل الصغیر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بعض أصحابنا وخالفه جمع کثیر من علمائنا ، وسیأتی نصّ الشارح فی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الشارح التزم الاحتیاط وضیّق معرفات الوضع ، لئلاّ یُتّهم کثیر من الرواة بتهمة الوضع بلا دلیل قطعی ویصیر سبباً لخروج کثیر من الروایات عن دائرة الحجّیة ، وفیما یلی نصوص الشارح حول ذلک </w:t>
      </w:r>
      <w:r>
        <w:rPr>
          <w:rFonts w:eastAsia="IRNazanin" w:cs="IRNazanin"/>
          <w:color w:val="111111"/>
          <w:sz w:val="28"/>
          <w:szCs w:val="28"/>
          <w:rtl w:val="true"/>
          <w:lang w:bidi="fa-IR"/>
        </w:rPr>
        <w:t>:</w:t>
      </w:r>
    </w:p>
    <w:p>
      <w:pPr>
        <w:pStyle w:val="Heading4"/>
        <w:numPr>
          <w:ilvl w:val="3"/>
          <w:numId w:val="1"/>
        </w:numPr>
        <w:rPr/>
      </w:pPr>
      <w:bookmarkStart w:id="290" w:name="__RefHeading___Toc4159556_3804643083"/>
      <w:bookmarkStart w:id="291" w:name="_Toc109"/>
      <w:bookmarkEnd w:id="290"/>
      <w:r>
        <w:rPr>
          <w:rtl w:val="true"/>
        </w:rPr>
        <w:t>لا یجوز نسبة وضع الأخبار إلی أحد إلاّ بإقراره</w:t>
      </w:r>
      <w:bookmarkEnd w:id="291"/>
    </w:p>
    <w:p>
      <w:pPr>
        <w:pStyle w:val="BookText"/>
        <w:rPr/>
      </w:pPr>
      <w:r>
        <w:rPr>
          <w:rFonts w:ascii="IRNazanin" w:hAnsi="IRNazanin" w:eastAsia="IRNazanin"/>
          <w:color w:val="111111"/>
          <w:sz w:val="28"/>
          <w:sz w:val="28"/>
          <w:szCs w:val="28"/>
          <w:rtl w:val="true"/>
          <w:lang w:bidi="fa-IR"/>
        </w:rPr>
        <w:t xml:space="preserve">یقول الشارح فی شرح رجال الفقیه عند ترجمة محمّد بن عبداللّه بن المطلب الشیبانی ـ بعد أن نقل عن ابن الغضائری أنّه وضّاع 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کیف یجوز نسبة وضع الأخبار إلی أحد بخصوصه ما لم یسمع منه أنّی وضعتها وإن کان الخبر موضوعاً ، فإنّا نقطع بوضع کثیر من أخبار العامّة ، بل الخاصّة أیضاً کما فی الواقفة والغُلاة ، ولکن لا نعلم إلاّ أن یکون ینسبه إلی السماع من المعصوم علیه السلام ، ویکون خلافه معلوماً ولم یکن قابلاً للتأویل حتّی أنّ أخبار الید والرجل الّذی نقلها العامّة ، ونقطع بخلافها یمکن تأویلها کما فعلته العامّة</w:t>
      </w:r>
      <w:r>
        <w:rPr>
          <w:rFonts w:eastAsia="IRNazanin" w:cs="IRNazanin"/>
          <w:color w:val="111111"/>
          <w:sz w:val="28"/>
          <w:szCs w:val="28"/>
          <w:rtl w:val="true"/>
          <w:lang w:bidi="fa-IR"/>
        </w:rPr>
        <w:t xml:space="preserve">» . </w:t>
      </w:r>
      <w:r>
        <w:rPr>
          <w:rStyle w:val="FootnoteAnchor"/>
          <w:rtl w:val="true"/>
        </w:rPr>
        <w:footnoteReference w:id="378"/>
      </w:r>
    </w:p>
    <w:p>
      <w:pPr>
        <w:pStyle w:val="Heading4"/>
        <w:numPr>
          <w:ilvl w:val="3"/>
          <w:numId w:val="1"/>
        </w:numPr>
        <w:rPr/>
      </w:pPr>
      <w:bookmarkStart w:id="292" w:name="__RefHeading___Toc4159558_3804643083"/>
      <w:bookmarkStart w:id="293" w:name="_Toc110"/>
      <w:bookmarkEnd w:id="292"/>
      <w:r>
        <w:rPr>
          <w:rtl w:val="true"/>
        </w:rPr>
        <w:t>المثوبات العظیمة علی الأفعال الصغیرة لیست موضوعة</w:t>
      </w:r>
      <w:bookmarkEnd w:id="29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توبة أبو یَحیی الصنعانی ، فی حدیثه بعض الشیء یعرف منه وینکر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أصحابنا أنّ له کتاب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إِنَّـآ أَنزَلْنَـهُ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عنه کامل بن أفلح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روی الشَّیخ عنه أخباراً فی الزیارات مشتملة علی المثوبات الکثیرة وهو بعض الشیء الّذی ذکره النجاشی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الأئمّة علیهم السلام یتکلمون فی کلّ شیء سیّما فی المثوبات والعقوبات علی حسب عقول الرجال کما ورد فی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بعض الأخبار أنّ له ثواب عمرة ، وفی بعض حجّة ، وفی بعضها حجّة وعمرة ، وفی بعضها عشرون حجّة وعمرة ، وفی بعضها مئة حجّة وعمرة ، وفی بعضها ألف حجّة وعمرة ، وفی بعضها سبعون ألف حجّة ، وفی بعضها ألف ألف حجّة ، وفی بعضها ضعفها ، وهو بحسب اختلاف الأشخاص فی النیات والعقائد والمعارف غالباً ، وکثیراً ما یکون بحسب أحوال المخاطبین ، فإنّهم لو سمعوا المثوبات الکثیرة لبادر عقولهم بالإنکار وهو الکفر وهو فی أکثر العالمین کذلک ، فیتکلم الأئمّة علیهم السلام بحسب عقولهم الضعیفة ، ویقولون لهم أقل مراتبها وهو حق فیقع أکثر الأخبار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 المشایخ من جماعة من الخواص المثوبات العظیمة فإن لم یکن له قوة التمییز بادروها بالإنکار والغلوّ والعلوّ ، کما وقع لی مع بعض المشایخ الأجلاء فی مثوبات إطعام المؤمن ، فإنه قال فی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قطعاً أنّ أمثال هذه الأخبار کاذبة ، فإنّه ورد أنّ ثواب إطعام المؤمن ألف ألف حجّة ، فحینئذٍ لا یبقی للحجّة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أنّه لا یمکن إنکار أمثال هذه الأخبار ، فإنّها متواترة معنی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تروون أنّ ضربة علی علیه السلام أفضل من عبادة الثقلین إلی یوم القیامة ، وتعتقدونه ولاشکّ أنّ ذلک بسبب علوّ شأنه علیه السلام ، بل کلّ فعل من أفعاله علیه السلام کذلک ، کذلک کلّ واحد من الأئمّة علیهم السلام بالنظر إلی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استبعاد فی أن یکون ثواب خلص أولیائهم کذلک ، کما وقع فی إطعام المسکین والیتیم والأسیر هذه المثوبات العظیمة وکانت فضة الخادمة فیهم مع أنّه فرق بیّن بین الثواب الاستحقاقی والتفضّلی کما تقولون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کلامی ولم یتکلّم بعده ، بما کان یتکلّم قبله </w:t>
      </w:r>
      <w:r>
        <w:rPr>
          <w:rFonts w:eastAsia="IRNazanin" w:cs="IRNazanin"/>
          <w:color w:val="111111"/>
          <w:sz w:val="28"/>
          <w:szCs w:val="28"/>
          <w:rtl w:val="true"/>
          <w:lang w:bidi="fa-IR"/>
        </w:rPr>
        <w:t>.</w:t>
      </w:r>
      <w:bookmarkStart w:id="294" w:name="pg2516_26509"/>
    </w:p>
    <w:p>
      <w:pPr>
        <w:pStyle w:val="BookText"/>
        <w:rPr/>
      </w:pPr>
      <w:bookmarkEnd w:id="294"/>
      <w:r>
        <w:rPr>
          <w:rFonts w:ascii="IRNazanin" w:hAnsi="IRNazanin" w:eastAsia="IRNazanin"/>
          <w:color w:val="111111"/>
          <w:sz w:val="28"/>
          <w:sz w:val="28"/>
          <w:szCs w:val="28"/>
          <w:rtl w:val="true"/>
          <w:lang w:bidi="fa-IR"/>
        </w:rPr>
        <w:t xml:space="preserve">وهو شیخنا الأعظم بهاء الملة والدین ـ رضی اللّه تعالی عنه ـ وکان إنصافه فوق أن یوصف مع أنّی حین ما تکلّمت بذلک کنت أصغر تلامذته وأحقرهم ومظنونی أنّی لم أکن إذ ذاک بالغاً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کان یرجع عن اعتقاده بقولی وقول أمثالی ، وذلک الزمان کان یحضر أکثر فضلاء العصر فی مجلسه العالی مع أنّ إسکاتی کان فی غایة السهولة لکثرة تبحره فی جمیع العلوم ، وتشاهد فی أبناء هذا الزمان ما تشاهد ، أصلح اللّه أحوالنا وأحوالهم بجاه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أحد وجوه الجمع بین الأخبار ، ولما کان شیخ الطائفة ـ رضی اللّه تعالی عنه ـ أعلم وأعرف وأتقی لا یتکلّم بأمثال هذه إلاّ نادراً منقولاً عن غیره</w:t>
      </w:r>
      <w:r>
        <w:rPr>
          <w:rFonts w:eastAsia="IRNazanin" w:cs="IRNazanin"/>
          <w:color w:val="111111"/>
          <w:sz w:val="28"/>
          <w:szCs w:val="28"/>
          <w:rtl w:val="true"/>
          <w:lang w:bidi="fa-IR"/>
        </w:rPr>
        <w:t xml:space="preserve">» . </w:t>
      </w:r>
      <w:r>
        <w:rPr>
          <w:rStyle w:val="FootnoteAnchor"/>
          <w:rtl w:val="true"/>
        </w:rPr>
        <w:footnoteReference w:id="380"/>
      </w:r>
    </w:p>
    <w:p>
      <w:pPr>
        <w:pStyle w:val="Heading4"/>
        <w:numPr>
          <w:ilvl w:val="3"/>
          <w:numId w:val="1"/>
        </w:numPr>
        <w:rPr/>
      </w:pPr>
      <w:bookmarkStart w:id="295" w:name="__RefHeading___Toc4159560_3804643083"/>
      <w:bookmarkStart w:id="296" w:name="_Toc111"/>
      <w:bookmarkEnd w:id="295"/>
      <w:r>
        <w:rPr>
          <w:rtl w:val="true"/>
        </w:rPr>
        <w:t>ذکر الوجه والید للّه فی الأخبار لا یوجب إنکارها</w:t>
      </w:r>
      <w:bookmarkEnd w:id="296"/>
    </w:p>
    <w:p>
      <w:pPr>
        <w:pStyle w:val="BookText"/>
        <w:rPr/>
      </w:pPr>
      <w:r>
        <w:rPr>
          <w:rFonts w:ascii="IRNazanin" w:hAnsi="IRNazanin" w:eastAsia="IRNazanin"/>
          <w:color w:val="111111"/>
          <w:sz w:val="28"/>
          <w:sz w:val="28"/>
          <w:szCs w:val="28"/>
          <w:rtl w:val="true"/>
          <w:lang w:bidi="fa-IR"/>
        </w:rPr>
        <w:t xml:space="preserve">یقول الشارح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یجب أن تنکر من الأخبار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لمراده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أمثال ألفاظ القرآن کالوجه والید والاستواء والمجیء ، لو وقع فی الأخبار لا یجب أن تنکر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لیست من المعصوم ؛ لأنّ کلام اللّه والنَّبی والأئمّة جاء علی لغة العرب ، والتَجَوّز فی کلامهم شائع بحیث لو خلا کلام عن المجاز لا یستحسنونه ، بل یردونه کما ذکره الزمخشری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موضع وقع أمثال هذه الألفاظ یُراعی قرینة المقام وتحمل علی ما یوافقها</w:t>
      </w:r>
      <w:r>
        <w:rPr>
          <w:rFonts w:eastAsia="IRNazanin" w:cs="IRNazanin"/>
          <w:color w:val="111111"/>
          <w:sz w:val="28"/>
          <w:szCs w:val="28"/>
          <w:rtl w:val="true"/>
          <w:lang w:bidi="fa-IR"/>
        </w:rPr>
        <w:t xml:space="preserve">» . </w:t>
      </w:r>
      <w:r>
        <w:rPr>
          <w:rStyle w:val="FootnoteAnchor"/>
          <w:rtl w:val="true"/>
        </w:rPr>
        <w:footnoteReference w:id="381"/>
      </w:r>
    </w:p>
    <w:p>
      <w:pPr>
        <w:pStyle w:val="Heading4"/>
        <w:numPr>
          <w:ilvl w:val="3"/>
          <w:numId w:val="1"/>
        </w:numPr>
        <w:rPr/>
      </w:pPr>
      <w:bookmarkStart w:id="297" w:name="__RefHeading___Toc4159562_3804643083"/>
      <w:bookmarkStart w:id="298" w:name="_Toc112"/>
      <w:bookmarkEnd w:id="297"/>
      <w:r>
        <w:rPr>
          <w:rtl w:val="true"/>
        </w:rPr>
        <w:t>مجرد عمل المفوّضة أو العامّة ببعض الأخبار لا یدلّ علی وضعها</w:t>
      </w:r>
      <w:bookmarkEnd w:id="2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لنا قبل أن نذکر عبارة الشارح فی ذلک المعنی من نقل عبارة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الصَدوق فی باب الأذان والإقامة ، من کتاب الصلاة ، بعد أن نقل روایة أبی بکر الحضرمی وکلیب الأسدی عن أبی عبداللّه علیه السلام فی کیفیة الأذان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مصنّف</w:t>
      </w:r>
      <w:bookmarkStart w:id="299" w:name="pg2516_26510"/>
    </w:p>
    <w:p>
      <w:pPr>
        <w:pStyle w:val="BookText"/>
        <w:rPr/>
      </w:pPr>
      <w:bookmarkEnd w:id="299"/>
      <w:r>
        <w:rPr>
          <w:rFonts w:ascii="IRNazanin" w:hAnsi="IRNazanin" w:eastAsia="IRNazanin"/>
          <w:color w:val="111111"/>
          <w:sz w:val="28"/>
          <w:sz w:val="28"/>
          <w:szCs w:val="28"/>
          <w:rtl w:val="true"/>
          <w:lang w:bidi="fa-IR"/>
        </w:rPr>
        <w:t xml:space="preserve">هذا الکتاب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الأذان الصحیح لا یُزاد فیه ولا یُنقص منه ، والمفوضة ـ لعنهم اللّه ـ قد وضعوا أخباراً وزادوا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وفی بعض روایاتهم بعد أشهد أنّ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ومنهم من روی بدل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فی أنّ علیّاً ولی اللّه وأنّه أمیر المؤمنین حقّاً ، وأنّ محمّداً وآله ـ صلوات اللّه علیهم ـ خیر البریة ، ولکن لیس ذلک فی أصل الأذان ، وإنّما ذکرت ذلک لیعرف بهذه الزیادة المتَّهمون بالتفویض ، المدلسون أنفسهم فی جملتنا</w:t>
      </w:r>
      <w:r>
        <w:rPr>
          <w:rFonts w:eastAsia="IRNazanin" w:cs="IRNazanin"/>
          <w:color w:val="111111"/>
          <w:sz w:val="28"/>
          <w:szCs w:val="28"/>
          <w:rtl w:val="true"/>
          <w:lang w:bidi="fa-IR"/>
        </w:rPr>
        <w:t xml:space="preserve">»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وقال الشارح ردّاً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الجزم بأنّ هذه الأخبار من موضوعاتهم مشکل مع أنّ الأخبار الّتی ذکرنا فی الزیادة والنقصان وما لم نذکره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الأخبار بزیادة هذه الکلمات أیضاً کانت فی الاُصول وکانت صحیحة أیضاً ، کما یظهر من المحقّق والعلاّمة والشهید رحمهم الله فإنّهم نسبوها إلی الشذوذ ، والشاذ ما یکون صحیحاً غیر مشهور ، مع أنّ الّذی حکم بصحّته أیضاً شاذ کما عَرَفتَ ، فبمجرد عمل المفوضة أو العامّة علی شیء لا یمکن الجزم بعدم ذلک أو الوضع إلاّ أن یَرِد عنهم ـ صلوات اللّه علیهم ـ ما یدلّ علیه ولم یَرِد </w:t>
      </w:r>
      <w:r>
        <w:rPr>
          <w:rFonts w:eastAsia="IRNazanin" w:cs="IRNazanin"/>
          <w:color w:val="111111"/>
          <w:sz w:val="28"/>
          <w:szCs w:val="28"/>
          <w:rtl w:val="true"/>
          <w:lang w:bidi="fa-IR"/>
        </w:rPr>
        <w:t xml:space="preserve">. . . » . </w:t>
      </w:r>
      <w:r>
        <w:rPr>
          <w:rStyle w:val="FootnoteAnchor"/>
          <w:rtl w:val="true"/>
        </w:rPr>
        <w:footnoteReference w:id="383"/>
      </w:r>
    </w:p>
    <w:p>
      <w:pPr>
        <w:pStyle w:val="Heading4"/>
        <w:numPr>
          <w:ilvl w:val="3"/>
          <w:numId w:val="1"/>
        </w:numPr>
        <w:rPr/>
      </w:pPr>
      <w:bookmarkStart w:id="300" w:name="__RefHeading___Toc4159564_3804643083"/>
      <w:bookmarkStart w:id="301" w:name="_Toc113"/>
      <w:bookmarkEnd w:id="300"/>
      <w:r>
        <w:rPr>
          <w:rtl w:val="true"/>
        </w:rPr>
        <w:t>الاضطراب فی الأخبار المرویة عن بعض الأئمّة علیهم السلام لایدلّ علی وضعها</w:t>
      </w:r>
      <w:bookmarkEnd w:id="30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بعد التتبع والتأمّل التامّ أنّ أکثر الأخبار الواردة عن الجواد والهادی والعسکری علیهم السلام لا یخلو من اضطراب تَقِیّة أو اتقاء علی أصحابهم علیهم السلام ؛ لأنّ أکثرها مکاتبة ویمکن أن تقع بأیدی المخالفین ویصل بها ضرر علی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أئمتنا علیهم السلام أفصح فصحاء العرب عند المؤالف والمخالف ، فلو اطلعوا </w:t>
      </w:r>
      <w:r>
        <w:rPr>
          <w:rStyle w:val="FootnoteAnchor"/>
          <w:rtl w:val="true"/>
        </w:rPr>
        <w:footnoteReference w:id="384"/>
      </w:r>
      <w:r>
        <w:rPr>
          <w:rFonts w:ascii="IRNazanin" w:hAnsi="IRNazanin" w:eastAsia="IRNazanin"/>
          <w:color w:val="111111"/>
          <w:sz w:val="28"/>
          <w:sz w:val="28"/>
          <w:szCs w:val="28"/>
          <w:rtl w:val="true"/>
          <w:lang w:bidi="fa-IR"/>
        </w:rPr>
        <w:t>علی أمثال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أخبارهم کانوا یجزمون بأنّها لیست منهم علیهم السلام ، ولهذا لا یُسَمَّوْن غالباً ویعبرون عنهم بالرجل والفقیه وأمثالهما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النهج صدر تفسیر العسکری علیه السلام عنهم علیهم السلام ، ولما لم یتنبهوا لما قلناه ردّ أخبارهم من لم یکن له تدبّر ، ولهذا تری شیخ الطائفة أنّه لم یرد أمثالها من الأخبار ؛ لأنّه کان عالماً بذلک ، فتنبه لذلک الفائدة فإنّها تنفعک کثیراً</w:t>
      </w:r>
      <w:r>
        <w:rPr>
          <w:rFonts w:eastAsia="IRNazanin" w:cs="IRNazanin"/>
          <w:color w:val="111111"/>
          <w:sz w:val="28"/>
          <w:szCs w:val="28"/>
          <w:rtl w:val="true"/>
          <w:lang w:bidi="fa-IR"/>
        </w:rPr>
        <w:t xml:space="preserve">» . </w:t>
      </w:r>
      <w:r>
        <w:rPr>
          <w:rStyle w:val="FootnoteAnchor"/>
          <w:rtl w:val="true"/>
        </w:rPr>
        <w:footnoteReference w:id="385"/>
      </w:r>
      <w:bookmarkStart w:id="302" w:name="pg2516_26514"/>
    </w:p>
    <w:p>
      <w:pPr>
        <w:pStyle w:val="Heading3"/>
        <w:numPr>
          <w:ilvl w:val="2"/>
          <w:numId w:val="1"/>
        </w:numPr>
        <w:rPr/>
      </w:pPr>
      <w:bookmarkStart w:id="303" w:name="__RefHeading___Toc4159566_3804643083"/>
      <w:bookmarkStart w:id="304" w:name="_Toc114"/>
      <w:bookmarkEnd w:id="302"/>
      <w:bookmarkEnd w:id="303"/>
      <w:r>
        <w:rPr>
          <w:rtl w:val="true"/>
        </w:rPr>
        <w:t xml:space="preserve">الفصل الثالث </w:t>
      </w:r>
      <w:r>
        <w:rPr>
          <w:rtl w:val="true"/>
        </w:rPr>
        <w:t xml:space="preserve">: </w:t>
      </w:r>
      <w:r>
        <w:rPr>
          <w:rtl w:val="true"/>
        </w:rPr>
        <w:t>تنویع الخبر</w:t>
      </w:r>
      <w:bookmarkEnd w:id="304"/>
    </w:p>
    <w:p>
      <w:pPr>
        <w:pStyle w:val="Heading4"/>
        <w:numPr>
          <w:ilvl w:val="3"/>
          <w:numId w:val="1"/>
        </w:numPr>
        <w:rPr/>
      </w:pPr>
      <w:bookmarkStart w:id="305" w:name="__RefHeading___Toc4159568_3804643083"/>
      <w:bookmarkStart w:id="306" w:name="_Toc115"/>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یُقسم الخبر بنفسه ـ أی لا بلحاظ أو إضافة ـ إلی متواتر وآحاد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والآحاد عند القُدَماء ـ کما تقدّم ـ یُقسم إلی الصحیح والضعیف ، وعند المتأخّرین باعتبار اختلاف أحوال رواته إلی الصحیح ، والحَسن والمُوَثَّق ، والضعیف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کالشارح أضاف القوی ، ثمّ إنّ الشارح بیّن أنّ تقسیم المتأخّرین مع حکم الصَدوقین بصحَّة أحادیث کتبهما لم یکن خالیاً من الفائدة ، ویظهر ثمرته عند تعارض الأخبار ، حیث نحتاج إلی تمییز الأصح عن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وتفرّد عن أهل الدرایة بذکر مصطلحات اُخَر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کالصحیح ، المُوَثَّق کالصحیح ، والقوی کالصحیح ، والظاهر أنّ تفرده بذلک أیضاً وقع من جهة تمییز الأصح عن الصحیح عند تعارض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وکیفما یکون الأمر نذکر فی هذا الفصل نصوص الشارح 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تقسیم الخبر إلی متواتر وآحاد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تنویع المتأخّرین الآحاد إلی الأقسام الأربعة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ما أضافه هو نفسه إلی موضوع تنویع الأخبار </w:t>
      </w:r>
      <w:r>
        <w:rPr>
          <w:rFonts w:eastAsia="IRNazanin" w:cs="IRNazanin"/>
          <w:color w:val="111111"/>
          <w:sz w:val="28"/>
          <w:szCs w:val="28"/>
          <w:rtl w:val="true"/>
          <w:lang w:bidi="fa-IR"/>
        </w:rPr>
        <w:t>.</w:t>
      </w:r>
      <w:bookmarkStart w:id="307" w:name="pg2516_26516"/>
    </w:p>
    <w:p>
      <w:pPr>
        <w:pStyle w:val="Heading4"/>
        <w:numPr>
          <w:ilvl w:val="3"/>
          <w:numId w:val="1"/>
        </w:numPr>
        <w:rPr/>
      </w:pPr>
      <w:bookmarkStart w:id="308" w:name="__RefHeading___Toc4159570_3804643083"/>
      <w:bookmarkStart w:id="309" w:name="_Toc116"/>
      <w:bookmarkEnd w:id="307"/>
      <w:bookmarkEnd w:id="308"/>
      <w:r>
        <w:rPr>
          <w:rtl w:val="true"/>
        </w:rPr>
        <w:t>تقسیم الخبر إلی متواتر وآحاد ومحفوف بالقرینة</w:t>
      </w:r>
      <w:bookmarkEnd w:id="309"/>
    </w:p>
    <w:p>
      <w:pPr>
        <w:pStyle w:val="BookText"/>
        <w:rPr/>
      </w:pP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المتواتر وهو الخبر الّذی رواه ثلاثة أشخاص علی الأقل ، ویحصل العلم من روایتهم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أحیاناً لا یتحقّق العلم من روایة ألف شخص مثل شهادة القرویین بشأن أسیادهم فیما یخصّ الماء والأرض ، وقد یتحقّق العلم أحیاناً من شهادة رجل متدیّن یخبر أنّه رأی الشخص الفلانی ، والمدار هنا علی العلم لا علی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الخبر مُتّبع بالإجماع ، ولا خلاف فی وجوب العمل به ، إلاّ إذا تواتر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بخلافه أیضاً فأحدها یکون تقیة ، وفی هذه الحالة یُجمع بینهما بأحد صور الجمع الّتی سلف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فی القرآن أیضاً شیئان متعارضان ویکون أحدهما ناسخ ، والآخر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الأمثلة الّتی سیأتی ذکرها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المحفوف بقرینة من خارج الخبر تفید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یبیح شخص لشخص آخر بسرٍ ، من غیر أن یطّلع علیه أحد آخر ، ثُمَّ یأتی من قِبَله رجل ثقة ویأتیه بکتاب مختوم ، وما إن یفتح الکتاب حتّی یجد فیه کلّ ما أباح به إلیه ، إضافة إلی معرفته بخط وختم ذلک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الکثیر من الاُمور الّتی یحصل فیها العلم بوجود قرائن شبیهة بما جاء فی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وهی أنّه متی ما جاء شخص من قبل ملک لیحکم ولایة وبیده کتاب مع خلعة من الملک ، حینذاک لا یشکّ أحدٌ فی أنّ هذا الشخص قادم من قِبَل الملک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القبیل أیضاً ما مَرَّ فی الأحادیث السابقة وهی أنّکم متی ما علمتم بأنَّ الکتاب من الشَّیخ ، یتسنّی لکم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أیضاً الکتب الّتی تظهر فی هذه الأیّام من کتب قدماء الشیعة مثل کُتُب ابن بابویه القُمّی ، إذا کان أحد علی معرفة بکلامه وکتبه ، سیّما متی ما جاؤوا بکتاب مندرس من قم وکان تاریخ کتابته فی عهده أو قریباً من عهده مثل کتاب الأمالی لفلان ، بخطوط جماعة من العُلَماء ، ومثل</w:t>
      </w:r>
    </w:p>
    <w:p>
      <w:pPr>
        <w:pStyle w:val="BookText"/>
        <w:rPr/>
      </w:pPr>
      <w:r>
        <w:rPr>
          <w:rFonts w:ascii="IRNazanin" w:hAnsi="IRNazanin" w:eastAsia="IRNazanin"/>
          <w:color w:val="111111"/>
          <w:sz w:val="28"/>
          <w:sz w:val="28"/>
          <w:szCs w:val="28"/>
          <w:rtl w:val="true"/>
          <w:lang w:bidi="fa-IR"/>
        </w:rPr>
        <w:t xml:space="preserve">کتاب معانی الأخبار للصدوق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العموم فی الکثیر من الحالات هناک قرائن تفید العلم ، والظاهر أنّ مثل هذا الخبر یجب العمل به ، کما یقول أکثر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 وهو الخبر الّذی لا یحصل العلم به سواء کان راویه شخصاً واحداً أو ألف شخص ، وإذا نقل ثلاثة أشخاص أو أکثر خبراً وحصل منه ظن متاخم للعلم وقریب منه ، یُسمّی هذا الخبر مستفیضاً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أفراد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لا یقرّون حجّیة خبر الواحد ، لکنّ البعض منهم یعتبرون هذا النوع حجّة وغیره لیس بحجّة ، وهناک جماعة لا یقرّون حجیّة کلا القسمین ، ویستدلّون علی ذلک بالآیات والأخبار الّتی نهت عن اتباع الظن وکلّ ما لا یفید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هو أنّه یمکن العمل بخبر الواحد ؛ لأنّه کان مدار أصحاب الأئمّة المعصومین ـ صلوات اللّه علیهم ـ طیلة زمن مدید یربو علی مئتی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 واحد من أصحاب أئمة الهدی ـ صلوات اللّه علیهم ـ متی ما وصله خبر منهم کان یعمل به ، من غیر أن ینظر إلی التواتر أو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أئمة الهدی یأمرون شیعتهم بأخذ أحادیثهم عنهم والعمل بها من غیر فرق بین المتواتر والمحفوف بالقرائن والمستفیض وخبر الواحد ، إلاّ عند الضرورة حینما یکون هناک معارض للخبر ، وأمروا الکثیر من أصحابهم بالرجوع إلی الأصحاب ، والحال أنّ نهایة صفتهم الوثاقة والفضل والعلم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کتبتُ رسالة فی هذا الباب تضم الأخبار المتواترة الدالة علی حجّیة أخبار الآحاد ، وظواهر الآیات أیضاً تدلّ علی ذلک مثل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 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جَآءَکُمْ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جاءکم فاسق بخبر تأملوا فیه ولا تعملوا به حتّی یظهر لکم صدقة ، ومفهوم هذه الآیة هو إذا جاءکم غیر الفاسق أو العادل بخبر لا تتأمّلوا فیه واعملوا به</w:t>
      </w:r>
      <w:r>
        <w:rPr>
          <w:rFonts w:eastAsia="Amiri" w:cs="Amiri" w:ascii="Amiri" w:hAnsi="Amiri"/>
          <w:color w:val="111111"/>
          <w:sz w:val="28"/>
          <w:szCs w:val="28"/>
          <w:rtl w:val="true"/>
          <w:lang w:bidi="ar-SA"/>
        </w:rPr>
        <w:t xml:space="preserve">» . </w:t>
      </w:r>
      <w:r>
        <w:rPr>
          <w:rStyle w:val="FootnoteAnchor"/>
          <w:rtl w:val="true"/>
        </w:rPr>
        <w:footnoteReference w:id="386"/>
      </w:r>
      <w:bookmarkStart w:id="310" w:name="pg2516_26521"/>
    </w:p>
    <w:p>
      <w:pPr>
        <w:pStyle w:val="Heading4"/>
        <w:numPr>
          <w:ilvl w:val="3"/>
          <w:numId w:val="1"/>
        </w:numPr>
        <w:rPr/>
      </w:pPr>
      <w:bookmarkStart w:id="311" w:name="__RefHeading___Toc4159572_3804643083"/>
      <w:bookmarkStart w:id="312" w:name="_Toc117"/>
      <w:bookmarkEnd w:id="310"/>
      <w:bookmarkEnd w:id="311"/>
      <w:r>
        <w:rPr>
          <w:rtl w:val="true"/>
        </w:rPr>
        <w:t>تنبیه</w:t>
      </w:r>
      <w:bookmarkEnd w:id="312"/>
    </w:p>
    <w:p>
      <w:pPr>
        <w:pStyle w:val="BookText"/>
        <w:rPr/>
      </w:pPr>
      <w:r>
        <w:rPr>
          <w:rFonts w:ascii="IRNazanin" w:hAnsi="IRNazanin" w:eastAsia="IRNazanin"/>
          <w:color w:val="111111"/>
          <w:sz w:val="28"/>
          <w:sz w:val="28"/>
          <w:szCs w:val="28"/>
          <w:rtl w:val="true"/>
          <w:lang w:bidi="fa-IR"/>
        </w:rPr>
        <w:t xml:space="preserve">قد عَرَفتَ أنّ ظاهر عبارة الشارح کون الخبر المحفوف بالقرائن القطعیة قسماً آخر مقابل خبر الواحد ، والحال أنّه لیس کذلک بل هو کالمستفیض ، قسم من أقسام خبر الواحد ، فالصحیح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لم یبلغ حدّ التواتر تارة یکون مجرداً عن القرائن القطعیة فلا یفید العلم ، واُخری یکون محفوفاً بها ، والمجرد عن القرائن إذا تجاوز عدد رواته الثلاثة یسمّی مستفیضاً </w:t>
      </w:r>
      <w:r>
        <w:rPr>
          <w:rFonts w:eastAsia="IRNazanin" w:cs="IRNazanin"/>
          <w:color w:val="111111"/>
          <w:sz w:val="28"/>
          <w:szCs w:val="28"/>
          <w:rtl w:val="true"/>
          <w:lang w:bidi="fa-IR"/>
        </w:rPr>
        <w:t>.</w:t>
      </w:r>
    </w:p>
    <w:p>
      <w:pPr>
        <w:pStyle w:val="Heading4"/>
        <w:numPr>
          <w:ilvl w:val="3"/>
          <w:numId w:val="1"/>
        </w:numPr>
        <w:rPr/>
      </w:pPr>
      <w:bookmarkStart w:id="313" w:name="__RefHeading___Toc4159574_3804643083"/>
      <w:bookmarkStart w:id="314" w:name="_Toc118"/>
      <w:bookmarkEnd w:id="313"/>
      <w:r>
        <w:rPr>
          <w:rtl w:val="true"/>
        </w:rPr>
        <w:t>تقسیم خبر الواحد إلی اُصوله</w:t>
      </w:r>
      <w:bookmarkEnd w:id="314"/>
    </w:p>
    <w:p>
      <w:pPr>
        <w:pStyle w:val="BookText"/>
        <w:rPr/>
      </w:pPr>
      <w:r>
        <w:rPr>
          <w:rFonts w:ascii="IRNazanin" w:hAnsi="IRNazanin" w:eastAsia="IRNazanin"/>
          <w:color w:val="111111"/>
          <w:sz w:val="28"/>
          <w:sz w:val="28"/>
          <w:szCs w:val="28"/>
          <w:rtl w:val="true"/>
          <w:lang w:bidi="fa-IR"/>
        </w:rPr>
        <w:t xml:space="preserve">اصطلح المتأخّرون من أصحابنا ـ کما تقدّم ـ علی تقسیم خبر الواحد علی أساس اختلاف أحوال رواته فی الاتّصاف بالإیمان والعدالة والضبط أو عدمها إلی أنواع أربعة ، وهی اُصول الأقسام وإلیها یرجع الباقی من الأقسام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الشارح فی تعریف هذه الأقسام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وفقاً لاصطلاح المتأخّرین منذ زمن العلاّمة وما فوقه بقلیل یکون الحدیث علی خمسة أوجه ، وهذه القسمة لا تخلو من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تقسیمات اُخری فی کتب العامّة ، وتبعهم علی ذلک بعض الخاصّة ، وقد أحجمنا عن ذکرها لعدم وجود فائدة تترتّب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 وهو الخبر الّذی کلّ رواته إلی الإمام المعصوم إمامیة المذهب وعدول ممّن لا یرتکبون الکبیرة ولا یصرّون علی الصغیرة ، علی أن یکونوا من أهل المروءة ممّن لا یصدر عنهم ما یدلّ علی خفّة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یجب أن یکونوا ثقات ومعتمدین بألاّ یکونوا کثیری السهو والنسیان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خبر ابن حنظلة الّذی مرّ یدلّ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عند المتأخّرین حجّة ما لم یکون له معارض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وهو الخبر الّذی مُدِح کلّ رجال سنده من غیر توثیق ، أو مُدح بعضهم وَوُثَّقَ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أن یکون فی سند الحدیث ممدوح من غیر توثیق</w:t>
      </w:r>
    </w:p>
    <w:p>
      <w:pPr>
        <w:pStyle w:val="BookText"/>
        <w:rPr/>
      </w:pPr>
      <w:r>
        <w:rPr>
          <w:rFonts w:ascii="IRNazanin" w:hAnsi="IRNazanin" w:eastAsia="IRNazanin"/>
          <w:color w:val="111111"/>
          <w:sz w:val="28"/>
          <w:sz w:val="28"/>
          <w:szCs w:val="28"/>
          <w:rtl w:val="true"/>
          <w:lang w:bidi="fa-IR"/>
        </w:rPr>
        <w:t xml:space="preserve">فالحدیث یُسمّی حسناً ، وإن کان الباقون منهم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 ویُسمّی أحیاناً بالقوی أیضاً ، وهو الخبر الّذی وثّقوا کلّ رجال سنده ، وکانوا کلّهم أو أحدهم سیّئ المذهب کأن یکونوا عامیة أو زیدیة أو فطحیة أو واقفیّة أو کیسانیة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یوجد فی سند رجاله ممدوح واحد أو أکثر ومُوَثَّق واحد سیّئ المذهب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من الأخبار لا اسم له ، وهناک خلاف بین الأصحاب فی أنّه هل الحَسن أفضل أم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یعتبرون الحَسن أفضل یُسمون مثل هذا الخبر مُوَثَّقاً ، ومن یعتبرون المُوَثَّق أفضل یُسمّونه حسناً ؛ لأن الحدیث تابع لأخس الرجال ، مثلما فی المنطق تکون النتیجة تابعة لأخس المقدّمتین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 وهو الخبر الّذی لا یندرج ضمن أی من الأقسام الأربعة ، بأن یکون أحد رواة هذا الخبر قُدح بالفسق ، أو کان مجهول الحال ، أو کان الحدیث مرسلاً بأن أسقطوا من بین رواته شخصاً أو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 أو عَمّن حدّثه ، أو عمّن رواه ، أو کان الحدیث مرفوعاً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عن الصادق ـ صلوات اللّه علیه ـ أی أوصله إلی الإمام الصادق علیه السلام وذکر رجال السند ، ولا أتذکّر من هُم ، أو أن یقول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السلام ، ونعلم یقیناً أنّ الراوی لم یر الرسول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أنا فأُفَرّق بین هذه الأخبار بأنّ کلّ حدیث فی رواته فاسق أعتبره ضعیفاً ، وإلاّ فأُسَمّیه مجهولاً ، ولا مبالاة أن تکون المرتبة الاُولی أدنی ، ومن الممکن أن یکون مجهول الحال ثقة ، خاصّة عندما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أصحابنا ، سیّما عندما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أصحابنا </w:t>
      </w:r>
      <w:r>
        <w:rPr>
          <w:rFonts w:eastAsia="IRNazanin" w:cs="IRNazanin"/>
          <w:color w:val="111111"/>
          <w:sz w:val="28"/>
          <w:szCs w:val="28"/>
          <w:rtl w:val="true"/>
          <w:lang w:bidi="fa-IR"/>
        </w:rPr>
        <w:t xml:space="preserve">.. .» . </w:t>
      </w:r>
      <w:r>
        <w:rPr>
          <w:rStyle w:val="FootnoteAnchor"/>
          <w:rtl w:val="true"/>
        </w:rPr>
        <w:footnoteReference w:id="387"/>
      </w:r>
      <w:bookmarkStart w:id="315" w:name="pg2516_26525"/>
    </w:p>
    <w:p>
      <w:pPr>
        <w:pStyle w:val="Heading4"/>
        <w:numPr>
          <w:ilvl w:val="3"/>
          <w:numId w:val="1"/>
        </w:numPr>
        <w:rPr/>
      </w:pPr>
      <w:bookmarkStart w:id="316" w:name="__RefHeading___Toc4159576_3804643083"/>
      <w:bookmarkStart w:id="317" w:name="_Toc119"/>
      <w:bookmarkEnd w:id="315"/>
      <w:bookmarkEnd w:id="316"/>
      <w:r>
        <w:rPr>
          <w:rtl w:val="true"/>
        </w:rPr>
        <w:t>الخبر القوی</w:t>
      </w:r>
      <w:bookmarkEnd w:id="317"/>
    </w:p>
    <w:p>
      <w:pPr>
        <w:pStyle w:val="BookText"/>
        <w:rPr/>
      </w:pPr>
      <w:r>
        <w:rPr>
          <w:rFonts w:ascii="IRNazanin" w:hAnsi="IRNazanin" w:eastAsia="IRNazanin"/>
          <w:color w:val="111111"/>
          <w:sz w:val="28"/>
          <w:sz w:val="28"/>
          <w:szCs w:val="28"/>
          <w:rtl w:val="true"/>
          <w:lang w:bidi="fa-IR"/>
        </w:rPr>
        <w:t xml:space="preserve">قد عَرَفتَ آنفاً أنّ الشارح فرّق بین ما رواه الراوی الّذی صرّح عُلَماء الرجال بضعفه ، وبین ما رواه الراوی الّذی لم یُنَصّ علیه بمدح ولا ذمّ ، فسمّی هذا الحدیث بالمجهول واعتَقَدَ أنّه أقوی ممّا رواه الضعیف ؛ لأنّه یمکن أن یکون ثقة ، فالظنّ الحاصل بصدور روایته عن المعصوم أقوی بالنسبة إلی ما رواه الراوی الضعیف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ذلک ـ بفاصل قریب ـ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وسمّیتُ مجهول الحال قویاً ، کما فعل الشهید الأوّل علیه الرحمة</w:t>
      </w:r>
      <w:r>
        <w:rPr>
          <w:rFonts w:eastAsia="IRNazanin" w:cs="IRNazanin"/>
          <w:color w:val="111111"/>
          <w:sz w:val="28"/>
          <w:szCs w:val="28"/>
          <w:rtl w:val="true"/>
          <w:lang w:bidi="fa-IR"/>
        </w:rPr>
        <w:t xml:space="preserve">» .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هذا ما قاله الشارح فی اللوامع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الروضة فقال فی آخر شرح خطبة الفقیه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ونحن مَیَّزنا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الحال من الضعیف ، وإن کان المعروف بین الأکثر عدم الفرق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وبعضهم یسمّی المجهول بالقوی ویعمل به بناء علی أنّ الأصل العدالة ، أو علی أنّ العلم بالفسق مانع من القبول ؛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جَآءَکُمْ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علی أنّ الفسق مانع بناء علی أنّ الألفاظ وضعت للمعانی الواقعیة وإن کان التکلیف بحسب ظنّ الراوی فلا یحصل ظنّ عدم المانع إلاّ بظنّ العدالة ، وإن کان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والإسلام یکفی فی ظنّ عدم الفسق</w:t>
      </w:r>
      <w:r>
        <w:rPr>
          <w:rFonts w:eastAsia="IRNazanin" w:cs="IRNazanin"/>
          <w:color w:val="111111"/>
          <w:sz w:val="28"/>
          <w:szCs w:val="28"/>
          <w:rtl w:val="true"/>
          <w:lang w:bidi="fa-IR"/>
        </w:rPr>
        <w:t xml:space="preserve">» . </w:t>
      </w:r>
      <w:r>
        <w:rPr>
          <w:rStyle w:val="FootnoteAnchor"/>
          <w:rtl w:val="true"/>
        </w:rPr>
        <w:footnoteReference w:id="39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فتری فی هذه العبارة تفصیل ما تقدّم من اللوامع فی وجه قوة مروی الراوی المجهول بالنسبة إلی مروی الضعیف ، وقد أکّد ذلک فی شرح رجال الفقیه ونفی البُعد عن الحکم بصحَّة مروی المجهول إذا کان من مشایخ الإجازة ، فقال فی ترجمة علی بن الحسین السَعْدآبادی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بعض الأصحاب حدیثه حسناً ولابأس به ؛ لأنّه</w:t>
      </w:r>
    </w:p>
    <w:p>
      <w:pPr>
        <w:pStyle w:val="BookText"/>
        <w:rPr/>
      </w:pPr>
      <w:r>
        <w:rPr>
          <w:rFonts w:ascii="IRNazanin" w:hAnsi="IRNazanin" w:eastAsia="IRNazanin"/>
          <w:color w:val="111111"/>
          <w:sz w:val="28"/>
          <w:sz w:val="28"/>
          <w:szCs w:val="28"/>
          <w:rtl w:val="true"/>
          <w:lang w:bidi="fa-IR"/>
        </w:rPr>
        <w:t xml:space="preserve">من مشایخ الإجازة البحت ، بل لا یستبعد جعله صحیحاً سیّما علی قانون الشَّیخ من أنّ الأصل العدالة ، أو لأنّ النهی وقع عن العمل بخبر الفاسق ، والمجهول لیس منه ، بل لا یجوز تفسیقه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المتأخّرین اصطلحوا علی أنّ مرادنا بالفاسق غیر معلوم العدالة وهذا الاصطلاح باطل ، بل حرام علی الظاهر ، وهم أخطؤوا فیه تجاوز اللّه عنّا وعنهم ، مع أنّهم أفتوا بأنّه لو قال أحد لمستور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یُفَسّق ویُعَزَّر ، بل یجب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معلوم العدالة أو لا نعرف حاله</w:t>
      </w:r>
      <w:r>
        <w:rPr>
          <w:rFonts w:eastAsia="IRNazanin" w:cs="IRNazanin"/>
          <w:color w:val="111111"/>
          <w:sz w:val="28"/>
          <w:szCs w:val="28"/>
          <w:rtl w:val="true"/>
          <w:lang w:bidi="fa-IR"/>
        </w:rPr>
        <w:t xml:space="preserve">» .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ثمّ إنّک قد عَرَفتَ أیضاً ممّا نقلناه عن اللوامع أنّ الشارح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اتّصف بعض رجال سنده بوصف رجال الحدیث المُوَثَّق ، والبعض الآخر بوصف رجال الخبر الحَسن لم یسمّ باسم خاصٍ وأنّه لابُدّ من لحوقه بالمُوَثَّق أو الحَسن ، وقد قال نحو ذلک فی الروضة أیضاً ، إلاّ أنّه أضاف إلی ذلک تفصیلاً آخر ، حیث قال ـ فی شرح خبر نقله الصَدوق عن أبی بصیر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الصَدوق إلی أبی بصیر مذکور فی الفهرست ، مشتمل علی ممدوح ومُوَثَّق ، وهذا النوع من الخبر لم یسمّ باسم علی اصطلاح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منوط علی اعتقاد الفقیه فی الحَسن والمُوَثَّق ، فإن کان عنده الحَسِن أحسن فالحدیث مُوَثَّق ، وبالعکس حَسن ؛ لأنّه تابع لأخسّ الرجال کالنتیجة أو تابع لأحوالهم فإنّها مختلفة غایة الاختلاف ، فإنّ الحَسِن باعتبار حمران أو الکاهلی أو إبراهیم بن هاشم مقدّم علی مُوَثَّق علی بن أبی حمزة أو ابنه الحسن أو السکونی وأضرابهم ، والمُوَثَّق بأبان بن عثمان والحسن بن علی بن فضّال وعبداللّه بن بکیر مقدّم علی الحَسن بسلام ومثنی بن عبد السلام ومثنی بن الولید</w:t>
      </w:r>
      <w:r>
        <w:rPr>
          <w:rFonts w:eastAsia="IRNazanin" w:cs="IRNazanin"/>
          <w:color w:val="111111"/>
          <w:sz w:val="28"/>
          <w:szCs w:val="28"/>
          <w:rtl w:val="true"/>
          <w:lang w:bidi="fa-IR"/>
        </w:rPr>
        <w:t xml:space="preserve">» . </w:t>
      </w:r>
      <w:r>
        <w:rPr>
          <w:rStyle w:val="FootnoteAnchor"/>
          <w:rtl w:val="true"/>
        </w:rPr>
        <w:footnoteReference w:id="39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قول الشارح فی عدم تسمیة هذا النوع ، لکن نری بعد عصر الشارح أنّ بعض أهل الدرایة ـ بعد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القوی بمعناه الأعمّ هو ما یدخل فیه جمیع ما</w:t>
      </w:r>
      <w:bookmarkStart w:id="318" w:name="pg2516_26530"/>
    </w:p>
    <w:p>
      <w:pPr>
        <w:pStyle w:val="BookText"/>
        <w:rPr/>
      </w:pPr>
      <w:bookmarkEnd w:id="318"/>
      <w:r>
        <w:rPr>
          <w:rFonts w:ascii="IRNazanin" w:hAnsi="IRNazanin" w:eastAsia="IRNazanin"/>
          <w:color w:val="111111"/>
          <w:sz w:val="28"/>
          <w:sz w:val="28"/>
          <w:szCs w:val="28"/>
          <w:rtl w:val="true"/>
          <w:lang w:bidi="fa-IR"/>
        </w:rPr>
        <w:t xml:space="preserve">خرج عن الأقسام الثلاثة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 والحَسن ، والمُوَثَّق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یدخل فی الضعیف ، وعدّ مروی الإمامی المجهول من أقسامه ـ عدّ هذا النوع أیضاً من أقسام القوی وذکر للقوی أقساماً اُخر </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319" w:name="__RefHeading___Toc4159578_3804643083"/>
      <w:bookmarkStart w:id="320" w:name="_Toc120"/>
      <w:bookmarkEnd w:id="319"/>
      <w:r>
        <w:rPr>
          <w:rtl w:val="true"/>
        </w:rPr>
        <w:t>الثمرة فی تنویع الخبر</w:t>
      </w:r>
      <w:bookmarkEnd w:id="320"/>
    </w:p>
    <w:p>
      <w:pPr>
        <w:pStyle w:val="BookText"/>
        <w:rPr/>
      </w:pPr>
      <w:r>
        <w:rPr>
          <w:rFonts w:ascii="IRNazanin" w:hAnsi="IRNazanin" w:eastAsia="IRNazanin"/>
          <w:color w:val="111111"/>
          <w:sz w:val="28"/>
          <w:sz w:val="28"/>
          <w:szCs w:val="28"/>
          <w:rtl w:val="true"/>
          <w:lang w:bidi="fa-IR"/>
        </w:rPr>
        <w:t xml:space="preserve">قد عَرَفتَ فی الفصل الثالث من الباب الأوّل أنّ الشارح استفاد صحَّة الأخبار الّتی نُقلت فی الکتب الأربعة ؛ لأنّها مأخوذة من الکتب المعتبرة المشهورة مع شهادة الصَدوقین بصحّتها ، فبعد هذا یمکن أن یسأل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قبلنا صحَّة الأخبار المودعة فی الکتب الأربعة فما فائدة تنویع الخبر باصطلاح المتأخّرین؟</w:t>
      </w:r>
    </w:p>
    <w:p>
      <w:pPr>
        <w:pStyle w:val="BookText"/>
        <w:rPr/>
      </w:pPr>
      <w:r>
        <w:rPr>
          <w:rFonts w:ascii="IRNazanin" w:hAnsi="IRNazanin" w:eastAsia="IRNazanin"/>
          <w:color w:val="111111"/>
          <w:sz w:val="28"/>
          <w:sz w:val="28"/>
          <w:szCs w:val="28"/>
          <w:rtl w:val="true"/>
          <w:lang w:bidi="fa-IR"/>
        </w:rPr>
        <w:t xml:space="preserve">وقد أجاب الشارح عن هذا فی أوّل شرح المشیخة عند توجیه عمله علی وفق اصطلاح المتأخّرین ـ بعد استفادته جواز العمل بالأخبار الّتی وردت فی الکتب الأربعة ـ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لما ورد فی مقبولة عمر بن حنظلة الترجیح بالأعدلیة والأوثقیة عند التعارض ، فلابأس بأن نشیر إلیها بأن نبنی علی اصطلاح المتأخّرین وبنینا علیه کلما ذکر فی الکتب الأربعة وغیرها ونقلناها فی هذا الکتاب تأنیساً لمن آنس بطریقتهم وللترجیح فیما یحتاج إلیه</w:t>
      </w:r>
      <w:r>
        <w:rPr>
          <w:rFonts w:eastAsia="IRNazanin" w:cs="IRNazanin"/>
          <w:color w:val="111111"/>
          <w:sz w:val="28"/>
          <w:szCs w:val="28"/>
          <w:rtl w:val="true"/>
          <w:lang w:bidi="fa-IR"/>
        </w:rPr>
        <w:t xml:space="preserve">» . </w:t>
      </w:r>
      <w:r>
        <w:rPr>
          <w:rStyle w:val="FootnoteAnchor"/>
          <w:rtl w:val="true"/>
        </w:rPr>
        <w:footnoteReference w:id="3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أیضاً فی دیباجة اللوامع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راعینا اصطلاح المتأخّرین ؛ لأنّ أکثر الفضلاء أنِسوا هذه الطریقة ولکیلا یکون سبباً لنفورهم ، مع أنّه عند تعارض الأحادیث له فائدة الترجیح بالأصحّیة ، کما مر فی مقبولة عمر بن حنظلة</w:t>
      </w:r>
      <w:r>
        <w:rPr>
          <w:rFonts w:eastAsia="IRNazanin" w:cs="IRNazanin"/>
          <w:color w:val="111111"/>
          <w:sz w:val="28"/>
          <w:szCs w:val="28"/>
          <w:rtl w:val="true"/>
          <w:lang w:bidi="fa-IR"/>
        </w:rPr>
        <w:t xml:space="preserve">» . </w:t>
      </w:r>
      <w:r>
        <w:rPr>
          <w:rStyle w:val="FootnoteAnchor"/>
          <w:rtl w:val="true"/>
        </w:rPr>
        <w:footnoteReference w:id="395"/>
      </w:r>
      <w:bookmarkStart w:id="321" w:name="pg2516_26532"/>
    </w:p>
    <w:p>
      <w:pPr>
        <w:pStyle w:val="BookText"/>
        <w:rPr/>
      </w:pPr>
      <w:bookmarkEnd w:id="321"/>
      <w:r>
        <w:rPr>
          <w:rFonts w:ascii="IRNazanin" w:hAnsi="IRNazanin" w:eastAsia="IRNazanin"/>
          <w:color w:val="111111"/>
          <w:sz w:val="28"/>
          <w:sz w:val="28"/>
          <w:szCs w:val="28"/>
          <w:rtl w:val="true"/>
          <w:lang w:bidi="fa-IR"/>
        </w:rPr>
        <w:t xml:space="preserve">وقال فی آخر شرح رجال الفقیه عند إثبات صحَّة أخبار الکافی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بل لا نحتاج إلی الطریق إلاّ للأصحیّة ، لأنّه حکم أوّلاً بصحَّة أحادیث الکافی کالصَدوق</w:t>
      </w:r>
      <w:r>
        <w:rPr>
          <w:rFonts w:eastAsia="IRNazanin" w:cs="IRNazanin"/>
          <w:color w:val="111111"/>
          <w:sz w:val="28"/>
          <w:szCs w:val="28"/>
          <w:rtl w:val="true"/>
          <w:lang w:bidi="fa-IR"/>
        </w:rPr>
        <w:t xml:space="preserve">» . </w:t>
      </w:r>
      <w:r>
        <w:rPr>
          <w:rStyle w:val="FootnoteAnchor"/>
          <w:rtl w:val="true"/>
        </w:rPr>
        <w:footnoteReference w:id="396"/>
      </w:r>
    </w:p>
    <w:p>
      <w:pPr>
        <w:pStyle w:val="Heading4"/>
        <w:numPr>
          <w:ilvl w:val="3"/>
          <w:numId w:val="1"/>
        </w:numPr>
        <w:rPr/>
      </w:pPr>
      <w:bookmarkStart w:id="322" w:name="__RefHeading___Toc4159580_3804643083"/>
      <w:bookmarkStart w:id="323" w:name="_Toc121"/>
      <w:bookmarkEnd w:id="322"/>
      <w:r>
        <w:rPr>
          <w:rtl w:val="true"/>
        </w:rPr>
        <w:t>مصطلحات تفرّد بذکرها الشارح</w:t>
      </w:r>
      <w:bookmarkEnd w:id="323"/>
    </w:p>
    <w:p>
      <w:pPr>
        <w:pStyle w:val="BookText"/>
        <w:rPr/>
      </w:pPr>
      <w:r>
        <w:rPr>
          <w:rFonts w:ascii="IRNazanin" w:hAnsi="IRNazanin" w:eastAsia="IRNazanin"/>
          <w:color w:val="111111"/>
          <w:sz w:val="28"/>
          <w:sz w:val="28"/>
          <w:szCs w:val="28"/>
          <w:rtl w:val="true"/>
          <w:lang w:bidi="fa-IR"/>
        </w:rPr>
        <w:t xml:space="preserve">تفرّد الشارح عن أهل الدرایة بذکر مصطلحات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کالصحیح ، المُوَثَّق کالصحیح ، والقوی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نعت بها أکثر الأخبار ، وقلّما یوجد فی کلماته وصف الخبر بالحَسن أو المُوَثَّق أو 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 عند وصف الإسناد بواحدٍ من هذه المصطلحات الثلاثة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لم یفسّر لنا معناها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یقول الشارح فی ابتداء شرح المشیخة ـ عند کلامه حول أخذ الصَّدوقین الروایات عن الاُصول وصحة مرویاتهما ـ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بل الظاهر أنّ کلّ سند فیه علی بن إبراهیم ، عن أبیه أو محمّد بن إسماعیل ، عن الفضل بن شاذان أو علی بن محمّد ، عن سهل بن زیاد ، أنّ الجمیع من مشایخ الإجازة والخبر مأخوذ أمّا من کتاب الحسن بن محبوب أو محمّد بن أبی عمیر أو صفوان بن یحیی أو حمّاد بن عیسی ؛ بقرینة أنّ الشَّیخ والصَّدوق ذکرا هذه الأخبار بعینها من هذه الکتب ولیس لنا شکّ فی هذا لکثرة التتبع ، ولکن مسلکنا مسلک المتأخّرین لما لم یتفطنوا أنّهم من مشایخ الإجازة وذکرنا أنّها کالصحیح</w:t>
      </w:r>
      <w:r>
        <w:rPr>
          <w:rFonts w:eastAsia="IRNazanin" w:cs="IRNazanin"/>
          <w:color w:val="111111"/>
          <w:sz w:val="28"/>
          <w:szCs w:val="28"/>
          <w:rtl w:val="true"/>
          <w:lang w:bidi="fa-IR"/>
        </w:rPr>
        <w:t xml:space="preserve">» . </w:t>
      </w:r>
      <w:r>
        <w:rPr>
          <w:rStyle w:val="FootnoteAnchor"/>
          <w:rtl w:val="true"/>
        </w:rPr>
        <w:footnoteReference w:id="39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أیضاًـ عند کلامه حول صحَّة مرویّات أصحاب الإجماع ولو کان الواقع من بعدهم مجهولاً أو ضعیفاً ـ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لکنّ المتأخّرین ینظرون إلی حال من بعده ، ونحن نسجنا علی منوالهم وسمّینا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بعده مجهولاً أو ضعیفاً</w:t>
      </w:r>
      <w:r>
        <w:rPr>
          <w:rFonts w:eastAsia="IRNazanin" w:cs="IRNazanin"/>
          <w:color w:val="111111"/>
          <w:sz w:val="28"/>
          <w:szCs w:val="28"/>
          <w:rtl w:val="true"/>
          <w:lang w:bidi="fa-IR"/>
        </w:rPr>
        <w:t xml:space="preserve">» .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لکن هذا لا یکفی لبعض الطالبین ویصعب علی المبتدئ معرفة وجه امتیاز الحَسن کالصحیح عن الحَسن ، والمُوَثَّق کالصحیح عن المُوَثَّق ، والقوی کالصحیح عن القوی فی کلمات الشارح ، لاسیّما أنّ کلامه فی وصف الخبر بتلک المصطلحات مضطرب ؛ بمعنی أنّه تارة یصف الخبر بالمُوَثَّق کالصحیح ، ومرّة اُخری بالمُوَثَّق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بالنسبة إلی المُصطَلَحین الآخَرین ، والمثال علی ذلک روایات الصَدوق عن غیاث بن إبراهیم ، حیث نعت خبره فی شرح المشیخة بالمُوَثَّق کالصحیح </w:t>
      </w:r>
      <w:r>
        <w:rPr>
          <w:rStyle w:val="FootnoteAnchor"/>
          <w:rtl w:val="true"/>
        </w:rPr>
        <w:footnoteReference w:id="399"/>
      </w:r>
      <w:r>
        <w:rPr>
          <w:rFonts w:ascii="Amiri" w:hAnsi="Amiri" w:eastAsia="Amiri" w:cs="Amiri"/>
          <w:color w:val="111111"/>
          <w:sz w:val="28"/>
          <w:sz w:val="28"/>
          <w:szCs w:val="28"/>
          <w:rtl w:val="true"/>
          <w:lang w:bidi="ar-SA"/>
        </w:rPr>
        <w:t xml:space="preserve">ونعته فی باب النوادر من کتاب الصوم بالمُوَثَّق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ظهر لنا بعد الفحص والتتبع فی إسناد الأخبار الّتی نعتها الشارح بتلک المصطلحات أنّه إن کان الراوی الممدوح بمدح غیر بالغ مرتبة الوثاقة من المشاهیر ـ کإبراهیم بن هاشم ـ وکان کتابه معتمد الأصحاب أو وقع بعد أحد من أصحاب الإجماع فإنّ خبره یوصف بالحَسن کالصحیح وفی غیرهما بالحَسن ، ویُراعی مثل هذا الملاک فی ثانی المصطلحات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کالصحیح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الراوی الإمامی المسکوت عن مدحه وذمّه واقعاً فی أوّل الإسناد وکان من مشایخ الإجازة البحت ، أو وقع بعد أحد أصحاب الإجماع ، أو کان کثیر الروایة واعتمد الأصحاب علی کتابه ، یُوصَف الخبر بالقوی کالصحیح وفی غیر هذه الموارد بالقوی </w:t>
      </w:r>
      <w:r>
        <w:rPr>
          <w:rFonts w:eastAsia="IRNazanin" w:cs="IRNazanin"/>
          <w:color w:val="111111"/>
          <w:sz w:val="28"/>
          <w:szCs w:val="28"/>
          <w:rtl w:val="true"/>
          <w:lang w:bidi="fa-IR"/>
        </w:rPr>
        <w:t>.</w:t>
      </w:r>
      <w:bookmarkStart w:id="324" w:name="pg2516_26536"/>
    </w:p>
    <w:p>
      <w:pPr>
        <w:pStyle w:val="Heading3"/>
        <w:numPr>
          <w:ilvl w:val="2"/>
          <w:numId w:val="1"/>
        </w:numPr>
        <w:rPr/>
      </w:pPr>
      <w:bookmarkStart w:id="325" w:name="__RefHeading___Toc4159582_3804643083"/>
      <w:bookmarkStart w:id="326" w:name="_Toc122"/>
      <w:bookmarkEnd w:id="324"/>
      <w:bookmarkEnd w:id="325"/>
      <w:r>
        <w:rPr>
          <w:rtl w:val="true"/>
        </w:rPr>
        <w:t xml:space="preserve">الفصل الرابع </w:t>
      </w:r>
      <w:r>
        <w:rPr>
          <w:rtl w:val="true"/>
        </w:rPr>
        <w:t xml:space="preserve">: </w:t>
      </w:r>
      <w:r>
        <w:rPr>
          <w:rtl w:val="true"/>
        </w:rPr>
        <w:t>کیفیّة تَحمّل الحدیث وصیغ أدائه</w:t>
      </w:r>
      <w:bookmarkEnd w:id="326"/>
    </w:p>
    <w:p>
      <w:pPr>
        <w:pStyle w:val="Heading4"/>
        <w:numPr>
          <w:ilvl w:val="3"/>
          <w:numId w:val="1"/>
        </w:numPr>
        <w:rPr/>
      </w:pPr>
      <w:bookmarkStart w:id="327" w:name="__RefHeading___Toc4159584_3804643083"/>
      <w:bookmarkStart w:id="328" w:name="_Toc12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لابدّ للراوی من مُستنَد یصحّ له علی أساسه أن ینسب الروایة إلی قائلها والکتاب إلی مؤلّفه ، وهذا یتحقّق علی سبعة وجوه نأتی بأسمائها إجمالاً ، ثمّ نذکر ما قاله الشارح فی تفسیر بعضها ، ونعقبها بذکر اختلافه مع سائر العُلَماء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السماع من الشَّیخ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القراءة علی الشَّیخ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یخفی أنّ هذه الوجوه کلّها تُسمّی بالإجازة بالمعنی الأعمّ ؛ لأنّ الراوی لا یتمکن من نقل الروایة ولا تقبل منه إلاّ بواحد منها أو أکثر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الفائدة الثامنة من الفوائد الّتی ساقها فی مقدّمة اللوامع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 جماعة أنّ من الواجب فی نقل الحدیث أن تکون لدی الراوی إجازة بأحدی الطُرق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الشَّیخ الحدیث علی تلمیذه ، وهذا أفضل أنواع الإجازة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حدیث صحیح عن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یجیئنی القوم فیستمعون منّی حدیثکم فأضجر ولا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کثرة اشتغاله ؛ لأنّه کان یعمل خازناً لخلفاء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علیهم من أوّله حدیثاً ، ومن وسطه حدیثاً ، ومن آخره حدیثاً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وهذا الحدیث یدلّ علی أولویة الأوّل ، وعند الاضطرار تأتی هذه المرتبة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الإجازة کلاهما قراءة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التلمیذ الحدیث علی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قدّموا هذه الإجازة علی النوعین الأوّل والثانی ، والبعض قدّموها علی النوع الثانی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هو أنّه عندما یقرأ الحدیث علی الاُستاذ ویتم الکتاب ، أن یقرأ الاُستاذ ثلاثة أحادیث من الکتاب علی الترتیب المذکور لیحظی بکلا نوعی 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الثالث یُسمّی القراءة علی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علی الشَّیخ ، وهو أن یقرأ آخر وهذا الشخص یسمع ، وهذا أیضاً لا بأس به ، ویأتی بعد المرتبة الثالثة ویقاربها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المناولة وهی أن یناول الشَّیخ کتاباً إلی الراوی ،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 أحادیث هذا الکتاب عنّی أو ارو هذا الکتاب عنّی ، بل لم یَقُل ذلک لکن عُلِمَ أنّ الکتاب من مرویاته ، فإنّ الظاهر الجواز أیضاً ، کما رُوی عن أحمد بن عمر الثقة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الإمام أبا الحسن علی بن موسی الرضا ـ صلوات اللّه علیهما ـ الرجل من أصحابنا یعطینی الکتاب ولا یقول اروه عنّی ، یجوز لی أن أرویه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أنّ الکتاب له فاروه عنه </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بالمعنی الأخص بأن یقول الشَّیخ للتلمیذ أجزت لک أن تروی</w:t>
      </w:r>
    </w:p>
    <w:p>
      <w:pPr>
        <w:pStyle w:val="BookText"/>
        <w:rPr/>
      </w:pPr>
      <w:r>
        <w:rPr>
          <w:rFonts w:ascii="IRNazanin" w:hAnsi="IRNazanin" w:eastAsia="IRNazanin"/>
          <w:color w:val="111111"/>
          <w:sz w:val="28"/>
          <w:sz w:val="28"/>
          <w:szCs w:val="28"/>
          <w:rtl w:val="true"/>
          <w:lang w:bidi="fa-IR"/>
        </w:rPr>
        <w:t xml:space="preserve">عنّی هذا الکتاب وهذا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ویُشعِر بهذا النوع من الإجازة ما نقل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وبث علمک فی إخوانک فإن مُتّ فاورث کتبک بنیک ، فإنّه یأتی علی الناس زمان هرج لا یأنسون فیه إلاّ بکتبهم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وإن کان هذا الحدیث یحتمل أیضاً معنی المناولة والوجادة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الوجادة ، وهی أن نعلم هذا الکتاب بخطّ الشَّیخ الفلانی ؛ فننقل بأنّنی وجدتُ هذا الحدیث بخطّ الشَّیخ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روایة المُوَثَّق کالصحیح عن الإمام جعفر الصادق ـ صلوات اللّه علیه ـ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احتفظوا بکتبکم فإنّکم سوف تحتاجون إلیها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وجاء فی حدیث قوی عن الإمام محمّد الجواد ـ صلوات اللّه علیه ـ بأنّ الراوی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مشایخنا رووا عن أبی جعفر وأبی عبداللّه علیهماالسلام وکانت التَقِیّة شدیدة ، فکتموا کتبهم فلم تُروَ عنهم ، فلمّا ماتوا صارت الکتب إلینا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بها فإنّها حقّ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وهذه الأخبار إضافة إلی خبر أحمد الّذی سبق ذکره تشعر بإمکانیة العمل بالکتاب متی علمنا بأنّه لمصنّفه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کتب الحدیث الیوم ، مثلاً بما أنّها وصلت إلینا بالتواتر ، أنّ کتاب الکافی تصنیف محمّد بن یعقوب الکلینی ، وکتاب من لا یحضره الفقیه تصنیف محمّد بن بابویه القُمّی ، وکتاب التهذیب وکتاب الاستبصار تصنیف الشَّیخ الطوسی ، إذاً فلا حاجة للإجازة ، ولکن الأحوط ألاّ یُنقَل الحدیث بغیر إجازة من الإجازات السبعة ، بل الإجازات الستّة الاُولی</w:t>
      </w:r>
      <w:r>
        <w:rPr>
          <w:rFonts w:eastAsia="IRNazanin" w:cs="IRNazanin"/>
          <w:color w:val="111111"/>
          <w:sz w:val="28"/>
          <w:szCs w:val="28"/>
          <w:rtl w:val="true"/>
          <w:lang w:bidi="fa-IR"/>
        </w:rPr>
        <w:t xml:space="preserve">» . </w:t>
      </w:r>
      <w:r>
        <w:rPr>
          <w:rStyle w:val="FootnoteAnchor"/>
          <w:rtl w:val="true"/>
        </w:rPr>
        <w:footnoteReference w:id="40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فی مقدّمة الروضة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طرق الإجازة الّتی اعتبرها العُلَماء أعلاها قراءة الشَّیخ علی السامع ، وبعدها العکس ، وبعدها السماع حین القراءة علی الشَّیخ ، وبعدها</w:t>
      </w:r>
    </w:p>
    <w:p>
      <w:pPr>
        <w:pStyle w:val="BookText"/>
        <w:rPr/>
      </w:pPr>
      <w:r>
        <w:rPr>
          <w:rFonts w:ascii="IRNazanin" w:hAnsi="IRNazanin" w:eastAsia="IRNazanin"/>
          <w:color w:val="111111"/>
          <w:sz w:val="28"/>
          <w:sz w:val="28"/>
          <w:szCs w:val="28"/>
          <w:rtl w:val="true"/>
          <w:lang w:bidi="fa-IR"/>
        </w:rPr>
        <w:t xml:space="preserve">أو بعد الاُولی ـ علی احتمال ـ قراءة الشَّیخ علی الراوی حدیثاً من أوّل الکتاب وحدیثاً من وسطه وحدیثاً من آخره ، کما روی فی الصحیح عن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یجیئنی القوم فیسمعون منّی حدیثکم فأضجر ولا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علیهم من أوّله حدیثاً ، من وسطه حدیثاً ، ومن آخره حدیثاً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وبعدها المناولة ، بأن یناول الشَّیخ کتاباً إلی الراوی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من مرویاتی عن الإمام ، أو عن الشَّیخ إلی الإمام ، فاروه عنّی مثلاً ، أو لم یقل ، لکن علم الراوی أنّه من مرویاته ، فإنّ الظاهر الجواز أیضاً ، کما روی فی الکافی بإسناده عن أحمد بن عمر الحلال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ـ صلوات اللّه علیه ـ الرجل من أصحابنا یعطینی الکتاب ولا یقول اروه عنّی ، یجوز لی أن أرویه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أنّ الکتاب له فاروه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الإجازة بأن یقول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أجزت لک أن تروی عنّی هذا الکتاب ، أو جمیع کتبی ، أو جمیع ما صحّ عندک أنّه من روایتی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الوجادة ، بأن یجد کتاباً یعلم أنّه من خطّ شیخه أو من روایته ، مثلما نعلم أنّ الکتب الأربعة من مصنّفات ومرویات المشایخ الثلاث رضی الله عنهم ، کما یظهر من عموم جواب الخبر السابق ویفهم من الخبر الّذی رواه ثقة الإسلام فی الصحیح عن محمّد بن الحسن بن أبی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مشایخنا رووا عن أبی جعفر وأبی عبداللّه علیهماالسلام وکانت التَقِیّة شدیدة ، فکتموا کتبهم فلم تُرو عنهم ، فلمّا ماتوا صارت الکتب إلینا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بها فإنّها حقّ </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المُوَثَّق کالصحیح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بکتبکم</w:t>
      </w:r>
      <w:bookmarkStart w:id="329" w:name="pg2516_26543"/>
    </w:p>
    <w:p>
      <w:pPr>
        <w:pStyle w:val="BookText"/>
        <w:rPr/>
      </w:pPr>
      <w:bookmarkEnd w:id="329"/>
      <w:r>
        <w:rPr>
          <w:rFonts w:ascii="IRNazanin" w:hAnsi="IRNazanin" w:eastAsia="IRNazanin"/>
          <w:color w:val="111111"/>
          <w:sz w:val="28"/>
          <w:sz w:val="28"/>
          <w:szCs w:val="28"/>
          <w:rtl w:val="true"/>
          <w:lang w:bidi="fa-IR"/>
        </w:rPr>
        <w:t>فإنّکم سوف تحتاجون إلیها</w:t>
      </w:r>
      <w:r>
        <w:rPr>
          <w:rFonts w:eastAsia="IRNazanin" w:cs="IRNazanin"/>
          <w:color w:val="111111"/>
          <w:sz w:val="28"/>
          <w:szCs w:val="28"/>
          <w:rtl w:val="true"/>
          <w:lang w:bidi="fa-IR"/>
        </w:rPr>
        <w:t xml:space="preserve">» .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وبإسناده إلی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وبثّ علمک فی إخوانک فإن مُتّ فاورث کتبک بنیک ، فإنّه یأتی علی الناس زمان هرج لا یأنسون فیه إلاّ بکتبهم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هذا آخر ما قاله الشارح فی طُرق تحمل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والناظر فی عباراته یری أنّه لم یذکر اثنین من الطرق وهما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یکتب الشَّیخ مسموعه لغائب أو حاضر بخطّه أو یأمر ثقة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یعلم الشَّیخُ الطالبَ أنّ هذا الحدیث أو الکتاب سماعه مقتصراً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قبالهما جعل صحیحة عبداللّه بن سنان مضمونها الّذی یکون وجهاً من وجوه استماع لفظ الشَّیخ قسماً مستقلاً ، مع أنّ ثانی الشهیدین استشهد بالصحیحة لإثبات أولویة سماع لفظ الشَّیخ علی قراءة الراوی </w:t>
      </w:r>
      <w:r>
        <w:rPr>
          <w:rStyle w:val="FootnoteAnchor"/>
          <w:rtl w:val="true"/>
        </w:rPr>
        <w:footnoteReference w:id="411"/>
      </w:r>
      <w:r>
        <w:rPr>
          <w:rFonts w:ascii="IRNazanin" w:hAnsi="IRNazanin" w:eastAsia="IRNazanin"/>
          <w:color w:val="111111"/>
          <w:sz w:val="28"/>
          <w:sz w:val="28"/>
          <w:szCs w:val="28"/>
          <w:rtl w:val="true"/>
          <w:lang w:bidi="fa-IR"/>
        </w:rPr>
        <w:t xml:space="preserve">، وکذا جعل سماع الراوی حین قراءة غیره علی الشَّیخ الّتی کانت بمنزلة قراءة نفسه علی الشَّیخ ألحقه العلماء بقسم القراءة علی الشَّیخ قسماً مستقلاً ، فصارت طرق التحمل عنده أیضاً علی سبعة وجوه </w:t>
      </w:r>
      <w:r>
        <w:rPr>
          <w:rFonts w:eastAsia="IRNazanin" w:cs="IRNazanin"/>
          <w:color w:val="111111"/>
          <w:sz w:val="28"/>
          <w:szCs w:val="28"/>
          <w:rtl w:val="true"/>
          <w:lang w:bidi="fa-IR"/>
        </w:rPr>
        <w:t>.</w:t>
      </w:r>
    </w:p>
    <w:p>
      <w:pPr>
        <w:pStyle w:val="Heading4"/>
        <w:numPr>
          <w:ilvl w:val="3"/>
          <w:numId w:val="1"/>
        </w:numPr>
        <w:rPr/>
      </w:pPr>
      <w:bookmarkStart w:id="330" w:name="__RefHeading___Toc4159586_3804643083"/>
      <w:bookmarkStart w:id="331" w:name="_Toc124"/>
      <w:bookmarkEnd w:id="330"/>
      <w:r>
        <w:rPr>
          <w:rtl w:val="true"/>
        </w:rPr>
        <w:t>صیغ أداء الحدیث</w:t>
      </w:r>
      <w:bookmarkEnd w:id="331"/>
    </w:p>
    <w:p>
      <w:pPr>
        <w:pStyle w:val="BookText"/>
        <w:rPr/>
      </w:pPr>
      <w:r>
        <w:rPr>
          <w:rFonts w:ascii="IRNazanin" w:hAnsi="IRNazanin" w:eastAsia="IRNazanin"/>
          <w:color w:val="111111"/>
          <w:sz w:val="28"/>
          <w:sz w:val="28"/>
          <w:szCs w:val="28"/>
          <w:rtl w:val="true"/>
          <w:lang w:bidi="fa-IR"/>
        </w:rPr>
        <w:t xml:space="preserve">ذکر الشارح عند تفسیر بعض مصطلحات الحدیث ، فی الفائدة الحادیة عشرة من الفوائد الّتی ساقها فی مقدّمة اللوامع ، بعض صیغ أداء الحدیث ، فقال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المُحَدّثین هو إذا قرأ الاُستاذ حدیثاً علی الطالب ، یقول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قد قرأه علی جماعة کان الراوی منهم ،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 التلمیذ علی الاُستاذ ولم یکن أحد آخر شریکه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معه أحد 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رواه آخر وسمعه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علی فلان ، أی سمعته منه عندما کان یُقرأ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لدیه إجازة منه بالحدیث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رآه بخطّ شیخ یقول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وجادة ، وتارة اُخری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فلان ، أو رأیته فی کتاب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 لا یعملون بمثل هذا الحدیث ، إلاّ إذا کان الکتاب متواتراً عن ذلک الشخص مثل الکتب الأربعة عن المشایخ الثلاثة</w:t>
      </w:r>
      <w:r>
        <w:rPr>
          <w:rFonts w:eastAsia="IRNazanin" w:cs="IRNazanin"/>
          <w:color w:val="111111"/>
          <w:sz w:val="28"/>
          <w:szCs w:val="28"/>
          <w:rtl w:val="true"/>
          <w:lang w:bidi="fa-IR"/>
        </w:rPr>
        <w:t xml:space="preserve">» . </w:t>
      </w:r>
      <w:r>
        <w:rPr>
          <w:rStyle w:val="FootnoteAnchor"/>
          <w:rtl w:val="true"/>
        </w:rPr>
        <w:footnoteReference w:id="412"/>
      </w:r>
      <w:bookmarkStart w:id="332" w:name="pg2516_26547"/>
    </w:p>
    <w:p>
      <w:pPr>
        <w:pStyle w:val="Heading3"/>
        <w:numPr>
          <w:ilvl w:val="2"/>
          <w:numId w:val="1"/>
        </w:numPr>
        <w:rPr/>
      </w:pPr>
      <w:bookmarkStart w:id="333" w:name="__RefHeading___Toc4159588_3804643083"/>
      <w:bookmarkStart w:id="334" w:name="_Toc125"/>
      <w:bookmarkEnd w:id="332"/>
      <w:bookmarkEnd w:id="333"/>
      <w:r>
        <w:rPr>
          <w:rtl w:val="true"/>
        </w:rPr>
        <w:t xml:space="preserve">الفصل الخامس </w:t>
      </w:r>
      <w:r>
        <w:rPr>
          <w:rtl w:val="true"/>
        </w:rPr>
        <w:t xml:space="preserve">: </w:t>
      </w:r>
      <w:r>
        <w:rPr>
          <w:rtl w:val="true"/>
        </w:rPr>
        <w:t>ألفاظ المدح والذم</w:t>
      </w:r>
      <w:bookmarkEnd w:id="334"/>
    </w:p>
    <w:p>
      <w:pPr>
        <w:pStyle w:val="Heading4"/>
        <w:numPr>
          <w:ilvl w:val="3"/>
          <w:numId w:val="1"/>
        </w:numPr>
        <w:rPr/>
      </w:pPr>
      <w:bookmarkStart w:id="335" w:name="__RefHeading___Toc4159590_3804643083"/>
      <w:bookmarkStart w:id="336" w:name="_Toc126"/>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تداول عُلَماء الرجال المُتقَدّمین وصف الرواة بألفاظ خاصّة فبیّنوا لنا حالهم من جهة الوثاقة ، أو الفضل الّذی لا یصل إلی مرتبة الوثاقة ، أو صحَّة العقیدة ، أو ما یُضاد هذه الصفات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فالألفاظ الحاکیة للصفات الثلاثة الاُول تسمّی بألفاظ المدح ، والألفاظ الحاکیة لضدّها تسمّی بألفاظ الذمّ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المدح أعمّ من الوثاقة ، فألفاظ المدح قد تدلّ علی الوثاقة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عدل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وقد لا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 عابد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فإذا بلغ المدح المستفاد منها إلی حدّ التوثیق تسمّی بألفاظ التوثیق ، وإذا لم یبلغ إلی ذلک الحدّ تبقی تسمیتها بألفاظ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الذمّ أعمّ من الجرح ؛ لأنّ أَلفاظ الذمّ بعضها یدلّ علی فسق الموصوف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 غالٍ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فیسمّی عندئذ بألفاظ الجرح ، وبعضها الآخر یفید سقوط المرویات الّتی رواها الموصوف بها عن الحجیة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مضطرب الحدیث ، لیّن الحدیث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ولا یدلّ علی القدح فی عدالة الرجل نفسه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مع الأسف أنّ هذه الألفاظ الّتی کان مدلولها واضحاً فی عرف المُتقَدّمین طُمست مع تقدّم الزمان والتغییرات الّتی طرأت عبر القرون علی حقلی اللغة والعرف ، بحیث بات من العسیر فهم المراد منها ، فأحسّ المتأخّرون من علمائنا ضرورة تفسیرها وقام بتلک المهمّة عدد منهم مثل ثانی الشهیدین والشارح والوحید</w:t>
      </w:r>
      <w:bookmarkStart w:id="337" w:name="pg2516_26549"/>
    </w:p>
    <w:p>
      <w:pPr>
        <w:pStyle w:val="BookText"/>
        <w:rPr/>
      </w:pPr>
      <w:bookmarkEnd w:id="337"/>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المجال نذکر نصوص الشارح فی تفسیر قسم من هذه الألفاظ مراعیاً حروف المعجم فی ترتیب ذکرها ، وندرج فی خلالها ما ذکره الشارح من أمارات المدح </w:t>
      </w:r>
      <w:r>
        <w:rPr>
          <w:rFonts w:eastAsia="IRNazanin" w:cs="IRNazanin"/>
          <w:color w:val="111111"/>
          <w:sz w:val="28"/>
          <w:szCs w:val="28"/>
          <w:rtl w:val="true"/>
          <w:lang w:bidi="fa-IR"/>
        </w:rPr>
        <w:t>.</w:t>
      </w:r>
    </w:p>
    <w:p>
      <w:pPr>
        <w:pStyle w:val="Heading4"/>
        <w:numPr>
          <w:ilvl w:val="3"/>
          <w:numId w:val="1"/>
        </w:numPr>
        <w:rPr/>
      </w:pPr>
      <w:bookmarkStart w:id="338" w:name="__RefHeading___Toc4159592_3804643083"/>
      <w:bookmarkStart w:id="339" w:name="_Toc127"/>
      <w:bookmarkEnd w:id="338"/>
      <w:r>
        <w:rPr>
          <w:rtl w:val="true"/>
        </w:rPr>
        <w:t>اُسند عنه</w:t>
      </w:r>
      <w:bookmarkEnd w:id="339"/>
    </w:p>
    <w:p>
      <w:pPr>
        <w:pStyle w:val="BookText"/>
        <w:rPr/>
      </w:pPr>
      <w:r>
        <w:rPr>
          <w:rFonts w:ascii="IRNazanin" w:hAnsi="IRNazanin" w:eastAsia="IRNazanin"/>
          <w:color w:val="111111"/>
          <w:sz w:val="28"/>
          <w:sz w:val="28"/>
          <w:szCs w:val="28"/>
          <w:rtl w:val="true"/>
          <w:lang w:bidi="fa-IR"/>
        </w:rPr>
        <w:t xml:space="preserve">لم یستعمل هذا الوصف إلاّ الشَّیخ فی کتاب الرجال خاصّة دون فهرسته ، ولم یصدر ذلک من غیره إلاّ تبعاً له ، وقد جعله وصفاً فی ترجمة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 أحدهم من أصحاب الباقر علیه السلام ، وثلاثمئة وثلاثة وثلاثین شخصاً من أصحاب الصادق علیه السلام ، وشخصین من أصحاب الکاظم علیه السلام ، وفی أصحاب الرضا علیه السلام سبعة أشخاص ، وفی أصحاب الهادی علیه السلام شخص واحد ، ثمّ إنّه وقع بین المتأخّرین خلاف عظیم فی قراءته بین صیغة المجهول والمعلوم ، وکذا معناه علی کلّ من الوجهین ، وقال الشارح فی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أنّه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قیل فی ترجمته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الشیوخ واعتمدوا علیه ، وهو کالتوثیق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هذا المدح أحسن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سمط البجلی الکوفی ، اُسند عنه ،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بالإسناد عنه أنّه کان معتمداً ، یروی أصحابنا عنه ، ویکون مدحاً</w:t>
      </w:r>
      <w:r>
        <w:rPr>
          <w:rFonts w:eastAsia="IRNazanin" w:cs="IRNazanin"/>
          <w:color w:val="111111"/>
          <w:sz w:val="28"/>
          <w:szCs w:val="28"/>
          <w:rtl w:val="true"/>
          <w:lang w:bidi="fa-IR"/>
        </w:rPr>
        <w:t xml:space="preserve">» . </w:t>
      </w:r>
      <w:r>
        <w:rPr>
          <w:rStyle w:val="FootnoteAnchor"/>
          <w:rtl w:val="true"/>
        </w:rPr>
        <w:footnoteReference w:id="415"/>
      </w:r>
    </w:p>
    <w:p>
      <w:pPr>
        <w:pStyle w:val="Heading4"/>
        <w:numPr>
          <w:ilvl w:val="3"/>
          <w:numId w:val="1"/>
        </w:numPr>
        <w:rPr/>
      </w:pPr>
      <w:bookmarkStart w:id="340" w:name="__RefHeading___Toc4159594_3804643083"/>
      <w:bookmarkStart w:id="341" w:name="_Toc128"/>
      <w:bookmarkEnd w:id="340"/>
      <w:r>
        <w:rPr>
          <w:rtl w:val="true"/>
        </w:rPr>
        <w:t>إکثار الصَدوق من الروایة عن الراوی</w:t>
      </w:r>
      <w:bookmarkEnd w:id="3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المشیخة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کان فیه جاء نفر من الیهود إلی رسول اللّه صلی الله علیه و آله فسألوه عن مسائل وکان فیما سألوه أَخبِرنا یامحمّد لأی علّة توضأ هذه</w:t>
      </w:r>
      <w:bookmarkStart w:id="342" w:name="pg2516_26551"/>
    </w:p>
    <w:p>
      <w:pPr>
        <w:pStyle w:val="BookText"/>
        <w:rPr/>
      </w:pPr>
      <w:bookmarkEnd w:id="342"/>
      <w:r>
        <w:rPr>
          <w:rFonts w:ascii="IRNazanin" w:hAnsi="IRNazanin" w:eastAsia="IRNazanin"/>
          <w:color w:val="111111"/>
          <w:sz w:val="28"/>
          <w:sz w:val="28"/>
          <w:szCs w:val="28"/>
          <w:rtl w:val="true"/>
          <w:lang w:bidi="fa-IR"/>
        </w:rPr>
        <w:t xml:space="preserve">الجوارح الأربع؟ وما أشبه ذلک من مسائلهم ، فقد رویته عن علی بن أحمد بن عبداللّه البرقی رضی الله عنهعن أبیه ، عن جدّه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علیاً وأحمدَ کانا ثقتین عند المصنف لاعتماده فی کثیر من الروایات علیهما سیّما الابن ، لکن علی قانون المتأخّرین مجهولان</w:t>
      </w:r>
      <w:r>
        <w:rPr>
          <w:rFonts w:eastAsia="IRNazanin" w:cs="IRNazanin"/>
          <w:color w:val="111111"/>
          <w:sz w:val="28"/>
          <w:szCs w:val="28"/>
          <w:rtl w:val="true"/>
          <w:lang w:bidi="fa-IR"/>
        </w:rPr>
        <w:t xml:space="preserve">» . </w:t>
      </w:r>
      <w:r>
        <w:rPr>
          <w:rStyle w:val="FootnoteAnchor"/>
          <w:rtl w:val="true"/>
        </w:rPr>
        <w:footnoteReference w:id="416"/>
      </w:r>
    </w:p>
    <w:p>
      <w:pPr>
        <w:pStyle w:val="Heading4"/>
        <w:numPr>
          <w:ilvl w:val="3"/>
          <w:numId w:val="1"/>
        </w:numPr>
        <w:rPr/>
      </w:pPr>
      <w:bookmarkStart w:id="343" w:name="__RefHeading___Toc4159596_3804643083"/>
      <w:bookmarkStart w:id="344" w:name="_Toc129"/>
      <w:bookmarkEnd w:id="343"/>
      <w:r>
        <w:rPr>
          <w:rtl w:val="true"/>
        </w:rPr>
        <w:t>الترضّی والترحّم</w:t>
      </w:r>
      <w:bookmarkEnd w:id="344"/>
    </w:p>
    <w:p>
      <w:pPr>
        <w:pStyle w:val="BookText"/>
        <w:rPr/>
      </w:pPr>
      <w:r>
        <w:rPr>
          <w:rFonts w:ascii="IRNazanin" w:hAnsi="IRNazanin" w:eastAsia="IRNazanin"/>
          <w:color w:val="111111"/>
          <w:sz w:val="28"/>
          <w:sz w:val="28"/>
          <w:szCs w:val="28"/>
          <w:rtl w:val="true"/>
          <w:lang w:bidi="fa-IR"/>
        </w:rPr>
        <w:t xml:space="preserve">أ ـ وفی شرح المشیخة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فیه عن إبراهیم بن أبی محمود فقد رویته عن محمّد بن علی ماجیلویه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الصَدوق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ب ـ وفیه أیضاً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فیه عن إسماعیل بن الفضل فقد رویته عن جعفر بن محمّد بن مسرور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یذکره أصحاب الرجال ، ویکفی للمدح اعتماد المصنف علیه مع الترحم علیه کلما یذکره</w:t>
      </w:r>
      <w:r>
        <w:rPr>
          <w:rFonts w:eastAsia="IRNazanin" w:cs="IRNazanin"/>
          <w:color w:val="111111"/>
          <w:sz w:val="28"/>
          <w:szCs w:val="28"/>
          <w:rtl w:val="true"/>
          <w:lang w:bidi="fa-IR"/>
        </w:rPr>
        <w:t xml:space="preserve">» . </w:t>
      </w:r>
      <w:r>
        <w:rPr>
          <w:rStyle w:val="FootnoteAnchor"/>
          <w:rtl w:val="true"/>
        </w:rPr>
        <w:footnoteReference w:id="418"/>
      </w:r>
    </w:p>
    <w:p>
      <w:pPr>
        <w:pStyle w:val="Heading4"/>
        <w:numPr>
          <w:ilvl w:val="3"/>
          <w:numId w:val="1"/>
        </w:numPr>
        <w:rPr/>
      </w:pPr>
      <w:bookmarkStart w:id="345" w:name="__RefHeading___Toc4159598_3804643083"/>
      <w:bookmarkStart w:id="346" w:name="_Toc130"/>
      <w:bookmarkEnd w:id="345"/>
      <w:r>
        <w:rPr>
          <w:rtl w:val="true"/>
        </w:rPr>
        <w:t>ثقة ثقة</w:t>
      </w:r>
      <w:bookmarkEnd w:id="3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باب التیمم من کتاب الطهارة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 عبد الرحمن بن أبی نجران أبا الحسن موسی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الصَدوق إلیه صحیح ، وهو ثقة ثقة </w:t>
      </w:r>
      <w:r>
        <w:rPr>
          <w:rStyle w:val="FootnoteAnchor"/>
          <w:rtl w:val="true"/>
        </w:rPr>
        <w:footnoteReference w:id="419"/>
      </w:r>
      <w:r>
        <w:rPr>
          <w:rFonts w:ascii="IRNazanin" w:hAnsi="IRNazanin" w:eastAsia="IRNazanin"/>
          <w:color w:val="111111"/>
          <w:sz w:val="28"/>
          <w:sz w:val="28"/>
          <w:szCs w:val="28"/>
          <w:rtl w:val="true"/>
          <w:lang w:bidi="fa-IR"/>
        </w:rPr>
        <w:t>، وربما یُقرأ الثانی نقة ، أی نقی الحدیث</w:t>
      </w:r>
      <w:r>
        <w:rPr>
          <w:rFonts w:eastAsia="IRNazanin" w:cs="IRNazanin"/>
          <w:color w:val="111111"/>
          <w:sz w:val="28"/>
          <w:szCs w:val="28"/>
          <w:rtl w:val="true"/>
          <w:lang w:bidi="fa-IR"/>
        </w:rPr>
        <w:t xml:space="preserve">» . </w:t>
      </w:r>
      <w:r>
        <w:rPr>
          <w:rStyle w:val="FootnoteAnchor"/>
          <w:rtl w:val="true"/>
        </w:rPr>
        <w:footnoteReference w:id="420"/>
      </w:r>
      <w:bookmarkStart w:id="347" w:name="pg2516_26553"/>
    </w:p>
    <w:p>
      <w:pPr>
        <w:pStyle w:val="Heading4"/>
        <w:numPr>
          <w:ilvl w:val="3"/>
          <w:numId w:val="1"/>
        </w:numPr>
        <w:rPr/>
      </w:pPr>
      <w:bookmarkStart w:id="348" w:name="__RefHeading___Toc4159600_3804643083"/>
      <w:bookmarkStart w:id="349" w:name="_Toc131"/>
      <w:bookmarkEnd w:id="347"/>
      <w:bookmarkEnd w:id="348"/>
      <w:r>
        <w:rPr>
          <w:rtl w:val="true"/>
        </w:rPr>
        <w:t>حظی عند الأئمّة علیهم السلام</w:t>
      </w:r>
      <w:bookmarkEnd w:id="349"/>
    </w:p>
    <w:p>
      <w:pPr>
        <w:pStyle w:val="BookText"/>
        <w:rPr/>
      </w:pPr>
      <w:r>
        <w:rPr>
          <w:rFonts w:ascii="IRNazanin" w:hAnsi="IRNazanin" w:eastAsia="IRNazanin"/>
          <w:color w:val="111111"/>
          <w:sz w:val="28"/>
          <w:sz w:val="28"/>
          <w:szCs w:val="28"/>
          <w:rtl w:val="true"/>
          <w:lang w:bidi="fa-IR"/>
        </w:rPr>
        <w:t xml:space="preserve">قال الشارح فی ترجمة یونس بن یعقوب بعد ذکر ما وصف به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حظیّاً عندهم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رجال النجاشی </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ذا خطوة وقرب عندهم علیهم السلام</w:t>
      </w:r>
      <w:r>
        <w:rPr>
          <w:rFonts w:eastAsia="IRNazanin" w:cs="IRNazanin"/>
          <w:color w:val="111111"/>
          <w:sz w:val="28"/>
          <w:szCs w:val="28"/>
          <w:rtl w:val="true"/>
          <w:lang w:bidi="fa-IR"/>
        </w:rPr>
        <w:t xml:space="preserve">» . </w:t>
      </w:r>
      <w:r>
        <w:rPr>
          <w:rStyle w:val="FootnoteAnchor"/>
          <w:rtl w:val="true"/>
        </w:rPr>
        <w:footnoteReference w:id="422"/>
      </w:r>
    </w:p>
    <w:p>
      <w:pPr>
        <w:pStyle w:val="Heading4"/>
        <w:numPr>
          <w:ilvl w:val="3"/>
          <w:numId w:val="1"/>
        </w:numPr>
        <w:rPr/>
      </w:pPr>
      <w:bookmarkStart w:id="350" w:name="__RefHeading___Toc4159602_3804643083"/>
      <w:bookmarkStart w:id="351" w:name="_Toc132"/>
      <w:bookmarkEnd w:id="350"/>
      <w:r>
        <w:rPr>
          <w:rtl w:val="true"/>
        </w:rPr>
        <w:t>عامل الإمام</w:t>
      </w:r>
      <w:bookmarkEnd w:id="351"/>
    </w:p>
    <w:p>
      <w:pPr>
        <w:pStyle w:val="BookText"/>
        <w:rPr/>
      </w:pPr>
      <w:r>
        <w:rPr>
          <w:rFonts w:ascii="IRNazanin" w:hAnsi="IRNazanin" w:eastAsia="IRNazanin"/>
          <w:color w:val="111111"/>
          <w:sz w:val="28"/>
          <w:sz w:val="28"/>
          <w:szCs w:val="28"/>
          <w:rtl w:val="true"/>
          <w:lang w:bidi="fa-IR"/>
        </w:rPr>
        <w:t xml:space="preserve">أ ـ وفی شرح المشیخة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فیه عن أحمد بن محمّد بن مطهر صاحب أبی محمّد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المدح یکفیه</w:t>
      </w:r>
      <w:r>
        <w:rPr>
          <w:rFonts w:eastAsia="IRNazanin" w:cs="IRNazanin"/>
          <w:color w:val="111111"/>
          <w:sz w:val="28"/>
          <w:szCs w:val="28"/>
          <w:rtl w:val="true"/>
          <w:lang w:bidi="fa-IR"/>
        </w:rPr>
        <w:t xml:space="preserve">» .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 ـ وفیه أیضاً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فیه عن علی بن إدریس صاحب الرضا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یقول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مدح فیکون الخبر حسناً </w:t>
      </w:r>
      <w:r>
        <w:rPr>
          <w:rFonts w:eastAsia="IRNazanin" w:cs="IRNazanin"/>
          <w:color w:val="111111"/>
          <w:sz w:val="28"/>
          <w:szCs w:val="28"/>
          <w:rtl w:val="true"/>
          <w:lang w:bidi="fa-IR"/>
        </w:rPr>
        <w:t xml:space="preserve">» .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 xml:space="preserve">وفی شرح المشیخة بعد ذکر الصَدوق العباسَ بن معروف فی طریقه إلی إبراهیم بن عبد الحمید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وثّقه الشَّیخ </w:t>
      </w:r>
      <w:r>
        <w:rPr>
          <w:rStyle w:val="FootnoteAnchor"/>
          <w:rtl w:val="true"/>
        </w:rPr>
        <w:footnoteReference w:id="425"/>
      </w:r>
      <w:r>
        <w:rPr>
          <w:rFonts w:ascii="IRNazanin" w:hAnsi="IRNazanin" w:eastAsia="IRNazanin"/>
          <w:color w:val="111111"/>
          <w:sz w:val="28"/>
          <w:sz w:val="28"/>
          <w:szCs w:val="28"/>
          <w:rtl w:val="true"/>
          <w:lang w:bidi="fa-IR"/>
        </w:rPr>
        <w:t xml:space="preserve">والنجاشی </w:t>
      </w:r>
      <w:r>
        <w:rPr>
          <w:rStyle w:val="FootnoteAnchor"/>
          <w:rtl w:val="true"/>
        </w:rPr>
        <w:footnoteReference w:id="426"/>
      </w:r>
      <w:r>
        <w:rPr>
          <w:rFonts w:ascii="Amiri" w:hAnsi="Amiri" w:eastAsia="Amiri" w:cs="Amiri"/>
          <w:color w:val="111111"/>
          <w:sz w:val="28"/>
          <w:sz w:val="28"/>
          <w:szCs w:val="28"/>
          <w:rtl w:val="true"/>
          <w:lang w:bidi="ar-SA"/>
        </w:rPr>
        <w:t xml:space="preserve">والعلاّمة </w:t>
      </w:r>
      <w:r>
        <w:rPr>
          <w:rStyle w:val="FootnoteAnchor"/>
          <w:rtl w:val="true"/>
        </w:rPr>
        <w:footnoteReference w:id="427"/>
      </w:r>
      <w:r>
        <w:rPr>
          <w:rFonts w:ascii="Amiri" w:hAnsi="Amiri" w:eastAsia="Amiri" w:cs="Amiri"/>
          <w:color w:val="111111"/>
          <w:sz w:val="28"/>
          <w:sz w:val="28"/>
          <w:szCs w:val="28"/>
          <w:rtl w:val="true"/>
          <w:lang w:bidi="ar-SA"/>
        </w:rPr>
        <w:t xml:space="preserve">، وقال الشَّیخ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صحیح</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المذهب أو فی الحدیث أو فیهما</w:t>
      </w:r>
      <w:r>
        <w:rPr>
          <w:rFonts w:eastAsia="IRNazanin" w:cs="IRNazanin"/>
          <w:color w:val="111111"/>
          <w:sz w:val="28"/>
          <w:szCs w:val="28"/>
          <w:rtl w:val="true"/>
          <w:lang w:bidi="fa-IR"/>
        </w:rPr>
        <w:t xml:space="preserve">» .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عامل الإمام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المشیخة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فیه عن مصعب بن یزید</w:t>
      </w:r>
      <w:bookmarkStart w:id="352" w:name="pg2516_26555"/>
    </w:p>
    <w:p>
      <w:pPr>
        <w:pStyle w:val="BookText"/>
        <w:rPr/>
      </w:pPr>
      <w:bookmarkEnd w:id="352"/>
      <w:r>
        <w:rPr>
          <w:rFonts w:ascii="IRNazanin" w:hAnsi="IRNazanin" w:eastAsia="IRNazanin"/>
          <w:color w:val="111111"/>
          <w:sz w:val="28"/>
          <w:sz w:val="28"/>
          <w:szCs w:val="28"/>
          <w:rtl w:val="true"/>
          <w:lang w:bidi="fa-IR"/>
        </w:rPr>
        <w:t xml:space="preserve">الأنصاری عامل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یقتضی وصفه بالعدالة</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353" w:name="__RefHeading___Toc4159604_3804643083"/>
      <w:bookmarkStart w:id="354" w:name="_Toc133"/>
      <w:bookmarkEnd w:id="353"/>
      <w:r>
        <w:rPr>
          <w:rtl w:val="true"/>
        </w:rPr>
        <w:t>عین</w:t>
      </w:r>
      <w:bookmarkEnd w:id="354"/>
    </w:p>
    <w:p>
      <w:pPr>
        <w:pStyle w:val="BookText"/>
        <w:rPr/>
      </w:pPr>
      <w:r>
        <w:rPr>
          <w:rFonts w:ascii="IRNazanin" w:hAnsi="IRNazanin" w:eastAsia="IRNazanin"/>
          <w:color w:val="111111"/>
          <w:sz w:val="28"/>
          <w:sz w:val="28"/>
          <w:szCs w:val="28"/>
          <w:rtl w:val="true"/>
          <w:lang w:bidi="fa-IR"/>
        </w:rPr>
        <w:t xml:space="preserve">وفی شرح المشیخة عند ترجمة الحسن بن علی الوشّاء بعد 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هذا الشَّیخ عیناً من عیون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النجاشی </w:t>
      </w:r>
      <w:r>
        <w:rPr>
          <w:rStyle w:val="FootnoteAnchor"/>
          <w:rtl w:val="true"/>
        </w:rPr>
        <w:footnoteReference w:id="431"/>
      </w:r>
      <w:r>
        <w:rPr>
          <w:rFonts w:ascii="IRNazanin" w:hAnsi="IRNazanin" w:eastAsia="IRNazanin"/>
          <w:color w:val="111111"/>
          <w:sz w:val="28"/>
          <w:sz w:val="28"/>
          <w:szCs w:val="28"/>
          <w:rtl w:val="true"/>
          <w:lang w:bidi="fa-IR"/>
        </w:rPr>
        <w:t xml:space="preserve">،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توثیق ؛ لأنّ الظاهر استعارة العین بمعنی المیزان باعتبار صدقه ، کما أنّ الصادق علیه السلام کان یسمّی أبا الصباح الکنانی بالمیزان لصدقه ، ویحتمل أن یکون بمعنی شمسها أو خیارها</w:t>
      </w:r>
      <w:r>
        <w:rPr>
          <w:rFonts w:eastAsia="IRNazanin" w:cs="IRNazanin"/>
          <w:color w:val="111111"/>
          <w:sz w:val="28"/>
          <w:szCs w:val="28"/>
          <w:rtl w:val="true"/>
          <w:lang w:bidi="fa-IR"/>
        </w:rPr>
        <w:t xml:space="preserve">» . </w:t>
      </w:r>
      <w:r>
        <w:rPr>
          <w:rStyle w:val="FootnoteAnchor"/>
          <w:rtl w:val="true"/>
        </w:rPr>
        <w:footnoteReference w:id="432"/>
      </w:r>
    </w:p>
    <w:p>
      <w:pPr>
        <w:pStyle w:val="Heading4"/>
        <w:numPr>
          <w:ilvl w:val="3"/>
          <w:numId w:val="1"/>
        </w:numPr>
        <w:rPr/>
      </w:pPr>
      <w:bookmarkStart w:id="355" w:name="__RefHeading___Toc4159606_3804643083"/>
      <w:bookmarkStart w:id="356" w:name="_Toc134"/>
      <w:bookmarkEnd w:id="355"/>
      <w:r>
        <w:rPr>
          <w:rtl w:val="true"/>
        </w:rPr>
        <w:t>فاضل</w:t>
      </w:r>
      <w:bookmarkEnd w:id="356"/>
    </w:p>
    <w:p>
      <w:pPr>
        <w:pStyle w:val="BookText"/>
        <w:rPr/>
      </w:pPr>
      <w:r>
        <w:rPr>
          <w:rFonts w:ascii="IRNazanin" w:hAnsi="IRNazanin" w:eastAsia="IRNazanin"/>
          <w:color w:val="111111"/>
          <w:sz w:val="28"/>
          <w:sz w:val="28"/>
          <w:szCs w:val="28"/>
          <w:rtl w:val="true"/>
          <w:lang w:bidi="fa-IR"/>
        </w:rPr>
        <w:t>وفی شرح المشیخة عند ترجمة الهیثم بن أبی مسروق بعد نقل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الکشّی </w:t>
      </w:r>
      <w:r>
        <w:rPr>
          <w:rStyle w:val="FootnoteAnchor"/>
          <w:rtl w:val="true"/>
        </w:rPr>
        <w:footnoteReference w:id="433"/>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الظاهر من الفضل فی ذلک الزمان الزیادة فی العلم والعبادة والثقة</w:t>
      </w:r>
      <w:r>
        <w:rPr>
          <w:rFonts w:eastAsia="IRNazanin" w:cs="IRNazanin"/>
          <w:color w:val="111111"/>
          <w:sz w:val="28"/>
          <w:szCs w:val="28"/>
          <w:rtl w:val="true"/>
          <w:lang w:bidi="fa-IR"/>
        </w:rPr>
        <w:t xml:space="preserve">» . </w:t>
      </w:r>
      <w:r>
        <w:rPr>
          <w:rStyle w:val="FootnoteAnchor"/>
          <w:rtl w:val="true"/>
        </w:rPr>
        <w:footnoteReference w:id="434"/>
      </w:r>
    </w:p>
    <w:p>
      <w:pPr>
        <w:pStyle w:val="Heading4"/>
        <w:numPr>
          <w:ilvl w:val="3"/>
          <w:numId w:val="1"/>
        </w:numPr>
        <w:rPr/>
      </w:pPr>
      <w:bookmarkStart w:id="357" w:name="__RefHeading___Toc4159608_3804643083"/>
      <w:bookmarkStart w:id="358" w:name="_Toc135"/>
      <w:bookmarkEnd w:id="357"/>
      <w:r>
        <w:rPr>
          <w:rtl w:val="true"/>
        </w:rPr>
        <w:t>فاضل ، أدیب ، فقیه ، زاهد ، ورع</w:t>
      </w:r>
      <w:bookmarkEnd w:id="3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شرح رجال الفقیه عند ترجمة الحسن بن حمزة الطبری بعد أن ذکر ما وصف به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أدیباً فقیهاً زاهداً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الفهرست </w:t>
      </w:r>
      <w:r>
        <w:rPr>
          <w:rStyle w:val="FootnoteAnchor"/>
          <w:rtl w:val="true"/>
        </w:rPr>
        <w:footnoteReference w:id="4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مشایخ الإجازة غالباً ، ویحکم بصحَّة الخبر ؛ لأنّ هذه المدائح أعلی من التوثیق سیّما الورع</w:t>
      </w:r>
      <w:r>
        <w:rPr>
          <w:rFonts w:eastAsia="IRNazanin" w:cs="IRNazanin"/>
          <w:color w:val="111111"/>
          <w:sz w:val="28"/>
          <w:szCs w:val="28"/>
          <w:rtl w:val="true"/>
          <w:lang w:bidi="fa-IR"/>
        </w:rPr>
        <w:t xml:space="preserve">» . </w:t>
      </w:r>
      <w:r>
        <w:rPr>
          <w:rStyle w:val="FootnoteAnchor"/>
          <w:rtl w:val="true"/>
        </w:rPr>
        <w:footnoteReference w:id="436"/>
      </w:r>
      <w:bookmarkStart w:id="359" w:name="pg2516_26557"/>
    </w:p>
    <w:p>
      <w:pPr>
        <w:pStyle w:val="Heading4"/>
        <w:numPr>
          <w:ilvl w:val="3"/>
          <w:numId w:val="1"/>
        </w:numPr>
        <w:rPr/>
      </w:pPr>
      <w:bookmarkStart w:id="360" w:name="__RefHeading___Toc4159610_3804643083"/>
      <w:bookmarkStart w:id="361" w:name="_Toc136"/>
      <w:bookmarkEnd w:id="359"/>
      <w:bookmarkEnd w:id="360"/>
      <w:r>
        <w:rPr>
          <w:rtl w:val="true"/>
        </w:rPr>
        <w:t>فی أحادیثه مناکیر</w:t>
      </w:r>
      <w:bookmarkEnd w:id="361"/>
    </w:p>
    <w:p>
      <w:pPr>
        <w:pStyle w:val="BookText"/>
        <w:rPr/>
      </w:pPr>
      <w:r>
        <w:rPr>
          <w:rFonts w:ascii="IRNazanin" w:hAnsi="IRNazanin" w:eastAsia="IRNazanin"/>
          <w:color w:val="111111"/>
          <w:sz w:val="28"/>
          <w:sz w:val="28"/>
          <w:szCs w:val="28"/>
          <w:rtl w:val="true"/>
          <w:lang w:bidi="fa-IR"/>
        </w:rPr>
        <w:t xml:space="preserve">ویقول الشارح فی شرح رجال الفقیه عند ترجمة علی بن أحمد العلوی العقیقی بعد أن ذکر قول ابن عبدون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أحادیث العقیقی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الفهرست </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والمنکر ما لم یفهموه ولم یکن موافقاً لعقولهم</w:t>
      </w:r>
      <w:r>
        <w:rPr>
          <w:rFonts w:eastAsia="IRNazanin" w:cs="IRNazanin"/>
          <w:color w:val="111111"/>
          <w:sz w:val="28"/>
          <w:szCs w:val="28"/>
          <w:rtl w:val="true"/>
          <w:lang w:bidi="fa-IR"/>
        </w:rPr>
        <w:t xml:space="preserve">» . </w:t>
      </w:r>
      <w:r>
        <w:rPr>
          <w:rStyle w:val="FootnoteAnchor"/>
          <w:rtl w:val="true"/>
        </w:rPr>
        <w:footnoteReference w:id="438"/>
      </w:r>
    </w:p>
    <w:p>
      <w:pPr>
        <w:pStyle w:val="Heading4"/>
        <w:numPr>
          <w:ilvl w:val="3"/>
          <w:numId w:val="1"/>
        </w:numPr>
        <w:rPr/>
      </w:pPr>
      <w:bookmarkStart w:id="362" w:name="__RefHeading___Toc4159612_3804643083"/>
      <w:bookmarkStart w:id="363" w:name="_Toc137"/>
      <w:bookmarkEnd w:id="362"/>
      <w:r>
        <w:rPr>
          <w:rtl w:val="true"/>
        </w:rPr>
        <w:t>قریب الأمر</w:t>
      </w:r>
      <w:bookmarkEnd w:id="363"/>
    </w:p>
    <w:p>
      <w:pPr>
        <w:pStyle w:val="BookText"/>
        <w:rPr/>
      </w:pPr>
      <w:r>
        <w:rPr>
          <w:rFonts w:ascii="IRNazanin" w:hAnsi="IRNazanin" w:eastAsia="IRNazanin"/>
          <w:color w:val="111111"/>
          <w:sz w:val="28"/>
          <w:sz w:val="28"/>
          <w:szCs w:val="28"/>
          <w:rtl w:val="true"/>
          <w:lang w:bidi="fa-IR"/>
        </w:rPr>
        <w:t>وفی شرح المشیخة عند ترجمة الهیثم بن عبداللّه النهدی بعد نقل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رجال النجاشی </w:t>
      </w:r>
      <w:r>
        <w:rPr>
          <w:rStyle w:val="FootnoteAnchor"/>
          <w:rtl w:val="true"/>
        </w:rPr>
        <w:footnoteReference w:id="439"/>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یقرب من الثقة</w:t>
      </w:r>
      <w:r>
        <w:rPr>
          <w:rFonts w:eastAsia="IRNazanin" w:cs="IRNazanin"/>
          <w:color w:val="111111"/>
          <w:sz w:val="28"/>
          <w:szCs w:val="28"/>
          <w:rtl w:val="true"/>
          <w:lang w:bidi="fa-IR"/>
        </w:rPr>
        <w:t xml:space="preserve">» . </w:t>
      </w:r>
      <w:r>
        <w:rPr>
          <w:rStyle w:val="FootnoteAnchor"/>
          <w:rtl w:val="true"/>
        </w:rPr>
        <w:footnoteReference w:id="440"/>
      </w:r>
    </w:p>
    <w:p>
      <w:pPr>
        <w:pStyle w:val="Heading4"/>
        <w:numPr>
          <w:ilvl w:val="3"/>
          <w:numId w:val="1"/>
        </w:numPr>
        <w:rPr/>
      </w:pPr>
      <w:bookmarkStart w:id="364" w:name="__RefHeading___Toc4159614_3804643083"/>
      <w:bookmarkStart w:id="365" w:name="_Toc138"/>
      <w:bookmarkEnd w:id="364"/>
      <w:r>
        <w:rPr>
          <w:rtl w:val="true"/>
        </w:rPr>
        <w:t>کثرة الروایة</w:t>
      </w:r>
      <w:bookmarkEnd w:id="365"/>
    </w:p>
    <w:p>
      <w:pPr>
        <w:pStyle w:val="BookText"/>
        <w:rPr/>
      </w:pPr>
      <w:r>
        <w:rPr>
          <w:rFonts w:ascii="IRNazanin" w:hAnsi="IRNazanin" w:eastAsia="IRNazanin"/>
          <w:color w:val="111111"/>
          <w:sz w:val="28"/>
          <w:sz w:val="28"/>
          <w:szCs w:val="28"/>
          <w:rtl w:val="true"/>
          <w:lang w:bidi="fa-IR"/>
        </w:rPr>
        <w:t xml:space="preserve">أ ـ یقول الشارح فی شرح المشیخة عند ترجمة علی بن الحسین السَعْدآبادی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 فیه مدح ولا ذمّ ، وکان من مشایخ الإجازة فلا یضرّ جهالته ، وعدّ جماعة من الأصحاب حدیثه حسناً ، والظاهر أنّه لکثرة الروایة</w:t>
      </w:r>
      <w:r>
        <w:rPr>
          <w:rFonts w:eastAsia="IRNazanin" w:cs="IRNazanin"/>
          <w:color w:val="111111"/>
          <w:sz w:val="28"/>
          <w:szCs w:val="28"/>
          <w:rtl w:val="true"/>
          <w:lang w:bidi="fa-IR"/>
        </w:rPr>
        <w:t xml:space="preserve">» . </w:t>
      </w:r>
      <w:r>
        <w:rPr>
          <w:rStyle w:val="FootnoteAnchor"/>
          <w:rtl w:val="true"/>
        </w:rPr>
        <w:footnoteReference w:id="4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وفیه أیضاً عند ترجمة الحسن بن زیاد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ویظهر من کثرة الروایات عنه مع سلامة الجمیع ، حُسنه ـ وتقدّم وسیجیء عنهم ـ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 روایتهم عنّا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ویمدحون بأنّه کثیر الروایة</w:t>
      </w:r>
      <w:r>
        <w:rPr>
          <w:rFonts w:eastAsia="IRNazanin" w:cs="IRNazanin"/>
          <w:color w:val="111111"/>
          <w:sz w:val="28"/>
          <w:szCs w:val="28"/>
          <w:rtl w:val="true"/>
          <w:lang w:bidi="fa-IR"/>
        </w:rPr>
        <w:t xml:space="preserve">» . </w:t>
      </w:r>
      <w:r>
        <w:rPr>
          <w:rStyle w:val="FootnoteAnchor"/>
          <w:rtl w:val="true"/>
        </w:rPr>
        <w:footnoteReference w:id="443"/>
      </w:r>
      <w:bookmarkStart w:id="366" w:name="pg2516_26559"/>
    </w:p>
    <w:p>
      <w:pPr>
        <w:pStyle w:val="Heading4"/>
        <w:numPr>
          <w:ilvl w:val="3"/>
          <w:numId w:val="1"/>
        </w:numPr>
        <w:rPr/>
      </w:pPr>
      <w:bookmarkStart w:id="367" w:name="__RefHeading___Toc4159616_3804643083"/>
      <w:bookmarkStart w:id="368" w:name="_Toc139"/>
      <w:bookmarkEnd w:id="366"/>
      <w:bookmarkEnd w:id="367"/>
      <w:r>
        <w:rPr>
          <w:rtl w:val="true"/>
        </w:rPr>
        <w:t>کثرة المکاتبة مع الإمام</w:t>
      </w:r>
      <w:bookmarkEnd w:id="368"/>
    </w:p>
    <w:p>
      <w:pPr>
        <w:pStyle w:val="BookText"/>
        <w:rPr/>
      </w:pPr>
      <w:r>
        <w:rPr>
          <w:rFonts w:ascii="IRNazanin" w:hAnsi="IRNazanin" w:eastAsia="IRNazanin"/>
          <w:color w:val="111111"/>
          <w:sz w:val="28"/>
          <w:sz w:val="28"/>
          <w:szCs w:val="28"/>
          <w:rtl w:val="true"/>
          <w:lang w:bidi="fa-IR"/>
        </w:rPr>
        <w:t xml:space="preserve">أ ـ یقول الشارح فی باب الوصی یشتری من مال المیت شیئاً ، من کتاب الوصیة بعد نقل الصَدوق مکاتبة الحسین بن إبراهیم الهمدانی ، 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الحکم بصحّته ؛ لأنّ أصحاب مکاتیب الأئمّة علیهم السلام هُم أصحاب أسرارهم کما هو ظاهر من التتبع سیّما فی أزمنة شدة التَقِیّة کأزمنة العسکریین علیهم السلام</w:t>
      </w:r>
      <w:r>
        <w:rPr>
          <w:rFonts w:eastAsia="IRNazanin" w:cs="IRNazanin"/>
          <w:color w:val="111111"/>
          <w:sz w:val="28"/>
          <w:szCs w:val="28"/>
          <w:rtl w:val="true"/>
          <w:lang w:bidi="fa-IR"/>
        </w:rPr>
        <w:t xml:space="preserve">» .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ب ـ وفی شرح المشیخة عند ترجمة محمّد بن سهل بعد 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مسائل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الفهرست </w:t>
      </w:r>
      <w:r>
        <w:rPr>
          <w:rStyle w:val="FootnoteAnchor"/>
          <w:rtl w:val="true"/>
        </w:rPr>
        <w:footnoteReference w:id="445"/>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المسائل کان من المکاتیب وهذا مدح ما ؛ لأنّه لم یکن لکلّ أحد هذه المرتبة سیّما بالنسبة إلی موسی بن جعفر إلی صاحب الزمان علیهماالسلام ، وکلّما کان أعلی کانت أعلی لارتقاء التَقِیّة</w:t>
      </w:r>
      <w:r>
        <w:rPr>
          <w:rFonts w:eastAsia="IRNazanin" w:cs="IRNazanin"/>
          <w:color w:val="111111"/>
          <w:sz w:val="28"/>
          <w:szCs w:val="28"/>
          <w:rtl w:val="true"/>
          <w:lang w:bidi="fa-IR"/>
        </w:rPr>
        <w:t xml:space="preserve">» . </w:t>
      </w:r>
      <w:r>
        <w:rPr>
          <w:rStyle w:val="FootnoteAnchor"/>
          <w:rtl w:val="true"/>
        </w:rPr>
        <w:footnoteReference w:id="446"/>
      </w:r>
    </w:p>
    <w:p>
      <w:pPr>
        <w:pStyle w:val="Heading4"/>
        <w:numPr>
          <w:ilvl w:val="3"/>
          <w:numId w:val="1"/>
        </w:numPr>
        <w:rPr/>
      </w:pPr>
      <w:bookmarkStart w:id="369" w:name="__RefHeading___Toc4159618_3804643083"/>
      <w:bookmarkStart w:id="370" w:name="_Toc140"/>
      <w:bookmarkEnd w:id="369"/>
      <w:r>
        <w:rPr>
          <w:rtl w:val="true"/>
        </w:rPr>
        <w:t>کون الرجل ذا أصل</w:t>
      </w:r>
      <w:bookmarkEnd w:id="370"/>
    </w:p>
    <w:p>
      <w:pPr>
        <w:pStyle w:val="BookText"/>
        <w:rPr/>
      </w:pPr>
      <w:r>
        <w:rPr>
          <w:rFonts w:ascii="IRNazanin" w:hAnsi="IRNazanin" w:eastAsia="IRNazanin"/>
          <w:color w:val="111111"/>
          <w:sz w:val="28"/>
          <w:sz w:val="28"/>
          <w:szCs w:val="28"/>
          <w:rtl w:val="true"/>
          <w:lang w:bidi="fa-IR"/>
        </w:rPr>
        <w:t xml:space="preserve">أ ـ وفی شرح المشیخة عند ترجمة سعدان بن مسلم بعد 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 رواه محمّد بن عذافر ، وصفوان بن یَحیی ، والعباس بن معروف ، وعبداللّه بن الصلت ، وأحمد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الفهرست </w:t>
      </w:r>
      <w:r>
        <w:rPr>
          <w:rStyle w:val="FootnoteAnchor"/>
          <w:rtl w:val="true"/>
        </w:rPr>
        <w:footnoteReference w:id="447"/>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عدّ خبره حسناً لکونه من أصحاب الاُصول مع روایة الثقات الأجلاّء عنه</w:t>
      </w:r>
      <w:r>
        <w:rPr>
          <w:rFonts w:eastAsia="IRNazanin" w:cs="IRNazanin"/>
          <w:color w:val="111111"/>
          <w:sz w:val="28"/>
          <w:szCs w:val="28"/>
          <w:rtl w:val="true"/>
          <w:lang w:bidi="fa-IR"/>
        </w:rPr>
        <w:t xml:space="preserve">» . </w:t>
      </w:r>
      <w:r>
        <w:rPr>
          <w:rStyle w:val="FootnoteAnchor"/>
          <w:rtl w:val="true"/>
        </w:rPr>
        <w:footnoteReference w:id="44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وفی باب أحکام الممالیک والإماء من کتاب النکاح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الحسن بن محبوب عن سعدان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من الاُصول الأربعمئة الّتی اعتمدها الأصحاب من بین الکتب الکثیرة الّتی صنّفوها ،</w:t>
      </w:r>
      <w:bookmarkStart w:id="371" w:name="pg2516_26562"/>
    </w:p>
    <w:p>
      <w:pPr>
        <w:pStyle w:val="BookText"/>
        <w:rPr/>
      </w:pPr>
      <w:bookmarkEnd w:id="371"/>
      <w:r>
        <w:rPr>
          <w:rFonts w:ascii="IRNazanin" w:hAnsi="IRNazanin" w:eastAsia="IRNazanin"/>
          <w:color w:val="111111"/>
          <w:sz w:val="28"/>
          <w:sz w:val="28"/>
          <w:szCs w:val="28"/>
          <w:rtl w:val="true"/>
          <w:lang w:bidi="fa-IR"/>
        </w:rPr>
        <w:t>وهذا إن لم یکن توثیقاً فلا أقلّ من کونه ممدوحاً</w:t>
      </w:r>
      <w:r>
        <w:rPr>
          <w:rFonts w:eastAsia="IRNazanin" w:cs="IRNazanin"/>
          <w:color w:val="111111"/>
          <w:sz w:val="28"/>
          <w:szCs w:val="28"/>
          <w:rtl w:val="true"/>
          <w:lang w:bidi="fa-IR"/>
        </w:rPr>
        <w:t xml:space="preserve">» . </w:t>
      </w:r>
      <w:r>
        <w:rPr>
          <w:rStyle w:val="FootnoteAnchor"/>
          <w:rtl w:val="true"/>
        </w:rPr>
        <w:footnoteReference w:id="449"/>
      </w:r>
    </w:p>
    <w:p>
      <w:pPr>
        <w:pStyle w:val="Heading4"/>
        <w:numPr>
          <w:ilvl w:val="3"/>
          <w:numId w:val="1"/>
        </w:numPr>
        <w:rPr/>
      </w:pPr>
      <w:bookmarkStart w:id="372" w:name="__RefHeading___Toc4159620_3804643083"/>
      <w:bookmarkStart w:id="373" w:name="_Toc141"/>
      <w:bookmarkEnd w:id="372"/>
      <w:r>
        <w:rPr>
          <w:rtl w:val="true"/>
        </w:rPr>
        <w:t>لا بأس به</w:t>
      </w:r>
      <w:bookmarkEnd w:id="373"/>
    </w:p>
    <w:p>
      <w:pPr>
        <w:pStyle w:val="BookText"/>
        <w:rPr/>
      </w:pPr>
      <w:r>
        <w:rPr>
          <w:rFonts w:ascii="IRNazanin" w:hAnsi="IRNazanin" w:eastAsia="IRNazanin"/>
          <w:color w:val="111111"/>
          <w:sz w:val="28"/>
          <w:sz w:val="28"/>
          <w:szCs w:val="28"/>
          <w:rtl w:val="true"/>
          <w:lang w:bidi="fa-IR"/>
        </w:rPr>
        <w:t>وفی شرح المشیخة عند ترجمة المثنی بن الولید بعد نقل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الکشّی </w:t>
      </w:r>
      <w:r>
        <w:rPr>
          <w:rStyle w:val="FootnoteAnchor"/>
          <w:rtl w:val="true"/>
        </w:rPr>
        <w:footnoteReference w:id="450"/>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بدینه أو بروایة ، وعدّة الأصحاب مدحاً</w:t>
      </w:r>
      <w:r>
        <w:rPr>
          <w:rFonts w:eastAsia="IRNazanin" w:cs="IRNazanin"/>
          <w:color w:val="111111"/>
          <w:sz w:val="28"/>
          <w:szCs w:val="28"/>
          <w:rtl w:val="true"/>
          <w:lang w:bidi="fa-IR"/>
        </w:rPr>
        <w:t xml:space="preserve">» . </w:t>
      </w:r>
      <w:r>
        <w:rPr>
          <w:rStyle w:val="FootnoteAnchor"/>
          <w:rtl w:val="true"/>
        </w:rPr>
        <w:footnoteReference w:id="451"/>
      </w:r>
    </w:p>
    <w:p>
      <w:pPr>
        <w:pStyle w:val="Heading4"/>
        <w:numPr>
          <w:ilvl w:val="3"/>
          <w:numId w:val="1"/>
        </w:numPr>
        <w:rPr/>
      </w:pPr>
      <w:bookmarkStart w:id="374" w:name="__RefHeading___Toc4159622_3804643083"/>
      <w:bookmarkStart w:id="375" w:name="_Toc142"/>
      <w:bookmarkEnd w:id="374"/>
      <w:r>
        <w:rPr>
          <w:rtl w:val="true"/>
        </w:rPr>
        <w:t>لم یکن بذلک</w:t>
      </w:r>
      <w:bookmarkEnd w:id="375"/>
    </w:p>
    <w:p>
      <w:pPr>
        <w:pStyle w:val="BookText"/>
        <w:rPr/>
      </w:pPr>
      <w:r>
        <w:rPr>
          <w:rFonts w:ascii="IRNazanin" w:hAnsi="IRNazanin" w:eastAsia="IRNazanin"/>
          <w:color w:val="111111"/>
          <w:sz w:val="28"/>
          <w:sz w:val="28"/>
          <w:szCs w:val="28"/>
          <w:rtl w:val="true"/>
          <w:lang w:bidi="fa-IR"/>
        </w:rPr>
        <w:t>وفی شرح المشیخة عند ترجمة الفضل بن أبی قرة بعد نقل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النجاشی </w:t>
      </w:r>
      <w:r>
        <w:rPr>
          <w:rStyle w:val="FootnoteAnchor"/>
          <w:rtl w:val="true"/>
        </w:rPr>
        <w:footnoteReference w:id="452"/>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فی کمال الثقة</w:t>
      </w:r>
      <w:r>
        <w:rPr>
          <w:rFonts w:eastAsia="IRNazanin" w:cs="IRNazanin"/>
          <w:color w:val="111111"/>
          <w:sz w:val="28"/>
          <w:szCs w:val="28"/>
          <w:rtl w:val="true"/>
          <w:lang w:bidi="fa-IR"/>
        </w:rPr>
        <w:t xml:space="preserve">» .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مخلّط</w:t>
      </w:r>
    </w:p>
    <w:p>
      <w:pPr>
        <w:pStyle w:val="BookText"/>
        <w:rPr/>
      </w:pPr>
      <w:r>
        <w:rPr>
          <w:rFonts w:ascii="IRNazanin" w:hAnsi="IRNazanin" w:eastAsia="IRNazanin"/>
          <w:color w:val="111111"/>
          <w:sz w:val="28"/>
          <w:sz w:val="28"/>
          <w:szCs w:val="28"/>
          <w:rtl w:val="true"/>
          <w:lang w:bidi="fa-IR"/>
        </w:rPr>
        <w:t xml:space="preserve">أ ـ وفی شرح المشیخة عند ترجمة عمر بن عبد العزیز بعد نقل وصفه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النجاشی </w:t>
      </w:r>
      <w:r>
        <w:rPr>
          <w:rStyle w:val="FootnoteAnchor"/>
          <w:rtl w:val="true"/>
        </w:rPr>
        <w:footnoteReference w:id="454"/>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یدخل أخبار الغُلاة أو العامّة فی کتابه</w:t>
      </w:r>
      <w:r>
        <w:rPr>
          <w:rFonts w:eastAsia="IRNazanin" w:cs="IRNazanin"/>
          <w:color w:val="111111"/>
          <w:sz w:val="28"/>
          <w:szCs w:val="28"/>
          <w:rtl w:val="true"/>
          <w:lang w:bidi="fa-IR"/>
        </w:rPr>
        <w:t xml:space="preserve">» . </w:t>
      </w:r>
      <w:r>
        <w:rPr>
          <w:rStyle w:val="FootnoteAnchor"/>
          <w:rtl w:val="true"/>
        </w:rPr>
        <w:footnoteReference w:id="4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وفی باب ابتداء الکعبة وفضلها وفضل الحرم من کتاب الحجّ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 عیسی بن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أبی العوجاء من تلامذة الحسن البصری فانحرف عن التوحید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مذهب صاحبک ودخلت فیما لا أصل له ولا حقیقة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صاحبی کان مخلّطاً کان یقول طوراً بالقدر ، وطوراً بالجبر ، وما أَعلمُه اعتقد مذهباً دام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لم یکن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للحسن البصری </w:t>
      </w:r>
      <w:r>
        <w:rPr>
          <w:rFonts w:eastAsia="IRNazanin" w:cs="IRNazanin"/>
          <w:color w:val="111111"/>
          <w:sz w:val="28"/>
          <w:szCs w:val="28"/>
          <w:rtl w:val="true"/>
          <w:lang w:bidi="fa-IR"/>
        </w:rPr>
        <w:t>]</w:t>
      </w:r>
      <w:bookmarkStart w:id="376" w:name="pg2516_26564"/>
    </w:p>
    <w:p>
      <w:pPr>
        <w:pStyle w:val="BookText"/>
        <w:rPr/>
      </w:pPr>
      <w:bookmarkEnd w:id="376"/>
      <w:r>
        <w:rPr>
          <w:rFonts w:ascii="IRNazanin" w:hAnsi="IRNazanin" w:eastAsia="IRNazanin"/>
          <w:color w:val="111111"/>
          <w:sz w:val="28"/>
          <w:sz w:val="28"/>
          <w:szCs w:val="28"/>
          <w:rtl w:val="true"/>
          <w:lang w:bidi="fa-IR"/>
        </w:rPr>
        <w:t>رأی مستقیم ؛ کان مرّة له رأی القدریة الّذی یقولون بقدرة العبد ، ومرّة له رأی الجبریة بأن لا قدرة للعبد وإذا تکلّم بالجبر لم یدع قدرة العبد ، وإذا تکلّم بالاستطاعة لم یترک التوفیق من اللّه لعبده ، أو لم یکن به مذهب مستقیم ، وکان هذا مثالاً فترک ابن أبی العوجاء مذهبه لأمثال هذه الأشیاء</w:t>
      </w:r>
      <w:r>
        <w:rPr>
          <w:rFonts w:eastAsia="IRNazanin" w:cs="IRNazanin"/>
          <w:color w:val="111111"/>
          <w:sz w:val="28"/>
          <w:szCs w:val="28"/>
          <w:rtl w:val="true"/>
          <w:lang w:bidi="fa-IR"/>
        </w:rPr>
        <w:t xml:space="preserve">» . </w:t>
      </w:r>
      <w:r>
        <w:rPr>
          <w:rStyle w:val="FootnoteAnchor"/>
          <w:rtl w:val="true"/>
        </w:rPr>
        <w:footnoteReference w:id="456"/>
      </w:r>
    </w:p>
    <w:p>
      <w:pPr>
        <w:pStyle w:val="Heading4"/>
        <w:numPr>
          <w:ilvl w:val="3"/>
          <w:numId w:val="1"/>
        </w:numPr>
        <w:rPr/>
      </w:pPr>
      <w:bookmarkStart w:id="377" w:name="__RefHeading___Toc4159624_3804643083"/>
      <w:bookmarkStart w:id="378" w:name="_Toc143"/>
      <w:bookmarkEnd w:id="377"/>
      <w:r>
        <w:rPr>
          <w:rtl w:val="true"/>
        </w:rPr>
        <w:t>مرضی</w:t>
      </w:r>
      <w:bookmarkEnd w:id="378"/>
    </w:p>
    <w:p>
      <w:pPr>
        <w:pStyle w:val="BookText"/>
        <w:rPr/>
      </w:pPr>
      <w:r>
        <w:rPr>
          <w:rFonts w:ascii="IRNazanin" w:hAnsi="IRNazanin" w:eastAsia="IRNazanin"/>
          <w:color w:val="111111"/>
          <w:sz w:val="28"/>
          <w:sz w:val="28"/>
          <w:szCs w:val="28"/>
          <w:rtl w:val="true"/>
          <w:lang w:bidi="fa-IR"/>
        </w:rPr>
        <w:t xml:space="preserve">وفی شرح المشیخة عند ترجمة عبد العظیم بن عبداللّه الحسنی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کان فی دینه صحیحاً والأصحاب یرضون حدیثه ویعملون به</w:t>
      </w:r>
      <w:r>
        <w:rPr>
          <w:rFonts w:eastAsia="IRNazanin" w:cs="IRNazanin"/>
          <w:color w:val="111111"/>
          <w:sz w:val="28"/>
          <w:szCs w:val="28"/>
          <w:rtl w:val="true"/>
          <w:lang w:bidi="fa-IR"/>
        </w:rPr>
        <w:t xml:space="preserve">» . </w:t>
      </w:r>
      <w:r>
        <w:rPr>
          <w:rStyle w:val="FootnoteAnchor"/>
          <w:rtl w:val="true"/>
        </w:rPr>
        <w:footnoteReference w:id="457"/>
      </w:r>
    </w:p>
    <w:p>
      <w:pPr>
        <w:pStyle w:val="Heading4"/>
        <w:numPr>
          <w:ilvl w:val="3"/>
          <w:numId w:val="1"/>
        </w:numPr>
        <w:rPr/>
      </w:pPr>
      <w:bookmarkStart w:id="379" w:name="__RefHeading___Toc4159626_3804643083"/>
      <w:bookmarkStart w:id="380" w:name="_Toc144"/>
      <w:bookmarkEnd w:id="379"/>
      <w:r>
        <w:rPr>
          <w:rtl w:val="true"/>
        </w:rPr>
        <w:t>من أجلاّء هذه الطائفة وفقهائها</w:t>
      </w:r>
      <w:bookmarkEnd w:id="380"/>
    </w:p>
    <w:p>
      <w:pPr>
        <w:pStyle w:val="BookText"/>
        <w:rPr/>
      </w:pPr>
      <w:r>
        <w:rPr>
          <w:rFonts w:ascii="IRNazanin" w:hAnsi="IRNazanin" w:eastAsia="IRNazanin"/>
          <w:color w:val="111111"/>
          <w:sz w:val="28"/>
          <w:sz w:val="28"/>
          <w:szCs w:val="28"/>
          <w:rtl w:val="true"/>
          <w:lang w:bidi="fa-IR"/>
        </w:rPr>
        <w:t>وفی شرح رجال الفقیه عند ترجمة الحسن بن حمزة الطبری بعد نقل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أجلاء هذه الطائفة وفقهائها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النجاشی </w:t>
      </w:r>
      <w:r>
        <w:rPr>
          <w:rStyle w:val="FootnoteAnchor"/>
          <w:rtl w:val="true"/>
        </w:rPr>
        <w:footnoteReference w:id="458"/>
      </w:r>
      <w:r>
        <w:rPr>
          <w:rFonts w:ascii="Amiri" w:hAnsi="Amiri" w:eastAsia="Amiri" w:cs="Amiri"/>
          <w:color w:val="111111"/>
          <w:sz w:val="28"/>
          <w:sz w:val="28"/>
          <w:szCs w:val="28"/>
          <w:rtl w:val="true"/>
          <w:lang w:bidi="ar-SA"/>
        </w:rPr>
        <w:t>ووصفه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فاضلاً أدیباً فقیهاً زاهداً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الفهرست </w:t>
      </w:r>
      <w:r>
        <w:rPr>
          <w:rStyle w:val="FootnoteAnchor"/>
          <w:rtl w:val="true"/>
        </w:rPr>
        <w:footnoteReference w:id="459"/>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هذه المدائح أعلی من التوثیق سیّما الورع</w:t>
      </w:r>
      <w:r>
        <w:rPr>
          <w:rFonts w:eastAsia="IRNazanin" w:cs="IRNazanin"/>
          <w:color w:val="111111"/>
          <w:sz w:val="28"/>
          <w:szCs w:val="28"/>
          <w:rtl w:val="true"/>
          <w:lang w:bidi="fa-IR"/>
        </w:rPr>
        <w:t xml:space="preserve">» . </w:t>
      </w:r>
      <w:r>
        <w:rPr>
          <w:rStyle w:val="FootnoteAnchor"/>
          <w:rtl w:val="true"/>
        </w:rPr>
        <w:footnoteReference w:id="460"/>
      </w:r>
    </w:p>
    <w:p>
      <w:pPr>
        <w:pStyle w:val="Heading4"/>
        <w:numPr>
          <w:ilvl w:val="3"/>
          <w:numId w:val="1"/>
        </w:numPr>
        <w:rPr/>
      </w:pPr>
      <w:bookmarkStart w:id="381" w:name="__RefHeading___Toc4159628_3804643083"/>
      <w:bookmarkStart w:id="382" w:name="_Toc145"/>
      <w:bookmarkEnd w:id="381"/>
      <w:r>
        <w:rPr>
          <w:rtl w:val="true"/>
        </w:rPr>
        <w:t>من وجوه أهل الأدب</w:t>
      </w:r>
      <w:bookmarkEnd w:id="3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المشیخة عند ترجمة عبداللّه بن الحسین المؤدِّب بعد نقل وصفه</w:t>
      </w:r>
      <w:bookmarkStart w:id="383" w:name="pg2516_26566"/>
    </w:p>
    <w:p>
      <w:pPr>
        <w:pStyle w:val="BookText"/>
        <w:rPr/>
      </w:pPr>
      <w:bookmarkEnd w:id="383"/>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وجوه أهل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النجاشی </w:t>
      </w:r>
      <w:r>
        <w:rPr>
          <w:rStyle w:val="FootnoteAnchor"/>
          <w:rtl w:val="true"/>
        </w:rPr>
        <w:footnoteReference w:id="461"/>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النحو والصرف واللغة</w:t>
      </w:r>
      <w:r>
        <w:rPr>
          <w:rFonts w:eastAsia="IRNazanin" w:cs="IRNazanin"/>
          <w:color w:val="111111"/>
          <w:sz w:val="28"/>
          <w:szCs w:val="28"/>
          <w:rtl w:val="true"/>
          <w:lang w:bidi="fa-IR"/>
        </w:rPr>
        <w:t xml:space="preserve">» . </w:t>
      </w:r>
      <w:r>
        <w:rPr>
          <w:rStyle w:val="FootnoteAnchor"/>
          <w:rtl w:val="true"/>
        </w:rPr>
        <w:footnoteReference w:id="462"/>
      </w:r>
    </w:p>
    <w:p>
      <w:pPr>
        <w:pStyle w:val="Heading4"/>
        <w:numPr>
          <w:ilvl w:val="3"/>
          <w:numId w:val="1"/>
        </w:numPr>
        <w:rPr/>
      </w:pPr>
      <w:bookmarkStart w:id="384" w:name="__RefHeading___Toc4159630_3804643083"/>
      <w:bookmarkStart w:id="385" w:name="_Toc146"/>
      <w:bookmarkEnd w:id="384"/>
      <w:r>
        <w:rPr>
          <w:rtl w:val="true"/>
        </w:rPr>
        <w:t>موافقة روایات الرجل الأخبار الصحیحة وصحَّة مضمونها</w:t>
      </w:r>
      <w:bookmarkEnd w:id="385"/>
    </w:p>
    <w:p>
      <w:pPr>
        <w:pStyle w:val="BookText"/>
        <w:rPr/>
      </w:pPr>
      <w:r>
        <w:rPr>
          <w:rFonts w:ascii="IRNazanin" w:hAnsi="IRNazanin" w:eastAsia="IRNazanin"/>
          <w:color w:val="111111"/>
          <w:sz w:val="28"/>
          <w:sz w:val="28"/>
          <w:szCs w:val="28"/>
          <w:rtl w:val="true"/>
          <w:lang w:bidi="fa-IR"/>
        </w:rPr>
        <w:t xml:space="preserve">أ ـ یقول الشارح فی ترجمة القاسم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کثرة روایة الحسین بن سعید ومن صحَّة أخباره لموافقته الأخبار الصحیحة کونه ثقة ، لکن الأصحاب ذهبوا علی طرح أخباره فی کتب الرجال ، وأمّا فی النقل والعمل فهم مطبقون علیهما</w:t>
      </w:r>
      <w:r>
        <w:rPr>
          <w:rFonts w:eastAsia="IRNazanin" w:cs="IRNazanin"/>
          <w:color w:val="111111"/>
          <w:sz w:val="28"/>
          <w:szCs w:val="28"/>
          <w:rtl w:val="true"/>
          <w:lang w:bidi="fa-IR"/>
        </w:rPr>
        <w:t xml:space="preserve">» .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 ـ یقول الشارح فی ترجمة مسعدة بن صدقة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یظهر من أخباره الّتی فی الکتب أنّه ثقة ؛ لأنّ جمیع ما یرویه فی غایة المتانة ، موافقة لما یرویه الثقات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عملت الطائفة بما رواه هو وأمثاله من العامّة</w:t>
      </w:r>
      <w:r>
        <w:rPr>
          <w:rFonts w:eastAsia="IRNazanin" w:cs="IRNazanin"/>
          <w:color w:val="111111"/>
          <w:sz w:val="28"/>
          <w:szCs w:val="28"/>
          <w:rtl w:val="true"/>
          <w:lang w:bidi="fa-IR"/>
        </w:rPr>
        <w:t xml:space="preserve">» . </w:t>
      </w:r>
      <w:r>
        <w:rPr>
          <w:rStyle w:val="FootnoteAnchor"/>
          <w:rtl w:val="true"/>
        </w:rPr>
        <w:footnoteReference w:id="464"/>
      </w:r>
    </w:p>
    <w:p>
      <w:pPr>
        <w:pStyle w:val="Heading4"/>
        <w:numPr>
          <w:ilvl w:val="3"/>
          <w:numId w:val="1"/>
        </w:numPr>
        <w:rPr/>
      </w:pPr>
      <w:bookmarkStart w:id="386" w:name="__RefHeading___Toc4159632_3804643083"/>
      <w:bookmarkStart w:id="387" w:name="_Toc147"/>
      <w:bookmarkEnd w:id="386"/>
      <w:r>
        <w:rPr>
          <w:rtl w:val="true"/>
        </w:rPr>
        <w:t>وافد</w:t>
      </w:r>
      <w:bookmarkEnd w:id="3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المشیخة عند ترجمة عمر بن محمّد بن یزید بعد أن 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 جلیل ، أحد من کان یفد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النجاشی </w:t>
      </w:r>
      <w:r>
        <w:rPr>
          <w:rStyle w:val="FootnoteAnchor"/>
          <w:rtl w:val="true"/>
        </w:rPr>
        <w:footnoteReference w:id="465"/>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والمراد بالوفود أنّ أهل الکوفة لمّا لم یمکنهم ملازمة المعصومین علیهم السلام کانوا یرسلون إلی خدمتهم علیهم السلامجماعة لأخذ المسائل ویرسلون المکاتیب المشتملة علی المسائل ویجیبون علیهم السلاممسائلهم ، ولبعث الخمس والزکاة وأمثالهما ، ومنهم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مدح عظیم یشتمل علی اعتماد المعصومین علیهم السلامعلیه واعتماد الأصحاب بثقته</w:t>
      </w:r>
      <w:r>
        <w:rPr>
          <w:rFonts w:eastAsia="IRNazanin" w:cs="IRNazanin"/>
          <w:color w:val="111111"/>
          <w:sz w:val="28"/>
          <w:szCs w:val="28"/>
          <w:rtl w:val="true"/>
          <w:lang w:bidi="fa-IR"/>
        </w:rPr>
        <w:t xml:space="preserve">» . </w:t>
      </w:r>
      <w:r>
        <w:rPr>
          <w:rStyle w:val="FootnoteAnchor"/>
          <w:rtl w:val="true"/>
        </w:rPr>
        <w:footnoteReference w:id="466"/>
      </w:r>
      <w:bookmarkStart w:id="388" w:name="pg2516_26568"/>
    </w:p>
    <w:p>
      <w:pPr>
        <w:pStyle w:val="Heading4"/>
        <w:numPr>
          <w:ilvl w:val="3"/>
          <w:numId w:val="1"/>
        </w:numPr>
        <w:rPr/>
      </w:pPr>
      <w:bookmarkStart w:id="389" w:name="__RefHeading___Toc4159634_3804643083"/>
      <w:bookmarkStart w:id="390" w:name="_Toc148"/>
      <w:bookmarkEnd w:id="388"/>
      <w:bookmarkEnd w:id="389"/>
      <w:r>
        <w:rPr>
          <w:rtl w:val="true"/>
        </w:rPr>
        <w:t>وجه</w:t>
      </w:r>
      <w:bookmarkEnd w:id="390"/>
    </w:p>
    <w:p>
      <w:pPr>
        <w:pStyle w:val="BookText"/>
        <w:rPr/>
      </w:pPr>
      <w:r>
        <w:rPr>
          <w:rFonts w:ascii="IRNazanin" w:hAnsi="IRNazanin" w:eastAsia="IRNazanin"/>
          <w:color w:val="111111"/>
          <w:sz w:val="28"/>
          <w:sz w:val="28"/>
          <w:szCs w:val="28"/>
          <w:rtl w:val="true"/>
          <w:lang w:bidi="fa-IR"/>
        </w:rPr>
        <w:t>وفی شرح المشیخة عند ترجمة الحسن بن علی الوشاء بعد نقل وصفه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 وجوه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رجال النجاشی </w:t>
      </w:r>
      <w:r>
        <w:rPr>
          <w:rStyle w:val="FootnoteAnchor"/>
          <w:rtl w:val="true"/>
        </w:rPr>
        <w:footnoteReference w:id="467"/>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الظاهر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 لأنَّ دأب علمائنا السابقین کان فی نقل الأخبار ألاّ ینقلوا إلاّ عمّن یکون فی غایة الثقة ، ولم یکن یومئذٍ مال ولا جاه حتّی یتوجهوا إلیهم لهما بخلاف الیوم</w:t>
      </w:r>
      <w:r>
        <w:rPr>
          <w:rFonts w:eastAsia="IRNazanin" w:cs="IRNazanin"/>
          <w:color w:val="111111"/>
          <w:sz w:val="28"/>
          <w:szCs w:val="28"/>
          <w:rtl w:val="true"/>
          <w:lang w:bidi="fa-IR"/>
        </w:rPr>
        <w:t xml:space="preserve">» . </w:t>
      </w:r>
      <w:r>
        <w:rPr>
          <w:rStyle w:val="FootnoteAnchor"/>
          <w:rtl w:val="true"/>
        </w:rPr>
        <w:footnoteReference w:id="468"/>
      </w:r>
    </w:p>
    <w:p>
      <w:pPr>
        <w:pStyle w:val="Heading4"/>
        <w:numPr>
          <w:ilvl w:val="3"/>
          <w:numId w:val="1"/>
        </w:numPr>
        <w:rPr/>
      </w:pPr>
      <w:bookmarkStart w:id="391" w:name="__RefHeading___Toc4159636_3804643083"/>
      <w:bookmarkStart w:id="392" w:name="_Toc149"/>
      <w:bookmarkEnd w:id="391"/>
      <w:r>
        <w:rPr>
          <w:rtl w:val="true"/>
        </w:rPr>
        <w:t>ورع</w:t>
      </w:r>
      <w:bookmarkEnd w:id="392"/>
    </w:p>
    <w:p>
      <w:pPr>
        <w:pStyle w:val="BookText"/>
        <w:rPr/>
      </w:pPr>
      <w:r>
        <w:rPr>
          <w:rFonts w:ascii="IRNazanin" w:hAnsi="IRNazanin" w:eastAsia="IRNazanin"/>
          <w:color w:val="111111"/>
          <w:sz w:val="28"/>
          <w:sz w:val="28"/>
          <w:szCs w:val="28"/>
          <w:rtl w:val="true"/>
          <w:lang w:bidi="fa-IR"/>
        </w:rPr>
        <w:t xml:space="preserve">اُنظر ما تقدّم فی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 أدیب ، فقیه ، زاهد ،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أجلاّء هذه الطائفة وفقهائها</w:t>
      </w:r>
      <w:r>
        <w:rPr>
          <w:rFonts w:eastAsia="IRNazanin" w:cs="IRNazanin"/>
          <w:color w:val="111111"/>
          <w:sz w:val="28"/>
          <w:szCs w:val="28"/>
          <w:rtl w:val="true"/>
          <w:lang w:bidi="fa-IR"/>
        </w:rPr>
        <w:t>» .</w:t>
      </w:r>
    </w:p>
    <w:p>
      <w:pPr>
        <w:pStyle w:val="Heading4"/>
        <w:numPr>
          <w:ilvl w:val="3"/>
          <w:numId w:val="1"/>
        </w:numPr>
        <w:rPr/>
      </w:pPr>
      <w:bookmarkStart w:id="393" w:name="__RefHeading___Toc4159638_3804643083"/>
      <w:bookmarkStart w:id="394" w:name="_Toc150"/>
      <w:bookmarkEnd w:id="393"/>
      <w:r>
        <w:rPr>
          <w:rtl w:val="true"/>
        </w:rPr>
        <w:t>الوکالة عن الإمام</w:t>
      </w:r>
      <w:bookmarkEnd w:id="394"/>
    </w:p>
    <w:p>
      <w:pPr>
        <w:pStyle w:val="BookText"/>
        <w:rPr/>
      </w:pPr>
      <w:r>
        <w:rPr>
          <w:rFonts w:ascii="IRNazanin" w:hAnsi="IRNazanin" w:eastAsia="IRNazanin"/>
          <w:color w:val="111111"/>
          <w:sz w:val="28"/>
          <w:sz w:val="28"/>
          <w:szCs w:val="28"/>
          <w:rtl w:val="true"/>
          <w:lang w:bidi="fa-IR"/>
        </w:rPr>
        <w:t xml:space="preserve">یقول الشارح فی شرح رجال الفقیه عند ترجمة عبد الرحمن بن سیابة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عبد الرحمن بن سیابة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دفع إلیّ أبو عبداللّه علیه السلام دنانیر وأمرنی أن اقسّمها فی عیالات من اُصیب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 فقسّمتها فأصاب عیال عبداللّه بن زبیر الرسّان أربعة دنانیر</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الوکالة المستلزمة للعدالة مع الوثوق</w:t>
      </w:r>
      <w:r>
        <w:rPr>
          <w:rFonts w:eastAsia="IRNazanin" w:cs="IRNazanin"/>
          <w:color w:val="111111"/>
          <w:sz w:val="28"/>
          <w:szCs w:val="28"/>
          <w:rtl w:val="true"/>
          <w:lang w:bidi="fa-IR"/>
        </w:rPr>
        <w:t xml:space="preserve">» . </w:t>
      </w:r>
      <w:r>
        <w:rPr>
          <w:rStyle w:val="FootnoteAnchor"/>
          <w:rtl w:val="true"/>
        </w:rPr>
        <w:footnoteReference w:id="470"/>
      </w:r>
    </w:p>
    <w:p>
      <w:pPr>
        <w:pStyle w:val="Heading4"/>
        <w:numPr>
          <w:ilvl w:val="3"/>
          <w:numId w:val="1"/>
        </w:numPr>
        <w:rPr/>
      </w:pPr>
      <w:bookmarkStart w:id="395" w:name="__RefHeading___Toc4159640_3804643083"/>
      <w:bookmarkStart w:id="396" w:name="_Toc151"/>
      <w:bookmarkEnd w:id="395"/>
      <w:r>
        <w:rPr>
          <w:rtl w:val="true"/>
        </w:rPr>
        <w:t>یُعرف ویُنکر</w:t>
      </w:r>
      <w:bookmarkEnd w:id="39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المشیخة عند ترجمة محمّد بن خالد البرقی بعد أن ذکر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وینکر ، یروی عن الضُعَفاء کثیراً ، ویعتمد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الغضائری </w:t>
      </w:r>
      <w:r>
        <w:rPr>
          <w:rStyle w:val="FootnoteAnchor"/>
          <w:rtl w:val="true"/>
        </w:rPr>
        <w:footnoteReference w:id="471"/>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فمعناه أنّه إذا روی مسنداً من الثقات فمعروف وحَسن ، وإذا روی عن الضُعَفاء أو مرسلاً فمنکر</w:t>
      </w:r>
      <w:r>
        <w:rPr>
          <w:rFonts w:eastAsia="IRNazanin" w:cs="IRNazanin"/>
          <w:color w:val="111111"/>
          <w:sz w:val="28"/>
          <w:szCs w:val="28"/>
          <w:rtl w:val="true"/>
          <w:lang w:bidi="fa-IR"/>
        </w:rPr>
        <w:t xml:space="preserve">» . </w:t>
      </w:r>
      <w:r>
        <w:rPr>
          <w:rStyle w:val="FootnoteAnchor"/>
          <w:rtl w:val="true"/>
        </w:rPr>
        <w:footnoteReference w:id="472"/>
      </w:r>
      <w:bookmarkStart w:id="397" w:name="pg2516_26572"/>
    </w:p>
    <w:p>
      <w:pPr>
        <w:pStyle w:val="Heading3"/>
        <w:numPr>
          <w:ilvl w:val="2"/>
          <w:numId w:val="1"/>
        </w:numPr>
        <w:rPr/>
      </w:pPr>
      <w:bookmarkStart w:id="398" w:name="__RefHeading___Toc4159642_3804643083"/>
      <w:bookmarkStart w:id="399" w:name="_Toc152"/>
      <w:bookmarkEnd w:id="397"/>
      <w:bookmarkEnd w:id="398"/>
      <w:r>
        <w:rPr>
          <w:rtl w:val="true"/>
        </w:rPr>
        <w:t xml:space="preserve">الفصل السادس </w:t>
      </w:r>
      <w:r>
        <w:rPr>
          <w:rtl w:val="true"/>
        </w:rPr>
        <w:t xml:space="preserve">: </w:t>
      </w:r>
      <w:r>
        <w:rPr>
          <w:rtl w:val="true"/>
        </w:rPr>
        <w:t>مصطلحات فی الدرایة والرجال</w:t>
      </w:r>
      <w:bookmarkEnd w:id="399"/>
    </w:p>
    <w:p>
      <w:pPr>
        <w:pStyle w:val="Heading4"/>
        <w:numPr>
          <w:ilvl w:val="3"/>
          <w:numId w:val="1"/>
        </w:numPr>
        <w:rPr/>
      </w:pPr>
      <w:bookmarkStart w:id="400" w:name="__RefHeading___Toc4159644_3804643083"/>
      <w:bookmarkStart w:id="401" w:name="_Toc153"/>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 xml:space="preserve">نورد فیما یلی هذه المصطلحات مرتّبة علی حروف المعجم ونذیّل کلّ واحد منها بما قاله الشارح فی تفسیرها ، علماً بأنّه لم یفسّر من المصطلحات الرائجة إلاّ النزر الیسیر منها ، وندرج خلالها ما ذکره الشارح من الرموز </w:t>
      </w:r>
      <w:r>
        <w:rPr>
          <w:rFonts w:eastAsia="IRNazanin" w:cs="IRNazanin"/>
          <w:color w:val="111111"/>
          <w:sz w:val="28"/>
          <w:szCs w:val="28"/>
          <w:rtl w:val="true"/>
          <w:lang w:bidi="fa-IR"/>
        </w:rPr>
        <w:t>:</w:t>
      </w:r>
    </w:p>
    <w:p>
      <w:pPr>
        <w:pStyle w:val="Heading4"/>
        <w:numPr>
          <w:ilvl w:val="3"/>
          <w:numId w:val="1"/>
        </w:numPr>
        <w:rPr/>
      </w:pPr>
      <w:bookmarkStart w:id="402" w:name="__RefHeading___Toc4159646_3804643083"/>
      <w:bookmarkStart w:id="403" w:name="_Toc154"/>
      <w:bookmarkEnd w:id="402"/>
      <w:r>
        <w:rPr>
          <w:rtl w:val="true"/>
        </w:rPr>
        <w:t>أبو إبراهیم</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إبراهیم فهو الکاظم علیه السلام </w:t>
      </w:r>
      <w:r>
        <w:rPr>
          <w:rFonts w:eastAsia="IRNazanin" w:cs="IRNazanin"/>
          <w:color w:val="111111"/>
          <w:sz w:val="28"/>
          <w:szCs w:val="28"/>
          <w:rtl w:val="true"/>
          <w:lang w:bidi="fa-IR"/>
        </w:rPr>
        <w:t xml:space="preserve">» . </w:t>
      </w:r>
      <w:r>
        <w:rPr>
          <w:rStyle w:val="FootnoteAnchor"/>
          <w:rtl w:val="true"/>
        </w:rPr>
        <w:footnoteReference w:id="473"/>
      </w:r>
    </w:p>
    <w:p>
      <w:pPr>
        <w:pStyle w:val="Heading4"/>
        <w:numPr>
          <w:ilvl w:val="3"/>
          <w:numId w:val="1"/>
        </w:numPr>
        <w:rPr/>
      </w:pPr>
      <w:bookmarkStart w:id="404" w:name="__RefHeading___Toc4159648_3804643083"/>
      <w:bookmarkStart w:id="405" w:name="_Toc155"/>
      <w:bookmarkEnd w:id="404"/>
      <w:r>
        <w:rPr>
          <w:rtl w:val="true"/>
        </w:rPr>
        <w:t>أبو إسحاق</w:t>
      </w:r>
      <w:bookmarkEnd w:id="405"/>
    </w:p>
    <w:p>
      <w:pPr>
        <w:pStyle w:val="BookText"/>
        <w:rPr/>
      </w:pPr>
      <w:r>
        <w:rPr>
          <w:rFonts w:ascii="IRNazanin" w:hAnsi="IRNazanin" w:eastAsia="IRNazanin"/>
          <w:color w:val="111111"/>
          <w:sz w:val="28"/>
          <w:sz w:val="28"/>
          <w:szCs w:val="28"/>
          <w:rtl w:val="true"/>
          <w:lang w:bidi="fa-IR"/>
        </w:rPr>
        <w:t xml:space="preserve">وإذا قیل عن أبی إسحاق فهو الصادق علیه السلام ، وهو نادر الوقوع </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406" w:name="__RefHeading___Toc4159650_3804643083"/>
      <w:bookmarkStart w:id="407" w:name="_Toc156"/>
      <w:bookmarkEnd w:id="406"/>
      <w:r>
        <w:rPr>
          <w:rtl w:val="true"/>
        </w:rPr>
        <w:t>أبو جعفر</w:t>
      </w:r>
      <w:bookmarkEnd w:id="4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ورد فی الروایة عن أبی جعفر فالغالب أنّه الباقر علیه السلام ، وقد یطلق علی الجواد علیه السلام ، ویظهر التمییز فی المطلق من الرواة</w:t>
      </w:r>
      <w:r>
        <w:rPr>
          <w:rFonts w:eastAsia="IRNazanin" w:cs="IRNazanin"/>
          <w:color w:val="111111"/>
          <w:sz w:val="28"/>
          <w:szCs w:val="28"/>
          <w:rtl w:val="true"/>
          <w:lang w:bidi="fa-IR"/>
        </w:rPr>
        <w:t xml:space="preserve">» .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أبو جعفر الثانی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قیل عن أبی جعفر الثانی فهو الجواد علیه السلام </w:t>
      </w:r>
      <w:r>
        <w:rPr>
          <w:rFonts w:eastAsia="IRNazanin" w:cs="IRNazanin"/>
          <w:color w:val="111111"/>
          <w:sz w:val="28"/>
          <w:szCs w:val="28"/>
          <w:rtl w:val="true"/>
          <w:lang w:bidi="fa-IR"/>
        </w:rPr>
        <w:t xml:space="preserve">» .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عن أبی الحسن فالمراد به الکاظم علیه السلام ، وقد یطلق علی الرضا والهادی علیهماالسلام ، والتمییز بالأوّل والثانی والثالث من الرواة</w:t>
      </w:r>
      <w:r>
        <w:rPr>
          <w:rFonts w:eastAsia="IRNazanin" w:cs="IRNazanin"/>
          <w:color w:val="111111"/>
          <w:sz w:val="28"/>
          <w:szCs w:val="28"/>
          <w:rtl w:val="true"/>
          <w:lang w:bidi="fa-IR"/>
        </w:rPr>
        <w:t xml:space="preserve">» .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أبو الحسن الماضی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علیهماالسلام ، وقد یطلق علی الرضا علیه السلام لکونه ماضیاً بالنسبة إلی الأخیر ، أی الهادی علیه السلام </w:t>
      </w:r>
      <w:r>
        <w:rPr>
          <w:rFonts w:eastAsia="IRNazanin" w:cs="IRNazanin"/>
          <w:color w:val="111111"/>
          <w:sz w:val="28"/>
          <w:szCs w:val="28"/>
          <w:rtl w:val="true"/>
          <w:lang w:bidi="fa-IR"/>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قیل فهو الصادق علیه السلام </w:t>
      </w:r>
      <w:r>
        <w:rPr>
          <w:rFonts w:eastAsia="IRNazanin" w:cs="IRNazanin"/>
          <w:color w:val="111111"/>
          <w:sz w:val="28"/>
          <w:szCs w:val="28"/>
          <w:rtl w:val="true"/>
          <w:lang w:bidi="fa-IR"/>
        </w:rPr>
        <w:t xml:space="preserve">» .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أبو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ورد عن أبی محمّد فهو العسکری علیه السلام </w:t>
      </w:r>
      <w:r>
        <w:rPr>
          <w:rFonts w:eastAsia="IRNazanin" w:cs="IRNazanin"/>
          <w:color w:val="111111"/>
          <w:sz w:val="28"/>
          <w:szCs w:val="28"/>
          <w:rtl w:val="true"/>
          <w:lang w:bidi="fa-IR"/>
        </w:rPr>
        <w:t xml:space="preserve">» .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الأثر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الرجل یتطوع بالصیام وعلیه شیء من الفرض من کتاب الصوم بعد قول</w:t>
      </w:r>
      <w:bookmarkStart w:id="408" w:name="pg2516_26576"/>
    </w:p>
    <w:p>
      <w:pPr>
        <w:pStyle w:val="BookText"/>
        <w:rPr/>
      </w:pPr>
      <w:bookmarkEnd w:id="408"/>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وردت الأخبار والآثار عن الأئمّة علیهم السلام أنّه لا یجوز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المعروف بین العامّة أنّ ما یُنسب إلی النَّبی صلی الله علیه و آله یُسمّی بالخبر ، وما یُنسب إلی الصحابة بالأثر ، وعندنا مترادفان فالعطف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وصل إلیه الخبر عن النَّبی صلی الله علیه و آله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بالآثار</w:t>
      </w:r>
      <w:r>
        <w:rPr>
          <w:rFonts w:eastAsia="IRNazanin" w:cs="IRNazanin"/>
          <w:color w:val="111111"/>
          <w:sz w:val="28"/>
          <w:szCs w:val="28"/>
          <w:rtl w:val="true"/>
          <w:lang w:bidi="fa-IR"/>
        </w:rPr>
        <w:t xml:space="preserve">» . </w:t>
      </w:r>
      <w:r>
        <w:rPr>
          <w:rStyle w:val="FootnoteAnchor"/>
          <w:rtl w:val="true"/>
        </w:rPr>
        <w:footnoteReference w:id="481"/>
      </w:r>
    </w:p>
    <w:p>
      <w:pPr>
        <w:pStyle w:val="Heading4"/>
        <w:numPr>
          <w:ilvl w:val="3"/>
          <w:numId w:val="1"/>
        </w:numPr>
        <w:rPr/>
      </w:pPr>
      <w:bookmarkStart w:id="409" w:name="__RefHeading___Toc4159652_3804643083"/>
      <w:bookmarkStart w:id="410" w:name="_Toc157"/>
      <w:bookmarkEnd w:id="409"/>
      <w:r>
        <w:rPr>
          <w:rtl w:val="true"/>
        </w:rPr>
        <w:t>أحدهما</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ورد عن أحدهما فهو الباقر والصادق علیهماالسلام</w:t>
      </w:r>
      <w:r>
        <w:rPr>
          <w:rFonts w:eastAsia="IRNazanin" w:cs="IRNazanin"/>
          <w:color w:val="111111"/>
          <w:sz w:val="28"/>
          <w:szCs w:val="28"/>
          <w:rtl w:val="true"/>
          <w:lang w:bidi="fa-IR"/>
        </w:rPr>
        <w:t xml:space="preserve">» . </w:t>
      </w:r>
      <w:r>
        <w:rPr>
          <w:rStyle w:val="FootnoteAnchor"/>
          <w:rtl w:val="true"/>
        </w:rPr>
        <w:footnoteReference w:id="482"/>
      </w:r>
    </w:p>
    <w:p>
      <w:pPr>
        <w:pStyle w:val="Heading4"/>
        <w:numPr>
          <w:ilvl w:val="3"/>
          <w:numId w:val="1"/>
        </w:numPr>
        <w:rPr/>
      </w:pPr>
      <w:bookmarkStart w:id="411" w:name="__RefHeading___Toc4159654_3804643083"/>
      <w:bookmarkStart w:id="412" w:name="_Toc158"/>
      <w:bookmarkEnd w:id="411"/>
      <w:r>
        <w:rPr>
          <w:rtl w:val="true"/>
        </w:rPr>
        <w:t>إرسال الحدیث</w:t>
      </w:r>
      <w:bookmarkEnd w:id="412"/>
    </w:p>
    <w:p>
      <w:pPr>
        <w:pStyle w:val="BookText"/>
        <w:rPr/>
      </w:pPr>
      <w:r>
        <w:rPr>
          <w:rFonts w:ascii="IRNazanin" w:hAnsi="IRNazanin" w:eastAsia="IRNazanin"/>
          <w:color w:val="111111"/>
          <w:sz w:val="28"/>
          <w:sz w:val="28"/>
          <w:szCs w:val="28"/>
          <w:rtl w:val="true"/>
          <w:lang w:bidi="fa-IR"/>
        </w:rPr>
        <w:t xml:space="preserve">المراد به إسقاط رواة الحدیث أجمعهم أو بعضاً منهم کأن یکون واحداً أو أکثر ، وهو یعدّ من أسباب ضعف الحدیث ، فقال الشارح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یدلّ علی مرجوحیة الإرسال ما رواه </w:t>
      </w:r>
      <w:r>
        <w:rPr>
          <w:rStyle w:val="FootnoteAnchor"/>
          <w:rtl w:val="true"/>
        </w:rPr>
        <w:footnoteReference w:id="483"/>
      </w:r>
      <w:r>
        <w:rPr>
          <w:rFonts w:ascii="IRNazanin" w:hAnsi="IRNazanin" w:eastAsia="IRNazanin"/>
          <w:color w:val="111111"/>
          <w:sz w:val="28"/>
          <w:sz w:val="28"/>
          <w:szCs w:val="28"/>
          <w:rtl w:val="true"/>
          <w:lang w:bidi="fa-IR"/>
        </w:rPr>
        <w:t xml:space="preserve">مرفوعاً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والکذب المفترع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الکذب المفترع؟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یحدّثک الرجل بالحدیث فتترکه وترویه عن الّذی حدثک عنه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وبإسناده </w:t>
      </w:r>
      <w:r>
        <w:rPr>
          <w:rStyle w:val="FootnoteAnchor"/>
          <w:rtl w:val="true"/>
        </w:rPr>
        <w:footnoteReference w:id="485"/>
      </w:r>
      <w:r>
        <w:rPr>
          <w:rFonts w:ascii="IRNazanin" w:hAnsi="IRNazanin" w:eastAsia="IRNazanin"/>
          <w:color w:val="111111"/>
          <w:sz w:val="28"/>
          <w:sz w:val="28"/>
          <w:szCs w:val="28"/>
          <w:rtl w:val="true"/>
          <w:lang w:bidi="fa-IR"/>
        </w:rPr>
        <w:t xml:space="preserve">عن السکونی ،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حدثتم بحدیث فأسندوه إلی الّذی حدثکم به ، فإن کان حقّاً فلکم ، وإن کان کذباً فعلیه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8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bookmarkStart w:id="413" w:name="pg2516_26578"/>
    </w:p>
    <w:p>
      <w:pPr>
        <w:pStyle w:val="BookText"/>
        <w:rPr/>
      </w:pPr>
      <w:bookmarkEnd w:id="413"/>
      <w:r>
        <w:rPr>
          <w:rFonts w:ascii="IRNazanin" w:hAnsi="IRNazanin" w:eastAsia="IRNazanin"/>
          <w:color w:val="111111"/>
          <w:sz w:val="28"/>
          <w:sz w:val="28"/>
          <w:szCs w:val="28"/>
          <w:rtl w:val="true"/>
          <w:lang w:bidi="fa-IR"/>
        </w:rPr>
        <w:t xml:space="preserve">یرمز لکتاب ابن شهر آشوب معالم العُلَماء </w:t>
      </w:r>
      <w:r>
        <w:rPr>
          <w:rFonts w:eastAsia="IRNazanin" w:cs="IRNazanin"/>
          <w:color w:val="111111"/>
          <w:sz w:val="28"/>
          <w:szCs w:val="28"/>
          <w:rtl w:val="true"/>
          <w:lang w:bidi="fa-IR"/>
        </w:rPr>
        <w:t xml:space="preserve">. </w:t>
      </w:r>
      <w:r>
        <w:rPr>
          <w:rStyle w:val="FootnoteAnchor"/>
          <w:rtl w:val="true"/>
        </w:rPr>
        <w:footnoteReference w:id="488"/>
      </w:r>
    </w:p>
    <w:p>
      <w:pPr>
        <w:pStyle w:val="Heading4"/>
        <w:numPr>
          <w:ilvl w:val="3"/>
          <w:numId w:val="1"/>
        </w:numPr>
        <w:rPr/>
      </w:pPr>
      <w:bookmarkStart w:id="414" w:name="__RefHeading___Toc4159656_3804643083"/>
      <w:bookmarkStart w:id="415" w:name="_Toc159"/>
      <w:bookmarkEnd w:id="414"/>
      <w:r>
        <w:rPr>
          <w:rtl w:val="true"/>
        </w:rPr>
        <w:t>ب</w:t>
      </w:r>
      <w:bookmarkEnd w:id="415"/>
    </w:p>
    <w:p>
      <w:pPr>
        <w:pStyle w:val="BookText"/>
        <w:rPr/>
      </w:pPr>
      <w:r>
        <w:rPr>
          <w:rFonts w:ascii="IRNazanin" w:hAnsi="IRNazanin" w:eastAsia="IRNazanin"/>
          <w:color w:val="111111"/>
          <w:sz w:val="28"/>
          <w:sz w:val="28"/>
          <w:szCs w:val="28"/>
          <w:rtl w:val="true"/>
          <w:lang w:bidi="fa-IR"/>
        </w:rPr>
        <w:t xml:space="preserve">فی باب علّة الوضوء من کتاب الطهارة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نفر من الیهود إلی رسول اللّه صلی الله علیه و آله فسألوه عن مسائل وکان فیما سألوه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الصَدوق المسائل کلّها فی کتاب علل الشرائع وکتاب الخصال والمجالس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کان فی جملة مسائلهم مسألة الوضوء ، وهذا التفریق فی الحدیث جوّزه جماعة ومنعه آخرون ، والظاهر الجواز إذا لم یکن مرتبطاً بأن یوهم التفریق خلاف المقصود ، وهنا کذلک لأنّه لا ارتباط لمسائل الوضوء بمسائل الغسل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تری أصحابنا یفرّقون فی أمثاله ، لکن قد یقع من بعض ، بعض التفریقات الموهمة خلاف المقصود ، وهو غیر مستحسن ، بل قبیح وربما یکون حراماً</w:t>
      </w:r>
      <w:r>
        <w:rPr>
          <w:rFonts w:eastAsia="IRNazanin" w:cs="IRNazanin"/>
          <w:color w:val="111111"/>
          <w:sz w:val="28"/>
          <w:szCs w:val="28"/>
          <w:rtl w:val="true"/>
          <w:lang w:bidi="fa-IR"/>
        </w:rPr>
        <w:t xml:space="preserve">» . </w:t>
      </w:r>
      <w:r>
        <w:rPr>
          <w:rStyle w:val="FootnoteAnchor"/>
          <w:rtl w:val="true"/>
        </w:rPr>
        <w:footnoteReference w:id="489"/>
      </w:r>
    </w:p>
    <w:p>
      <w:pPr>
        <w:pStyle w:val="Heading4"/>
        <w:numPr>
          <w:ilvl w:val="3"/>
          <w:numId w:val="1"/>
        </w:numPr>
        <w:rPr/>
      </w:pPr>
      <w:bookmarkStart w:id="416" w:name="__RefHeading___Toc4159658_3804643083"/>
      <w:bookmarkStart w:id="417" w:name="_Toc160"/>
      <w:bookmarkEnd w:id="416"/>
      <w:r>
        <w:rPr>
          <w:rtl w:val="true"/>
        </w:rPr>
        <w:t>التقطیع</w:t>
      </w:r>
      <w:bookmarkEnd w:id="417"/>
    </w:p>
    <w:p>
      <w:pPr>
        <w:pStyle w:val="BookText"/>
        <w:rPr/>
      </w:pPr>
      <w:r>
        <w:rPr>
          <w:rFonts w:ascii="Amiri" w:hAnsi="Amiri" w:eastAsia="Amiri" w:cs="Amiri"/>
          <w:color w:val="111111"/>
          <w:sz w:val="28"/>
          <w:sz w:val="28"/>
          <w:szCs w:val="28"/>
          <w:rtl w:val="true"/>
          <w:lang w:bidi="ar-SA"/>
        </w:rPr>
        <w:t xml:space="preserve">یرمز لرجال الشَّیخ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Heading4"/>
        <w:numPr>
          <w:ilvl w:val="3"/>
          <w:numId w:val="1"/>
        </w:numPr>
        <w:rPr/>
      </w:pPr>
      <w:bookmarkStart w:id="418" w:name="__RefHeading___Toc4159660_3804643083"/>
      <w:bookmarkStart w:id="419" w:name="_Toc161"/>
      <w:bookmarkEnd w:id="418"/>
      <w:r>
        <w:rPr>
          <w:rtl w:val="true"/>
        </w:rPr>
        <w:t>جـخ</w:t>
      </w:r>
      <w:bookmarkEnd w:id="4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یرمز لکتاب الرجال للنجاشی </w:t>
      </w:r>
      <w:r>
        <w:rPr>
          <w:rFonts w:eastAsia="IRNazanin" w:cs="IRNazanin"/>
          <w:color w:val="111111"/>
          <w:sz w:val="28"/>
          <w:szCs w:val="28"/>
          <w:rtl w:val="true"/>
          <w:lang w:bidi="fa-IR"/>
        </w:rPr>
        <w:t xml:space="preserve">. </w:t>
      </w:r>
      <w:r>
        <w:rPr>
          <w:rStyle w:val="FootnoteAnchor"/>
          <w:rtl w:val="true"/>
        </w:rPr>
        <w:footnoteReference w:id="491"/>
      </w:r>
      <w:bookmarkStart w:id="420" w:name="pg2516_26580"/>
    </w:p>
    <w:p>
      <w:pPr>
        <w:pStyle w:val="Heading4"/>
        <w:numPr>
          <w:ilvl w:val="3"/>
          <w:numId w:val="1"/>
        </w:numPr>
        <w:rPr/>
      </w:pPr>
      <w:bookmarkStart w:id="421" w:name="__RefHeading___Toc4159662_3804643083"/>
      <w:bookmarkStart w:id="422" w:name="_Toc162"/>
      <w:bookmarkEnd w:id="420"/>
      <w:bookmarkEnd w:id="421"/>
      <w:r>
        <w:rPr>
          <w:rtl w:val="true"/>
        </w:rPr>
        <w:t>جواز نقل الحدیث بالمعنی ورجحان النقل باللفظ</w:t>
      </w:r>
      <w:bookmarkEnd w:id="422"/>
    </w:p>
    <w:p>
      <w:pPr>
        <w:pStyle w:val="BookText"/>
        <w:rPr/>
      </w:pPr>
      <w:r>
        <w:rPr>
          <w:rFonts w:ascii="IRNazanin" w:hAnsi="IRNazanin" w:eastAsia="IRNazanin"/>
          <w:color w:val="111111"/>
          <w:sz w:val="28"/>
          <w:sz w:val="28"/>
          <w:szCs w:val="28"/>
          <w:rtl w:val="true"/>
          <w:lang w:bidi="fa-IR"/>
        </w:rPr>
        <w:t xml:space="preserve">یقول الشارح عند شرح خطبة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ویدلّ علی رجحان النقل باللفظ ما رواه </w:t>
      </w:r>
      <w:r>
        <w:rPr>
          <w:rStyle w:val="FootnoteAnchor"/>
          <w:rtl w:val="true"/>
        </w:rPr>
        <w:footnoteReference w:id="492"/>
      </w:r>
      <w:r>
        <w:rPr>
          <w:rFonts w:ascii="Amiri" w:hAnsi="Amiri" w:eastAsia="Amiri" w:cs="Amiri"/>
          <w:color w:val="111111"/>
          <w:sz w:val="28"/>
          <w:sz w:val="28"/>
          <w:szCs w:val="28"/>
          <w:rtl w:val="true"/>
          <w:lang w:bidi="ar-SA"/>
        </w:rPr>
        <w:t xml:space="preserve">فی المُوَثَّق أو الصحیح عن أبی بصیر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یسمع الحدیث فیحدّث به کما سمعه لا یزید فیه ولا یُنقص منه </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وما رواه بإسناده عن عمرو بن أبی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فی أول دخلة 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الصدقَ قبل الحدیث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وربما کذب فی النقل بالمعنی ولا یعلم ویؤیّده الخبر المتواتر معنی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مقالتی فوعاها کما حفظها ، فرُبّ حامل فقه غیر فقیه ، وربّ حامل فقه إلی من هو أفقه منه </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ویدلّ علی الجواز مع المعرفة بأسالیب الکلام ما رواه ثقة الإسلام فی الصحیح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الحدیث منک فأزید واُنقص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معانیه فلا بأس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وغیرها من الأخبار</w:t>
      </w:r>
      <w:r>
        <w:rPr>
          <w:rFonts w:eastAsia="IRNazanin" w:cs="IRNazanin"/>
          <w:color w:val="111111"/>
          <w:sz w:val="28"/>
          <w:szCs w:val="28"/>
          <w:rtl w:val="true"/>
          <w:lang w:bidi="fa-IR"/>
        </w:rPr>
        <w:t xml:space="preserve">» . </w:t>
      </w:r>
      <w:r>
        <w:rPr>
          <w:rStyle w:val="FootnoteAnchor"/>
          <w:rtl w:val="true"/>
        </w:rPr>
        <w:footnoteReference w:id="498"/>
      </w:r>
    </w:p>
    <w:p>
      <w:pPr>
        <w:pStyle w:val="Heading4"/>
        <w:numPr>
          <w:ilvl w:val="3"/>
          <w:numId w:val="1"/>
        </w:numPr>
        <w:rPr/>
      </w:pPr>
      <w:bookmarkStart w:id="423" w:name="__RefHeading___Toc4159664_3804643083"/>
      <w:bookmarkStart w:id="424" w:name="_Toc163"/>
      <w:bookmarkEnd w:id="423"/>
      <w:r>
        <w:rPr>
          <w:rtl w:val="true"/>
        </w:rPr>
        <w:t>ح</w:t>
      </w:r>
      <w:bookmarkEnd w:id="4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یرمز لکتاب الإیضاح للعلاّمة </w:t>
      </w:r>
      <w:r>
        <w:rPr>
          <w:rFonts w:eastAsia="IRNazanin" w:cs="IRNazanin"/>
          <w:color w:val="111111"/>
          <w:sz w:val="28"/>
          <w:szCs w:val="28"/>
          <w:rtl w:val="true"/>
          <w:lang w:bidi="fa-IR"/>
        </w:rPr>
        <w:t xml:space="preserve">. </w:t>
      </w:r>
      <w:r>
        <w:rPr>
          <w:rStyle w:val="FootnoteAnchor"/>
          <w:rtl w:val="true"/>
        </w:rPr>
        <w:footnoteReference w:id="499"/>
      </w:r>
      <w:bookmarkStart w:id="425" w:name="pg2516_26582"/>
    </w:p>
    <w:p>
      <w:pPr>
        <w:pStyle w:val="Heading4"/>
        <w:numPr>
          <w:ilvl w:val="3"/>
          <w:numId w:val="1"/>
        </w:numPr>
        <w:rPr/>
      </w:pPr>
      <w:bookmarkStart w:id="426" w:name="__RefHeading___Toc4159666_3804643083"/>
      <w:bookmarkStart w:id="427" w:name="_Toc164"/>
      <w:bookmarkEnd w:id="425"/>
      <w:bookmarkEnd w:id="426"/>
      <w:r>
        <w:rPr>
          <w:rtl w:val="true"/>
        </w:rPr>
        <w:t>الخبر</w:t>
      </w:r>
      <w:bookmarkEnd w:id="427"/>
    </w:p>
    <w:p>
      <w:pPr>
        <w:pStyle w:val="BookText"/>
        <w:rPr/>
      </w:pPr>
      <w:r>
        <w:rPr>
          <w:rFonts w:ascii="IRNazanin" w:hAnsi="IRNazanin" w:eastAsia="IRNazanin"/>
          <w:color w:val="111111"/>
          <w:sz w:val="28"/>
          <w:sz w:val="28"/>
          <w:szCs w:val="28"/>
          <w:rtl w:val="true"/>
          <w:lang w:bidi="fa-IR"/>
        </w:rPr>
        <w:t xml:space="preserve">اُنظر ما تقدّم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w:t>
      </w:r>
    </w:p>
    <w:p>
      <w:pPr>
        <w:pStyle w:val="Heading4"/>
        <w:numPr>
          <w:ilvl w:val="3"/>
          <w:numId w:val="1"/>
        </w:numPr>
        <w:rPr/>
      </w:pPr>
      <w:bookmarkStart w:id="428" w:name="__RefHeading___Toc4159668_3804643083"/>
      <w:bookmarkStart w:id="429" w:name="_Toc165"/>
      <w:bookmarkEnd w:id="428"/>
      <w:r>
        <w:rPr>
          <w:rtl w:val="true"/>
        </w:rPr>
        <w:t>الخبر المعلول</w:t>
      </w:r>
      <w:bookmarkEnd w:id="429"/>
    </w:p>
    <w:p>
      <w:pPr>
        <w:pStyle w:val="BookText"/>
        <w:rPr/>
      </w:pPr>
      <w:r>
        <w:rPr>
          <w:rFonts w:ascii="IRNazanin" w:hAnsi="IRNazanin" w:eastAsia="IRNazanin"/>
          <w:color w:val="111111"/>
          <w:sz w:val="28"/>
          <w:sz w:val="28"/>
          <w:szCs w:val="28"/>
          <w:rtl w:val="true"/>
          <w:lang w:bidi="fa-IR"/>
        </w:rPr>
        <w:t xml:space="preserve">فی باب غسل الحیض والنفاس من کتاب الطهارة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والأخبار الّتی رویت فی قعودها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المرأة 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وما زاد إلی أن تطهر ، معلولة کلّها ، وردت للتَقِیّة ، لا یفتی بها إلاّ 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مراده بالعلّة الضعف باصطلاح القُدَماء ، أو أنّه وردت لعلّة مثل التَقِیّة</w:t>
      </w:r>
      <w:r>
        <w:rPr>
          <w:rFonts w:eastAsia="IRNazanin" w:cs="IRNazanin"/>
          <w:color w:val="111111"/>
          <w:sz w:val="28"/>
          <w:szCs w:val="28"/>
          <w:rtl w:val="true"/>
          <w:lang w:bidi="fa-IR"/>
        </w:rPr>
        <w:t xml:space="preserve">» . </w:t>
      </w:r>
      <w:r>
        <w:rPr>
          <w:rStyle w:val="FootnoteAnchor"/>
          <w:rtl w:val="true"/>
        </w:rPr>
        <w:footnoteReference w:id="500"/>
      </w:r>
    </w:p>
    <w:p>
      <w:pPr>
        <w:pStyle w:val="Heading4"/>
        <w:numPr>
          <w:ilvl w:val="3"/>
          <w:numId w:val="1"/>
        </w:numPr>
        <w:rPr/>
      </w:pPr>
      <w:bookmarkStart w:id="430" w:name="__RefHeading___Toc4159670_3804643083"/>
      <w:bookmarkStart w:id="431" w:name="_Toc166"/>
      <w:bookmarkEnd w:id="430"/>
      <w:r>
        <w:rPr>
          <w:rtl w:val="true"/>
        </w:rPr>
        <w:t>د</w:t>
      </w:r>
      <w:bookmarkEnd w:id="431"/>
    </w:p>
    <w:p>
      <w:pPr>
        <w:pStyle w:val="BookText"/>
        <w:rPr/>
      </w:pPr>
      <w:r>
        <w:rPr>
          <w:rFonts w:ascii="IRNazanin" w:hAnsi="IRNazanin" w:eastAsia="IRNazanin"/>
          <w:color w:val="111111"/>
          <w:sz w:val="28"/>
          <w:sz w:val="28"/>
          <w:szCs w:val="28"/>
          <w:rtl w:val="true"/>
          <w:lang w:bidi="fa-IR"/>
        </w:rPr>
        <w:t xml:space="preserve">أ ـ یرمز لأصحاب الإمام الجواد علیه السلام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ب ـ یرمز لرجال ابن داوود </w:t>
      </w:r>
      <w:r>
        <w:rPr>
          <w:rFonts w:eastAsia="IRNazanin" w:cs="IRNazanin"/>
          <w:color w:val="111111"/>
          <w:sz w:val="28"/>
          <w:szCs w:val="28"/>
          <w:rtl w:val="true"/>
          <w:lang w:bidi="fa-IR"/>
        </w:rPr>
        <w:t xml:space="preserve">. </w:t>
      </w:r>
      <w:r>
        <w:rPr>
          <w:rStyle w:val="FootnoteAnchor"/>
          <w:rtl w:val="true"/>
        </w:rPr>
        <w:footnoteReference w:id="502"/>
      </w:r>
    </w:p>
    <w:p>
      <w:pPr>
        <w:pStyle w:val="Heading4"/>
        <w:numPr>
          <w:ilvl w:val="3"/>
          <w:numId w:val="1"/>
        </w:numPr>
        <w:rPr/>
      </w:pPr>
      <w:bookmarkStart w:id="432" w:name="__RefHeading___Toc4159672_3804643083"/>
      <w:bookmarkStart w:id="433" w:name="_Toc167"/>
      <w:bookmarkEnd w:id="432"/>
      <w:r>
        <w:rPr>
          <w:rtl w:val="true"/>
        </w:rPr>
        <w:t>دی</w:t>
      </w:r>
      <w:bookmarkEnd w:id="433"/>
    </w:p>
    <w:p>
      <w:pPr>
        <w:pStyle w:val="BookText"/>
        <w:rPr/>
      </w:pPr>
      <w:r>
        <w:rPr>
          <w:rFonts w:ascii="IRNazanin" w:hAnsi="IRNazanin" w:eastAsia="IRNazanin"/>
          <w:color w:val="111111"/>
          <w:sz w:val="28"/>
          <w:sz w:val="28"/>
          <w:szCs w:val="28"/>
          <w:rtl w:val="true"/>
          <w:lang w:bidi="fa-IR"/>
        </w:rPr>
        <w:t xml:space="preserve">یرمز لأصحاب الإمام الهادی علیه السلام </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434" w:name="__RefHeading___Toc4159674_3804643083"/>
      <w:bookmarkStart w:id="435" w:name="_Toc168"/>
      <w:bookmarkEnd w:id="434"/>
      <w:r>
        <w:rPr>
          <w:rtl w:val="true"/>
        </w:rPr>
        <w:t>ر</w:t>
      </w:r>
      <w:bookmarkEnd w:id="43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یرمز لکتاب الاستبصار للشَّیخ الطوسی </w:t>
      </w:r>
      <w:r>
        <w:rPr>
          <w:rFonts w:eastAsia="IRNazanin" w:cs="IRNazanin"/>
          <w:color w:val="111111"/>
          <w:sz w:val="28"/>
          <w:szCs w:val="28"/>
          <w:rtl w:val="true"/>
          <w:lang w:bidi="fa-IR"/>
        </w:rPr>
        <w:t xml:space="preserve">. </w:t>
      </w:r>
      <w:r>
        <w:rPr>
          <w:rStyle w:val="FootnoteAnchor"/>
          <w:rtl w:val="true"/>
        </w:rPr>
        <w:footnoteReference w:id="504"/>
      </w:r>
      <w:bookmarkStart w:id="436" w:name="pg2516_26584"/>
    </w:p>
    <w:p>
      <w:pPr>
        <w:pStyle w:val="Heading4"/>
        <w:numPr>
          <w:ilvl w:val="3"/>
          <w:numId w:val="1"/>
        </w:numPr>
        <w:rPr/>
      </w:pPr>
      <w:bookmarkStart w:id="437" w:name="__RefHeading___Toc4159676_3804643083"/>
      <w:bookmarkStart w:id="438" w:name="_Toc169"/>
      <w:bookmarkEnd w:id="436"/>
      <w:bookmarkEnd w:id="437"/>
      <w:r>
        <w:rPr>
          <w:rtl w:val="true"/>
        </w:rPr>
        <w:t>رجحان إعراب الحدیث ونقله بالعربی</w:t>
      </w:r>
      <w:bookmarkEnd w:id="438"/>
    </w:p>
    <w:p>
      <w:pPr>
        <w:pStyle w:val="BookText"/>
        <w:rPr/>
      </w:pPr>
      <w:r>
        <w:rPr>
          <w:rFonts w:ascii="IRNazanin" w:hAnsi="IRNazanin" w:eastAsia="IRNazanin"/>
          <w:color w:val="111111"/>
          <w:sz w:val="28"/>
          <w:sz w:val="28"/>
          <w:szCs w:val="28"/>
          <w:rtl w:val="true"/>
          <w:lang w:bidi="fa-IR"/>
        </w:rPr>
        <w:t xml:space="preserve">یقول الشارح عند شرح خطبة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ویدلّ علی رجحان الإعراب أو النقل بالعربی أو الأعم ما رواه </w:t>
      </w:r>
      <w:r>
        <w:rPr>
          <w:rStyle w:val="FootnoteAnchor"/>
          <w:rtl w:val="true"/>
        </w:rPr>
        <w:footnoteReference w:id="505"/>
      </w:r>
      <w:r>
        <w:rPr>
          <w:rFonts w:ascii="IRNazanin" w:hAnsi="IRNazanin" w:eastAsia="IRNazanin"/>
          <w:color w:val="111111"/>
          <w:sz w:val="28"/>
          <w:sz w:val="28"/>
          <w:szCs w:val="28"/>
          <w:rtl w:val="true"/>
          <w:lang w:bidi="fa-IR"/>
        </w:rPr>
        <w:t xml:space="preserve">فی الصحیح عن جمیل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اعربوا حدیثنا فإنّا قوم فصحاء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7"/>
      </w:r>
    </w:p>
    <w:p>
      <w:pPr>
        <w:pStyle w:val="Heading4"/>
        <w:numPr>
          <w:ilvl w:val="3"/>
          <w:numId w:val="1"/>
        </w:numPr>
        <w:rPr/>
      </w:pPr>
      <w:bookmarkStart w:id="439" w:name="__RefHeading___Toc4159678_3804643083"/>
      <w:bookmarkStart w:id="440" w:name="_Toc170"/>
      <w:bookmarkEnd w:id="439"/>
      <w:r>
        <w:rPr>
          <w:rtl w:val="true"/>
        </w:rPr>
        <w:t>الرجل</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ورد الرجل فالغالب العسکری علیه السلام لشدة التَقِیّة فی زمانه</w:t>
      </w:r>
      <w:r>
        <w:rPr>
          <w:rFonts w:eastAsia="IRNazanin" w:cs="IRNazanin"/>
          <w:color w:val="111111"/>
          <w:sz w:val="28"/>
          <w:szCs w:val="28"/>
          <w:rtl w:val="true"/>
          <w:lang w:bidi="fa-IR"/>
        </w:rPr>
        <w:t xml:space="preserve">» . </w:t>
      </w:r>
      <w:r>
        <w:rPr>
          <w:rStyle w:val="FootnoteAnchor"/>
          <w:rtl w:val="true"/>
        </w:rPr>
        <w:footnoteReference w:id="508"/>
      </w:r>
    </w:p>
    <w:p>
      <w:pPr>
        <w:pStyle w:val="Heading4"/>
        <w:numPr>
          <w:ilvl w:val="3"/>
          <w:numId w:val="1"/>
        </w:numPr>
        <w:rPr/>
      </w:pPr>
      <w:bookmarkStart w:id="441" w:name="__RefHeading___Toc4159680_3804643083"/>
      <w:bookmarkStart w:id="442" w:name="_Toc171"/>
      <w:bookmarkEnd w:id="441"/>
      <w:r>
        <w:rPr>
          <w:rtl w:val="true"/>
        </w:rPr>
        <w:t>ری</w:t>
      </w:r>
      <w:bookmarkEnd w:id="442"/>
    </w:p>
    <w:p>
      <w:pPr>
        <w:pStyle w:val="BookText"/>
        <w:rPr/>
      </w:pPr>
      <w:r>
        <w:rPr>
          <w:rFonts w:ascii="IRNazanin" w:hAnsi="IRNazanin" w:eastAsia="IRNazanin"/>
          <w:color w:val="111111"/>
          <w:sz w:val="28"/>
          <w:sz w:val="28"/>
          <w:szCs w:val="28"/>
          <w:rtl w:val="true"/>
          <w:lang w:bidi="fa-IR"/>
        </w:rPr>
        <w:t>یرمز لأصحاب الإمام العسکری علیه السلام ، وقد یرمز لهم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509"/>
      </w:r>
    </w:p>
    <w:p>
      <w:pPr>
        <w:pStyle w:val="Heading4"/>
        <w:numPr>
          <w:ilvl w:val="3"/>
          <w:numId w:val="1"/>
        </w:numPr>
        <w:rPr/>
      </w:pPr>
      <w:bookmarkStart w:id="443" w:name="__RefHeading___Toc4159682_3804643083"/>
      <w:bookmarkStart w:id="444" w:name="_Toc172"/>
      <w:bookmarkEnd w:id="443"/>
      <w:r>
        <w:rPr>
          <w:rtl w:val="true"/>
        </w:rPr>
        <w:t>ست</w:t>
      </w:r>
      <w:bookmarkEnd w:id="444"/>
    </w:p>
    <w:p>
      <w:pPr>
        <w:pStyle w:val="BookText"/>
        <w:rPr/>
      </w:pPr>
      <w:r>
        <w:rPr>
          <w:rFonts w:ascii="IRNazanin" w:hAnsi="IRNazanin" w:eastAsia="IRNazanin"/>
          <w:color w:val="111111"/>
          <w:sz w:val="28"/>
          <w:sz w:val="28"/>
          <w:szCs w:val="28"/>
          <w:rtl w:val="true"/>
          <w:lang w:bidi="fa-IR"/>
        </w:rPr>
        <w:t xml:space="preserve">یرمز لکتاب الفهرست للشَّیخ الطوسی </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445" w:name="__RefHeading___Toc4159684_3804643083"/>
      <w:bookmarkStart w:id="446" w:name="_Toc173"/>
      <w:bookmarkEnd w:id="445"/>
      <w:r>
        <w:rPr>
          <w:rtl w:val="true"/>
        </w:rPr>
        <w:t>السند أو الطریق</w:t>
      </w:r>
      <w:bookmarkEnd w:id="4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الشارح فی مقدّمة اللوامع عند تفسیر بعض المصطلحات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السند والطریق عبارة عن الجماعة الّذین یروون الحدیث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فلان ، عن فلان ، عن فلان</w:t>
      </w:r>
      <w:r>
        <w:rPr>
          <w:rFonts w:eastAsia="IRNazanin" w:cs="IRNazanin"/>
          <w:color w:val="111111"/>
          <w:sz w:val="28"/>
          <w:szCs w:val="28"/>
          <w:rtl w:val="true"/>
          <w:lang w:bidi="fa-IR"/>
        </w:rPr>
        <w:t xml:space="preserve">» . </w:t>
      </w:r>
      <w:r>
        <w:rPr>
          <w:rStyle w:val="FootnoteAnchor"/>
          <w:rtl w:val="true"/>
        </w:rPr>
        <w:footnoteReference w:id="511"/>
      </w:r>
      <w:bookmarkStart w:id="447" w:name="pg2516_26586"/>
    </w:p>
    <w:p>
      <w:pPr>
        <w:pStyle w:val="Heading4"/>
        <w:numPr>
          <w:ilvl w:val="3"/>
          <w:numId w:val="1"/>
        </w:numPr>
        <w:rPr/>
      </w:pPr>
      <w:bookmarkStart w:id="448" w:name="__RefHeading___Toc4159686_3804643083"/>
      <w:bookmarkStart w:id="449" w:name="_Toc174"/>
      <w:bookmarkEnd w:id="447"/>
      <w:bookmarkEnd w:id="448"/>
      <w:r>
        <w:rPr>
          <w:rtl w:val="true"/>
        </w:rPr>
        <w:t>السُنّة</w:t>
      </w:r>
      <w:bookmarkEnd w:id="449"/>
    </w:p>
    <w:p>
      <w:pPr>
        <w:pStyle w:val="BookText"/>
        <w:rPr/>
      </w:pPr>
      <w:r>
        <w:rPr>
          <w:rFonts w:ascii="IRNazanin" w:hAnsi="IRNazanin" w:eastAsia="IRNazanin"/>
          <w:color w:val="111111"/>
          <w:sz w:val="28"/>
          <w:sz w:val="28"/>
          <w:szCs w:val="28"/>
          <w:rtl w:val="true"/>
          <w:lang w:bidi="fa-IR"/>
        </w:rPr>
        <w:t xml:space="preserve">أ ـ فی باب الأغسال من کتاب الطهارة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للأخبار المتظافرة ، وما ورد فی بعض الأخبار أنّه سُنّة ، فالمراد به أنّه ظهر وجوبه من السُنّة</w:t>
      </w:r>
      <w:r>
        <w:rPr>
          <w:rFonts w:eastAsia="IRNazanin" w:cs="IRNazanin"/>
          <w:color w:val="111111"/>
          <w:sz w:val="28"/>
          <w:szCs w:val="28"/>
          <w:rtl w:val="true"/>
          <w:lang w:bidi="fa-IR"/>
        </w:rPr>
        <w:t xml:space="preserve">» .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 ـ فی باب الأغسال من کتاب الطهارة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کلّه سُنّة ما خلا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لم یظهر وجوبها من القرآن ما خلا غسل الجنابة</w:t>
      </w:r>
      <w:r>
        <w:rPr>
          <w:rFonts w:eastAsia="IRNazanin" w:cs="IRNazanin"/>
          <w:color w:val="111111"/>
          <w:sz w:val="28"/>
          <w:szCs w:val="28"/>
          <w:rtl w:val="true"/>
          <w:lang w:bidi="fa-IR"/>
        </w:rPr>
        <w:t xml:space="preserve">» .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ج ـ فی باب صلاة العیدین من کتاب الصلاة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جمیل بن درّاج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العیدین فریضة وصلاة الکسوف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أنّهما من صغار الفرائض ، وصغار الفرائض سنن لروایة حریز عن زرارة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 مع الإمام سُنة ولیس قبلهما ولا بعدهما صلاة فی ذلک الیوم إلی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مراد الصَدوق فی الجمع بین الروایتین أنّه ظهر وجوبهما من السُنة لا من القرآن ؛ لأنّه لیس فیه ما یدلّ صریحاً علی وجوبهما کما ذکره الأصحاب ، أو مراتب الوجوب مختلفة فما یکون مؤکداً یسمّی بالفریضة کصلوات الیومیة والجمعة ، وما لم یکن مؤکداً یسمّی بالسُنة</w:t>
      </w:r>
      <w:r>
        <w:rPr>
          <w:rFonts w:eastAsia="IRNazanin" w:cs="IRNazanin"/>
          <w:color w:val="111111"/>
          <w:sz w:val="28"/>
          <w:szCs w:val="28"/>
          <w:rtl w:val="true"/>
          <w:lang w:bidi="fa-IR"/>
        </w:rPr>
        <w:t xml:space="preserve">» . </w:t>
      </w:r>
      <w:r>
        <w:rPr>
          <w:rStyle w:val="FootnoteAnchor"/>
          <w:rtl w:val="true"/>
        </w:rPr>
        <w:footnoteReference w:id="51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ـ فی باب صوم السُنة من کتاب الصوم یقول الشارح فی ابتداء الباب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یظهر من الأخبار هو الفرق بین السُنة والتطوّع ، کما یظهر منها الفرق بین الفرض والواجب ، فما کان الاهتمام بشأنه أکثر من الواجبات یسمّی فرضاً ومن المندوبات سنة ، وما لم</w:t>
      </w:r>
      <w:bookmarkStart w:id="450" w:name="pg2516_26588"/>
    </w:p>
    <w:p>
      <w:pPr>
        <w:pStyle w:val="BookText"/>
        <w:rPr/>
      </w:pPr>
      <w:bookmarkEnd w:id="450"/>
      <w:r>
        <w:rPr>
          <w:rFonts w:ascii="IRNazanin" w:hAnsi="IRNazanin" w:eastAsia="IRNazanin"/>
          <w:color w:val="111111"/>
          <w:sz w:val="28"/>
          <w:sz w:val="28"/>
          <w:szCs w:val="28"/>
          <w:rtl w:val="true"/>
          <w:lang w:bidi="fa-IR"/>
        </w:rPr>
        <w:t>یکن فیه ذلک الاهتمام یسمّی واجباً ، وربما یُطلق علی السنن الوکیدة ایضاً</w:t>
      </w:r>
      <w:r>
        <w:rPr>
          <w:rFonts w:eastAsia="IRNazanin" w:cs="IRNazanin"/>
          <w:color w:val="111111"/>
          <w:sz w:val="28"/>
          <w:szCs w:val="28"/>
          <w:rtl w:val="true"/>
          <w:lang w:bidi="fa-IR"/>
        </w:rPr>
        <w:t xml:space="preserve">» . </w:t>
      </w:r>
      <w:r>
        <w:rPr>
          <w:rStyle w:val="FootnoteAnchor"/>
          <w:rtl w:val="true"/>
        </w:rPr>
        <w:footnoteReference w:id="515"/>
      </w:r>
    </w:p>
    <w:p>
      <w:pPr>
        <w:pStyle w:val="Heading4"/>
        <w:numPr>
          <w:ilvl w:val="3"/>
          <w:numId w:val="1"/>
        </w:numPr>
        <w:rPr/>
      </w:pPr>
      <w:bookmarkStart w:id="451" w:name="__RefHeading___Toc4159688_3804643083"/>
      <w:bookmarkStart w:id="452" w:name="_Toc175"/>
      <w:bookmarkEnd w:id="451"/>
      <w:r>
        <w:rPr>
          <w:rtl w:val="true"/>
        </w:rPr>
        <w:t>شرطة الخمیس</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شجعان الجیش ، وکان لهم علامة یعرفون بها ، والجیش خمس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 والقلب ، والمیمنة ، والمیسرة ، والساق</w:t>
      </w:r>
      <w:r>
        <w:rPr>
          <w:rFonts w:eastAsia="IRNazanin" w:cs="IRNazanin"/>
          <w:color w:val="111111"/>
          <w:sz w:val="28"/>
          <w:szCs w:val="28"/>
          <w:rtl w:val="true"/>
          <w:lang w:bidi="fa-IR"/>
        </w:rPr>
        <w:t xml:space="preserve">» .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الاصطلاح تختصّ به عدّة من أصحاب جیش الإمام علی بن أبی طالب علیه السلام </w:t>
      </w:r>
      <w:r>
        <w:rPr>
          <w:rFonts w:eastAsia="IRNazanin" w:cs="IRNazanin"/>
          <w:color w:val="111111"/>
          <w:sz w:val="28"/>
          <w:szCs w:val="28"/>
          <w:rtl w:val="true"/>
          <w:lang w:bidi="fa-IR"/>
        </w:rPr>
        <w:t>.</w:t>
      </w:r>
    </w:p>
    <w:p>
      <w:pPr>
        <w:pStyle w:val="Heading4"/>
        <w:numPr>
          <w:ilvl w:val="3"/>
          <w:numId w:val="1"/>
        </w:numPr>
        <w:rPr/>
      </w:pPr>
      <w:bookmarkStart w:id="453" w:name="__RefHeading___Toc4159690_3804643083"/>
      <w:bookmarkStart w:id="454" w:name="_Toc176"/>
      <w:bookmarkEnd w:id="453"/>
      <w:r>
        <w:rPr>
          <w:rtl w:val="true"/>
        </w:rPr>
        <w:t>الشَّیخ</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فالمراد به الصادق أو الکاظم</w:t>
      </w:r>
      <w:r>
        <w:rPr>
          <w:rFonts w:eastAsia="IRNazanin" w:cs="IRNazanin"/>
          <w:color w:val="111111"/>
          <w:sz w:val="28"/>
          <w:szCs w:val="28"/>
          <w:rtl w:val="true"/>
          <w:lang w:bidi="fa-IR"/>
        </w:rPr>
        <w:t xml:space="preserve">» . </w:t>
      </w:r>
      <w:r>
        <w:rPr>
          <w:rStyle w:val="FootnoteAnchor"/>
          <w:rtl w:val="true"/>
        </w:rPr>
        <w:footnoteReference w:id="517"/>
      </w:r>
    </w:p>
    <w:p>
      <w:pPr>
        <w:pStyle w:val="Heading4"/>
        <w:numPr>
          <w:ilvl w:val="3"/>
          <w:numId w:val="1"/>
        </w:numPr>
        <w:rPr/>
      </w:pPr>
      <w:bookmarkStart w:id="455" w:name="__RefHeading___Toc4159692_3804643083"/>
      <w:bookmarkStart w:id="456" w:name="_Toc177"/>
      <w:bookmarkEnd w:id="455"/>
      <w:r>
        <w:rPr>
          <w:rtl w:val="true"/>
        </w:rPr>
        <w:t>صاحب الناحیة</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عن صاحب الناحیة فهو القائم ـ صلوات اللّه علیه ـ </w:t>
      </w:r>
      <w:r>
        <w:rPr>
          <w:rFonts w:eastAsia="IRNazanin" w:cs="IRNazanin"/>
          <w:color w:val="111111"/>
          <w:sz w:val="28"/>
          <w:szCs w:val="28"/>
          <w:rtl w:val="true"/>
          <w:lang w:bidi="fa-IR"/>
        </w:rPr>
        <w:t xml:space="preserve">» . </w:t>
      </w:r>
      <w:r>
        <w:rPr>
          <w:rStyle w:val="FootnoteAnchor"/>
          <w:rtl w:val="true"/>
        </w:rPr>
        <w:footnoteReference w:id="518"/>
      </w:r>
    </w:p>
    <w:p>
      <w:pPr>
        <w:pStyle w:val="Heading4"/>
        <w:numPr>
          <w:ilvl w:val="3"/>
          <w:numId w:val="1"/>
        </w:numPr>
        <w:rPr/>
      </w:pPr>
      <w:bookmarkStart w:id="457" w:name="__RefHeading___Toc4159694_3804643083"/>
      <w:bookmarkStart w:id="458" w:name="_Toc178"/>
      <w:bookmarkEnd w:id="457"/>
      <w:r>
        <w:rPr>
          <w:rtl w:val="true"/>
        </w:rPr>
        <w:t>صـه</w:t>
      </w:r>
      <w:bookmarkEnd w:id="458"/>
    </w:p>
    <w:p>
      <w:pPr>
        <w:pStyle w:val="BookText"/>
        <w:rPr/>
      </w:pPr>
      <w:r>
        <w:rPr>
          <w:rFonts w:ascii="IRNazanin" w:hAnsi="IRNazanin" w:eastAsia="IRNazanin"/>
          <w:color w:val="111111"/>
          <w:sz w:val="28"/>
          <w:sz w:val="28"/>
          <w:szCs w:val="28"/>
          <w:rtl w:val="true"/>
          <w:lang w:bidi="fa-IR"/>
        </w:rPr>
        <w:t xml:space="preserve">یرمز لکتاب خلاصة الأقوال للعلاّمة الحلّی </w:t>
      </w:r>
      <w:r>
        <w:rPr>
          <w:rFonts w:eastAsia="IRNazanin" w:cs="IRNazanin"/>
          <w:color w:val="111111"/>
          <w:sz w:val="28"/>
          <w:szCs w:val="28"/>
          <w:rtl w:val="true"/>
          <w:lang w:bidi="fa-IR"/>
        </w:rPr>
        <w:t xml:space="preserve">. </w:t>
      </w:r>
      <w:r>
        <w:rPr>
          <w:rStyle w:val="FootnoteAnchor"/>
          <w:rtl w:val="true"/>
        </w:rPr>
        <w:footnoteReference w:id="519"/>
      </w:r>
    </w:p>
    <w:p>
      <w:pPr>
        <w:pStyle w:val="Heading4"/>
        <w:numPr>
          <w:ilvl w:val="3"/>
          <w:numId w:val="1"/>
        </w:numPr>
        <w:rPr/>
      </w:pPr>
      <w:bookmarkStart w:id="459" w:name="__RefHeading___Toc4159696_3804643083"/>
      <w:bookmarkStart w:id="460" w:name="_Toc179"/>
      <w:bookmarkEnd w:id="459"/>
      <w:r>
        <w:rPr>
          <w:rtl w:val="true"/>
        </w:rPr>
        <w:t>ضـا</w:t>
      </w:r>
      <w:bookmarkEnd w:id="4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یرمز لأصحاب الإمام الرضا علیه السلام </w:t>
      </w:r>
      <w:r>
        <w:rPr>
          <w:rFonts w:eastAsia="IRNazanin" w:cs="IRNazanin"/>
          <w:color w:val="111111"/>
          <w:sz w:val="28"/>
          <w:szCs w:val="28"/>
          <w:rtl w:val="true"/>
          <w:lang w:bidi="fa-IR"/>
        </w:rPr>
        <w:t xml:space="preserve">. </w:t>
      </w:r>
      <w:r>
        <w:rPr>
          <w:rStyle w:val="FootnoteAnchor"/>
          <w:rtl w:val="true"/>
        </w:rPr>
        <w:footnoteReference w:id="520"/>
      </w:r>
      <w:bookmarkStart w:id="461" w:name="pg2516_26590"/>
    </w:p>
    <w:p>
      <w:pPr>
        <w:pStyle w:val="Heading4"/>
        <w:numPr>
          <w:ilvl w:val="3"/>
          <w:numId w:val="1"/>
        </w:numPr>
        <w:rPr/>
      </w:pPr>
      <w:bookmarkStart w:id="462" w:name="__RefHeading___Toc4159698_3804643083"/>
      <w:bookmarkStart w:id="463" w:name="_Toc180"/>
      <w:bookmarkEnd w:id="461"/>
      <w:bookmarkEnd w:id="462"/>
      <w:r>
        <w:rPr>
          <w:rtl w:val="true"/>
        </w:rPr>
        <w:t>ظـم</w:t>
      </w:r>
      <w:bookmarkEnd w:id="463"/>
    </w:p>
    <w:p>
      <w:pPr>
        <w:pStyle w:val="BookText"/>
        <w:rPr/>
      </w:pPr>
      <w:r>
        <w:rPr>
          <w:rFonts w:ascii="IRNazanin" w:hAnsi="IRNazanin" w:eastAsia="IRNazanin"/>
          <w:color w:val="111111"/>
          <w:sz w:val="28"/>
          <w:sz w:val="28"/>
          <w:szCs w:val="28"/>
          <w:rtl w:val="true"/>
          <w:lang w:bidi="fa-IR"/>
        </w:rPr>
        <w:t>یرمز لأصحاب الإمام موسی بن جعفر علیهماالسلام ، وقد یرمز لهم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Style w:val="FootnoteAnchor"/>
          <w:rtl w:val="true"/>
        </w:rPr>
        <w:footnoteReference w:id="521"/>
      </w:r>
    </w:p>
    <w:p>
      <w:pPr>
        <w:pStyle w:val="Heading4"/>
        <w:numPr>
          <w:ilvl w:val="3"/>
          <w:numId w:val="1"/>
        </w:numPr>
        <w:rPr/>
      </w:pPr>
      <w:bookmarkStart w:id="464" w:name="__RefHeading___Toc4159700_3804643083"/>
      <w:bookmarkStart w:id="465" w:name="_Toc181"/>
      <w:bookmarkEnd w:id="464"/>
      <w:r>
        <w:rPr>
          <w:rtl w:val="true"/>
        </w:rPr>
        <w:t>العالِم</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بالعالِم فی الأخبار وفی کلام القُدَماء المعصوم لا الکاظم علیه السلام فإنّه قول من لا معرفة له بهما</w:t>
      </w:r>
      <w:r>
        <w:rPr>
          <w:rFonts w:eastAsia="IRNazanin" w:cs="IRNazanin"/>
          <w:color w:val="111111"/>
          <w:sz w:val="28"/>
          <w:szCs w:val="28"/>
          <w:rtl w:val="true"/>
          <w:lang w:bidi="fa-IR"/>
        </w:rPr>
        <w:t xml:space="preserve">» . </w:t>
      </w:r>
      <w:r>
        <w:rPr>
          <w:rStyle w:val="FootnoteAnchor"/>
          <w:rtl w:val="true"/>
        </w:rPr>
        <w:footnoteReference w:id="522"/>
      </w:r>
    </w:p>
    <w:p>
      <w:pPr>
        <w:pStyle w:val="Heading4"/>
        <w:numPr>
          <w:ilvl w:val="3"/>
          <w:numId w:val="1"/>
        </w:numPr>
        <w:rPr/>
      </w:pPr>
      <w:bookmarkStart w:id="466" w:name="__RefHeading___Toc4159702_3804643083"/>
      <w:bookmarkStart w:id="467" w:name="_Toc182"/>
      <w:bookmarkEnd w:id="466"/>
      <w:r>
        <w:rPr>
          <w:rtl w:val="true"/>
        </w:rPr>
        <w:t>العبد الصالح</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ورد عن العبد الصالح فهو الکاظم علیه السلام </w:t>
      </w:r>
      <w:r>
        <w:rPr>
          <w:rFonts w:eastAsia="IRNazanin" w:cs="IRNazanin"/>
          <w:color w:val="111111"/>
          <w:sz w:val="28"/>
          <w:szCs w:val="28"/>
          <w:rtl w:val="true"/>
          <w:lang w:bidi="fa-IR"/>
        </w:rPr>
        <w:t xml:space="preserve">» . </w:t>
      </w:r>
      <w:r>
        <w:rPr>
          <w:rStyle w:val="FootnoteAnchor"/>
          <w:rtl w:val="true"/>
        </w:rPr>
        <w:footnoteReference w:id="523"/>
      </w:r>
    </w:p>
    <w:p>
      <w:pPr>
        <w:pStyle w:val="Heading4"/>
        <w:numPr>
          <w:ilvl w:val="3"/>
          <w:numId w:val="1"/>
        </w:numPr>
        <w:rPr/>
      </w:pPr>
      <w:bookmarkStart w:id="468" w:name="__RefHeading___Toc4159704_3804643083"/>
      <w:bookmarkStart w:id="469" w:name="_Toc183"/>
      <w:bookmarkEnd w:id="468"/>
      <w:r>
        <w:rPr>
          <w:rtl w:val="true"/>
        </w:rPr>
        <w:t>غـض</w:t>
      </w:r>
      <w:bookmarkEnd w:id="469"/>
    </w:p>
    <w:p>
      <w:pPr>
        <w:pStyle w:val="BookText"/>
        <w:rPr/>
      </w:pPr>
      <w:r>
        <w:rPr>
          <w:rFonts w:ascii="IRNazanin" w:hAnsi="IRNazanin" w:eastAsia="IRNazanin"/>
          <w:color w:val="111111"/>
          <w:sz w:val="28"/>
          <w:sz w:val="28"/>
          <w:szCs w:val="28"/>
          <w:rtl w:val="true"/>
          <w:lang w:bidi="fa-IR"/>
        </w:rPr>
        <w:t xml:space="preserve">یرمز لکتاب الرجال لابن الغضائری المقصور علی ذکر الضُعَفاء </w:t>
      </w:r>
      <w:r>
        <w:rPr>
          <w:rFonts w:eastAsia="IRNazanin" w:cs="IRNazanin"/>
          <w:color w:val="111111"/>
          <w:sz w:val="28"/>
          <w:szCs w:val="28"/>
          <w:rtl w:val="true"/>
          <w:lang w:bidi="fa-IR"/>
        </w:rPr>
        <w:t xml:space="preserve">. </w:t>
      </w:r>
      <w:r>
        <w:rPr>
          <w:rStyle w:val="FootnoteAnchor"/>
          <w:rtl w:val="true"/>
        </w:rPr>
        <w:footnoteReference w:id="524"/>
      </w:r>
    </w:p>
    <w:p>
      <w:pPr>
        <w:pStyle w:val="Heading4"/>
        <w:numPr>
          <w:ilvl w:val="3"/>
          <w:numId w:val="1"/>
        </w:numPr>
        <w:rPr/>
      </w:pPr>
      <w:bookmarkStart w:id="470" w:name="__RefHeading___Toc4159706_3804643083"/>
      <w:bookmarkStart w:id="471" w:name="_Toc184"/>
      <w:bookmarkEnd w:id="470"/>
      <w:r>
        <w:rPr>
          <w:rtl w:val="true"/>
        </w:rPr>
        <w:t>الفرض</w:t>
      </w:r>
      <w:bookmarkEnd w:id="471"/>
    </w:p>
    <w:p>
      <w:pPr>
        <w:pStyle w:val="BookText"/>
        <w:rPr/>
      </w:pPr>
      <w:r>
        <w:rPr>
          <w:rFonts w:ascii="IRNazanin" w:hAnsi="IRNazanin" w:eastAsia="IRNazanin"/>
          <w:color w:val="111111"/>
          <w:sz w:val="28"/>
          <w:sz w:val="28"/>
          <w:szCs w:val="28"/>
          <w:rtl w:val="true"/>
          <w:lang w:bidi="fa-IR"/>
        </w:rPr>
        <w:t xml:space="preserve">فی باب الأغسال من کتاب الطهارة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الجنابة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واجب ؛ لأنّ الأغسال المذکورة جلّها مستحبة بل کلّها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یُراد بالفریضة ما ثبت وجوبه بالقرآن ، وغیر غسل الجنابة لم یثبت وجوبه من القرآن</w:t>
      </w:r>
      <w:r>
        <w:rPr>
          <w:rFonts w:eastAsia="IRNazanin" w:cs="IRNazanin"/>
          <w:color w:val="111111"/>
          <w:sz w:val="28"/>
          <w:szCs w:val="28"/>
          <w:rtl w:val="true"/>
          <w:lang w:bidi="fa-IR"/>
        </w:rPr>
        <w:t xml:space="preserve">» . </w:t>
      </w:r>
      <w:r>
        <w:rPr>
          <w:rStyle w:val="FootnoteAnchor"/>
          <w:rtl w:val="true"/>
        </w:rPr>
        <w:footnoteReference w:id="5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ماتقدّم فی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bookmarkStart w:id="472" w:name="pg2516_26592"/>
    </w:p>
    <w:p>
      <w:pPr>
        <w:pStyle w:val="Heading4"/>
        <w:numPr>
          <w:ilvl w:val="3"/>
          <w:numId w:val="1"/>
        </w:numPr>
        <w:rPr/>
      </w:pPr>
      <w:bookmarkStart w:id="473" w:name="__RefHeading___Toc4159708_3804643083"/>
      <w:bookmarkStart w:id="474" w:name="_Toc185"/>
      <w:bookmarkEnd w:id="472"/>
      <w:bookmarkEnd w:id="473"/>
      <w:r>
        <w:rPr>
          <w:rtl w:val="true"/>
        </w:rPr>
        <w:t>الفقیه</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فالغالب الهادی علیه السلام ، وقد یطلق علی العسکری علیه السلام ، وإطلاقه علی الکاظم علیه السلام نادر</w:t>
      </w:r>
      <w:r>
        <w:rPr>
          <w:rFonts w:eastAsia="IRNazanin" w:cs="IRNazanin"/>
          <w:color w:val="111111"/>
          <w:sz w:val="28"/>
          <w:szCs w:val="28"/>
          <w:rtl w:val="true"/>
          <w:lang w:bidi="fa-IR"/>
        </w:rPr>
        <w:t xml:space="preserve">» . </w:t>
      </w:r>
      <w:r>
        <w:rPr>
          <w:rStyle w:val="FootnoteAnchor"/>
          <w:rtl w:val="true"/>
        </w:rPr>
        <w:footnoteReference w:id="526"/>
      </w:r>
    </w:p>
    <w:p>
      <w:pPr>
        <w:pStyle w:val="Heading4"/>
        <w:numPr>
          <w:ilvl w:val="3"/>
          <w:numId w:val="1"/>
        </w:numPr>
        <w:rPr/>
      </w:pPr>
      <w:bookmarkStart w:id="475" w:name="__RefHeading___Toc4159710_3804643083"/>
      <w:bookmarkStart w:id="476" w:name="_Toc186"/>
      <w:bookmarkEnd w:id="475"/>
      <w:r>
        <w:rPr>
          <w:rtl w:val="true"/>
        </w:rPr>
        <w:t>فـی</w:t>
      </w:r>
      <w:bookmarkEnd w:id="476"/>
    </w:p>
    <w:p>
      <w:pPr>
        <w:pStyle w:val="BookText"/>
        <w:rPr/>
      </w:pPr>
      <w:r>
        <w:rPr>
          <w:rFonts w:ascii="IRNazanin" w:hAnsi="IRNazanin" w:eastAsia="IRNazanin"/>
          <w:color w:val="111111"/>
          <w:sz w:val="28"/>
          <w:sz w:val="28"/>
          <w:szCs w:val="28"/>
          <w:rtl w:val="true"/>
          <w:lang w:bidi="fa-IR"/>
        </w:rPr>
        <w:t xml:space="preserve">یرمز لکتاب الکافی لمحمّد بن یعقوب الکلینی </w:t>
      </w:r>
      <w:r>
        <w:rPr>
          <w:rFonts w:eastAsia="IRNazanin" w:cs="IRNazanin"/>
          <w:color w:val="111111"/>
          <w:sz w:val="28"/>
          <w:szCs w:val="28"/>
          <w:rtl w:val="true"/>
          <w:lang w:bidi="fa-IR"/>
        </w:rPr>
        <w:t xml:space="preserve">. </w:t>
      </w:r>
      <w:r>
        <w:rPr>
          <w:rStyle w:val="FootnoteAnchor"/>
          <w:rtl w:val="true"/>
        </w:rPr>
        <w:footnoteReference w:id="527"/>
      </w:r>
    </w:p>
    <w:p>
      <w:pPr>
        <w:pStyle w:val="Heading4"/>
        <w:numPr>
          <w:ilvl w:val="3"/>
          <w:numId w:val="1"/>
        </w:numPr>
        <w:rPr/>
      </w:pPr>
      <w:bookmarkStart w:id="477" w:name="__RefHeading___Toc4159712_3804643083"/>
      <w:bookmarkStart w:id="478" w:name="_Toc187"/>
      <w:bookmarkEnd w:id="477"/>
      <w:r>
        <w:rPr>
          <w:rtl w:val="true"/>
        </w:rPr>
        <w:t>ق</w:t>
      </w:r>
      <w:bookmarkEnd w:id="478"/>
    </w:p>
    <w:p>
      <w:pPr>
        <w:pStyle w:val="BookText"/>
        <w:rPr/>
      </w:pPr>
      <w:r>
        <w:rPr>
          <w:rFonts w:ascii="IRNazanin" w:hAnsi="IRNazanin" w:eastAsia="IRNazanin"/>
          <w:color w:val="111111"/>
          <w:sz w:val="28"/>
          <w:sz w:val="28"/>
          <w:szCs w:val="28"/>
          <w:rtl w:val="true"/>
          <w:lang w:bidi="fa-IR"/>
        </w:rPr>
        <w:t xml:space="preserve">یرمز لأصحاب الإمام جعفر بن محمّد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w:t>
      </w:r>
      <w:r>
        <w:rPr>
          <w:rStyle w:val="FootnoteAnchor"/>
          <w:rtl w:val="true"/>
        </w:rPr>
        <w:footnoteReference w:id="528"/>
      </w:r>
    </w:p>
    <w:p>
      <w:pPr>
        <w:pStyle w:val="Heading4"/>
        <w:numPr>
          <w:ilvl w:val="3"/>
          <w:numId w:val="1"/>
        </w:numPr>
        <w:rPr/>
      </w:pPr>
      <w:bookmarkStart w:id="479" w:name="__RefHeading___Toc4159714_3804643083"/>
      <w:bookmarkStart w:id="480" w:name="_Toc188"/>
      <w:bookmarkEnd w:id="479"/>
      <w:r>
        <w:rPr>
          <w:rtl w:val="true"/>
        </w:rPr>
        <w:t>قـر</w:t>
      </w:r>
      <w:bookmarkEnd w:id="480"/>
    </w:p>
    <w:p>
      <w:pPr>
        <w:pStyle w:val="BookText"/>
        <w:rPr/>
      </w:pPr>
      <w:r>
        <w:rPr>
          <w:rFonts w:ascii="IRNazanin" w:hAnsi="IRNazanin" w:eastAsia="IRNazanin"/>
          <w:color w:val="111111"/>
          <w:sz w:val="28"/>
          <w:sz w:val="28"/>
          <w:szCs w:val="28"/>
          <w:rtl w:val="true"/>
          <w:lang w:bidi="fa-IR"/>
        </w:rPr>
        <w:t xml:space="preserve">یرمز لأصحاب الإمام الباقر علیه السلام </w:t>
      </w:r>
      <w:r>
        <w:rPr>
          <w:rFonts w:eastAsia="IRNazanin" w:cs="IRNazanin"/>
          <w:color w:val="111111"/>
          <w:sz w:val="28"/>
          <w:szCs w:val="28"/>
          <w:rtl w:val="true"/>
          <w:lang w:bidi="fa-IR"/>
        </w:rPr>
        <w:t xml:space="preserve">. </w:t>
      </w:r>
      <w:r>
        <w:rPr>
          <w:rStyle w:val="FootnoteAnchor"/>
          <w:rtl w:val="true"/>
        </w:rPr>
        <w:footnoteReference w:id="529"/>
      </w:r>
    </w:p>
    <w:p>
      <w:pPr>
        <w:pStyle w:val="Heading4"/>
        <w:numPr>
          <w:ilvl w:val="3"/>
          <w:numId w:val="1"/>
        </w:numPr>
        <w:rPr/>
      </w:pPr>
      <w:bookmarkStart w:id="481" w:name="__RefHeading___Toc4159716_3804643083"/>
      <w:bookmarkStart w:id="482" w:name="_Toc189"/>
      <w:bookmarkEnd w:id="481"/>
      <w:r>
        <w:rPr>
          <w:rtl w:val="true"/>
        </w:rPr>
        <w:t>قمّی</w:t>
      </w:r>
      <w:bookmarkEnd w:id="482"/>
    </w:p>
    <w:p>
      <w:pPr>
        <w:pStyle w:val="BookText"/>
        <w:rPr/>
      </w:pPr>
      <w:r>
        <w:rPr>
          <w:rFonts w:ascii="IRNazanin" w:hAnsi="IRNazanin" w:eastAsia="IRNazanin"/>
          <w:color w:val="111111"/>
          <w:sz w:val="28"/>
          <w:sz w:val="28"/>
          <w:szCs w:val="28"/>
          <w:rtl w:val="true"/>
          <w:lang w:bidi="fa-IR"/>
        </w:rPr>
        <w:t xml:space="preserve">اُنظر ما یأتی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w:t>
      </w:r>
    </w:p>
    <w:p>
      <w:pPr>
        <w:pStyle w:val="Heading4"/>
        <w:numPr>
          <w:ilvl w:val="3"/>
          <w:numId w:val="1"/>
        </w:numPr>
        <w:rPr/>
      </w:pPr>
      <w:bookmarkStart w:id="483" w:name="__RefHeading___Toc4159718_3804643083"/>
      <w:bookmarkStart w:id="484" w:name="_Toc190"/>
      <w:bookmarkEnd w:id="483"/>
      <w:r>
        <w:rPr>
          <w:rtl w:val="true"/>
        </w:rPr>
        <w:t>قـی</w:t>
      </w:r>
      <w:bookmarkEnd w:id="48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یرمز لکتاب الرجال للبرقی </w:t>
      </w:r>
      <w:r>
        <w:rPr>
          <w:rFonts w:eastAsia="IRNazanin" w:cs="IRNazanin"/>
          <w:color w:val="111111"/>
          <w:sz w:val="28"/>
          <w:szCs w:val="28"/>
          <w:rtl w:val="true"/>
          <w:lang w:bidi="fa-IR"/>
        </w:rPr>
        <w:t xml:space="preserve">. </w:t>
      </w:r>
      <w:r>
        <w:rPr>
          <w:rStyle w:val="FootnoteAnchor"/>
          <w:rtl w:val="true"/>
        </w:rPr>
        <w:footnoteReference w:id="530"/>
      </w:r>
      <w:bookmarkStart w:id="485" w:name="pg2516_26594"/>
    </w:p>
    <w:p>
      <w:pPr>
        <w:pStyle w:val="Heading4"/>
        <w:numPr>
          <w:ilvl w:val="3"/>
          <w:numId w:val="1"/>
        </w:numPr>
        <w:rPr/>
      </w:pPr>
      <w:bookmarkStart w:id="486" w:name="__RefHeading___Toc4159720_3804643083"/>
      <w:bookmarkStart w:id="487" w:name="_Toc191"/>
      <w:bookmarkEnd w:id="485"/>
      <w:bookmarkEnd w:id="486"/>
      <w:r>
        <w:rPr>
          <w:rtl w:val="true"/>
        </w:rPr>
        <w:t>کر</w:t>
      </w:r>
      <w:bookmarkEnd w:id="487"/>
    </w:p>
    <w:p>
      <w:pPr>
        <w:pStyle w:val="BookText"/>
        <w:rPr/>
      </w:pPr>
      <w:r>
        <w:rPr>
          <w:rFonts w:ascii="Amiri" w:hAnsi="Amiri" w:eastAsia="Amiri" w:cs="Amiri"/>
          <w:color w:val="111111"/>
          <w:sz w:val="28"/>
          <w:sz w:val="28"/>
          <w:szCs w:val="28"/>
          <w:rtl w:val="true"/>
          <w:lang w:bidi="ar-SA"/>
        </w:rPr>
        <w:t xml:space="preserve">اُنظر ما تقدّم فی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کـش</w:t>
      </w:r>
    </w:p>
    <w:p>
      <w:pPr>
        <w:pStyle w:val="BookText"/>
        <w:rPr/>
      </w:pPr>
      <w:r>
        <w:rPr>
          <w:rFonts w:ascii="IRNazanin" w:hAnsi="IRNazanin" w:eastAsia="IRNazanin"/>
          <w:color w:val="111111"/>
          <w:sz w:val="28"/>
          <w:sz w:val="28"/>
          <w:szCs w:val="28"/>
          <w:rtl w:val="true"/>
          <w:lang w:bidi="fa-IR"/>
        </w:rPr>
        <w:t xml:space="preserve">یرمز لکتاب رجال الکشّی لأبی عمرو محمّد عمر بن عبد العزیز الکشّی </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کوفی</w:t>
      </w:r>
    </w:p>
    <w:p>
      <w:pPr>
        <w:pStyle w:val="BookText"/>
        <w:rPr/>
      </w:pPr>
      <w:r>
        <w:rPr>
          <w:rFonts w:ascii="IRNazanin" w:hAnsi="IRNazanin" w:eastAsia="IRNazanin"/>
          <w:color w:val="111111"/>
          <w:sz w:val="28"/>
          <w:sz w:val="28"/>
          <w:szCs w:val="28"/>
          <w:rtl w:val="true"/>
          <w:lang w:bidi="fa-IR"/>
        </w:rPr>
        <w:t xml:space="preserve">فی باب آداب دخول الحمّام من کتاب الطهارة بعد نقل الصَدوق خبراً فیه 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یاأهل الکوفة وأهلاً ، أنتم الشعار دون الدثار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یعنی علیه السلام أنّکم من المخصوصین بنا لا المخاطبین معنا کسائر الناس ، فإنّ أکثر أصحاب الأئمّة ـ صلوات اللّه علیهم ـ کانوا من أهل الکوفة فی ذلک الزمان وإن وقع منهم أوّلاً بعض التقصیر ، لکنّهم لما رجعوا وجاهدوا وقاتَلوا وقُتِلوا وطلبوا بثأر الحسین وأبنائهم صاروا من المخصوصین بهم کما یظهر من التتبع ، ولهذا یقال کلما یقع فی کتب الرجال أنّه کوفی أو قمّی معناه أنّه شیعی</w:t>
      </w:r>
      <w:r>
        <w:rPr>
          <w:rFonts w:eastAsia="IRNazanin" w:cs="IRNazanin"/>
          <w:color w:val="111111"/>
          <w:sz w:val="28"/>
          <w:szCs w:val="28"/>
          <w:rtl w:val="true"/>
          <w:lang w:bidi="fa-IR"/>
        </w:rPr>
        <w:t xml:space="preserve">»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یرمز لأصحاب الرسول </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لـم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لم یذکر عن الأئمّة علیهم السلام بل روی من الراوی سواء أدرک أزمنتهم أم لا</w:t>
      </w:r>
      <w:r>
        <w:rPr>
          <w:rFonts w:eastAsia="IRNazanin" w:cs="IRNazanin"/>
          <w:color w:val="111111"/>
          <w:sz w:val="28"/>
          <w:szCs w:val="28"/>
          <w:rtl w:val="true"/>
          <w:lang w:bidi="fa-IR"/>
        </w:rPr>
        <w:t xml:space="preserve">» . </w:t>
      </w:r>
      <w:r>
        <w:rPr>
          <w:rStyle w:val="FootnoteAnchor"/>
          <w:rtl w:val="true"/>
        </w:rPr>
        <w:footnoteReference w:id="534"/>
      </w:r>
      <w:bookmarkStart w:id="488" w:name="pg2516_26596"/>
    </w:p>
    <w:p>
      <w:pPr>
        <w:pStyle w:val="Heading4"/>
        <w:numPr>
          <w:ilvl w:val="3"/>
          <w:numId w:val="1"/>
        </w:numPr>
        <w:rPr/>
      </w:pPr>
      <w:bookmarkStart w:id="489" w:name="__RefHeading___Toc4159722_3804643083"/>
      <w:bookmarkStart w:id="490" w:name="_Toc192"/>
      <w:bookmarkEnd w:id="488"/>
      <w:bookmarkEnd w:id="489"/>
      <w:r>
        <w:rPr>
          <w:rtl w:val="true"/>
        </w:rPr>
        <w:t>م</w:t>
      </w:r>
      <w:bookmarkEnd w:id="490"/>
    </w:p>
    <w:p>
      <w:pPr>
        <w:pStyle w:val="BookText"/>
        <w:rPr/>
      </w:pPr>
      <w:r>
        <w:rPr>
          <w:rFonts w:ascii="Amiri" w:hAnsi="Amiri" w:eastAsia="Amiri" w:cs="Amiri"/>
          <w:color w:val="111111"/>
          <w:sz w:val="28"/>
          <w:sz w:val="28"/>
          <w:szCs w:val="28"/>
          <w:rtl w:val="true"/>
          <w:lang w:bidi="ar-SA"/>
        </w:rPr>
        <w:t xml:space="preserve">اُنظر ما تقدّم فی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w:t>
      </w:r>
    </w:p>
    <w:p>
      <w:pPr>
        <w:pStyle w:val="Heading4"/>
        <w:numPr>
          <w:ilvl w:val="3"/>
          <w:numId w:val="1"/>
        </w:numPr>
        <w:rPr/>
      </w:pPr>
      <w:bookmarkStart w:id="491" w:name="__RefHeading___Toc4159724_3804643083"/>
      <w:bookmarkStart w:id="492" w:name="_Toc193"/>
      <w:bookmarkEnd w:id="491"/>
      <w:r>
        <w:rPr>
          <w:rtl w:val="true"/>
        </w:rPr>
        <w:t>الماضی الأخیر</w:t>
      </w:r>
      <w:bookmarkEnd w:id="492"/>
    </w:p>
    <w:p>
      <w:pPr>
        <w:pStyle w:val="BookText"/>
        <w:rPr/>
      </w:pPr>
      <w:r>
        <w:rPr>
          <w:rFonts w:ascii="IRNazanin" w:hAnsi="IRNazanin" w:eastAsia="IRNazanin"/>
          <w:color w:val="111111"/>
          <w:sz w:val="28"/>
          <w:sz w:val="28"/>
          <w:szCs w:val="28"/>
          <w:rtl w:val="true"/>
          <w:lang w:bidi="fa-IR"/>
        </w:rPr>
        <w:t xml:space="preserve">فی کتاب الصلاة بعد قول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 علی بن الریان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الماضی الأخیر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یقول الشارح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الهادی علیه السلام وتعبیره بالماضی باعتبار وفاته علیه السلام وبالأخیر ؛ لأنّه أبو الحسن الأخیر علیه السلام ، والتعبیر بأمثال هذه الألقاب للتَقِیّة</w:t>
      </w:r>
      <w:r>
        <w:rPr>
          <w:rFonts w:eastAsia="IRNazanin" w:cs="IRNazanin"/>
          <w:color w:val="111111"/>
          <w:sz w:val="28"/>
          <w:szCs w:val="28"/>
          <w:rtl w:val="true"/>
          <w:lang w:bidi="fa-IR"/>
        </w:rPr>
        <w:t xml:space="preserve">» . </w:t>
      </w:r>
      <w:r>
        <w:rPr>
          <w:rStyle w:val="FootnoteAnchor"/>
          <w:rtl w:val="true"/>
        </w:rPr>
        <w:footnoteReference w:id="535"/>
      </w:r>
    </w:p>
    <w:p>
      <w:pPr>
        <w:pStyle w:val="Heading4"/>
        <w:numPr>
          <w:ilvl w:val="3"/>
          <w:numId w:val="1"/>
        </w:numPr>
        <w:rPr/>
      </w:pPr>
      <w:bookmarkStart w:id="493" w:name="__RefHeading___Toc4159726_3804643083"/>
      <w:bookmarkStart w:id="494" w:name="_Toc194"/>
      <w:bookmarkEnd w:id="493"/>
      <w:r>
        <w:rPr>
          <w:rtl w:val="true"/>
        </w:rPr>
        <w:t>مشایخ الإجازة</w:t>
      </w:r>
      <w:bookmarkEnd w:id="494"/>
    </w:p>
    <w:p>
      <w:pPr>
        <w:pStyle w:val="BookText"/>
        <w:rPr/>
      </w:pPr>
      <w:r>
        <w:rPr>
          <w:rFonts w:ascii="IRNazanin" w:hAnsi="IRNazanin" w:eastAsia="IRNazanin"/>
          <w:color w:val="111111"/>
          <w:sz w:val="28"/>
          <w:sz w:val="28"/>
          <w:szCs w:val="28"/>
          <w:rtl w:val="true"/>
          <w:lang w:bidi="fa-IR"/>
        </w:rPr>
        <w:t xml:space="preserve">اُنظر ما تقدّم فی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العلاّمة فی تصحیح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الأوّل </w:t>
      </w:r>
      <w:r>
        <w:rPr>
          <w:rFonts w:eastAsia="IRNazanin" w:cs="IRNazanin"/>
          <w:color w:val="111111"/>
          <w:sz w:val="28"/>
          <w:szCs w:val="28"/>
          <w:rtl w:val="true"/>
          <w:lang w:bidi="fa-IR"/>
        </w:rPr>
        <w:t>.</w:t>
      </w:r>
    </w:p>
    <w:p>
      <w:pPr>
        <w:pStyle w:val="Heading4"/>
        <w:numPr>
          <w:ilvl w:val="3"/>
          <w:numId w:val="1"/>
        </w:numPr>
        <w:rPr/>
      </w:pPr>
      <w:bookmarkStart w:id="495" w:name="__RefHeading___Toc4159728_3804643083"/>
      <w:bookmarkStart w:id="496" w:name="_Toc195"/>
      <w:bookmarkEnd w:id="495"/>
      <w:r>
        <w:rPr>
          <w:rtl w:val="true"/>
        </w:rPr>
        <w:t>الموقوف والمُضمَر</w:t>
      </w:r>
      <w:bookmarkEnd w:id="496"/>
    </w:p>
    <w:p>
      <w:pPr>
        <w:pStyle w:val="BookText"/>
        <w:rPr/>
      </w:pPr>
      <w:r>
        <w:rPr>
          <w:rFonts w:ascii="IRNazanin" w:hAnsi="IRNazanin" w:eastAsia="IRNazanin"/>
          <w:color w:val="111111"/>
          <w:sz w:val="28"/>
          <w:sz w:val="28"/>
          <w:szCs w:val="28"/>
          <w:rtl w:val="true"/>
          <w:lang w:bidi="fa-IR"/>
        </w:rPr>
        <w:t xml:space="preserve">الخبر الموقوف هو ما روی عن مصاحب المعصوم سواء کان النَّبی صلی الله علیه و آله أو أحد الأئمّة علیهم السلاممن قول أو فعل أو تقریر ، مع الوقوف علی ذلک المصاحب وعدم وصل السند إلی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المضمر هو ما یُطوی فیه ذکر المعصوم عند انتهاء السند إلیه بأن یعبّر عنه علیه السلام فی ذلک المقام بالضمیر الغائب مثل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 أو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قاله عُلَماء الدرایة فی تفسیر هذین الاصطلاحین ، ویقول الشارح فی مقدّمة اللوامع عند تفسیر بعض المصطلحات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الحدیث إذا لم یتّصل بالمعصوم یُسمّی موقوفاً ، وهو غالباً ما یشتبه علی غیر المتتبع وهو لیس موقوفاً فی الواقع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جاءت فی آخر الحدیث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 فهذا الحدیث یُسمّی مضمراً ، إذ من</w:t>
      </w:r>
      <w:bookmarkStart w:id="497" w:name="pg2516_26598"/>
    </w:p>
    <w:p>
      <w:pPr>
        <w:pStyle w:val="BookText"/>
        <w:rPr/>
      </w:pPr>
      <w:bookmarkEnd w:id="497"/>
      <w:r>
        <w:rPr>
          <w:rFonts w:ascii="IRNazanin" w:hAnsi="IRNazanin" w:eastAsia="IRNazanin"/>
          <w:color w:val="111111"/>
          <w:sz w:val="28"/>
          <w:sz w:val="28"/>
          <w:szCs w:val="28"/>
          <w:rtl w:val="true"/>
          <w:lang w:bidi="fa-IR"/>
        </w:rPr>
        <w:t xml:space="preserve">غیر المعلوم هل کان السؤال من المعصوم أم من غیر المعصوم ، وکثیراً ما یشتبه هذا المعنی أیضاً علی غیر المتتبع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کلا النوعین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والمضمر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الکثیر ممّا نقله زرارة فی کتابه یَذکُر فی بدایته أنّ الإمام محمّد الباقر ـ صلوات اللّه علیه ـ قال کذا ، ثُمَّ ینقل أخباراً کثیرة من غیر ذکر اسم الإمام علی اعتبار أنّه قد ذکره ، والمحدّثون الّذین أخذوا عن کتابه نقلوه فی کتبهم علی تلک الصورة وبناءً علی ما هو ظاهر لدیهم ، ولم یکونوا یعلموا بأنّه سیخفی لاحقاً علی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أیضاً سماعة فی أوّل کتابه بأن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 الباقی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ونادراً ما کان یقع الخطأ بسبب التَقِیّة</w:t>
      </w:r>
      <w:r>
        <w:rPr>
          <w:rFonts w:eastAsia="IRNazanin" w:cs="IRNazanin"/>
          <w:color w:val="111111"/>
          <w:sz w:val="28"/>
          <w:szCs w:val="28"/>
          <w:rtl w:val="true"/>
          <w:lang w:bidi="fa-IR"/>
        </w:rPr>
        <w:t xml:space="preserve">» . </w:t>
      </w:r>
      <w:r>
        <w:rPr>
          <w:rStyle w:val="FootnoteAnchor"/>
          <w:rtl w:val="true"/>
        </w:rPr>
        <w:footnoteReference w:id="536"/>
      </w:r>
    </w:p>
    <w:p>
      <w:pPr>
        <w:pStyle w:val="Heading4"/>
        <w:numPr>
          <w:ilvl w:val="3"/>
          <w:numId w:val="1"/>
        </w:numPr>
        <w:rPr/>
      </w:pPr>
      <w:bookmarkStart w:id="498" w:name="__RefHeading___Toc4159730_3804643083"/>
      <w:bookmarkStart w:id="499" w:name="_Toc196"/>
      <w:bookmarkEnd w:id="498"/>
      <w:r>
        <w:rPr>
          <w:rtl w:val="true"/>
        </w:rPr>
        <w:t>المولی</w:t>
      </w:r>
      <w:bookmarkEnd w:id="499"/>
    </w:p>
    <w:p>
      <w:pPr>
        <w:pStyle w:val="BookText"/>
        <w:rPr/>
      </w:pPr>
      <w:r>
        <w:rPr>
          <w:rFonts w:ascii="IRNazanin" w:hAnsi="IRNazanin" w:eastAsia="IRNazanin"/>
          <w:color w:val="111111"/>
          <w:sz w:val="28"/>
          <w:sz w:val="28"/>
          <w:szCs w:val="28"/>
          <w:rtl w:val="true"/>
          <w:lang w:bidi="fa-IR"/>
        </w:rPr>
        <w:t xml:space="preserve">أ ـ یقول الشارح فی شرح المشیخة عند ترجمة أبان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بن عثمان الأحمر البجلی بسکون الجیم أو فتحها ، کلّ واحد منهما منسوب إلی قبیلة ، مولاهم أی لیس أصله من بجلة أو بجیلة ، وإنّما لحق بهم وسکن معهم ، والغالب فی المولی فی النسب هذا المعنی</w:t>
      </w:r>
      <w:r>
        <w:rPr>
          <w:rFonts w:eastAsia="IRNazanin" w:cs="IRNazanin"/>
          <w:color w:val="111111"/>
          <w:sz w:val="28"/>
          <w:szCs w:val="28"/>
          <w:rtl w:val="true"/>
          <w:lang w:bidi="fa-IR"/>
        </w:rPr>
        <w:t xml:space="preserve">» .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ب ـ ویقول فی شرح رجال الفقیه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العزیز بن عبداللّه العبدی مولاهم أی لیس من أصل قبیلة العبدی ولکن کان دخیلهم</w:t>
      </w:r>
      <w:r>
        <w:rPr>
          <w:rFonts w:eastAsia="IRNazanin" w:cs="IRNazanin"/>
          <w:color w:val="111111"/>
          <w:sz w:val="28"/>
          <w:szCs w:val="28"/>
          <w:rtl w:val="true"/>
          <w:lang w:bidi="fa-IR"/>
        </w:rPr>
        <w:t xml:space="preserve">» . </w:t>
      </w:r>
      <w:r>
        <w:rPr>
          <w:rStyle w:val="FootnoteAnchor"/>
          <w:rtl w:val="true"/>
        </w:rPr>
        <w:footnoteReference w:id="538"/>
      </w:r>
    </w:p>
    <w:p>
      <w:pPr>
        <w:pStyle w:val="Heading4"/>
        <w:numPr>
          <w:ilvl w:val="3"/>
          <w:numId w:val="1"/>
        </w:numPr>
        <w:rPr/>
      </w:pPr>
      <w:bookmarkStart w:id="500" w:name="__RefHeading___Toc4159732_3804643083"/>
      <w:bookmarkStart w:id="501" w:name="_Toc197"/>
      <w:bookmarkEnd w:id="500"/>
      <w:r>
        <w:rPr>
          <w:rtl w:val="true"/>
        </w:rPr>
        <w:t>ن</w:t>
      </w:r>
      <w:bookmarkEnd w:id="501"/>
    </w:p>
    <w:p>
      <w:pPr>
        <w:pStyle w:val="BookText"/>
        <w:rPr/>
      </w:pPr>
      <w:r>
        <w:rPr>
          <w:rFonts w:ascii="IRNazanin" w:hAnsi="IRNazanin" w:eastAsia="IRNazanin"/>
          <w:color w:val="111111"/>
          <w:sz w:val="28"/>
          <w:sz w:val="28"/>
          <w:szCs w:val="28"/>
          <w:rtl w:val="true"/>
          <w:lang w:bidi="fa-IR"/>
        </w:rPr>
        <w:t xml:space="preserve">یرمز لأصحاب الإمام الحسن علیه السلام </w:t>
      </w:r>
      <w:r>
        <w:rPr>
          <w:rFonts w:eastAsia="IRNazanin" w:cs="IRNazanin"/>
          <w:color w:val="111111"/>
          <w:sz w:val="28"/>
          <w:szCs w:val="28"/>
          <w:rtl w:val="true"/>
          <w:lang w:bidi="fa-IR"/>
        </w:rPr>
        <w:t xml:space="preserve">. </w:t>
      </w:r>
      <w:r>
        <w:rPr>
          <w:rStyle w:val="FootnoteAnchor"/>
          <w:rtl w:val="true"/>
        </w:rPr>
        <w:footnoteReference w:id="539"/>
      </w:r>
    </w:p>
    <w:p>
      <w:pPr>
        <w:pStyle w:val="Heading4"/>
        <w:numPr>
          <w:ilvl w:val="3"/>
          <w:numId w:val="1"/>
        </w:numPr>
        <w:rPr/>
      </w:pPr>
      <w:bookmarkStart w:id="502" w:name="__RefHeading___Toc4159734_3804643083"/>
      <w:bookmarkStart w:id="503" w:name="_Toc198"/>
      <w:bookmarkEnd w:id="502"/>
      <w:r>
        <w:rPr>
          <w:rtl w:val="true"/>
        </w:rPr>
        <w:t>النوادر</w:t>
      </w:r>
      <w:bookmarkEnd w:id="5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ـ یقول الشارح فی ابتداء باب النوادر من کتاب الصوم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bookmarkStart w:id="504" w:name="pg2516_26601"/>
    </w:p>
    <w:p>
      <w:pPr>
        <w:pStyle w:val="BookText"/>
        <w:rPr/>
      </w:pPr>
      <w:bookmarkEnd w:id="504"/>
      <w:r>
        <w:rPr>
          <w:rFonts w:ascii="IRNazanin" w:hAnsi="IRNazanin" w:eastAsia="IRNazanin"/>
          <w:color w:val="111111"/>
          <w:sz w:val="28"/>
          <w:sz w:val="28"/>
          <w:szCs w:val="28"/>
          <w:rtl w:val="true"/>
          <w:lang w:bidi="fa-IR"/>
        </w:rPr>
        <w:t>المتفرقة الّتی یشکل جعل کلّ خبر منها باباً علی حدة ، ویمکن أنّ المراد بها الشواذ باعتبار عدم تکرارها فی الاُصول المعتمدة أو عدم عمل المشایخ بها ، وإن کان الکلّ صحاحاً یجوز العمل بها والأوّل أظهر هنا</w:t>
      </w:r>
      <w:r>
        <w:rPr>
          <w:rFonts w:eastAsia="IRNazanin" w:cs="IRNazanin"/>
          <w:color w:val="111111"/>
          <w:sz w:val="28"/>
          <w:szCs w:val="28"/>
          <w:rtl w:val="true"/>
          <w:lang w:bidi="fa-IR"/>
        </w:rPr>
        <w:t xml:space="preserve">» .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 ـ ویقول الشارح فی ابتداء باب النوادر من کتاب الطهارة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أخبار متفرقة لا یجمعها باب ولا یمکن لکلّ منها ذکر باب فتجمع وتُسمّی باب النوادر</w:t>
      </w:r>
      <w:r>
        <w:rPr>
          <w:rFonts w:eastAsia="IRNazanin" w:cs="IRNazanin"/>
          <w:color w:val="111111"/>
          <w:sz w:val="28"/>
          <w:szCs w:val="28"/>
          <w:rtl w:val="true"/>
          <w:lang w:bidi="fa-IR"/>
        </w:rPr>
        <w:t xml:space="preserve">» . </w:t>
      </w:r>
      <w:r>
        <w:rPr>
          <w:rStyle w:val="FootnoteAnchor"/>
          <w:rtl w:val="true"/>
        </w:rPr>
        <w:footnoteReference w:id="541"/>
      </w:r>
    </w:p>
    <w:p>
      <w:pPr>
        <w:pStyle w:val="Heading4"/>
        <w:numPr>
          <w:ilvl w:val="3"/>
          <w:numId w:val="1"/>
        </w:numPr>
        <w:rPr/>
      </w:pPr>
      <w:bookmarkStart w:id="505" w:name="__RefHeading___Toc4159736_3804643083"/>
      <w:bookmarkStart w:id="506" w:name="_Toc199"/>
      <w:bookmarkEnd w:id="505"/>
      <w:r>
        <w:rPr>
          <w:rtl w:val="true"/>
        </w:rPr>
        <w:t>الواجب</w:t>
      </w:r>
      <w:bookmarkEnd w:id="506"/>
    </w:p>
    <w:p>
      <w:pPr>
        <w:pStyle w:val="BookText"/>
        <w:rPr/>
      </w:pPr>
      <w:r>
        <w:rPr>
          <w:rFonts w:ascii="Amiri" w:hAnsi="Amiri" w:eastAsia="Amiri" w:cs="Amiri"/>
          <w:color w:val="111111"/>
          <w:sz w:val="28"/>
          <w:sz w:val="28"/>
          <w:szCs w:val="28"/>
          <w:rtl w:val="true"/>
          <w:lang w:bidi="ar-SA"/>
        </w:rPr>
        <w:t xml:space="preserve">اُنظر ما تقدّم فی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الدال </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159738_3804643083"/>
      <w:bookmarkStart w:id="508" w:name="_Toc200"/>
      <w:bookmarkEnd w:id="507"/>
      <w:r>
        <w:rPr>
          <w:rtl w:val="true"/>
        </w:rPr>
        <w:t>ی</w:t>
      </w:r>
      <w:bookmarkEnd w:id="508"/>
    </w:p>
    <w:p>
      <w:pPr>
        <w:pStyle w:val="BookText"/>
        <w:rPr/>
      </w:pPr>
      <w:r>
        <w:rPr>
          <w:rFonts w:ascii="IRNazanin" w:hAnsi="IRNazanin" w:eastAsia="IRNazanin"/>
          <w:color w:val="111111"/>
          <w:sz w:val="28"/>
          <w:sz w:val="28"/>
          <w:szCs w:val="28"/>
          <w:rtl w:val="true"/>
          <w:lang w:bidi="fa-IR"/>
        </w:rPr>
        <w:t xml:space="preserve">یرمز لأصحاب الإمام علی بن أبی طالب علیه السلام </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509" w:name="__RefHeading___Toc4159740_3804643083"/>
      <w:bookmarkStart w:id="510" w:name="_Toc201"/>
      <w:bookmarkEnd w:id="509"/>
      <w:r>
        <w:rPr>
          <w:rtl w:val="true"/>
        </w:rPr>
        <w:t>یـب</w:t>
      </w:r>
      <w:bookmarkEnd w:id="510"/>
    </w:p>
    <w:p>
      <w:pPr>
        <w:pStyle w:val="BookText"/>
        <w:rPr/>
      </w:pPr>
      <w:r>
        <w:rPr>
          <w:rFonts w:ascii="IRNazanin" w:hAnsi="IRNazanin" w:eastAsia="IRNazanin"/>
          <w:color w:val="111111"/>
          <w:sz w:val="28"/>
          <w:sz w:val="28"/>
          <w:szCs w:val="28"/>
          <w:rtl w:val="true"/>
          <w:lang w:bidi="fa-IR"/>
        </w:rPr>
        <w:t xml:space="preserve">یرمز لکتاب تهذیب الأحکام لشَّیخ الطائفة محمّد بن الحسن الطوسی </w:t>
      </w:r>
      <w:r>
        <w:rPr>
          <w:rFonts w:eastAsia="IRNazanin" w:cs="IRNazanin"/>
          <w:color w:val="111111"/>
          <w:sz w:val="28"/>
          <w:szCs w:val="28"/>
          <w:rtl w:val="true"/>
          <w:lang w:bidi="fa-IR"/>
        </w:rPr>
        <w:t xml:space="preserve">. </w:t>
      </w:r>
      <w:r>
        <w:rPr>
          <w:rStyle w:val="FootnoteAnchor"/>
          <w:rtl w:val="true"/>
        </w:rPr>
        <w:footnoteReference w:id="543"/>
      </w:r>
    </w:p>
    <w:p>
      <w:pPr>
        <w:pStyle w:val="Heading4"/>
        <w:numPr>
          <w:ilvl w:val="3"/>
          <w:numId w:val="1"/>
        </w:numPr>
        <w:rPr/>
      </w:pPr>
      <w:bookmarkStart w:id="511" w:name="__RefHeading___Toc4159742_3804643083"/>
      <w:bookmarkStart w:id="512" w:name="_Toc202"/>
      <w:bookmarkEnd w:id="511"/>
      <w:r>
        <w:rPr>
          <w:rtl w:val="true"/>
        </w:rPr>
        <w:t>ین</w:t>
      </w:r>
      <w:bookmarkEnd w:id="512"/>
    </w:p>
    <w:p>
      <w:pPr>
        <w:pStyle w:val="BookText"/>
        <w:rPr/>
      </w:pPr>
      <w:r>
        <w:rPr>
          <w:rFonts w:ascii="IRNazanin" w:hAnsi="IRNazanin" w:eastAsia="IRNazanin"/>
          <w:color w:val="111111"/>
          <w:sz w:val="28"/>
          <w:sz w:val="28"/>
          <w:szCs w:val="28"/>
          <w:rtl w:val="true"/>
          <w:lang w:bidi="fa-IR"/>
        </w:rPr>
        <w:t xml:space="preserve">یرمز لأصحاب الإمام علی بن الحسین علیهماالسلام </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513" w:name="__RefHeading___Toc4159744_3804643083"/>
      <w:bookmarkStart w:id="514" w:name="_Toc203"/>
      <w:bookmarkEnd w:id="513"/>
      <w:r>
        <w:rPr>
          <w:rtl w:val="true"/>
        </w:rPr>
        <w:t>یـه</w:t>
      </w:r>
      <w:bookmarkEnd w:id="51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یرمز لکتاب من لا یحضره الفقیه للصدوق </w:t>
      </w:r>
      <w:r>
        <w:rPr>
          <w:rFonts w:eastAsia="IRNazanin" w:cs="IRNazanin"/>
          <w:color w:val="111111"/>
          <w:sz w:val="28"/>
          <w:szCs w:val="28"/>
          <w:rtl w:val="true"/>
          <w:lang w:bidi="fa-IR"/>
        </w:rPr>
        <w:t xml:space="preserve">. </w:t>
      </w:r>
      <w:r>
        <w:rPr>
          <w:rStyle w:val="FootnoteAnchor"/>
          <w:rtl w:val="true"/>
        </w:rPr>
        <w:footnoteReference w:id="545"/>
      </w:r>
      <w:bookmarkStart w:id="515" w:name="pg2516_26604"/>
    </w:p>
    <w:p>
      <w:pPr>
        <w:pStyle w:val="Heading2"/>
        <w:numPr>
          <w:ilvl w:val="1"/>
          <w:numId w:val="1"/>
        </w:numPr>
        <w:rPr/>
      </w:pPr>
      <w:bookmarkStart w:id="516" w:name="__RefHeading___Toc4159746_3804643083"/>
      <w:bookmarkStart w:id="517" w:name="_Toc204"/>
      <w:bookmarkEnd w:id="515"/>
      <w:bookmarkEnd w:id="516"/>
      <w:r>
        <w:rPr>
          <w:rtl w:val="true"/>
        </w:rPr>
        <w:t xml:space="preserve">الباب الثالث </w:t>
      </w:r>
      <w:r>
        <w:rPr>
          <w:rtl w:val="true"/>
        </w:rPr>
        <w:t xml:space="preserve">: </w:t>
      </w:r>
      <w:r>
        <w:rPr>
          <w:rtl w:val="true"/>
        </w:rPr>
        <w:t>فقه الحدیث عند الملاّ محمّدتقی المجلسی</w:t>
      </w:r>
      <w:bookmarkEnd w:id="517"/>
    </w:p>
    <w:p>
      <w:pPr>
        <w:pStyle w:val="Heading3"/>
        <w:numPr>
          <w:ilvl w:val="2"/>
          <w:numId w:val="1"/>
        </w:numPr>
        <w:rPr/>
      </w:pPr>
      <w:bookmarkStart w:id="518" w:name="__RefHeading___Toc4159748_3804643083"/>
      <w:bookmarkStart w:id="519" w:name="_Toc205"/>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ومکانته</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التمهیدیة لفهم متن الحدیث</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فهم الحدیث</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حول موانع فهم الحدیث</w:t>
      </w:r>
      <w:bookmarkStart w:id="520" w:name="pg2516_26608"/>
    </w:p>
    <w:p>
      <w:pPr>
        <w:pStyle w:val="Heading3"/>
        <w:numPr>
          <w:ilvl w:val="2"/>
          <w:numId w:val="1"/>
        </w:numPr>
        <w:rPr/>
      </w:pPr>
      <w:bookmarkStart w:id="521" w:name="__RefHeading___Toc4159750_3804643083"/>
      <w:bookmarkStart w:id="522" w:name="_Toc206"/>
      <w:bookmarkEnd w:id="520"/>
      <w:bookmarkEnd w:id="521"/>
      <w:r>
        <w:rPr>
          <w:rtl w:val="true"/>
        </w:rPr>
        <w:t xml:space="preserve">الفصل الأوّل </w:t>
      </w:r>
      <w:r>
        <w:rPr>
          <w:rtl w:val="true"/>
        </w:rPr>
        <w:t xml:space="preserve">: </w:t>
      </w:r>
      <w:r>
        <w:rPr>
          <w:rtl w:val="true"/>
        </w:rPr>
        <w:t>فقه الحدیث ومکانته</w:t>
      </w:r>
      <w:bookmarkEnd w:id="522"/>
    </w:p>
    <w:p>
      <w:pPr>
        <w:pStyle w:val="Heading4"/>
        <w:numPr>
          <w:ilvl w:val="3"/>
          <w:numId w:val="1"/>
        </w:numPr>
        <w:rPr/>
      </w:pPr>
      <w:bookmarkStart w:id="523" w:name="__RefHeading___Toc4159752_3804643083"/>
      <w:bookmarkStart w:id="524" w:name="_Toc207"/>
      <w:bookmarkEnd w:id="523"/>
      <w:r>
        <w:rPr>
          <w:rtl w:val="true"/>
        </w:rPr>
        <w:t>اشاره</w:t>
      </w:r>
      <w:bookmarkEnd w:id="524"/>
    </w:p>
    <w:p>
      <w:pPr>
        <w:pStyle w:val="Heading4"/>
        <w:numPr>
          <w:ilvl w:val="3"/>
          <w:numId w:val="1"/>
        </w:numPr>
        <w:rPr/>
      </w:pPr>
      <w:bookmarkStart w:id="525" w:name="__RefHeading___Toc4159754_3804643083"/>
      <w:bookmarkStart w:id="526" w:name="_Toc208"/>
      <w:bookmarkEnd w:id="525"/>
      <w:r>
        <w:rPr>
          <w:rtl w:val="true"/>
        </w:rPr>
        <w:t>المدخل</w:t>
      </w:r>
      <w:bookmarkEnd w:id="526"/>
    </w:p>
    <w:p>
      <w:pPr>
        <w:pStyle w:val="BookText"/>
        <w:rPr/>
      </w:pPr>
      <w:r>
        <w:rPr>
          <w:rFonts w:ascii="IRNazanin" w:hAnsi="IRNazanin" w:eastAsia="IRNazanin"/>
          <w:color w:val="111111"/>
          <w:sz w:val="28"/>
          <w:sz w:val="28"/>
          <w:szCs w:val="28"/>
          <w:rtl w:val="true"/>
          <w:lang w:bidi="fa-IR"/>
        </w:rPr>
        <w:t xml:space="preserve">یعدّ محمّد تقی المجلسی الأوّل رحمه الله من المحدّثین المتبحّرین والفقهاء ، إذ إنّه لم یتوقّف عند حدِّ نقل الروایات ، وإنّما عقد العزم علی شرح وبیان الکثیر من الأحادیث وکشف عمّا فیها من زوایا غامضة ولطائف خفیّة ، وقد استخدم فی سبیل تحقیق هذه الغایة کُلّ ما کان لدیه من خزائن علومه سخّر الأدب والفقه والاُصول والتفسیر من أجل استخراج هذه البدائع العمیقة المغزی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 فی هذا السبیل قواعد لم یصرّح بها إلاّ أنّها غیر خافیة ، وقد حاولنا من خلال استخراج هذه القواعد وصیاغتها فی منهج منطقی منتظم ، وتبویب ما بذله من جهود فی موضوع فقه الحدیث ضمن دائرة شرحه الکبیر روضة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روضة المتّقین عبارة عن شرح کتبه باللغة العربیة علی کتاب من لا یحضره الفقیه الّذی یُعد واحداً من کتب الحدیث الأربعة عند الشیعة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الخصائص الّتی یتّسم بها کتاب من لا یحضره الفقیه وتبعاً له روضة المتّقین هو أنّها تضم إضافة إلی الأحادیث الفقهیة ، أحادیث أخلاقیة ومواعظ ، وهی تنمّ عن مقدرة الشارح فی کلا هذین الحقلین الواسعین ؛ أی حقل الفقه وحقل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ألقینا نظرة</w:t>
      </w:r>
      <w:bookmarkStart w:id="527" w:name="pg2516_26610"/>
    </w:p>
    <w:p>
      <w:pPr>
        <w:pStyle w:val="BookText"/>
        <w:rPr/>
      </w:pPr>
      <w:bookmarkEnd w:id="527"/>
      <w:r>
        <w:rPr>
          <w:rFonts w:ascii="IRNazanin" w:hAnsi="IRNazanin" w:eastAsia="IRNazanin"/>
          <w:color w:val="111111"/>
          <w:sz w:val="28"/>
          <w:sz w:val="28"/>
          <w:szCs w:val="28"/>
          <w:rtl w:val="true"/>
          <w:lang w:bidi="fa-IR"/>
        </w:rPr>
        <w:t xml:space="preserve">فاحصة علی أربعة مجلّدات من هذا الکتاب </w:t>
      </w:r>
      <w:r>
        <w:rPr>
          <w:rStyle w:val="FootnoteAnchor"/>
          <w:rtl w:val="true"/>
        </w:rPr>
        <w:footnoteReference w:id="546"/>
      </w:r>
      <w:r>
        <w:rPr>
          <w:rFonts w:ascii="IRNazanin" w:hAnsi="IRNazanin" w:eastAsia="IRNazanin"/>
          <w:color w:val="111111"/>
          <w:sz w:val="28"/>
          <w:sz w:val="28"/>
          <w:szCs w:val="28"/>
          <w:rtl w:val="true"/>
          <w:lang w:bidi="fa-IR"/>
        </w:rPr>
        <w:t xml:space="preserve">، ورجعنا إلی واحد أو اثنین منها فی حالات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ویتّضح لنا من خلال ذلک أنّ هناک مجالاً واسعا لإجراء تحقیق أشمل وعرض المزید من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أنّ قلّة المصادر والمتون فی حقل فقه الحدیث توجب علی المفکّرین من الشباب تقدیم بحوث أکثر حداثة وعمقاً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نبدأ أوّلاً بتقدیم تعریف لفقه الحدیث من وجهة نظر مقبولة ومعاصرة ، ونبیّن مدی مکانته وأهمیّته ، ثُمَّ نأتی علی تبیین المسار المنطقی والمتداول لفهم الأحادیث ، خاصّة الأحادیث الّتی تتطلب الشرح والتفسیر ، ونعرض بعد التوضیح المقتضب لکلّ مرحلة مصادیق وأمثلة من الأعمال الّتی قام بها الشَّیخ محمّد تقی المجلسی الأوّل رحمه الله </w:t>
      </w:r>
      <w:r>
        <w:rPr>
          <w:rFonts w:eastAsia="IRNazanin" w:cs="IRNazanin"/>
          <w:color w:val="111111"/>
          <w:sz w:val="28"/>
          <w:szCs w:val="28"/>
          <w:rtl w:val="true"/>
          <w:lang w:bidi="fa-IR"/>
        </w:rPr>
        <w:t>.</w:t>
      </w:r>
    </w:p>
    <w:p>
      <w:pPr>
        <w:pStyle w:val="Heading4"/>
        <w:numPr>
          <w:ilvl w:val="3"/>
          <w:numId w:val="1"/>
        </w:numPr>
        <w:rPr/>
      </w:pPr>
      <w:bookmarkStart w:id="528" w:name="__RefHeading___Toc4159756_3804643083"/>
      <w:bookmarkStart w:id="529" w:name="_Toc209"/>
      <w:bookmarkEnd w:id="528"/>
      <w:r>
        <w:rPr>
          <w:rtl w:val="true"/>
        </w:rPr>
        <w:t>التعریف بفقه الحدیث</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الّذی یبحث فی متن الحدیث ویقرّبنا إلی المقصود الأصلی لقائل الحدیث من خلال عرض الاُسس والسیر المنطقی لفهمه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الأُسس والأسالیب الّتی تستخرج من قواعد أدبیة واُصولیة وکلامیة وغیرها من القوانین العقلیة والعقلانیة ، ویتمّ تعریفها فی قالب مسار منطقی وعملیة 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تساعدنا علی العثور علی المعنی الأصلی للحدیث والفهم الصحیح ، والأفضل لما یراد منه ، وکذا تساعدنا علی وضعه فی نظام اعتقادی متماثل ، بحیث لا یقع أی خلل فی تماسک البُنیة اللغویة والعقلانیة السائدة فی الأحادیث </w:t>
      </w:r>
      <w:r>
        <w:rPr>
          <w:rFonts w:eastAsia="IRNazanin" w:cs="IRNazanin"/>
          <w:color w:val="111111"/>
          <w:sz w:val="28"/>
          <w:szCs w:val="28"/>
          <w:rtl w:val="true"/>
          <w:lang w:bidi="fa-IR"/>
        </w:rPr>
        <w:t>.</w:t>
      </w:r>
    </w:p>
    <w:p>
      <w:pPr>
        <w:pStyle w:val="Heading4"/>
        <w:numPr>
          <w:ilvl w:val="3"/>
          <w:numId w:val="1"/>
        </w:numPr>
        <w:rPr/>
      </w:pPr>
      <w:bookmarkStart w:id="530" w:name="__RefHeading___Toc4159758_3804643083"/>
      <w:bookmarkStart w:id="531" w:name="_Toc210"/>
      <w:bookmarkEnd w:id="530"/>
      <w:r>
        <w:rPr>
          <w:rtl w:val="true"/>
        </w:rPr>
        <w:t>مکانة فقه الحدیث وأهمیته</w:t>
      </w:r>
      <w:bookmarkEnd w:id="5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 من العلوم الّتی تُعنی بمتن الحدیث ، وهو ـ أی فقه الحدیث ـ یساعد علی فهم مضمون الحدیث ، ویضطلع بمهمّة شرح متنه وإزالة العقبات الّتی تعترض</w:t>
      </w:r>
    </w:p>
    <w:p>
      <w:pPr>
        <w:pStyle w:val="BookText"/>
        <w:rPr/>
      </w:pPr>
      <w:r>
        <w:rPr>
          <w:rFonts w:ascii="IRNazanin" w:hAnsi="IRNazanin" w:eastAsia="IRNazanin"/>
          <w:color w:val="111111"/>
          <w:sz w:val="28"/>
          <w:sz w:val="28"/>
          <w:szCs w:val="28"/>
          <w:rtl w:val="true"/>
          <w:lang w:bidi="fa-IR"/>
        </w:rPr>
        <w:t xml:space="preserve">طریق فهمه </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یدخل القسم الأوّل والاُمور المتعلّقة بأحوال الرواة ومعاصرة واتّصال طبقاتهم مع بعضها الآخر ، وما إلی ذلک من القضایا المتعلّقة بإسناد الروایات ، یدخل ضمن قسم علم الرجال ، وهو یمثّل علی الدوام دعماً یعاضد حجیّة ومقبولیة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من علوم الحدیث هو فقه الحدیث ، والقسم الثالث یُعنی بفروع جانبیة مثل مصطلح الحدیث ، ونقد الحدیث ، وتاریخ وببلیوغرافیا الحدیث ، ویأخذ حیّزه إلی جانب القسمین السابقین من أقسام علوم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کُلّ واحد من علوم الحدیث مهم ، بل وضروری بجمیع فروعه ، غیر أنّ أکثرها التصاقاً بشرح وفهم المراد الأصلی من الحدیث وتیسیر الاستفادة منه فی العلوم الإلهیة والإنسانیة وتطبیقه فی الحیاة ، هو علم فقه الحدیث ، الّذی لو استخدم بشکل صحیح وطوی مساره المنطقی بالتمام والکمال ، لقَرَّبَنا إلی المفهوم الحقیقی للحدیث ، وعَیَّن لنا ـ بعد اجتیاز مرحلة النقد والتمحیص ـ واجبنا العلمی والعملی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الفراغ من حجیّته ، یضفی الاعتبار علی هذا الواجب ، وینتج عن ذلک أنّ عملنا یکون مستنداً إلی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 فإنّ النجاح فی هذا الفرع ، یؤدّی إلی أن تثمر جهودنا فی الفروع الاُخری لعلوم الحدیث ، ویتسنّی للباحث فی علوم الحدیث عند ذاک إدراک جمال کلام أهل البیت ، والتلذذ بفهم الحدیث ، ویجعلنا نقف علی معنی کلام الحاکم النیسابوری حین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فقه الحدیث ثمرة علوم الحدیث وبه قوام الشریعة </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المهمّة فی هذا المجال هی أنّ کُلّ ما نقوله حول الحدیث ، وأی نوع من الاستفادة من الحدیث ترجع بشکل مباشر إلی فهم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یُفْهم الحدیث فکأنّما لم یُقرأ ، ولم یکن موضع استفادة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الأفضل هنا أن نستشف مدی أهمیة فقه الحدیث وفهم الروایات من خلال استقراء نفس أحادیث الأئمّة المعصومین علیهم السلام ، لأنّهم أوّل المنبّهین إلی هذا الأمر الخطیر ، وأوّل الشارحین للحدیث والسُنّة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لهم جهود متواصلة فی کشف معانیه ، ثُمَّ نأتی من بعد ذلک ـ بمناسبة المقال ـ إلی إدراک مدی أهمیّته من خلال ما ورد علی لسان المرحوم المجلسی الأوّل رحمه الله حیث یُعتبر شرحه الکبیر علی کتاب من لا یحضره الفقیه وما لقیه من مشقّة فی تألیفه ، یُعتبر بحد ذاته شاهداً علی 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عبیدة السلمانی تحذیر الإمام علی علیه السلام فی هذا المجال علی النحو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 اتقوا اللّه ولا تفتوا بما لاتعلمون ، فإنّ رسول اللّه علیه السلام قد قال قولاً آل منه إلی غیره وقد قال قولاً ، من وضعه فی غیر موضعه ، کذب علیه </w:t>
      </w:r>
      <w:r>
        <w:rPr>
          <w:rFonts w:eastAsia="IRNazanin" w:cs="IRNazanin"/>
          <w:color w:val="111111"/>
          <w:sz w:val="28"/>
          <w:szCs w:val="28"/>
          <w:rtl w:val="true"/>
          <w:lang w:bidi="fa-IR"/>
        </w:rPr>
        <w:t xml:space="preserve">. . . .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وحذا الإمام الصادق علیه السلام حذوه معتبراً مثل هذا الحذر ضروریاً فی التعاطی مع أحادیثه وأحادیث الأئمّة الآخرین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تدریه خیرٌ من ألفٍ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ولایکون الرجل منکم فقیها حتّی یعرف معاریض کلامنا ، وإنّ الکلمة من کلماتنا لتنصرف علی سبعین وجها ، لنا من جمیعها المخرج </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وقال هذا الإمام الهمام أیضاً فی وصف من یفهم معانی کلام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أفقه الناس إذا عرفتم معانی کلامنا ، إنّ الکلمة لتنصرف علی وجوه ، فلو شاء إنسان ، لصرف کلامه کیف شاء و لا یکذب </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تجدر الإشارة هنا إلی أنّ الشَّیخ الصَّدوق مؤلّف کتاب من لا یحضره الفقیه استهلّ کتابه الأصلی فی مجال فقه الحدیث ، وهو کتاب معانی الأخبار ، الّذی یُعد مصدراً قدیماً ومعتبراً ونادراً فی حقل فقه الحدیث ، بالروایة المذکورة آنفاً ، واستقی</w:t>
      </w:r>
    </w:p>
    <w:p>
      <w:pPr>
        <w:pStyle w:val="BookText"/>
        <w:rPr/>
      </w:pPr>
      <w:r>
        <w:rPr>
          <w:rFonts w:ascii="IRNazanin" w:hAnsi="IRNazanin" w:eastAsia="IRNazanin"/>
          <w:color w:val="111111"/>
          <w:sz w:val="28"/>
          <w:sz w:val="28"/>
          <w:szCs w:val="28"/>
          <w:rtl w:val="true"/>
          <w:lang w:bidi="fa-IR"/>
        </w:rPr>
        <w:t xml:space="preserve">اسم کتابه منها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الحالات تکون للفهم المغلوط للحدیث نتیجة أسوء من عدم فهمه ورؤیته وسماعه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فالاتجاهات المنحرفة والفرق والنحل الّتی تحسب نفسها علی الدِّین ، إنّما ظهرت نتیجة لسوء فهم المتون الدینیة وخاصة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المعنی ما جاء علی لسان العالم والمحدّث الشیعی الکبیر فی القرن الرابع ، وهو الشَّیخ النعمانی </w:t>
      </w:r>
      <w:r>
        <w:rPr>
          <w:rStyle w:val="FootnoteAnchor"/>
          <w:rtl w:val="true"/>
        </w:rPr>
        <w:footnoteReference w:id="552"/>
      </w:r>
      <w:r>
        <w:rPr>
          <w:rFonts w:ascii="IRNazanin" w:hAnsi="IRNazanin" w:eastAsia="IRNazanin"/>
          <w:color w:val="111111"/>
          <w:sz w:val="28"/>
          <w:sz w:val="28"/>
          <w:szCs w:val="28"/>
          <w:rtl w:val="true"/>
          <w:lang w:bidi="fa-IR"/>
        </w:rPr>
        <w:t xml:space="preserve">فی مقدّمة کتابه المعروف باسم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لعمری ما اُتی من تاه وتحیّر وافتتن وانتقل عن الحق وتعلّق بمذاهب أهل الزخرف والباطل إلاّ من قلّة الروایة والعلم وعدم الدرایة والفهم ، فإنّهم الأشقیاء لم یهتمّوا لطلب العلم ولم یُتعبوا أنفسهم فی اقتنائه وروایته من معادنه الصّافیة علی أنّهم لو رووا ، ثمّ لم یدروا لکانوا بمنزلة من لم یرو ، وقد قال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إعرفوا منازل شیعتنا عندنا علی قدر روایتهم عنّا و فهمهم منّا ، فإنّ الروایة تحتاج الدرایة و خبر تدریه خیر من ألف خبر ترویه </w:t>
      </w:r>
      <w:r>
        <w:rPr>
          <w:rFonts w:eastAsia="IRNazanin" w:cs="IRNazanin"/>
          <w:color w:val="111111"/>
          <w:sz w:val="28"/>
          <w:szCs w:val="28"/>
          <w:rtl w:val="true"/>
          <w:lang w:bidi="fa-IR"/>
        </w:rPr>
        <w:t xml:space="preserve">» .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وفی ضوء ما تقدّم من التحذیرات صرّح المرحوم المجلسی الأوّل رحمه الله فی هذا السیاق بما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ممّن ینقل الأخبار ولا یفهم معانیها أو یفهمها ولا یتفکّر فی عواقبها</w:t>
      </w:r>
      <w:r>
        <w:rPr>
          <w:rFonts w:eastAsia="IRNazanin" w:cs="IRNazanin"/>
          <w:color w:val="111111"/>
          <w:sz w:val="28"/>
          <w:szCs w:val="28"/>
          <w:rtl w:val="true"/>
          <w:lang w:bidi="fa-IR"/>
        </w:rPr>
        <w:t xml:space="preserve">» . </w:t>
      </w:r>
      <w:r>
        <w:rPr>
          <w:rStyle w:val="FootnoteAnchor"/>
          <w:rtl w:val="true"/>
        </w:rPr>
        <w:footnoteReference w:id="55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هذه الأهمیة ، وممّا مرَّ فی تعریف فقه الحدیث ، یمکننا أن ندرک بشکل أفضل مدی أهمیة الجهود الّتی بذلها محمّد تقی المجلسی الأوّل رحمه الله طیلة مدّة حیاته وأنجز خلالها عملاً یُعتبر من باکورة نتاجات شرح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یتّضح معنی الکثیر من کتابات وکلمات وجهود المجلسی الأوّل رحمه الله وأبحاثه الّتی استغرقت منه کثیراً</w:t>
      </w:r>
    </w:p>
    <w:p>
      <w:pPr>
        <w:pStyle w:val="BookText"/>
        <w:rPr/>
      </w:pPr>
      <w:r>
        <w:rPr>
          <w:rFonts w:ascii="IRNazanin" w:hAnsi="IRNazanin" w:eastAsia="IRNazanin"/>
          <w:color w:val="111111"/>
          <w:sz w:val="28"/>
          <w:sz w:val="28"/>
          <w:szCs w:val="28"/>
          <w:rtl w:val="true"/>
          <w:lang w:bidi="fa-IR"/>
        </w:rPr>
        <w:t xml:space="preserve">من الوقت وترکّزت حول تفسیر مفردات المتن ، وفهم الحدیث بشکل أفضل ، واستخدام مفاهیم أصول الفقه والقواعد الفقهیة ، واستشهاده بالآیات والأحادیث الاُخری وکتب اللغة ؛ فإنّه بالاستفادة من علوم القرآن ، وعلوم الحدیث ، والآداب ، والفلسفة وحتّی العرفان ، وبالاعتماد علی ما لدیه من مخزون وافر ، سارَ خطوة فخطوة مقترباً نحو مفهوم ومقصود الأحادیث ، وقدّم تلک الحصیلة إلی الآخرین بکلّ سخاء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نعتقد بأنّه قد خطا هذه الخُطا بشکل منطقی وطوی مراحل فهم الحدیث بشکل صحیح </w:t>
      </w:r>
      <w:r>
        <w:rPr>
          <w:rFonts w:eastAsia="IRNazanin" w:cs="IRNazanin"/>
          <w:color w:val="111111"/>
          <w:sz w:val="28"/>
          <w:szCs w:val="28"/>
          <w:rtl w:val="true"/>
          <w:lang w:bidi="fa-IR"/>
        </w:rPr>
        <w:t>.</w:t>
      </w:r>
      <w:bookmarkStart w:id="532" w:name="pg2516_26621"/>
    </w:p>
    <w:p>
      <w:pPr>
        <w:pStyle w:val="Heading3"/>
        <w:numPr>
          <w:ilvl w:val="2"/>
          <w:numId w:val="1"/>
        </w:numPr>
        <w:rPr/>
      </w:pPr>
      <w:bookmarkStart w:id="533" w:name="__RefHeading___Toc4159760_3804643083"/>
      <w:bookmarkStart w:id="534" w:name="_Toc211"/>
      <w:bookmarkEnd w:id="532"/>
      <w:bookmarkEnd w:id="533"/>
      <w:r>
        <w:rPr>
          <w:rtl w:val="true"/>
        </w:rPr>
        <w:t xml:space="preserve">الفصل الثانی </w:t>
      </w:r>
      <w:r>
        <w:rPr>
          <w:rtl w:val="true"/>
        </w:rPr>
        <w:t xml:space="preserve">: </w:t>
      </w:r>
      <w:r>
        <w:rPr>
          <w:rtl w:val="true"/>
        </w:rPr>
        <w:t>الحاجة التمهیدیة لفهم متن الحدیث</w:t>
      </w:r>
      <w:bookmarkEnd w:id="534"/>
    </w:p>
    <w:p>
      <w:pPr>
        <w:pStyle w:val="Heading4"/>
        <w:numPr>
          <w:ilvl w:val="3"/>
          <w:numId w:val="1"/>
        </w:numPr>
        <w:rPr/>
      </w:pPr>
      <w:bookmarkStart w:id="535" w:name="__RefHeading___Toc4159762_3804643083"/>
      <w:bookmarkStart w:id="536" w:name="_Toc212"/>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 xml:space="preserve">فهم الحدیث لیس أمراً عارضاً وبسیطاً ، وسیأتی أنّ الکثیر من الأحادیث ـ علی الأقل ـ تتطلب اجتیاز مرحلتین ،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فهم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فهم المعنی المقصود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یعدّ قبل هاتین المرحلتین إحراز صحّة المتن وصواب انتسابه إلی المعصوم علیه السلام ، حاجة تمهیدیة لقطع مسیرة فهم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وأهمیة هذه الحاجة تدرک إذا نتصور أنّ الحدیث شهد طوال مسیرته عبر التاریخ عارضة التصحیف والتحریف والنقل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التغییرات الّتی وقعت من الرواة سهواً أو عمداً ، وجواز نقل معنی الحدیث فی صیغة ألفاظ اُخری یستدعی من کُلّ قارئ للحدیث خاصّة إذا کان غرضه شرحه والعمل بمفاده ، أن یتأکّد نسبیاً من صحّة المتن الّذی بین یدیه ، وقد أدرک الشَّیخ محمّد تقی المجلسی رحمه الله هذه الحاجة الأولیة إدراکاً تاماً ، ووفر متطلّباتها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نذکر الطرق الّتی تستخدم لإحراز صحّة المتن ، ونشیر إلی عمل محمّد تقی المجلسی فی هذا المجال </w:t>
      </w:r>
      <w:r>
        <w:rPr>
          <w:rFonts w:eastAsia="IRNazanin" w:cs="IRNazanin"/>
          <w:color w:val="111111"/>
          <w:sz w:val="28"/>
          <w:szCs w:val="28"/>
          <w:rtl w:val="true"/>
          <w:lang w:bidi="fa-IR"/>
        </w:rPr>
        <w:t>.</w:t>
      </w:r>
      <w:bookmarkStart w:id="537" w:name="pg2516_26623"/>
    </w:p>
    <w:p>
      <w:pPr>
        <w:pStyle w:val="Heading4"/>
        <w:numPr>
          <w:ilvl w:val="3"/>
          <w:numId w:val="1"/>
        </w:numPr>
        <w:rPr/>
      </w:pPr>
      <w:bookmarkStart w:id="538" w:name="__RefHeading___Toc4159764_3804643083"/>
      <w:bookmarkStart w:id="539" w:name="_Toc213"/>
      <w:bookmarkEnd w:id="537"/>
      <w:bookmarkEnd w:id="538"/>
      <w:r>
        <w:rPr/>
        <w:t>1</w:t>
      </w:r>
      <w:r>
        <w:rPr>
          <w:rtl w:val="true"/>
        </w:rPr>
        <w:t xml:space="preserve"> . </w:t>
      </w:r>
      <w:r>
        <w:rPr>
          <w:rtl w:val="true"/>
        </w:rPr>
        <w:t>الالتفات إلی النسخ المتعددة</w:t>
      </w:r>
      <w:bookmarkEnd w:id="539"/>
    </w:p>
    <w:p>
      <w:pPr>
        <w:pStyle w:val="BookText"/>
        <w:rPr/>
      </w:pPr>
      <w:r>
        <w:rPr>
          <w:rFonts w:ascii="IRNazanin" w:hAnsi="IRNazanin" w:eastAsia="IRNazanin"/>
          <w:color w:val="111111"/>
          <w:sz w:val="28"/>
          <w:sz w:val="28"/>
          <w:szCs w:val="28"/>
          <w:rtl w:val="true"/>
          <w:lang w:bidi="fa-IR"/>
        </w:rPr>
        <w:t xml:space="preserve">من أفضل طرق إحراز صحّة المتن والاطمئنان نسبیاً إلی أنّ الحدیث صادر عن الإمام المعصوم علیه السلام هو الاطّلاع علی نسخ متعددة ، ومشاهدة المرویات المختلفة للرواة وکتب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المتعددة تشمل عادة مدوّنات مختلف الکتّاب طیلة عهود النسخ والاستنساخ عن الکتب ، ولکن عند الکثیر من المحقّقین والمحدّثین تنحصر النسخ فیما ذکرناه ، بل إنّ مَرویّات کتابین حدیثیین عن راوٍ واحدٍ وعن طریق وسند واحد ، یمکن اعتبارهما نسخ متعددة للمتن وتقع فی عرض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أنّ ما نقله الکلینی والصَّدوق فی مواضع متعددة یمکن اعتباره نسخاً متعددة للحدیث الواحد ، ومن طریق أولی أنّ ما نقله الصَّدوق فی کتاب من لا یحضره الفقیه یمکن أن یساعد فی تصحیح متن علل الشرائع أو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أمثلة ذکرها محمّد تقی المجلسی رحمه الله فی کلا هذین النوعین ، فقد قال عند توضیحه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الأدب للنحیزة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النفس ، فإنّ العبادات الظاهرة لطف فی العبادات الباطنة من الإخلاص والشکر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الأخیار</w:t>
      </w:r>
      <w:r>
        <w:rPr>
          <w:rFonts w:eastAsia="IRNazanin" w:cs="IRNazanin"/>
          <w:color w:val="111111"/>
          <w:sz w:val="28"/>
          <w:szCs w:val="28"/>
          <w:rtl w:val="true"/>
          <w:lang w:bidi="fa-IR"/>
        </w:rPr>
        <w:t xml:space="preserve">» .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وذکر فی هذا المجال حول مقدار الدم المعفوّ عنه فی الصلاة ، العبارات التالیة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کان الدم دون حمصة فلا بأس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بعض النسخ بالخاء المعجمة والصاد المهملة بمعنی أخمص وکأنّه تصحیف</w:t>
      </w:r>
      <w:r>
        <w:rPr>
          <w:rFonts w:eastAsia="IRNazanin" w:cs="IRNazanin"/>
          <w:color w:val="111111"/>
          <w:sz w:val="28"/>
          <w:szCs w:val="28"/>
          <w:rtl w:val="true"/>
          <w:lang w:bidi="fa-IR"/>
        </w:rPr>
        <w:t xml:space="preserve">» . </w:t>
      </w:r>
      <w:r>
        <w:rPr>
          <w:rStyle w:val="FootnoteAnchor"/>
          <w:rtl w:val="true"/>
        </w:rPr>
        <w:footnoteReference w:id="55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والمثال الثالث الّذی یبیّن بکلّ وضوح أهمیة النظر إلی النسخ البدیلة فی فهم الحدیث وأخذ النتیجة منه ، هو ما یتعلّق بغسل مس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w:t>
      </w:r>
    </w:p>
    <w:p>
      <w:pPr>
        <w:pStyle w:val="BookText"/>
        <w:rPr/>
      </w:pPr>
      <w:r>
        <w:rPr>
          <w:rFonts w:ascii="IRNazanin" w:hAnsi="IRNazanin" w:eastAsia="IRNazanin"/>
          <w:color w:val="111111"/>
          <w:sz w:val="28"/>
          <w:sz w:val="28"/>
          <w:szCs w:val="28"/>
          <w:rtl w:val="true"/>
          <w:lang w:bidi="fa-IR"/>
        </w:rPr>
        <w:t xml:space="preserve">من مسّ میّتا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جاءت فی إحدی نسخ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بعض النسخ ، وفی نسخ التهذیب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 </w:t>
      </w:r>
      <w:r>
        <w:rPr>
          <w:rStyle w:val="FootnoteAnchor"/>
          <w:rtl w:val="true"/>
        </w:rPr>
        <w:footnoteReference w:id="557"/>
      </w:r>
      <w:r>
        <w:rPr>
          <w:rFonts w:ascii="IRNazanin" w:hAnsi="IRNazanin" w:eastAsia="IRNazanin"/>
          <w:color w:val="111111"/>
          <w:sz w:val="28"/>
          <w:sz w:val="28"/>
          <w:szCs w:val="28"/>
          <w:rtl w:val="true"/>
          <w:lang w:bidi="fa-IR"/>
        </w:rPr>
        <w:t>والمراد به المسّ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والمثال الآخر الّذی یدلّ علی الجهود الواسعة للمجلسی فی الاطّلاع علی نسخ متعددة لتحقیق لفظة واحدة أو مقطع قصیر من متن حدیث ، وهو ما یُعتبر من مصادیق النوع الثانی ، أی تحقیق متن الحدیث اعتماداً علی الأحادیث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یتضح المصداق الآخر لهذا الجهد فیما قام به عند شرحه لخطبة الوسیلة للإمام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قارن المجلسی رحمه الله کُلّ متن هذه الخطبة المطوّلة فی کتاب من لا یحضره الفقیه مع ثلاثة کتب اُخری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والکافی ، وأمالی الصَّدوق ، ثُمَّ بیّن فروقاتها واحداً واحداً بکلّ صبر وأناة ، یمکن أن نذکر منها علی سبیل المثال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مفتضحات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 أوضع من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سعد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أسعده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البلاغة </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وقد کشف المجلسی رحمه الله ـ عن طریق هذه المراجعات الکثیرة إلی النسخ المختلفة ـ عن کثیر من سقطات ونواقص وزیادات النُسّاخ والرواة الّتی تجعل إسناد أو فهم الحدیث یواجه صعوبة عسیرة ، وأشار إلی کُلّ واحد من هذه الموارد ، فقال فی باب الطهارة عند شرحه 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الناس فی الدین أفواجاً أتتهم الأزد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والظاهر أنّه سقط من العبارة شیء ، ویؤیّده ما رواه الصَّدوق فی العلل</w:t>
      </w:r>
      <w:r>
        <w:rPr>
          <w:rFonts w:eastAsia="IRNazanin" w:cs="IRNazanin"/>
          <w:color w:val="111111"/>
          <w:sz w:val="28"/>
          <w:szCs w:val="28"/>
          <w:rtl w:val="true"/>
          <w:lang w:bidi="fa-IR"/>
        </w:rPr>
        <w:t xml:space="preserve">» . </w:t>
      </w:r>
      <w:r>
        <w:rPr>
          <w:rStyle w:val="FootnoteAnchor"/>
          <w:rtl w:val="true"/>
        </w:rPr>
        <w:footnoteReference w:id="55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هذا التحقیق والإرجاع إلی کتب ونسخ اُخری ، هو النقل المباشر لهذه القضیة من قبل الإمام الصادق علیه السلام الّذی لم یکن فی عهد الرسول صلی الله علیه و آله ولم یشهد واقعة</w:t>
      </w:r>
    </w:p>
    <w:p>
      <w:pPr>
        <w:pStyle w:val="BookText"/>
        <w:rPr/>
      </w:pPr>
      <w:r>
        <w:rPr>
          <w:rFonts w:ascii="IRNazanin" w:hAnsi="IRNazanin" w:eastAsia="IRNazanin"/>
          <w:color w:val="111111"/>
          <w:sz w:val="28"/>
          <w:sz w:val="28"/>
          <w:szCs w:val="28"/>
          <w:rtl w:val="true"/>
          <w:lang w:bidi="fa-IR"/>
        </w:rPr>
        <w:t xml:space="preserve">دخول الناس فی الدین ، بینما جاء فیما رواه کتاب علل الشرائع أنّ الإمام الصادق علیه السلام ینسب هذا القول إلی الرسول صلی الله علیه و آله ، ویصحح إسناد ونسبة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موضع آخر عند شرحه لحدیث نقله یزید الکناسی عن الإمام الباقر علیه السلام فی شرط استئمار الأب من ابنته لتزویجها ، أنّ هناک زیادة فی النقل ، ویستشهد علی ذلک بما ورد فی تهذیب الأحکام للشَّیخ الطوسی </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والمثال البارز علی الزیادة فی الحدیث ، خلط تفسیر الراوی مع متن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التفت المجلسی رحمه الله إلی هذا الأمر جیداً وأشار إلیه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مثلاً أنّه قال بشأن الحدیث المنقول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للنساء من سراة الطریق ، ولکن جنبیه یعنی وسطه ، قال بأنّ 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للسراة من الراوی </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ولم یکتفِ المرحوم المجلسی رحمه الله بما فی متناول یده عند تدقیقه متن النسخ ، وإنّما کان یستعین بذاکرته وبما لدیه من إحاطة یندر مثیلها بأحادیث أهل البیت علیهم السلام ، ویوجّه النسخ غیر المأنوسة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سمعنا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یشکر اللّه من لا یشکر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ونستند إلیه فی کثیر من محاوراتنا الیومیة ، کما أنّ المجلسی رحمه الله یقرّ هذا المعنی فی بدایة الأمر ، ولکنه علی أساس الأخبار الاُخری والاستعانة بنسخة قدّم له تفسیراً آخر ربّما أکثر وجاهة ، فقال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الأخبار فی ذمّ ترک شکر المنعمین من الناس ولیس فی بعض النسخ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من النّساخ ، ویمکن أنّ المراد به من کان نظره إلی الناس فقط</w:t>
      </w:r>
      <w:r>
        <w:rPr>
          <w:rFonts w:eastAsia="IRNazanin" w:cs="IRNazanin"/>
          <w:color w:val="111111"/>
          <w:sz w:val="28"/>
          <w:szCs w:val="28"/>
          <w:rtl w:val="true"/>
          <w:lang w:bidi="fa-IR"/>
        </w:rPr>
        <w:t xml:space="preserve">» . </w:t>
      </w:r>
      <w:r>
        <w:rPr>
          <w:rStyle w:val="FootnoteAnchor"/>
          <w:rtl w:val="true"/>
        </w:rPr>
        <w:footnoteReference w:id="5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التوجیه للعبارات الّتی تبدو فی الظاهر غیر مقبولة ، واستخراج احتمالات مقبولة منها یدلّ علی الفهم العمیق للمحقّق والمحدّث ، وصواب ما اعتمده من</w:t>
      </w:r>
      <w:bookmarkStart w:id="540" w:name="pg2516_26629"/>
    </w:p>
    <w:p>
      <w:pPr>
        <w:pStyle w:val="BookText"/>
        <w:rPr/>
      </w:pPr>
      <w:bookmarkEnd w:id="540"/>
      <w:r>
        <w:rPr>
          <w:rFonts w:ascii="IRNazanin" w:hAnsi="IRNazanin" w:eastAsia="IRNazanin"/>
          <w:color w:val="111111"/>
          <w:sz w:val="28"/>
          <w:sz w:val="28"/>
          <w:szCs w:val="28"/>
          <w:rtl w:val="true"/>
          <w:lang w:bidi="fa-IR"/>
        </w:rPr>
        <w:t xml:space="preserve">أدوات العمل لکیلا یتعجّل فی صرف النظر عن نسخة ویحرم القرّاء من متن یُحتمل أن یکون واقعیاً أو حتّی أصح من المتون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والأمثلة الّتی یمکن أن نسوقها هنا حول تصحیح المتن کثیرة جدّاً ، بحیث إنّنا لو ذکرنا مواضعها وأرقام صفحاتها فقط لملأت صفحات یُعتد بها ، ولذلک فنحن نختم هذا الفصل بالإرجاع إلی عدّة مواضع </w:t>
      </w:r>
      <w:r>
        <w:rPr>
          <w:rFonts w:eastAsia="IRNazanin" w:cs="IRNazanin"/>
          <w:color w:val="111111"/>
          <w:sz w:val="28"/>
          <w:szCs w:val="28"/>
          <w:rtl w:val="true"/>
          <w:lang w:bidi="fa-IR"/>
        </w:rPr>
        <w:t xml:space="preserve">. </w:t>
      </w:r>
      <w:r>
        <w:rPr>
          <w:rStyle w:val="FootnoteAnchor"/>
          <w:rtl w:val="true"/>
        </w:rPr>
        <w:footnoteReference w:id="563"/>
      </w:r>
    </w:p>
    <w:p>
      <w:pPr>
        <w:pStyle w:val="Heading4"/>
        <w:numPr>
          <w:ilvl w:val="3"/>
          <w:numId w:val="1"/>
        </w:numPr>
        <w:rPr/>
      </w:pPr>
      <w:bookmarkStart w:id="541" w:name="__RefHeading___Toc4159766_3804643083"/>
      <w:bookmarkStart w:id="542" w:name="_Toc214"/>
      <w:bookmarkEnd w:id="541"/>
      <w:r>
        <w:rPr/>
        <w:t>2</w:t>
      </w:r>
      <w:r>
        <w:rPr>
          <w:rtl w:val="true"/>
        </w:rPr>
        <w:t xml:space="preserve"> . </w:t>
      </w:r>
      <w:r>
        <w:rPr>
          <w:rtl w:val="true"/>
        </w:rPr>
        <w:t>کشف التصحیفات</w:t>
      </w:r>
      <w:bookmarkEnd w:id="542"/>
    </w:p>
    <w:p>
      <w:pPr>
        <w:pStyle w:val="BookText"/>
        <w:rPr/>
      </w:pPr>
      <w:r>
        <w:rPr>
          <w:rFonts w:ascii="IRNazanin" w:hAnsi="IRNazanin" w:eastAsia="IRNazanin"/>
          <w:color w:val="111111"/>
          <w:sz w:val="28"/>
          <w:sz w:val="28"/>
          <w:szCs w:val="28"/>
          <w:rtl w:val="true"/>
          <w:lang w:bidi="fa-IR"/>
        </w:rPr>
        <w:t xml:space="preserve">التصحیف والتحریف عملان حصلا عن قصد أو غیر قصد ، وأدّیا إلی عدم وصول المتن الأصلی للحدیث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أنّ تغییر المتن غالباً ما ینطوی علی تغییر مفهوم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معرفة وقوعه أو عدم وقوعه من المتطلبات المسبقة لفهم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وفضلاً عن الاطلاع علی نسخ اُخری ، فإنّ الکشف عن التصحیف یستلزم تنقیباً عقلیاً وقیاس المتن بالموازین المقبولة فی المجالات المتعلّقة بمحتوی الحدیث ، لکی نقترب ـ من خلال التعامل المتبادل بین معطیات الحدیث ومعرفتنا الذهنیة ـ إلی المتن الأصلی الصادر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التالی مثال حسن لهذا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المجلسی رحمه الله فی مسألة زواج الخصی حدیثاً علی الوجه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خصّی تزوّج امرأة وهی تعلم أنّه خصیّ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مکث معها ما شاءاللّه ، ثمّ طلّقها ، هل علیها 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ألیس قد لذّ منها ولذّت منه ؟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بهذه الصورة یبدو مقبولاً وصحیحاً ، لکن المجلسی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وولدت منه، وهو تصحیف من النّساخ</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الواضح والقاطع للمجلسی رحمه الله</w:t>
      </w:r>
      <w:bookmarkStart w:id="543" w:name="pg2516_26631"/>
    </w:p>
    <w:p>
      <w:pPr>
        <w:pStyle w:val="BookText"/>
        <w:rPr/>
      </w:pPr>
      <w:bookmarkEnd w:id="543"/>
      <w:r>
        <w:rPr>
          <w:rFonts w:ascii="IRNazanin" w:hAnsi="IRNazanin" w:eastAsia="IRNazanin"/>
          <w:color w:val="111111"/>
          <w:sz w:val="28"/>
          <w:sz w:val="28"/>
          <w:szCs w:val="28"/>
          <w:rtl w:val="true"/>
          <w:lang w:bidi="fa-IR"/>
        </w:rPr>
        <w:t xml:space="preserve">فی التصحیف ناتج عن الفهم العقلی بأنّ الخصی لا یمکن أن یکون له ولد أو یُحبل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یُسهّل المجال أمام الشارح للحکم بالتصحیف بکلّ بساطة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والمثال الآخر علی هذا هو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عرامة الغلام فی صغره لیکون حلیما فی کبره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عرامة الغلام أی مشاکسة وسوء سلوک الصبی فی الصغر تکون سبباً لحکمه وحسن سلوکه فی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صحّة وسقم محتوی هذا الحدیث ، لا یمکن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فقد حکم المجلسی رحمه اللهبتصحیف النسخة المنقوطة </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544" w:name="__RefHeading___Toc4159768_3804643083"/>
      <w:bookmarkStart w:id="545" w:name="_Toc215"/>
      <w:bookmarkEnd w:id="544"/>
      <w:r>
        <w:rPr/>
        <w:t>3</w:t>
      </w:r>
      <w:r>
        <w:rPr>
          <w:rtl w:val="true"/>
        </w:rPr>
        <w:t xml:space="preserve"> . </w:t>
      </w:r>
      <w:r>
        <w:rPr>
          <w:rtl w:val="true"/>
        </w:rPr>
        <w:t>العثور علی تمام المتن</w:t>
      </w:r>
      <w:bookmarkEnd w:id="545"/>
    </w:p>
    <w:p>
      <w:pPr>
        <w:pStyle w:val="BookText"/>
        <w:rPr/>
      </w:pPr>
      <w:r>
        <w:rPr>
          <w:rFonts w:ascii="IRNazanin" w:hAnsi="IRNazanin" w:eastAsia="IRNazanin"/>
          <w:color w:val="111111"/>
          <w:sz w:val="28"/>
          <w:sz w:val="28"/>
          <w:szCs w:val="28"/>
          <w:rtl w:val="true"/>
          <w:lang w:bidi="fa-IR"/>
        </w:rPr>
        <w:t xml:space="preserve">الشیء الآخر الّذی یمکن اعتباره مانعاً آخر یحول دون الحصول إلی أصل المتن هو تقطیع الرواة متن الحدیث ، وهو ما یُعد أکبر مانع یحول دون فهم الحدیث ؛ وذلک لأنّ هذا العمل یتسبب فی حذف القرائن السیاقیة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بعض التقطیعات تجری بصورة فنیة ودقیقة ، بحیث یحافظ النصّ علی المعنی الّذی کان علیه قبل التقطیع ، ولکن هناک تقطیعات کثیرة تؤدّی إلی عدم الفهم أو إلی سوء الفهم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الواضح للتقطیع ، النصوص الّتی اختارها الشریف الرضی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نظر برؤیة أدبیة إلی ما نقله الرواة من خطب ورسائل الإمام علیه السلام ؛ ولهذا فهو لم ینقل الکثیر من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التفت المجلسی رحمه الله إلی هذه النتیجة ولذلک فهو عندما شرح خطبة الوسیلة لم یعوّل علی نهج البلاغة ولم یعتمد علی ما نقله الصَّدوق فی الأمالی ، وإنّما قارن هذه المتون بالنقل الکامل للکلینی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الکافی زیادات ، وکانّ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هذه الکلمات منها ؛ لأنّه رواها فی الأمالی </w:t>
      </w:r>
      <w:r>
        <w:rPr>
          <w:rFonts w:eastAsia="IRNazanin" w:cs="IRNazanin"/>
          <w:color w:val="111111"/>
          <w:sz w:val="28"/>
          <w:szCs w:val="28"/>
          <w:rtl w:val="true"/>
          <w:lang w:bidi="fa-IR"/>
        </w:rPr>
        <w:t xml:space="preserve">. . .» . </w:t>
      </w:r>
      <w:r>
        <w:rPr>
          <w:rStyle w:val="FootnoteAnchor"/>
          <w:rtl w:val="true"/>
        </w:rPr>
        <w:footnoteReference w:id="566"/>
      </w:r>
      <w:bookmarkStart w:id="546" w:name="pg2516_26634"/>
    </w:p>
    <w:p>
      <w:pPr>
        <w:pStyle w:val="BookText"/>
        <w:rPr/>
      </w:pPr>
      <w:bookmarkEnd w:id="546"/>
      <w:r>
        <w:rPr>
          <w:rFonts w:ascii="IRNazanin" w:hAnsi="IRNazanin" w:eastAsia="IRNazanin"/>
          <w:color w:val="111111"/>
          <w:sz w:val="28"/>
          <w:sz w:val="28"/>
          <w:szCs w:val="28"/>
          <w:rtl w:val="true"/>
          <w:lang w:bidi="fa-IR"/>
        </w:rPr>
        <w:t xml:space="preserve">ثُمَّ إنّه بدأ بشرح الخطبة علی أساس کُلّ المتن الّذی فی متناول یده ، وعرض ملاحظات دقیقة وعمیقة عنه ، وهو ما لا نرید الخوض فیه لکیلا نخرج عن صلب الموضوع </w:t>
      </w:r>
      <w:r>
        <w:rPr>
          <w:rFonts w:eastAsia="IRNazanin" w:cs="IRNazanin"/>
          <w:color w:val="111111"/>
          <w:sz w:val="28"/>
          <w:szCs w:val="28"/>
          <w:rtl w:val="true"/>
          <w:lang w:bidi="fa-IR"/>
        </w:rPr>
        <w:t>.</w:t>
      </w:r>
    </w:p>
    <w:p>
      <w:pPr>
        <w:pStyle w:val="Heading4"/>
        <w:numPr>
          <w:ilvl w:val="3"/>
          <w:numId w:val="1"/>
        </w:numPr>
        <w:rPr/>
      </w:pPr>
      <w:bookmarkStart w:id="547" w:name="__RefHeading___Toc4159770_3804643083"/>
      <w:bookmarkStart w:id="548" w:name="_Toc216"/>
      <w:bookmarkEnd w:id="547"/>
      <w:r>
        <w:rPr/>
        <w:t>4</w:t>
      </w:r>
      <w:r>
        <w:rPr>
          <w:rtl w:val="true"/>
        </w:rPr>
        <w:t xml:space="preserve"> . </w:t>
      </w:r>
      <w:r>
        <w:rPr>
          <w:rtl w:val="true"/>
        </w:rPr>
        <w:t>الالتفات إلی النقل بالمعنی</w:t>
      </w:r>
      <w:bookmarkEnd w:id="548"/>
    </w:p>
    <w:p>
      <w:pPr>
        <w:pStyle w:val="BookText"/>
        <w:rPr/>
      </w:pPr>
      <w:r>
        <w:rPr>
          <w:rFonts w:ascii="IRNazanin" w:hAnsi="IRNazanin" w:eastAsia="IRNazanin"/>
          <w:color w:val="111111"/>
          <w:sz w:val="28"/>
          <w:sz w:val="28"/>
          <w:szCs w:val="28"/>
          <w:rtl w:val="true"/>
          <w:lang w:bidi="fa-IR"/>
        </w:rPr>
        <w:t xml:space="preserve">آخر مسألة تتعلّق بنقل المتون هی النقل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یفرض علی کُلّ محدّث أن یحدد موقفه من هذا الموضوع قبل التعاطی مع الحدیث ، ویفکّر فی الإقرار بوقوعه وفی النتائج الکلیة والجزئیة الّتی تترتب علی هذا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أحد النقل بالمعنی ورآه أمراً عامّاً ومتداولاً لا یمکنه بعد ذلک الاستناد بشکل تام إلی الألفاظ الدقیقة لمتن الحدیث وما فیه من صیاغات نحویة ومجازیة ، بل یجب علیه الاکتفاء بالقدر المشترک للأخبار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هل هذاالمعنی صحیح ویُعمل 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تناولنا هذا الموضوع فی دروس فقه الحدیث ، وأوردنا أدلّة علی الادعاء بأنَّ النقل بالمعنی کان شائعاً ، لکن التغییرات الناتجة عنه لیست واسعة أیضاً ومغایرة کثیراً للنقل الأصلی ، بحیث تسقط حجّیة متون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هناک أیضاً أنّه إضافة إلی اعتبار القدر المشترک للروایات ، تصبح بقیة أقسام الأحادیث معتبرة باعتبار حجّیة خبر الواحد ، وتسقط حجّیة الأقسام المتعارضة مع بعضها فقط ، وهو أمر یأتی کنتیجة طبیعیة للتعارض ، ولا ینحصر بنقل الأحادیث بالمعنی ، إذ یحصل فی کثیر من الحالات أن ینقل الراوی جزءاً من واقعة بینما ینقل راوٍ آخر جزءاً آخر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السبب یمکن أحیاناً ضم کُلّ الأخبار إلی بعضها والنظر إلی جمیع المتون واعتبارها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والتکلیف الوحید الّذی ینتج عن قبول النقل بالمعنی هو عدم الاکتفاء بمتن واحد وروایة حدیثیة واحدة ، بل إنّ الضرورة تستدعی البحث عن متون مشابهة ذات مضامین متّحدة فی موضوع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أطلقنا علیه تسمیة فصیلة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w:t>
      </w:r>
    </w:p>
    <w:p>
      <w:pPr>
        <w:pStyle w:val="BookText"/>
        <w:rPr/>
      </w:pPr>
      <w:r>
        <w:rPr>
          <w:rFonts w:ascii="IRNazanin" w:hAnsi="IRNazanin" w:eastAsia="IRNazanin"/>
          <w:color w:val="111111"/>
          <w:sz w:val="28"/>
          <w:sz w:val="28"/>
          <w:szCs w:val="28"/>
          <w:rtl w:val="true"/>
          <w:lang w:bidi="fa-IR"/>
        </w:rPr>
        <w:t xml:space="preserve">عوامل اُخری أیضاً تدعو إلی ضرورة تشکیل مثل هذه الفصیلة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السیاق أقرّ المجلسی الأوّل رحمه الله إمکان النقل بالمعنی وکان یعتقد بوقوعه تاریخیاً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ولا یراه محصوراً فیما نقله الشَّیخ الصَّدوق وحده ، وإنّما أقرّ هذا المعنی فی روایات کتاب متقن مثل الکافی أیضاً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لکن هذا الإقرار لم یمنعه من التنقیب والبحث فی متن الحدیث والاستناد إلی ألفاظ ومفردات وردت فیه سواء کانت تلک المفردات صغیرة أم کبیرة ، بل دفعه ذلک إلی البحث عن نسخ اُخری مغایرة وعن أخبار نقلها محدّثون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علینا قسم من هذه الاُمور فی الصفحات السابقة ، ویتّضح قسمٌ آخر منها بکلّ جلاء عند إلقاء لمحة علی کتابه روضة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فالمجلسی الأوّل رحمه الله مَتی ما توفر لدیه متن مشابه من الکلینی والشَّیخ الطوسی أو الکتب الاُخری للشَّیخ الصَّدوق وغیره ، فقد ذکره عند شرح الحدیث ، واستفاد فی هذا السیاق من المتون والأخبار الحدیثیة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وقد استند حتّی إلی حروف الجر الّتی تضم أنواعاً متعددة وتستخدم أحیاناً بدلاً من بعضها البعض ، ویفسّر الحدیث علی أساس معانیها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الشَّیخ المجلسی رحمه الله أنّ الأئمّة أفصح العرب </w:t>
      </w:r>
      <w:r>
        <w:rPr>
          <w:rStyle w:val="FootnoteAnchor"/>
          <w:rtl w:val="true"/>
        </w:rPr>
        <w:footnoteReference w:id="57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وعلی أساس ذلک فهو یُنَقّب ویبحث بدقّة فی الجوانب الأدبیة للمتون الحدیثیة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باب الطهارة والوضوء ، عند شرح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ویغسل ما بقی من عضده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 ویظهر منه وجوب غسل العضد بدل المرفق ، کما ذهب إلیه بعض الأصحاب أو استحبابه</w:t>
      </w:r>
    </w:p>
    <w:p>
      <w:pPr>
        <w:pStyle w:val="BookText"/>
        <w:rPr/>
      </w:pPr>
      <w:r>
        <w:rPr>
          <w:rFonts w:ascii="IRNazanin" w:hAnsi="IRNazanin" w:eastAsia="IRNazanin"/>
          <w:color w:val="111111"/>
          <w:sz w:val="28"/>
          <w:sz w:val="28"/>
          <w:szCs w:val="28"/>
          <w:rtl w:val="true"/>
          <w:lang w:bidi="fa-IR"/>
        </w:rPr>
        <w:t>کالأکثر ، ویمکن أن تکون تبعیضیّة ، بأن یکون المراد مابقی من المرفق من رأس العضد</w:t>
      </w:r>
      <w:r>
        <w:rPr>
          <w:rFonts w:eastAsia="IRNazanin" w:cs="IRNazanin"/>
          <w:color w:val="111111"/>
          <w:sz w:val="28"/>
          <w:szCs w:val="28"/>
          <w:rtl w:val="true"/>
          <w:lang w:bidi="fa-IR"/>
        </w:rPr>
        <w:t xml:space="preserve">» .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وقال عند شرحه لحدیث یسرد صفات المؤمن ، فی ذیل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یتعامل علی الأصدقاء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لا یکلّمهم ما لا یطیقون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للأصدقاء ، أی لا یتحمّل الآثام لأجلهم بأن یشهد لهم شهادة الزور أو یحکم بخلاف الحق لهم</w:t>
      </w:r>
      <w:r>
        <w:rPr>
          <w:rFonts w:eastAsia="IRNazanin" w:cs="IRNazanin"/>
          <w:color w:val="111111"/>
          <w:sz w:val="28"/>
          <w:szCs w:val="28"/>
          <w:rtl w:val="true"/>
          <w:lang w:bidi="fa-IR"/>
        </w:rPr>
        <w:t xml:space="preserve">» . </w:t>
      </w:r>
      <w:r>
        <w:rPr>
          <w:rStyle w:val="FootnoteAnchor"/>
          <w:rtl w:val="true"/>
        </w:rPr>
        <w:footnoteReference w:id="57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المفصل والملیء بالشواهد هو شرح المجلسی الأوّل رحمه الله علی خطبة المُتَّقین للإمام علی علیه السلام الّتی أفرد لها عدّة صفحات ، وعرض فیها أیضاً النسخ المشابهة فی الکافی ونهج البلاغة إلی جانب المتن الّذی أورده الصَّدوق فی کتاب من لا یحضره الفقیه ، وأضاف إلیها احتمالاته أحیاناً ، ثُمَّ شرح هذه العبارات والمتون بکلّ مافیها من دقائق فی اللغة والمتن </w:t>
      </w:r>
      <w:r>
        <w:rPr>
          <w:rFonts w:eastAsia="IRNazanin" w:cs="IRNazanin"/>
          <w:color w:val="111111"/>
          <w:sz w:val="28"/>
          <w:szCs w:val="28"/>
          <w:rtl w:val="true"/>
          <w:lang w:bidi="fa-IR"/>
        </w:rPr>
        <w:t xml:space="preserve">. </w:t>
      </w:r>
      <w:r>
        <w:rPr>
          <w:rStyle w:val="FootnoteAnchor"/>
          <w:rtl w:val="true"/>
        </w:rPr>
        <w:footnoteReference w:id="573"/>
      </w:r>
      <w:bookmarkStart w:id="549" w:name="pg2516_26642"/>
    </w:p>
    <w:p>
      <w:pPr>
        <w:pStyle w:val="Heading3"/>
        <w:numPr>
          <w:ilvl w:val="2"/>
          <w:numId w:val="1"/>
        </w:numPr>
        <w:rPr/>
      </w:pPr>
      <w:bookmarkStart w:id="550" w:name="__RefHeading___Toc4159772_3804643083"/>
      <w:bookmarkStart w:id="551" w:name="_Toc217"/>
      <w:bookmarkEnd w:id="549"/>
      <w:bookmarkEnd w:id="550"/>
      <w:r>
        <w:rPr>
          <w:rtl w:val="true"/>
        </w:rPr>
        <w:t xml:space="preserve">الفصل الثالث </w:t>
      </w:r>
      <w:r>
        <w:rPr>
          <w:rtl w:val="true"/>
        </w:rPr>
        <w:t xml:space="preserve">: </w:t>
      </w:r>
      <w:r>
        <w:rPr>
          <w:rtl w:val="true"/>
        </w:rPr>
        <w:t>مراحل فهم الحدیث</w:t>
      </w:r>
      <w:bookmarkEnd w:id="551"/>
    </w:p>
    <w:p>
      <w:pPr>
        <w:pStyle w:val="Heading4"/>
        <w:numPr>
          <w:ilvl w:val="3"/>
          <w:numId w:val="1"/>
        </w:numPr>
        <w:rPr/>
      </w:pPr>
      <w:bookmarkStart w:id="552" w:name="__RefHeading___Toc4159774_3804643083"/>
      <w:bookmarkStart w:id="553" w:name="_Toc218"/>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 xml:space="preserve">لابدَّ لفهم الحدیث اجتیاز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المعنی المقصود </w:t>
      </w:r>
      <w:r>
        <w:rPr>
          <w:rFonts w:eastAsia="IRNazanin" w:cs="IRNazanin"/>
          <w:color w:val="111111"/>
          <w:sz w:val="28"/>
          <w:szCs w:val="28"/>
          <w:rtl w:val="true"/>
          <w:lang w:bidi="fa-IR"/>
        </w:rPr>
        <w:t>.</w:t>
      </w:r>
    </w:p>
    <w:p>
      <w:pPr>
        <w:pStyle w:val="Heading4"/>
        <w:numPr>
          <w:ilvl w:val="3"/>
          <w:numId w:val="1"/>
        </w:numPr>
        <w:rPr/>
      </w:pPr>
      <w:bookmarkStart w:id="554" w:name="__RefHeading___Toc4159776_3804643083"/>
      <w:bookmarkStart w:id="555" w:name="_Toc219"/>
      <w:bookmarkEnd w:id="554"/>
      <w:r>
        <w:rPr>
          <w:rtl w:val="true"/>
        </w:rPr>
        <w:t xml:space="preserve">المرحلة الاُولی </w:t>
      </w:r>
      <w:r>
        <w:rPr>
          <w:rtl w:val="true"/>
        </w:rPr>
        <w:t xml:space="preserve">: </w:t>
      </w:r>
      <w:r>
        <w:rPr>
          <w:rtl w:val="true"/>
        </w:rPr>
        <w:t>فهم المتن</w:t>
      </w:r>
      <w:bookmarkEnd w:id="555"/>
    </w:p>
    <w:p>
      <w:pPr>
        <w:pStyle w:val="Heading5"/>
        <w:numPr>
          <w:ilvl w:val="4"/>
          <w:numId w:val="1"/>
        </w:numPr>
        <w:rPr/>
      </w:pPr>
      <w:bookmarkStart w:id="556" w:name="__RefHeading___Toc4159778_3804643083"/>
      <w:bookmarkStart w:id="557" w:name="_Toc220"/>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القسم الأساسی فی کُلّ حدیث متنه الّذی لا یتیسّر فهم الحدیث من غیر فهم معناه ، ومع أنّ فهم المتن وحده لا یقودنا دائماً إلی فهم المراد الحقیقی لقائله ، ولابدَّ من توفّر قرائن لفظیة ومقامیة عدیدة للحصول علی المعنی الأصلی ، غیر أنّ الخطوة الاُولی فی فهم الحدیث هی اجتیاز مرحلة فهم المتن ، والمرحلة الثانیة والأخیرة هی فهم المقصود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ولغرض فهم متون الأحادیث ، لابدَّ من معرفة اللغة العربیة ـ علی اعتبار أنّ الأکثریة العظمی </w:t>
      </w:r>
      <w:r>
        <w:rPr>
          <w:rStyle w:val="FootnoteAnchor"/>
          <w:rtl w:val="true"/>
        </w:rPr>
        <w:footnoteReference w:id="574"/>
      </w:r>
      <w:r>
        <w:rPr>
          <w:rFonts w:ascii="IRNazanin" w:hAnsi="IRNazanin" w:eastAsia="IRNazanin"/>
          <w:color w:val="111111"/>
          <w:sz w:val="28"/>
          <w:sz w:val="28"/>
          <w:szCs w:val="28"/>
          <w:rtl w:val="true"/>
          <w:lang w:bidi="fa-IR"/>
        </w:rPr>
        <w:t>منها باللغة العربیة ـ ومعرفة طریقة العثور علی المفردات فی قوامیس اللغة</w:t>
      </w:r>
    </w:p>
    <w:p>
      <w:pPr>
        <w:pStyle w:val="BookText"/>
        <w:rPr/>
      </w:pPr>
      <w:r>
        <w:rPr>
          <w:rFonts w:ascii="IRNazanin" w:hAnsi="IRNazanin" w:eastAsia="IRNazanin"/>
          <w:color w:val="111111"/>
          <w:sz w:val="28"/>
          <w:sz w:val="28"/>
          <w:szCs w:val="28"/>
          <w:rtl w:val="true"/>
          <w:lang w:bidi="fa-IR"/>
        </w:rPr>
        <w:t xml:space="preserve">العربیة ، واتقان فنون الصرف والنحو والبلاغة ؛ لغرض التحلیل والترکیب والعثور علی دور الألفاظ وترابطها مع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المجلسی الأوّل رحمه الله قد اجتاز دروس هذه العلوم حتّی أتقنها إتقاناً تامّاً ، واستعان بهذه المعرفة علی الدوام واستفاد منها مرّات ومرّات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وبالإضافة إلی جهوده الشخصیة فقد استفاد کثیراً من القوامیس وکتب المفردات وغریب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کان یدرک تماماً مدی الفائدة الکبری لعلم الصرف فی القراءات المختلفة للمتن وترجمته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مثلاً أنّ هذا العلم قد ساعده علی وضع احتمالین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وبهذا صوّر لنا إدراکاً أحسن للمتن </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وعلی هذا الأساس أیضاً عرض فی الحدیث المتعلّق بالخاطب ، وجواب ذوی المرأة له احتمالان ، وقال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جاءکم من ترضون خلقه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خلقه بالضمّ ویحتمل الفتح بألاّ یکون معیوباً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ویستعین المجلسی الأوّل رحمه الله أیضاً بصیاغات الصرف واللغة لشرح الحدیث وتسهیل فهمه علی القارئ ویوفّر علیه جهد تتبع الاحتمالات المتعددة والبعیدة عن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کتب عن قول محمّد بن الحسن بن شمّون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الحسن علیه السلام إلی بعض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تلحّوا علی المتعة ، إنّما علیکم إقامة السنّة ، فلا تشتغلوا بها عن فرشکم وحرائرکم ، فیکفرن وتبرّین ویدعین علی الآمر بذلک ویلعنونا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یعرف الصرف یعلم أنّ صیغة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المؤنث الغائب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فاستعمال هذه الصیغة هنا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المجلسی الأوّل رحمه اللهجاء بشاهد من معجم القاموس یثبت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أنّ الصیغة السادسة للفعل المضارع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ومشابهة للمنقوص الیائی بدلاً من أن تأتی علی الوزن الأصلی حیث تکون عین الفعل مضمومة ، مثل</w:t>
      </w:r>
      <w:bookmarkStart w:id="558" w:name="pg2516_26646"/>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الصیغة السادسة ؛ أی الفعل المنسوب إلی النساء الغائبات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وینسب کلا الأفعال الثلاثة فی الحدیث المذکور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یکفرن ، وتبرّین ، ویدعین إلی النساء الحرائر والأزواج الأصلیات لهؤلاء الرجال ، وهو یریحنا بذلک من مشقّة بحث الاحتمالات الاُخری والسعی للعثور أو إیجاد فاعل آخر غیر فاعلی الفعل الأوّل </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ثُمَّ إنّه لابدَّ لفهم المتن من الالتفات إلی اُمور ومعضلات نذکرها فیما یلی واحداً تلو الآخر </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159780_3804643083"/>
      <w:bookmarkStart w:id="560" w:name="_Toc221"/>
      <w:bookmarkEnd w:id="559"/>
      <w:r>
        <w:rPr/>
        <w:t>1</w:t>
      </w:r>
      <w:r>
        <w:rPr>
          <w:rtl w:val="true"/>
        </w:rPr>
        <w:t xml:space="preserve"> . </w:t>
      </w:r>
      <w:r>
        <w:rPr>
          <w:rtl w:val="true"/>
        </w:rPr>
        <w:t>شرح معانی الکلمات</w:t>
      </w:r>
      <w:bookmarkEnd w:id="560"/>
    </w:p>
    <w:p>
      <w:pPr>
        <w:pStyle w:val="BookText"/>
        <w:rPr/>
      </w:pPr>
      <w:r>
        <w:rPr>
          <w:rFonts w:ascii="IRNazanin" w:hAnsi="IRNazanin" w:eastAsia="IRNazanin"/>
          <w:color w:val="111111"/>
          <w:sz w:val="28"/>
          <w:sz w:val="28"/>
          <w:szCs w:val="28"/>
          <w:rtl w:val="true"/>
          <w:lang w:bidi="fa-IR"/>
        </w:rPr>
        <w:t xml:space="preserve">یستخدم الصرف للعثور علی المادة الأصلیة للکلمة فی قوامیس اللغة العربیة لغرض معرفة صیاغاتها وفهم حالاتها المختلفة ، ولکن الأهم من ذلک هو معرفة المادة والمعنی الأصلی للکلمة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فالکثیرون یرون من خلال الرجوع إلی بضعة قوامیس رائجة ومعاصرة أنّ ما جاء فیها حجّة ، فیکتفون بذلک ، ثُمَّ یفسرون الحدیث ، بل وحتّی القرآن علی أساس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هذا الاُسلوب لیس عملیاً ولا هو صائب علی الدوام ، ففی الکثیر من الحالات لا یقدم القاموس إلاّ معنی واحداً من الاستعمالات المختلفة للکلمة الّتی یحتمل أنّ الحدیث استخدمها بهذا المعنی ، ویحتمل أیضاً أن یکون المراد من هذه الکلمة معنی آخر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فإنَّ سیر تطوّر معانی الکلمات والتحوّل الّذی یطرأ علی اللغة ینذر بأنّ معنی الکلمة فی القرون الاُولی لظهور الإسلام یختلف عن معناها فی القرنین العاشر والحادی عشر وفی الزمن المتأخّر والمعاصر ، ومن هنا فلیس من الضرورة أن یکون المعنی الّذی قدّمه اللغوی فی القرن الثامن للکلمة هو ذات المعنی الّذی کان یُراد منها فی القرنین الأوّل والثانی أو قبلهما وبعدهما بقلیل ، وهذا ما یؤکد لزوم</w:t>
      </w:r>
    </w:p>
    <w:p>
      <w:pPr>
        <w:pStyle w:val="BookText"/>
        <w:rPr/>
      </w:pPr>
      <w:r>
        <w:rPr>
          <w:rFonts w:ascii="IRNazanin" w:hAnsi="IRNazanin" w:eastAsia="IRNazanin"/>
          <w:color w:val="111111"/>
          <w:sz w:val="28"/>
          <w:sz w:val="28"/>
          <w:szCs w:val="28"/>
          <w:rtl w:val="true"/>
          <w:lang w:bidi="fa-IR"/>
        </w:rPr>
        <w:t xml:space="preserve">الرجوع إلی القوامیس القدیمة والمعاصرة لعهد صدور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صعید آخر لا تتکفل القوامیس اللغویة بفصل وتمییز المعانی الحقیقیة عن المعانی المجازیة ، والکثیر منها تضع المعانی المجازیة للکلمة إلی جانب معانیها الحقیقیة والأصلیة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یشر إلی هذا الفارق ، إلاّ عدد قلیل من المؤلّفین مثل الزمخشری فی أساس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ذلک وعلی افتراض قِدَم القاموس ومؤلّفه وإقدامه علی فصل المعانی الحقیقیة عن المعانی المجازیة ، یبقی هناک مجال لهذا السؤال ، وهو کیف یمکن فی قضیة مهمّة کالحدیث الّذی یکون أساساً للعمل ، التعویل علی رأی شخص واحد والاکتفاء به؟ وهذا السؤال یراود أذهان جمیع فقهائنا ومحدّثینا المتبحّرین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والإجابة عنه تُلقی علی کواهلهم عملاً شاقاً آخر ، وتحیل علیهم مهمّة التتبّع والبحث فی قوامیس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المجلسی الأوّل من هؤلاء الرجال ، فهو عند شرحه وتفسیره لمعانی الکلمات لا یقتصر علی قاموس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توفّر القوامیس القدیمة بین یدیه ، إلاّ أنّه لم یر نفسه فی غنیً عن الرجوع إلی الکتب الاُخری وحتّی کتب غریب الحدیث </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فکان یعتمد فی هذا المجال بکثرة علی کتب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والقاموس المحیط لمحمّد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کتب غریب الحدیث کتاب النهایة فی غریب الحدیث والأثر لابن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للکشف عن روح الاجتهاد عند المجلسی الأوّل رحمه الله فی فهم معانی الکلمات</w:t>
      </w:r>
    </w:p>
    <w:p>
      <w:pPr>
        <w:pStyle w:val="BookText"/>
        <w:rPr/>
      </w:pPr>
      <w:r>
        <w:rPr>
          <w:rFonts w:ascii="IRNazanin" w:hAnsi="IRNazanin" w:eastAsia="IRNazanin"/>
          <w:color w:val="111111"/>
          <w:sz w:val="28"/>
          <w:sz w:val="28"/>
          <w:szCs w:val="28"/>
          <w:rtl w:val="true"/>
          <w:lang w:bidi="fa-IR"/>
        </w:rPr>
        <w:t xml:space="preserve">واستخدامه لعدّة قوامیس لغویة ، تتبع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نَقل آراء الأدباء من القاموس المحیط وصحاح اللغة وجمهرة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والنهایة لابن الأثیر ، ثُمَّ عرض رأیه واجتهاده الشخصی فی هذا المجال لتعیین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عیب فی المرأة ومن العیوب الّتی تجیز فسخ عقد النکاح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وموارد استخدام المجلسی لقوامیس اللغة وغریب الحدیث کثیرة جدّاً ، </w:t>
      </w:r>
      <w:r>
        <w:rPr>
          <w:rStyle w:val="FootnoteAnchor"/>
          <w:rtl w:val="true"/>
        </w:rPr>
        <w:footnoteReference w:id="580"/>
      </w:r>
      <w:r>
        <w:rPr>
          <w:rFonts w:ascii="IRNazanin" w:hAnsi="IRNazanin" w:eastAsia="IRNazanin"/>
          <w:color w:val="111111"/>
          <w:sz w:val="28"/>
          <w:sz w:val="28"/>
          <w:szCs w:val="28"/>
          <w:rtl w:val="true"/>
          <w:lang w:bidi="fa-IR"/>
        </w:rPr>
        <w:t xml:space="preserve">هذا فضلاً عن الشروحات الکثیرة لمعانی الکلمات بدون ذکر المصدر اللغوی وهو ما یورده فی حالات کثیرة کشرح مقتضب یتألّف من کلمة أو کلمتین أو جملة قصیرة یأتی بها أثناء شرح الحدیث </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ومن الاُمور الّتی تسترعی الانتباه فی شرح الکلمات عند المجلسی الأوّل رحمه الله هو استخدامه اللغة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یعلم بأنّه لا یمکن أحیاناً إیصال المخاطب والقارئ باللغة الفارسیة إلی لب المعنی مهما جهد فی شرح معنی الکلمة ، ولذلک قال عند ترجمة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یُتّفق علی أنّها کلمة معقّدة وکثیرة الاستخدام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وثنّی علیها قطیفة ، وفی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دوته کرد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والملاحظة الأخیرة هی أنّ العلاّمة المجلسی رحمه الله استفاد عند ترجمة مفردات بعض المتون الحدیثیة العویصة والعسیرة الفهم من معلوماته الاُخری ، ولم یعتبر ذلک الأمر محصوراً ضمن إطار الأدب العربی واللغة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استفاد عند شرحه لکلمة</w:t>
      </w:r>
      <w:bookmarkStart w:id="561" w:name="pg2516_26652"/>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معلوماته فی حقل الرجال والتاریخ ، وعلی هذا الأساس وصف هذه الکلمة بالغریبة والقلیلة الاستعمال معتبراً قلّة استخدامها سبباً أدّی إلی تصحیفها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الشمخیّة إمّا بمعنی المسألة الّتی ارتفع القول فیها ، أو بمعنی أنّها مسألة عبداللّه بن مسعود ، فإنّه ابن غافل بن جبیب بن شمخ</w:t>
      </w:r>
      <w:r>
        <w:rPr>
          <w:rFonts w:eastAsia="IRNazanin" w:cs="IRNazanin"/>
          <w:color w:val="111111"/>
          <w:sz w:val="28"/>
          <w:szCs w:val="28"/>
          <w:rtl w:val="true"/>
          <w:lang w:bidi="fa-IR"/>
        </w:rPr>
        <w:t xml:space="preserve">» . </w:t>
      </w:r>
      <w:r>
        <w:rPr>
          <w:rStyle w:val="FootnoteAnchor"/>
          <w:rtl w:val="true"/>
        </w:rPr>
        <w:footnoteReference w:id="582"/>
      </w:r>
    </w:p>
    <w:p>
      <w:pPr>
        <w:pStyle w:val="Heading5"/>
        <w:numPr>
          <w:ilvl w:val="4"/>
          <w:numId w:val="1"/>
        </w:numPr>
        <w:rPr/>
      </w:pPr>
      <w:bookmarkStart w:id="562" w:name="__RefHeading___Toc4159782_3804643083"/>
      <w:bookmarkStart w:id="563" w:name="_Toc222"/>
      <w:bookmarkEnd w:id="562"/>
      <w:r>
        <w:rPr/>
        <w:t>2</w:t>
      </w:r>
      <w:r>
        <w:rPr>
          <w:rtl w:val="true"/>
        </w:rPr>
        <w:t xml:space="preserve"> . </w:t>
      </w:r>
      <w:r>
        <w:rPr>
          <w:rtl w:val="true"/>
        </w:rPr>
        <w:t>المعانی الاصطلاحیة</w:t>
      </w:r>
      <w:bookmarkEnd w:id="563"/>
    </w:p>
    <w:p>
      <w:pPr>
        <w:pStyle w:val="BookText"/>
        <w:rPr/>
      </w:pPr>
      <w:r>
        <w:rPr>
          <w:rFonts w:ascii="IRNazanin" w:hAnsi="IRNazanin" w:eastAsia="IRNazanin"/>
          <w:color w:val="111111"/>
          <w:sz w:val="28"/>
          <w:sz w:val="28"/>
          <w:szCs w:val="28"/>
          <w:rtl w:val="true"/>
          <w:lang w:bidi="fa-IR"/>
        </w:rPr>
        <w:t xml:space="preserve">المشکلة الاُخری الّتی تقف عائقاً أمام فهم المتن هی الاصطلاحات والصیاغات الاصطلاحیة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الصیاغات عویصة وتخلق مصاعب فی جمیع اللغات ، خاصّة بالنسبة لمن لا یملکون معلومات عن ثقافة اللغة وماضیها التاریخی ، فهؤلاء تعظم علیهم المصاعب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ویُعزی سر هذه الصعوبة إلی جانبین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الاصطلاحات لم توضع مرّة واحدة ، بل لها وضع تعیّنی ولیس تعیینی ـ مثلما یُقال فی علم اُصول الفقه ـ أی أنّ معرفة الجیل الواحد بمعناها قد تستغرق سنوات طویلة ، ولهذا فهی لا تدخل فی القوامیس اللغویة ، وتأتی المعرفة بها عن طریق النقل الشفوی ومن صدر إلی صدر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بین معنی الصیاغة الاصطلاحیة وألفاظها لیست علاقة واضحة وشفّافة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ولغرض توضیح هذه الصعوبة نورد فیما یلی بعض 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تأمّلوا فی صیاغة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کلمة الید لا تعنی فی أی من هاتین الصیاغتین عضواً من أعضاء الجسم ، 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أنّ یده واسعة أو طویلة ، بل هی کنایة عن السخاوة والقوة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مثل هذه الحالات لا یمکننا العثور علی معنی کُلّ واحدة من الکلمات ، ثُمَّ وضع تلک المعانی إلی جانب بعضها لنحصل علی المعنی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نذکر الأمثلة</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هذه الاصطلاحات من صنع العرف وعامّة الناس ، ومع أنّ بعضها الآخر قد صاغه عدّة أشخاص أو جماعة خاصّة ، ولکن صار له استخدام عام ، والبعض الآخر من هذه الکلمات ورد علی لسان المعصومین علیهم السلام فقط ، حیث وضعوه کاصطلاح لمعنی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المجلسی الأوّل رحمه الله نفسه عند الضرورة إلی أنّ ذلک الاصطلاح خاص بالمعصومین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الأمثلة الّتی تجدر الإشارة إلیها فیما یخصّ المجموعة الاُولی من الاصطلاحات هو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معناه لا یساوی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مثلما قال المجلسی رحمه الله الّذی اقتفی أثر قوامیس اللغة وکتب غریب الحدیث بأنَّ هذا المصطلح یستخدم بمعنی الموت الطبیعی ، فی مقابل القتل والشهادة والسم </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والمثال الآخر علی هذا النوع من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یعنی أنّ یدیک ملطّختان بالتراب ، بل هی کنایة عن الفقر </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وقد اعتمد المجلسی الأوّل فی هذا المجال علی کتاب لغوی معیّن مثل کتاب أساس البلاغة للزمخشری ، وکذلک علی کتب غریب الحدیث الّتی یعدّ کتاب النهایة لابن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 أیضاً علی کثرة تحقیقاته وتتبعه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نقطة القوّة الأخیرة الّتی أعانته علی شرح اصطلاحات المجموعة الثانیة ، أی الاصطلاحات الخاصة بالأئمّة علیهم السلام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لا یفسّر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بالعلوم الفلسفیة ، کما فسّرها المتطرّفون من أنصار الفکر الفلسفی ، بل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وإطلاق الحکمة علی العلوم الإلهامیّة شائع فی الأخبار ، کما رواه الکلینی فی القوی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عبد ذکر اللّه عز و جل أربعین یوما إلاّ زهده</w:t>
      </w:r>
    </w:p>
    <w:p>
      <w:pPr>
        <w:pStyle w:val="BookText"/>
        <w:rPr/>
      </w:pPr>
      <w:r>
        <w:rPr>
          <w:rFonts w:ascii="IRNazanin" w:hAnsi="IRNazanin" w:eastAsia="IRNazanin"/>
          <w:color w:val="111111"/>
          <w:sz w:val="28"/>
          <w:sz w:val="28"/>
          <w:szCs w:val="28"/>
          <w:rtl w:val="true"/>
          <w:lang w:bidi="fa-IR"/>
        </w:rPr>
        <w:t xml:space="preserve">اللّه عز و جل فی الدنیا وبصّره داءها ودواءها ، وأثبت الحکمة فی قلبه وأنطق به لسانه </w:t>
      </w:r>
      <w:r>
        <w:rPr>
          <w:rFonts w:eastAsia="IRNazanin" w:cs="IRNazanin"/>
          <w:color w:val="111111"/>
          <w:sz w:val="28"/>
          <w:szCs w:val="28"/>
          <w:rtl w:val="true"/>
          <w:lang w:bidi="fa-IR"/>
        </w:rPr>
        <w:t xml:space="preserve">. . . »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تجدر الإشارة إلی أنّ صدر هذا الحدیث ورد فی الکافی بشکل آخر ، وهو أیضاً مشهور وجارٍ علی الألسن </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والمثال الآخر هو الاصطلاح الّذی صاغه أو استخدمه المعصومون علیهم السلام هو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قد ملکت نفسها ، الّذی فهمه بعض الفقهاء بمعنی بلوغ المرأة ورشدها ؛ أی أنّ الفتاة الّتی دخلت سن البلوغ تکون عصمة أمرها بیدها ، ولا تحتاج فی أمر الزواج إلی إذن أبیها أو من أقاربها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المجلسی الأوّل رحمه الله فهم هذا المصطلح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بعض الروایات ، والمراد به المرأة الّتی سبق لها أن تزوجت وبعد الطلاق صارت فی صدد زواج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المرأة لا تحتاج لإذن أبیها أو أقاربها للزواج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المنهج الّذی سار علیه المجلسی الأوّل رحمه الله ، أی تتبع موارد استعمال الاصطلاح فی مجال استخدامه ، وتتبع موارد استخدام اللفظة الحدیثیة فی الروایات والأحادیث نفسها ، یعتبر منهجاً أساسیاً وفاعلاً ومُنتجاً فی فهم الحدیث والاصطلاحات المستخدمة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علماء اللغة یتّبعون حالیاً هذا المنهج نفسه لفهم المعانی الاصطلاحیة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ینبغی إضافته هنا هو أنّ شرح الألفاظ والاصطلاحات بمعناها اللغوی والعرفی یتقدّم من حیث الرتبة علی شرح معناها الاصطلاحی ، أی أنّ ما یتبادر إلی الذهن من اللغة ومنذ الوهلة الاُولی له الاعتبار الأوفی ، ولکن عندما یُنحّی هذا المعنی ولا یُستخلص من الجملة ، أی مفهوم علی أساسه ، أو لا یَنسجم ذلک المعنی مع مجموع الروایات الّتی تُعنی بتلک المسألة ، ویمکن عند الاستعاضة عن المعنی اللغوی</w:t>
      </w:r>
    </w:p>
    <w:p>
      <w:pPr>
        <w:pStyle w:val="BookText"/>
        <w:rPr/>
      </w:pPr>
      <w:r>
        <w:rPr>
          <w:rFonts w:ascii="IRNazanin" w:hAnsi="IRNazanin" w:eastAsia="IRNazanin"/>
          <w:color w:val="111111"/>
          <w:sz w:val="28"/>
          <w:sz w:val="28"/>
          <w:szCs w:val="28"/>
          <w:rtl w:val="true"/>
          <w:lang w:bidi="fa-IR"/>
        </w:rPr>
        <w:t xml:space="preserve">والعرفی بالمعنی الاصطلاحی ، انتزاع معنی صحیح ومقبول من متن الحدیث ینسجم مع الأحادیث الاُخری المشابهة أو حسب التعبیر الّذی صغناه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یصبح هذا المنهج والاُسلوب موضع قبول عند المجلسی رحمه الله ، وقد اتّبعه هو وسار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عند شرحه 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الخیر فی النساء ، الّتی وردت فی حدیث عن الإمام الصادق علیه السلام ، 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بذلک حفظ النوع بالولادة وضبط اُمور الدار بهنّ ، وکذا اُمور المعاش وغیر ذلک ممّا هو مشاهد ، فضلاً ممّا لا نعلم مفصّلاً ، فإنّ العبد ینبغی أن یعلم مجملاً أنّ الحکیم لا یبالغ هذه المبالغات عبثا ، ویمکن أن یکون المراد بالخیر ، المال کما تقدّم الأخبار فی أنّ النکاح سبب للتوسعة</w:t>
      </w:r>
      <w:r>
        <w:rPr>
          <w:rFonts w:eastAsia="IRNazanin" w:cs="IRNazanin"/>
          <w:color w:val="111111"/>
          <w:sz w:val="28"/>
          <w:szCs w:val="28"/>
          <w:rtl w:val="true"/>
          <w:lang w:bidi="fa-IR"/>
        </w:rPr>
        <w:t xml:space="preserve">» . </w:t>
      </w:r>
      <w:r>
        <w:rPr>
          <w:rStyle w:val="FootnoteAnchor"/>
          <w:rtl w:val="true"/>
        </w:rPr>
        <w:footnoteReference w:id="58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المجلسی الأوّل رحمه الله معنی هذا الحدیث فی بدایة شرحه له وفقاً للمعنی الشائع والعرفی لکلمة الخیر ، ثُمَّ ذهب إلی شرحه علی احتمال المعنی الاصطلاحی والمستخدم فی الأحادیث والنصوص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تجدر الإشارة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تأتی أحیاناً فی اللغة العربیة قدیماً بمعنی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نعتبر الآیة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لِحُبِّ الْخَیْرِ لَشَدِیدٌ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دلیلاً علی ثنائیة معنی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الحالة یجب استبعادها ممّا نسوقه من أمثلة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التردد بین المعنی اللغوی والاصطلاحی موجود منذ بدایة الشرح ، وقد عرضه المجلسی الأوّل رحمه الله عند شرحه لبعض الألفاظ الّتی وردت فی حدیث جاء علی شکل مکاتبة بین الإمام الرضا علیه السلام ومحمّد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 هذا الحدیث کجواب عن سؤال کان قد طرحه ابن سنان ، وقد نقل الراوی عن الإمام بأنّ الحکمة من غسل الیدین فی الوضوء أن تکون نظیفة عند تحریکها أثناء القنوت والدعاء فی الصلاة ، رغبة ورهبة وتبتّلاً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یذکر المجلسی رحمه الله المراد من الرغبة والرهبة والتبتّل بشکل قطعی ، ویقول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بالرغبة والرهبة والتبتّل ، أمّا المعانی اللغویة الّتی تحصل للیدین فی أحوال الصلاة برفعهما فی التکبیرات وبوضعهما علی الرکبتین فی الرکوع ، وکیفیات وضعهما فی السجود ، ورفعهما فی القنوت وفی بعض الکیفیات تحصل الرغبة والرجاء کرفع الید للدعاء فی القنوت ، وفی بعضها یحصل الخوف والرهبة والخضوع کما فی الرکوع والسجود ، وفی بعضها یحصل التبتل والانقطاع إلی اللّه تعالی کالسجود والقنوت والوضع فی التشهد ، کما سیذکر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المعانی المصطلحة فی عرف الأخبار ، فإنّه ورد 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رجل وأنا أدعو فی صلاتی بیساری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 إنّ للّه ـ تبارک وتعالی ـ حقّاً علی هذه کحقه علی هذه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تبسط یدیک وتظهر باطنهما ، والرهبة تبسط یدیک وتظهر ظهرهما ، والتضرع تحرک السبابة الیمنی یمینا وشمالاً ، والتبتل تحرک السبابة الیسری ترفعها فی السماء رسلاً ، أی متأنیاً وتضعها ، والابتهال تبسط یدیک وذراعیک إلی السماء ، والابتهال حین تری أسباب البکاء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وفی معناه أخبار کثیرة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بهذه الکیفیات ـ واللّه أعلم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الحال حال الرجاء أو الطلب مطلقاً ، فإنّ المطلوب هنا حسن الرجاء ، فیبسط بطن کفیه إلی السماء کأنّه یطلب شیئاً بیدیه حتّی یوضع مطلوبه فی یدیه ، کالسائل الخسیس حال الکدیة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الحال حال الخوف والرهبة من اللّه تعالی بذکر ذنوبه ، فالمناسب رعایة الذنوب بأن یخطر بباله أنّی مع هذه الخطایا کیف أرفع یدیَّ إلی السماء بالطلب ؟ فیظهر ظهرهما إلی السماء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الرغبة کما هو الظاهر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یدیه علی وجهه حتّی یکون ظهرهما إلی السماء ویجمع بین الأخبار بمحاذاة الیدین للوجه فی القنوت ، أو</w:t>
      </w:r>
    </w:p>
    <w:p>
      <w:pPr>
        <w:pStyle w:val="BookText"/>
        <w:rPr/>
      </w:pPr>
      <w:r>
        <w:rPr>
          <w:rFonts w:ascii="IRNazanin" w:hAnsi="IRNazanin" w:eastAsia="IRNazanin"/>
          <w:color w:val="111111"/>
          <w:sz w:val="28"/>
          <w:sz w:val="28"/>
          <w:szCs w:val="28"/>
          <w:rtl w:val="true"/>
          <w:lang w:bidi="fa-IR"/>
        </w:rPr>
        <w:t xml:space="preserve">یکون فی غیر الصلاة ، بأن یکون قبلها أو بعدها فی التعقیب ، ویؤیده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 لأنّه لو کان علیه السلام فی الصلاة لما تکلّم ، ویمکن أن یکون التکلّم بعد الفراغ من الصلاة ، وفیه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الحال حال التضرع والاستکانة فی القنوت والتشهد ، فیحرّک السبابة الیمنی یمیناً وشمالاً ،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من أصحاب الیمین أنا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الشمال ؟ وعدم العلم والإشارة إلیه یصیر سبباً لزیادة التضرع والاستکانة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الحال حال الانقطاع إلی اللّه تعالی بالکلیّة ، فیحرّک السبابة الیسری إلی جانب السماء بالتأنی ویضعها ، ویشیر إلی أنّ الروح والقلب والعقل یجرّنی إلیک تعالی ، لکن التعلّقات الجسمانیة والجذبات الهیولانیة یجرّنی إلی السفلیات ، وأنّا معلّق بین سماء الروح وأرض البدن ، ولایمکننی الانقطاع إلیک إلاّ بجذبک ، فإنّ جذبة من جذباتک توازی عمل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والابتهال حین تری أسباب البکاء فلیرفع یدیه إلی السماء حتّی تتجاوز عن رأسه ؛ لأنّ البکاء علامة إجابة الدعاء ، فکأنّه وصل إلی المطلوب وأعطاه اللّه تعالی ، فیمد یدیه حتّی یأخذه</w:t>
      </w:r>
      <w:r>
        <w:rPr>
          <w:rFonts w:eastAsia="IRNazanin" w:cs="IRNazanin"/>
          <w:color w:val="111111"/>
          <w:sz w:val="28"/>
          <w:szCs w:val="28"/>
          <w:rtl w:val="true"/>
          <w:lang w:bidi="fa-IR"/>
        </w:rPr>
        <w:t xml:space="preserve">» .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وقال المجلسی الأوّل رحمه الله فی شرح 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 لأیّ علّة توضّأ هذه الجوارح الأربع وهی أنظف المواضع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السؤال طرحه الیهود ومندوبوهم فی حوارهم مع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یدعو إلی بحث المعنی اللغوی ، حیث لا یمکن ادعاء انصراف معنی الوضوء فی عهد الرسول صلی الله علیه و آله ، وهو عهد بدایة التشریع من التنظیف بهذا النوع من الغسل والمسح الشرعی بشکل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إضافة إلی أنّ اُولئک القوم کانوا من غیر المسلمین ، وکانوا فی مقام السؤال عن عمل یبدو فی ظاهره کنوع من الغسل </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تمکن المجلسی الأوّل رحمه الله من الاستعانة بهذا التردد بین المعنی اللغوی</w:t>
      </w:r>
      <w:bookmarkStart w:id="564" w:name="pg2516_26666"/>
    </w:p>
    <w:p>
      <w:pPr>
        <w:pStyle w:val="BookText"/>
        <w:rPr/>
      </w:pPr>
      <w:bookmarkEnd w:id="564"/>
      <w:r>
        <w:rPr>
          <w:rFonts w:ascii="IRNazanin" w:hAnsi="IRNazanin" w:eastAsia="IRNazanin"/>
          <w:color w:val="111111"/>
          <w:sz w:val="28"/>
          <w:sz w:val="28"/>
          <w:szCs w:val="28"/>
          <w:rtl w:val="true"/>
          <w:lang w:bidi="fa-IR"/>
        </w:rPr>
        <w:t xml:space="preserve">والمعنی الاصطلاحی ، من النهوض بشرح أحادیث یلفّها الغموض أو عدم القبول بسبب احتوائها ألفاظاً اصطلاحیة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فالمجلسی الأوّل رحمه الله یعلم جیداً بأنَّ المعنی الاصطلاحی وإن کان کثیر الاستخدام لا یمکنه علی الدوام وفی کُلّ الأحوال إزاحة المعنی اللغوی والأوّلی وتنحیته کلیّاً ، ولذلک 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التالی بمعنی الترک ، ولیس بمعنی الانفصال القانونی والحقوقی بین الزوج والزوجة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فی رجل تزوّج امرأةً فوجدها برصاء أو جذماء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لم یدخل بها ولم یبیّن له ، فإن شاء طلّق و إن شاء أمسک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هنا استعان المجلسی بعلم الفقه الّذی یعتبر عیب البرص والجذام موجباً لفسخ عقد النکاح ولیس جواز الطلاق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فیحمل الطلاق علی المعنی اللغوی</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 أی أنّ الرجل یستطیع ترکها ولیس تطلیقها </w:t>
      </w:r>
      <w:r>
        <w:rPr>
          <w:rFonts w:eastAsia="IRNazanin" w:cs="IRNazanin"/>
          <w:color w:val="111111"/>
          <w:sz w:val="28"/>
          <w:szCs w:val="28"/>
          <w:rtl w:val="true"/>
          <w:lang w:bidi="fa-IR"/>
        </w:rPr>
        <w:t>.</w:t>
      </w:r>
    </w:p>
    <w:p>
      <w:pPr>
        <w:pStyle w:val="Heading5"/>
        <w:numPr>
          <w:ilvl w:val="4"/>
          <w:numId w:val="1"/>
        </w:numPr>
        <w:rPr/>
      </w:pPr>
      <w:bookmarkStart w:id="565" w:name="__RefHeading___Toc4159784_3804643083"/>
      <w:bookmarkStart w:id="566" w:name="_Toc223"/>
      <w:bookmarkEnd w:id="565"/>
      <w:r>
        <w:rPr/>
        <w:t>3</w:t>
      </w:r>
      <w:r>
        <w:rPr>
          <w:rtl w:val="true"/>
        </w:rPr>
        <w:t xml:space="preserve"> . </w:t>
      </w:r>
      <w:r>
        <w:rPr>
          <w:rtl w:val="true"/>
        </w:rPr>
        <w:t>المجاز</w:t>
      </w:r>
      <w:bookmarkEnd w:id="566"/>
    </w:p>
    <w:p>
      <w:pPr>
        <w:pStyle w:val="BookText"/>
        <w:rPr/>
      </w:pPr>
      <w:r>
        <w:rPr>
          <w:rFonts w:ascii="IRNazanin" w:hAnsi="IRNazanin" w:eastAsia="IRNazanin"/>
          <w:color w:val="111111"/>
          <w:sz w:val="28"/>
          <w:sz w:val="28"/>
          <w:szCs w:val="28"/>
          <w:rtl w:val="true"/>
          <w:lang w:bidi="fa-IR"/>
        </w:rPr>
        <w:t xml:space="preserve">هذه المشکلة موجودة أیضاً بشکل أعقد فی الاستعمالات المجازیة والکنائیة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الاستعمالات المجازیة ، إضافة إلی المعنی الظاهر ، هناک أیضاً تصویر ذهنی یکمن بین طیات الکلام ، تربطه بذهن المخاطب روابط ممتدّة ولکنّها وثیقة ، وأمّا الألفاظ الّتی جاءت علی اللسان فلیست إلاّ ممراً للانتقال إلی ذلک العالم المجازی والمقاصد الخفیة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الطیات الخفیة بین ثنایا الجمل والصیاغات لا تظهر کلّها تماماً ، بل یُشار إلی قرائنها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التعقید فی اللغة یتطلب معرفة ثقافة کلّ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المجلسی الأوّل رحمه اللهمدرکاً لهذه الحقیقة تمام الإدراک فهو عند شرح هذه الصیاغات یذهب إلی ماهو أبعد من المتن ولا یکتفی بشرح المسمّیات وتفسیراتها اللغویة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یقتفی المجلسی رحمه الله خُطا المحدّثین والمتکلمین المعتدلین والمتقدّمین الشیعة</w:t>
      </w:r>
    </w:p>
    <w:p>
      <w:pPr>
        <w:pStyle w:val="BookText"/>
        <w:rPr/>
      </w:pPr>
      <w:r>
        <w:rPr>
          <w:rFonts w:ascii="IRNazanin" w:hAnsi="IRNazanin" w:eastAsia="IRNazanin"/>
          <w:color w:val="111111"/>
          <w:sz w:val="28"/>
          <w:sz w:val="28"/>
          <w:szCs w:val="28"/>
          <w:rtl w:val="true"/>
          <w:lang w:bidi="fa-IR"/>
        </w:rPr>
        <w:t xml:space="preserve">کالشَّیخ المفید رحمه الله فی قبول المجاز واستخدامه فی المتون الدینیة ، ویذهب أیضاً إلی ما ذهبوا إلیه فی عدم اعتبار هذا المعنی أصلاً ، وهو لا یبتعد کثیراً عن وادی النظر إلی لغة الدین باعتبارها لغة رمزیة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یعتبر الأصل فی الاستخدام هو المعنی الحقیقی ، ویحمل الکلمات والعبارات فی الوهلة الأولی علی معانیها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عندما تنغلق علیه السبل أو یجد قرینة أقوی ، یتخلی عن المعنی الحقیقی ویتوجّه إلی احتمال صواب المعنی المجازی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إطلاق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یطلقان غالبا علی غیر الرضیع والرضیعة وإن جاز علی سبیل التغلیب لکنّه مجاز ، الأصل فی الإطلاق الحقیقة</w:t>
      </w:r>
      <w:r>
        <w:rPr>
          <w:rFonts w:eastAsia="IRNazanin" w:cs="IRNazanin"/>
          <w:color w:val="111111"/>
          <w:sz w:val="28"/>
          <w:szCs w:val="28"/>
          <w:rtl w:val="true"/>
          <w:lang w:bidi="fa-IR"/>
        </w:rPr>
        <w:t xml:space="preserve">» .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ولهذا السبب یمتنع المجلسی رحمه الله عن الحکم بوجوب توجیه المحتضر باتجاه القبلة علی أساس روایة وردت فی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کالآتی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علیه السلام عن توجیه المیّت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بباطن قدمیه القبلة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وذهب الکثیر من الفقهاء إلی أنّ مصداق هذا الحدیث لیس المیت المشرف علی الموت ، وجوّزوا بالعلاقة المشارفة إطلاق کلمة المیت مجازاً علی المحتضر والمشرف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المجلسی لم یر وجود مثل هذه القرینة أو أنّه لم یقر بوجودها هنا ، وقال 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 هنا قرینة للتّجوز ؛ بل الظاهر أنّه الاستقبال المستحبّ بعد الموت ، ویمکن أن یکون لهم قرینة فهموها کما فهمه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 وتبعهما الأصحاب رضی الله عنهمأجمعین</w:t>
      </w:r>
      <w:r>
        <w:rPr>
          <w:rFonts w:eastAsia="IRNazanin" w:cs="IRNazanin"/>
          <w:color w:val="111111"/>
          <w:sz w:val="28"/>
          <w:szCs w:val="28"/>
          <w:rtl w:val="true"/>
          <w:lang w:bidi="fa-IR"/>
        </w:rPr>
        <w:t xml:space="preserve">» . </w:t>
      </w:r>
      <w:r>
        <w:rPr>
          <w:rStyle w:val="FootnoteAnchor"/>
          <w:rtl w:val="true"/>
        </w:rPr>
        <w:footnoteReference w:id="59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القول بأنّ کلام المجلسی رحمه الله فی الاستحباب أو الوجوب ، وإن کان یتعذّر ردّه ـ بهذا الحدیث علی الأقل ـ غیر أنّ الروایة المنقولة عن أمیر المؤمنین علیه السلام الّتی تشرح</w:t>
      </w:r>
    </w:p>
    <w:p>
      <w:pPr>
        <w:pStyle w:val="BookText"/>
        <w:rPr/>
      </w:pPr>
      <w:r>
        <w:rPr>
          <w:rFonts w:ascii="IRNazanin" w:hAnsi="IRNazanin" w:eastAsia="IRNazanin"/>
          <w:color w:val="111111"/>
          <w:sz w:val="28"/>
          <w:sz w:val="28"/>
          <w:szCs w:val="28"/>
          <w:rtl w:val="true"/>
          <w:lang w:bidi="fa-IR"/>
        </w:rPr>
        <w:t xml:space="preserve">حضور النَّبی صلی الله علیه و آله وسلم عند رأس المحتضرین ، وأوردها الشَّیخ الصَّدوق بعد هذا الحدیث مباشرة ، تعد قرینة جیّدة لفهم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نورد فیما یلی هذه القرینة ، أی نص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علی رجل من ولد عبد المطلب وهو فی السوق وقد وجّه لغیر القبلة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إلی القبلة ، فإنّکم إذا فعلتم ذلک أقبلت علیه الملائکة ، وأقبل اللّه عز و جل علیه بوجهه ، فلم یزل کذلک حتّی یقبض </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ما سبق ذکره یکشف عن کیفیة رأی المجلسی الأوّل رحمه الله حول المجاز واستخدامه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وندرج فیما یلی بعض الموارد الّتی احتمل أنّها جاءت علی سبیل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المیاه المعدنیة الحارّة الّتی کان الاستحمام بها شائعاً منذ قدیم الأیّام إلی وقتنا الحاضر ، ویعتبره البعض عملاً مفیداً لمعالجة أمراض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مقابل هذا الأقبال ، لدینا أحادیث تنهی عن هذا العمل وردت فی بعض المجموعات الحدیثیة القدیمة ، وجمعها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الکافی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المنهیّ عنها</w:t>
      </w:r>
      <w:r>
        <w:rPr>
          <w:rFonts w:eastAsia="IRNazanin" w:cs="IRNazanin"/>
          <w:color w:val="111111"/>
          <w:sz w:val="28"/>
          <w:szCs w:val="28"/>
          <w:rtl w:val="true"/>
          <w:lang w:bidi="fa-IR"/>
        </w:rPr>
        <w:t xml:space="preserve">» .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وقال الشَّیخ الصَّدوق أیضاً فی نظرته إلی هذه الروایات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ماء الحمآت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الحمّامات أو الحمیّات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النبیّ صلی الله علیه و آله إنّما نهی أن یستشفی بها ولم ینه عن التوضئ به ، وهی المیاه الحارّة الّتی تکون فی الجبال یشمّ منا رائحة الکبریت </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ثُمَّ نقل فی الحدیث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فیح جهنّم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هذه الکلمة فیما نقله الکلینی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فی تتمة الحدیث وهی شاهدنا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یتبادر إلی الأذهان هو هل هذه المیاه</w:t>
      </w:r>
    </w:p>
    <w:p>
      <w:pPr>
        <w:pStyle w:val="BookText"/>
        <w:rPr/>
      </w:pPr>
      <w:r>
        <w:rPr>
          <w:rFonts w:ascii="IRNazanin" w:hAnsi="IRNazanin" w:eastAsia="IRNazanin"/>
          <w:color w:val="111111"/>
          <w:sz w:val="28"/>
          <w:sz w:val="28"/>
          <w:szCs w:val="28"/>
          <w:rtl w:val="true"/>
          <w:lang w:bidi="fa-IR"/>
        </w:rPr>
        <w:t xml:space="preserve">المعدنیة الّتی تنبع من باطن الأرض ، تأتی نتیجة فوران جَهَنّم وغلیان میاهها الحارة والمحرقة ، أم أنّها جاءت هنا مجازاً؟ وإن کان الأمر کذلک فما طبیعة هذا المجاز؟ لقد اختار المجلسی الأوّل رحمه اللهالرأی الثانی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کما قال بعض أنّه خرج مخرج التشبیه فی الحرارة أو الحرارة الکبریتیة</w:t>
      </w:r>
      <w:r>
        <w:rPr>
          <w:rFonts w:eastAsia="IRNazanin" w:cs="IRNazanin"/>
          <w:color w:val="111111"/>
          <w:sz w:val="28"/>
          <w:szCs w:val="28"/>
          <w:rtl w:val="true"/>
          <w:lang w:bidi="fa-IR"/>
        </w:rPr>
        <w:t xml:space="preserve">» .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الکعبة وشکواها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الشَّیخ الصَّدوق روایة تدلّ علی هذا المعنی ، إلیکم فیما یلی نصّها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الکعبة شکت إلی اللّه عز و جل فی الفترة بین عیسی ومحمّد ـ صلوات اللّه علیهما ـ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ما لی قلّ زوّاری ، ما لی قلّ عوّادی ؟ فأوحی اللّه ـ جلّ جلاله ـ إلیها أنّی مُنزلٌ نورا جدیدا علی قوم یحنّون إلیکِ کما تحنّ الأنعام إلی أولادها ، ویزفّون إلیکِ کما تُزف النسوان إلی أزواجها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اُمّة محمّد صلی الله علیه و آله </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لیست هناک صعوبة فی تفسیر معنی هذا الحدیث ونحن نقبله بسهولة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الشَّیخ الصَّدوق نقل حدیثاً آخر فی هذا المعنی یبدو فیه وکأنّ للکعبة روح ، وتسوؤها الرائحة الکریهة کما تسوء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 فیما یلی نص الحدیث ، ثُمَّ نأتی علی بیان رأی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الکعبة شکت إلی اللّه عز و جل ما تلقی من أنفاس المشرکین ، 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یا کعبة ، فإنّی مبدلک بهم قوما یتنظّفون بقضبان الشجر ، فلمّا بعث اللّه عز و جل نبیّه محمّدا صلی الله علیه و آله نزّل علیه روح الأمین جبرئیل علیه السلام السواک </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المجلسی رحمه الله أنّ هذا الحدیث یحتاج إلی توجیه وشرح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وحملت علی التجوّز ، بأنّه لمّا کان تعظیم الکعبة بأیّ وجه کان من الواجبات والطواف مع الرائحة الکریهة عنده مخالف لتعظیمه ، فکأنّه اشتکی</w:t>
      </w:r>
      <w:r>
        <w:rPr>
          <w:rFonts w:eastAsia="IRNazanin" w:cs="IRNazanin"/>
          <w:color w:val="111111"/>
          <w:sz w:val="28"/>
          <w:szCs w:val="28"/>
          <w:rtl w:val="true"/>
          <w:lang w:bidi="fa-IR"/>
        </w:rPr>
        <w:t xml:space="preserve">» .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تجدر الإشارة إلی أنّ المجلسی لم یستبعد احتمال واقعیة مثل هذه الشکوی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ویذهب بناءً علی مفاد الآیة الشریفة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السَّمَـوَ تُ السَّبْعُ وَ الْأَرْضُ وَ مَن فِیهِنَّ وَ إِن مِّن شَیْ ءٍ إِلاَّ یُسَبِّحُ بِحَمْدِهِ وَ لَـکِن لاَّ تَفْقَهُونَ تَسْبِیحَهُمْ إِنَّهُ کَانَ حَلِیمًا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إثبات الشعور للکعبة ، وتبعاً لذلک یمکن افتراض شکواها إلی اللّه أمراً حقیقیاً ولیس مجازیاً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هذا الاستخدام المجازی للشکوی أیضاً علی لسان المسجد الخالی من المصلّین ، وعلی لسان القرآن الّذی لا یُقرأ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المجلسی رحمه الله حدیثاً عن الإمام الصادق علیه السلام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یشکون إلی اللّه عز و جل ، مسجد خراب لا یصلّی فیه أهله ، وعلم بین جهّال ، ومصحف معلّق قد وقع علیه الغبار لا یُقرأ فیه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فی بدایة الأمر اعتبر المجلسی رحمه الله هذا الحدیث مقبولاً وحقیقیاً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بعد ذلک عن احتمال أن یکون معناه مجازیاً ، وهذا نص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الشکایة علی الحقیقة ، ویمکن أن تکون مجازا</w:t>
      </w:r>
      <w:r>
        <w:rPr>
          <w:rFonts w:eastAsia="IRNazanin" w:cs="IRNazanin"/>
          <w:color w:val="111111"/>
          <w:sz w:val="28"/>
          <w:szCs w:val="28"/>
          <w:rtl w:val="true"/>
          <w:lang w:bidi="fa-IR"/>
        </w:rPr>
        <w:t xml:space="preserve">» .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تجدر الإشارة إلی أنّ هذا المتن غیر الحدیث المنسوب إلی الرسول ، إذ یشکو فی یوم القیامة بأنّ اُمته اتخذت القرآن مهجوراً ، وهو الحدیث الّذی نقله النعمانی فی کتاب الغیبة </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الثانی الّذی یسترعی الانتباه معاکس لهذه الحالة وهو تشبیه الحی بالمیت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الشَّیخ الصَّدوق حدیثاً من هذا الطراز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کمعادن الذهب والفضّة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ویشرح المجلسی رحمه الله هذا التشبیه الظریف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والتعبیر بالمعدن لما فیهم</w:t>
      </w:r>
      <w:bookmarkStart w:id="567" w:name="pg2516_26677"/>
    </w:p>
    <w:p>
      <w:pPr>
        <w:pStyle w:val="BookText"/>
        <w:rPr/>
      </w:pPr>
      <w:bookmarkEnd w:id="567"/>
      <w:r>
        <w:rPr>
          <w:rFonts w:ascii="IRNazanin" w:hAnsi="IRNazanin" w:eastAsia="IRNazanin"/>
          <w:color w:val="111111"/>
          <w:sz w:val="28"/>
          <w:sz w:val="28"/>
          <w:szCs w:val="28"/>
          <w:rtl w:val="true"/>
          <w:lang w:bidi="fa-IR"/>
        </w:rPr>
        <w:t>من القابلیات والحکمة اقتضت ألاّ یکونوا سواء</w:t>
      </w:r>
      <w:r>
        <w:rPr>
          <w:rFonts w:eastAsia="IRNazanin" w:cs="IRNazanin"/>
          <w:color w:val="111111"/>
          <w:sz w:val="28"/>
          <w:szCs w:val="28"/>
          <w:rtl w:val="true"/>
          <w:lang w:bidi="fa-IR"/>
        </w:rPr>
        <w:t xml:space="preserve">»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المثال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علاقة بعقبات وموانع البرزخ والقیامة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المجلسی فی ختام شرحه لقسم من وصیّة الإمام علی علیه السلام لولده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أمامک مهالک ومهاوی وجسورا ، وعقبة کؤودا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فسّر فی بدایة الأمر کلماته واحدة بعد واحدة بمعنی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القبر وسؤال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شاقّة الّتی فی الصراط من الصعود إلی 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یکون الجمیع استعارة عن أهوال ما بعد الموت</w:t>
      </w:r>
      <w:r>
        <w:rPr>
          <w:rFonts w:eastAsia="IRNazanin" w:cs="IRNazanin"/>
          <w:color w:val="111111"/>
          <w:sz w:val="28"/>
          <w:szCs w:val="28"/>
          <w:rtl w:val="true"/>
          <w:lang w:bidi="fa-IR"/>
        </w:rPr>
        <w:t xml:space="preserve">» .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ومن الطبیعی أنّنا لو أجرینا دراسة أکثر استفاضة لکتاب روضة المتّقین لتکشفت لنا اُمور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ویحسن أن یقوم باحث قدیر بتقصّی هذه المسألة بشکل مستقل وموسّع </w:t>
      </w:r>
      <w:r>
        <w:rPr>
          <w:rFonts w:eastAsia="IRNazanin" w:cs="IRNazanin"/>
          <w:color w:val="111111"/>
          <w:sz w:val="28"/>
          <w:szCs w:val="28"/>
          <w:rtl w:val="true"/>
          <w:lang w:bidi="fa-IR"/>
        </w:rPr>
        <w:t xml:space="preserve">. </w:t>
      </w:r>
      <w:r>
        <w:rPr>
          <w:rStyle w:val="FootnoteAnchor"/>
          <w:rtl w:val="true"/>
        </w:rPr>
        <w:footnoteReference w:id="609"/>
      </w:r>
    </w:p>
    <w:p>
      <w:pPr>
        <w:pStyle w:val="Heading5"/>
        <w:numPr>
          <w:ilvl w:val="4"/>
          <w:numId w:val="1"/>
        </w:numPr>
        <w:rPr/>
      </w:pPr>
      <w:bookmarkStart w:id="568" w:name="__RefHeading___Toc4159786_3804643083"/>
      <w:bookmarkStart w:id="569" w:name="_Toc224"/>
      <w:bookmarkEnd w:id="568"/>
      <w:r>
        <w:rPr/>
        <w:t>4</w:t>
      </w:r>
      <w:r>
        <w:rPr>
          <w:rtl w:val="true"/>
        </w:rPr>
        <w:t xml:space="preserve"> . </w:t>
      </w:r>
      <w:r>
        <w:rPr>
          <w:rtl w:val="true"/>
        </w:rPr>
        <w:t>تفسیر الکنایات</w:t>
      </w:r>
      <w:bookmarkEnd w:id="569"/>
    </w:p>
    <w:p>
      <w:pPr>
        <w:pStyle w:val="BookText"/>
        <w:rPr/>
      </w:pPr>
      <w:r>
        <w:rPr>
          <w:rFonts w:ascii="IRNazanin" w:hAnsi="IRNazanin" w:eastAsia="IRNazanin"/>
          <w:color w:val="111111"/>
          <w:sz w:val="28"/>
          <w:sz w:val="28"/>
          <w:szCs w:val="28"/>
          <w:rtl w:val="true"/>
          <w:lang w:bidi="fa-IR"/>
        </w:rPr>
        <w:t xml:space="preserve">الکنایة نوع من الصور الأدبیة ویمکن شرحها ضمن موضوع المجاز ، ولکن الاختلاف بإمکان إرادة الحقیقة من الکنایة دفعنا إلی شرحها فی بحث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نری أنّ فهم هذه الکنایات أو تمهید مسار فهمها یعد من الأعمال المهمّة فی فقه الحدیث ، وهو ما یتناوله الکثیر من مفسّری القرآن والحدیث تحت عنوان البحث الأدبی والبلاغی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الجانب المهم الّذی یمیّز الکنایة عن الاستعارة وأنواع المجاز الاُخری هو أنّ المعنی الحقیقی للألفاظ لا یزال فی حالة الکنایة ، ویمکن أن یکون موجوداً ومقصوداً من قبل المتکلّم إلی جانب المعنی والمقصود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الاستعارة تتضمن الجملة أو العبارة معنی غیر مقبول فنضطر إلی استبعاد المعنی الظاهر وتتبع المعنی</w:t>
      </w:r>
      <w:bookmarkStart w:id="570" w:name="pg2516_26679"/>
    </w:p>
    <w:p>
      <w:pPr>
        <w:pStyle w:val="BookText"/>
        <w:rPr/>
      </w:pPr>
      <w:bookmarkEnd w:id="570"/>
      <w:r>
        <w:rPr>
          <w:rFonts w:ascii="IRNazanin" w:hAnsi="IRNazanin" w:eastAsia="IRNazanin"/>
          <w:color w:val="111111"/>
          <w:sz w:val="28"/>
          <w:sz w:val="28"/>
          <w:szCs w:val="28"/>
          <w:rtl w:val="true"/>
          <w:lang w:bidi="fa-IR"/>
        </w:rPr>
        <w:t xml:space="preserve">الکامن وراء الألفاظ والعثور علی المراد الحقیقی للمتکلم من خلال النظر إلی علاقة التشبیه أو الجزء والکل والتضمین ، وغیر ذلک من العلائق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 الکنایة ما یمنع من قبول المعنی الحقیقی والمفهوم الأصلی للمتن ، ولکثرة الاستعمال لا مانع من إرادة معنی آخر من الألفاظ الّذی هو فی الغالب یکون اللازم الحقیقی والخارجی للمعنی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علی سبیل المثال حدیثاً للإمام علی علیه السلام نقله الکلینی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تبدینَّ عن واضحة وقد عملت الأعمال الفاضحة ولا تأمن البیات وقد عملت السیئات </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الواضحة هنا بمعنی الأسنان الّتی تظهر أثناء 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أنّک إذا ارتکبت أعمالاً فاضحة لا ینبغی أن تکون جذلاً ومسروراً وضاحکاً ، بحیث تظهر أسنانک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یمکن أن یکون المعنی الحقیقی أی إظهار الواضحة ، والمعنی المکنّی عنه إلی جانب بعضهما ، وکلاهما مقصودان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المقصود الأصلی ـ وهو المعنی المکنّی عنه ـ أی عدم السرور بعد هذه الآثام والأعمال الفاضحة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فالمجلسی رحمه الله یشرح مثل هذه الأحادیث ویتکفّل بشرح معناها الحقیقی والأصلی </w:t>
      </w:r>
      <w:r>
        <w:rPr>
          <w:rFonts w:eastAsia="IRNazanin" w:cs="IRNazanin"/>
          <w:color w:val="111111"/>
          <w:sz w:val="28"/>
          <w:szCs w:val="28"/>
          <w:rtl w:val="true"/>
          <w:lang w:bidi="fa-IR"/>
        </w:rPr>
        <w:t xml:space="preserve">. </w:t>
      </w:r>
      <w:r>
        <w:rPr>
          <w:rStyle w:val="FootnoteAnchor"/>
          <w:rtl w:val="true"/>
        </w:rPr>
        <w:footnoteReference w:id="611"/>
      </w:r>
    </w:p>
    <w:p>
      <w:pPr>
        <w:pStyle w:val="Heading4"/>
        <w:numPr>
          <w:ilvl w:val="3"/>
          <w:numId w:val="1"/>
        </w:numPr>
        <w:rPr/>
      </w:pPr>
      <w:bookmarkStart w:id="571" w:name="__RefHeading___Toc4159788_3804643083"/>
      <w:bookmarkStart w:id="572" w:name="_Toc225"/>
      <w:bookmarkEnd w:id="571"/>
      <w:r>
        <w:rPr>
          <w:rtl w:val="true"/>
        </w:rPr>
        <w:t xml:space="preserve">المرحلة الثانیة </w:t>
      </w:r>
      <w:r>
        <w:rPr>
          <w:rtl w:val="true"/>
        </w:rPr>
        <w:t xml:space="preserve">: </w:t>
      </w:r>
      <w:r>
        <w:rPr>
          <w:rtl w:val="true"/>
        </w:rPr>
        <w:t>فهم المقصود</w:t>
      </w:r>
      <w:bookmarkEnd w:id="572"/>
    </w:p>
    <w:p>
      <w:pPr>
        <w:pStyle w:val="Heading5"/>
        <w:numPr>
          <w:ilvl w:val="4"/>
          <w:numId w:val="1"/>
        </w:numPr>
        <w:rPr/>
      </w:pPr>
      <w:bookmarkStart w:id="573" w:name="__RefHeading___Toc4159790_3804643083"/>
      <w:bookmarkStart w:id="574" w:name="_Toc226"/>
      <w:bookmarkEnd w:id="573"/>
      <w:r>
        <w:rPr>
          <w:rtl w:val="true"/>
        </w:rPr>
        <w:t>اشاره</w:t>
      </w:r>
      <w:bookmarkEnd w:id="5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 من الأفراد الّذین لدیهم معرفة بالمتون الحدیثیة ، أو یکون عملهم البحث فی المتون وخاصة المتون المقدّسة ، یعلمون جیّداً بأنّ ما نفهمه للوهلة الاُولی من ظاهر الکلام لیس بالضرورة أن یکون هو المعنی الّذی یقصده القائل ، ولا یمکن الادعاء علی الدوام بتطابق مفهوم الکلام مع مراد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المزاح، والسخریة، والتعایب أمثلة واضحة لهذا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فالممازح لیس قصده الحقیقی إلقاء معنی</w:t>
      </w:r>
    </w:p>
    <w:p>
      <w:pPr>
        <w:pStyle w:val="BookText"/>
        <w:rPr/>
      </w:pPr>
      <w:r>
        <w:rPr>
          <w:rFonts w:ascii="IRNazanin" w:hAnsi="IRNazanin" w:eastAsia="IRNazanin"/>
          <w:color w:val="111111"/>
          <w:sz w:val="28"/>
          <w:sz w:val="28"/>
          <w:szCs w:val="28"/>
          <w:rtl w:val="true"/>
          <w:lang w:bidi="fa-IR"/>
        </w:rPr>
        <w:t xml:space="preserve">الکلام ، وإنّما یقصد إدخال السرور علی قلب المخاطب ومن معه ، وهکذا أیضاً بالنسبة لمن یرید السخریة من کسول فیطلق علیه من باب الاستهزاء کلمة النابه ، ویطلق المعلم تسمیة افلاطون وأرسطو علی التلمیذ الغبی الّذی لا یواظب علی واجباته المدرسیة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حالات اُخری من هذا القبیل کالتوریة والتقیّة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استخدام کُلّ واحدة منها یختلف عن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هذا ، هناک قیود متعددة فی بیان الأئمّة علیهم السلام فَرَضها ضیقُ أجواء تشریع الأحکام وفی بیان المعارف التوحیدیة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یضطرنا إلی اتّباع سبل اُخری لاجتیاز المعبر الظاهری والتوغّل فی أعماق المعنی لکشف المقصود الحقیقی للقائل ، وأهم السبل الکفیلة بالوصول إلی هذا الهدف هو العثور علی قرائن ، وهی أمّا أنّ تکون موجودة إلی جانب الحدیث وأمّا یمکن أن تُنتزع من أجواء ومقام حوار الراوی والإمام علیه السلام ، أو اقتناصها من ثنایا الکلمات الاُخری للقائل والمفاهیم الّتی توجد بشکل یتناسب مع الکلام ، وانتزاع هذه القرائن الّتی نطلق علیها علی التوالی 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القرائن اللفظیة الداخلیة ، والقرائن المقامیة ، والقرائن اللفظیة الخارجیة ، هی الواجب الأساسی الّذی یقوم به شارح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نری أنّ المجلسی الأوّل رحمه الله قد صال وجال علی أحسن ما یکون الحال فی کلا هذه المیادین الثلاثة ، بحیث استطاع جمع القرائن المختلفة واستخدامها للکشف عن المعنی الأصلی للقائل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المجلسی الأوّل رحمه الله نفسه بهذا المعنی ، حیث قال فی أوائل بحثه لموضوع الوضوء من ماء البئر 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أطلنا الکلام هنا لأنّه لم یذکره العلماء ولاستئناس المبتدئ لأن لا یجترئ علی معنی الحدیث لمجرّد ظاهر الحدیث</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عبارات أطول للکشف عن طریق الوصول إلی المراد الأصلی لأی کلام ، ننقلها هنا بنصّها ؛ وذلک لأنّ ذیل کلام المجلسی رحمه الله یُظهر أنّ هذا الطریق یمکن طیّه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w:t>
      </w:r>
    </w:p>
    <w:p>
      <w:pPr>
        <w:pStyle w:val="BookText"/>
        <w:rPr/>
      </w:pPr>
      <w:r>
        <w:rPr>
          <w:rFonts w:ascii="IRNazanin" w:hAnsi="IRNazanin" w:eastAsia="IRNazanin"/>
          <w:color w:val="111111"/>
          <w:sz w:val="28"/>
          <w:sz w:val="28"/>
          <w:szCs w:val="28"/>
          <w:rtl w:val="true"/>
          <w:lang w:bidi="fa-IR"/>
        </w:rPr>
        <w:t xml:space="preserve">نتوصّل إلی نتیجة ـ رغم وجود القرائن ـ فلا مناص من الأخذ بالإجمال، ولیس لنا ابتداع احتمالات غیر عرفیة وحمل علی معانٍ نأتی بها من عند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محل الشاهد هنا تتعلّق بترک ظهور ثلاثة ألفاظ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شرح عبارة الصَّدوق فی المتن الّتی یقول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یوم الجمعة سنّة واجبة</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ظاهره أنّه ثبت وجوبه من السنّة ویحتمل أن یکون جمع لفظتی السنّة والواجب الّذین وردا فی الأخبار ولم یجزم بإحدیهما وإن کان بعیدا ، لکنّه غیر مستبعد منهم ، کما عرفت مرارا کثیرا من إطلاق الواجب علی المستحبّ والنهی علی المکروه والحرام علیه والمکروه علی الحرام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المکروه ، کما ورد فی الأخبار والاستبعاد باعتبار الأنس باصطلاح الفقهاء والأصولیین ، ولکلّ قوم اصطلاح ویظهر مرادهم من القرائن فإن لم یظهر فالأخبار غیر معلوم ولا ثمرة فی العلم بمرادهم</w:t>
      </w:r>
      <w:r>
        <w:rPr>
          <w:rFonts w:eastAsia="IRNazanin" w:cs="IRNazanin"/>
          <w:color w:val="111111"/>
          <w:sz w:val="28"/>
          <w:szCs w:val="28"/>
          <w:rtl w:val="true"/>
          <w:lang w:bidi="fa-IR"/>
        </w:rPr>
        <w:t xml:space="preserve">» .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نشرح هذا البحث فی تعارض الأخبار بمزید من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ونورد هنا مثالاً لإظهار الطریق المغلق الّذی ینتهی إلیه الإجمال والإبهام عند عدم الحصول علی قرائن حالیة ومقالیة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مقامیة ولفظیة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 أشار إلیه المجلسی نفسه وأورده فی شرح أحادیث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غسل الجنابة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وفیما یلی نص الحدیث المجمل الّذی یدخل فی عداد منقولات عبید اللّه بن علی الحلبی عن الإمام الصادق علیه السلام ، وجاء بشکل 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الرجل یصیب المرأة فیما دون الفرج ، أعلیها غسل إن هو أنزل ولم تنزل؟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غسل ، وإن لم ینزل هو فلیس علیه غسل </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 الإجمال هنا هو هل الإدخال یوجب غسل الجنابة؟ أم إنزال المنی؟ وهذا</w:t>
      </w:r>
      <w:bookmarkStart w:id="575" w:name="pg2516_26684"/>
    </w:p>
    <w:p>
      <w:pPr>
        <w:pStyle w:val="BookText"/>
        <w:rPr/>
      </w:pPr>
      <w:bookmarkEnd w:id="575"/>
      <w:r>
        <w:rPr>
          <w:rFonts w:ascii="IRNazanin" w:hAnsi="IRNazanin" w:eastAsia="IRNazanin"/>
          <w:color w:val="111111"/>
          <w:sz w:val="28"/>
          <w:sz w:val="28"/>
          <w:szCs w:val="28"/>
          <w:rtl w:val="true"/>
          <w:lang w:bidi="fa-IR"/>
        </w:rPr>
        <w:t xml:space="preserve">التردد یأتی 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الماء من الماء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الّذی استند إلیه الأنصار ، ولکن لم یقبله المهاجرون وعلی رأسهم الإمام علی علیه السلام حیث اعتبروه منسوخاً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البعض إلی القول بأنّ الحصر فیه إضافی ، وهو فی مقابل مداعبة المرأة ، الّتی تؤدّی إلی إنزال المذی ولیس المنی ، وهو لا یتعلّق بالدخول الّذی یوجب لوحده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والجدل الآخر الّذی ینشب هنا هو علی فرض قبول أنّ الدخول سبب للغسل ، فهل الدخول فی دبر المرأة یوجب الغسل کما یوجبه الدخول فی القّبل؟ أم ینبغی اعتبار الدخول المتداول فی قبل المرأة فقط موجباً للغسل بناءً علی الأحادیث الّتی تعتبر التقاء الختانین موجباً للغسل؟ یری المجلسی الأوّل رحمه اللهأنّ الحدیث الّذی نقله الحلبی فیما یخصّ هذا الجدل الثانی مجملاً ومحایداً ویتساوی فیه احتمال أن یکون الحدیث متعلّقاً بالتفخیذ وعدم الإنزال والغسل فقط ، أو أنّه یشمل الدخول فی الدبر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 یلی فی توضیح معنی عبارة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نسخة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یفخذها ، أو الأعمّ منه ومن وط ء الدبر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وللإجمال لا یمکن الاستدلال به من الطرفین ، ولمّا کان فی وقت السؤال ، کان القرائن الحالیة والمقالیة ، ولم تنقل حصل الإجمال</w:t>
      </w:r>
      <w:r>
        <w:rPr>
          <w:rFonts w:eastAsia="IRNazanin" w:cs="IRNazanin"/>
          <w:color w:val="111111"/>
          <w:sz w:val="28"/>
          <w:szCs w:val="28"/>
          <w:rtl w:val="true"/>
          <w:lang w:bidi="fa-IR"/>
        </w:rPr>
        <w:t xml:space="preserve">» .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لقد التزم المجلسی رحمه الله بهذا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نشرح فیما یلی الأنواع الثلاثة المتداولة من القرائن الداخلیة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الإمام ، وسؤال الراوی وفهمه ، ونعرض أمثلة لها </w:t>
      </w:r>
      <w:r>
        <w:rPr>
          <w:rFonts w:eastAsia="IRNazanin" w:cs="IRNazanin"/>
          <w:color w:val="111111"/>
          <w:sz w:val="28"/>
          <w:szCs w:val="28"/>
          <w:rtl w:val="true"/>
          <w:lang w:bidi="fa-IR"/>
        </w:rPr>
        <w:t>.</w:t>
      </w:r>
    </w:p>
    <w:p>
      <w:pPr>
        <w:pStyle w:val="Heading5"/>
        <w:numPr>
          <w:ilvl w:val="4"/>
          <w:numId w:val="1"/>
        </w:numPr>
        <w:rPr/>
      </w:pPr>
      <w:bookmarkStart w:id="576" w:name="__RefHeading___Toc4159792_3804643083"/>
      <w:bookmarkStart w:id="577" w:name="_Toc227"/>
      <w:bookmarkEnd w:id="576"/>
      <w:r>
        <w:rPr/>
        <w:t>1</w:t>
      </w:r>
      <w:r>
        <w:rPr>
          <w:rtl w:val="true"/>
        </w:rPr>
        <w:t xml:space="preserve"> . </w:t>
      </w:r>
      <w:r>
        <w:rPr>
          <w:rtl w:val="true"/>
        </w:rPr>
        <w:t>القرائن الداخلیة لفهم المقصود</w:t>
      </w:r>
      <w:bookmarkEnd w:id="577"/>
    </w:p>
    <w:p>
      <w:pPr>
        <w:pStyle w:val="Heading6"/>
        <w:numPr>
          <w:ilvl w:val="5"/>
          <w:numId w:val="1"/>
        </w:numPr>
        <w:rPr/>
      </w:pPr>
      <w:bookmarkStart w:id="578" w:name="__RefHeading___Toc4159794_3804643083"/>
      <w:bookmarkStart w:id="579" w:name="_Toc228"/>
      <w:bookmarkEnd w:id="578"/>
      <w:r>
        <w:rPr>
          <w:rtl w:val="true"/>
        </w:rPr>
        <w:t>اشاره</w:t>
      </w:r>
      <w:bookmarkEnd w:id="579"/>
    </w:p>
    <w:p>
      <w:pPr>
        <w:pStyle w:val="Heading6"/>
        <w:numPr>
          <w:ilvl w:val="5"/>
          <w:numId w:val="1"/>
        </w:numPr>
        <w:rPr/>
      </w:pPr>
      <w:bookmarkStart w:id="580" w:name="__RefHeading___Toc4159796_3804643083"/>
      <w:bookmarkStart w:id="581" w:name="_Toc229"/>
      <w:bookmarkEnd w:id="580"/>
      <w:r>
        <w:rPr>
          <w:rtl w:val="true"/>
        </w:rPr>
        <w:t>أ ـ تعلیل الإمام</w:t>
      </w:r>
      <w:bookmarkEnd w:id="58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القرائن الداخلیة المؤثرة فی فهم الحدیث ، هی العلّة الّتی ذکرها الإمام علیه السلام</w:t>
      </w:r>
    </w:p>
    <w:p>
      <w:pPr>
        <w:pStyle w:val="BookText"/>
        <w:rPr/>
      </w:pPr>
      <w:r>
        <w:rPr>
          <w:rFonts w:ascii="IRNazanin" w:hAnsi="IRNazanin" w:eastAsia="IRNazanin"/>
          <w:color w:val="111111"/>
          <w:sz w:val="28"/>
          <w:sz w:val="28"/>
          <w:szCs w:val="28"/>
          <w:rtl w:val="true"/>
          <w:lang w:bidi="fa-IR"/>
        </w:rPr>
        <w:t xml:space="preserve">فی صدر وذیل الحدیث ، وهی العلّة الّتی استند إلیها القائل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التعلیلات الّتی تذکر غالباً فی نهایة الحکم ، استفاد منها الفقهاء والمحدّثون فی حالات کثیرة ، وبیّنوا المقصود الأصلی والحقیقی للحدیث فی ضوء ما ذُکر فیه من تعلیلات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وأدّت بحوثهم النظریة والتطبیقیة فی هذا المجال إلی ظهور بحث مستقل وخاص فی علم الفقه واُصول الفقه </w:t>
      </w:r>
      <w:r>
        <w:rPr>
          <w:rStyle w:val="FootnoteAnchor"/>
          <w:rtl w:val="true"/>
        </w:rPr>
        <w:footnoteReference w:id="618"/>
      </w:r>
      <w:r>
        <w:rPr>
          <w:rFonts w:ascii="IRNazanin" w:hAnsi="IRNazanin" w:eastAsia="IRNazanin"/>
          <w:color w:val="111111"/>
          <w:sz w:val="28"/>
          <w:sz w:val="28"/>
          <w:szCs w:val="28"/>
          <w:rtl w:val="true"/>
          <w:lang w:bidi="fa-IR"/>
        </w:rPr>
        <w:t xml:space="preserve">، والمثال المشهور لهذا الحکم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الخمر ؛ لأنّه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تکرر ذکره فی الکثیر من الکتب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الاُصولیّون والفقهاء أنّه عند بیان العلّة یتبدّل موضوع الحکم ممّا فُهم فی بدایة الأمر إلی موضوع أکثر شمولاً لینطبق علی کُلّ ما فیه هذه العلّة ، أو أنّه یُخصص وینتهی إلی تخفیض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أدق یکون فیه کلا الجانبین فی حالة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المعلل یشمل الموضوع الّذی یبدو فی الظاهر وکأنّه لیس من مصادیق الحکم ، ولکنّه یشمله لأنّ تعلیل الإمام ینطبق علیه ، وهو الموضوع الّذی یبدو من ظاهر الألفاظ أنّه لیس من الحکم ، ویدخل فی حکمه أیضاً الموضوع الّذی یبدو فی ظاهر لفظه وکأنّه لیس جزءاً من الحکم بسبب مافیه من أثر وصدق التعلیل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علی سبیل المثال أنّ حرمة الخمر تسری علی المواد المسکرة الاُخری ، وإن لم تکن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لو کان هناک خمر غیر مسکر ـ علی فرض وقوع مثل هذا الأمر ـ فَهو لیس حراماً ، وعلی هذا فهم یعتبرون الظهور المستقر والمراد النهائی للحدیث المنصوص العلّة مختلفاً فی معناه عن الحدیث غیر المنصوص العلّة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بأنّ المراد النهائی والمقصود الأصلی لدی الإمام المعصوم علیه السلام والشریعة المقدّسة تحریم جمیع المسکرات ، وقد ذکروا الخمر کمثال بارز وشائع ، وجعلوه منطلقاً لحکمهم ، ولیس مقصود الشریعة بیان حکم حرمة الخمر فقط ، ثُمَّ</w:t>
      </w:r>
    </w:p>
    <w:p>
      <w:pPr>
        <w:pStyle w:val="BookText"/>
        <w:rPr/>
      </w:pPr>
      <w:r>
        <w:rPr>
          <w:rFonts w:ascii="IRNazanin" w:hAnsi="IRNazanin" w:eastAsia="IRNazanin"/>
          <w:color w:val="111111"/>
          <w:sz w:val="28"/>
          <w:sz w:val="28"/>
          <w:szCs w:val="28"/>
          <w:rtl w:val="true"/>
          <w:lang w:bidi="fa-IR"/>
        </w:rPr>
        <w:t xml:space="preserve">ذکرت العلّة لبیان مصلحة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تجدر الإشارة إلی أنّ تعمیم وتخصیص الحکم استناداً إلی العلّة المذکورة فی الکلام ، أو ما یُصطلح علیه فی علم الاُصول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بحد ذاته للقواعد العقلیة لظاهر الکلام ، وهذا ما یتکفّل ببحثه علم اُصول الفقه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غیر أنّ معظم الفقهاء وعلماء علم اُصول الفقه أقروا التعمیم والتعدیة الحاصلة من التعلیل </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ولم یطرحوا إلاّ آراءً متفاوتة ، ولکن متقاربة بشأن قواعدها وشروطها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ونشب بینهم جدل أکثر فنیّة ودقّة حول التخصیص ، وهذه البحوث مضافاً إلیها التفاوت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المستنبطة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والتفاوت الأساسی بین التعلیل والقیاس ـ الّذی لا یعتبر حجّة عند الشیعة ـ یمکن تتبّعها فی مضانّها ، أی فی علم اُصول الفقه </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ونحن نعرض هاهنا مثالاً مقبولاً من روضة المتّقین ، فقد وسّع المجلسی الأوّل عند شرحه حدیث الاتّکاء فی الحمّام ، حکم هذا الحدیث بسبب التعلیل الموجود فی 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ندرج فیما یلی متن الحدیث وشرحه وهما کفیلان بتوضیح کُلّ شیء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تتّک فی الحمّام ، فإنّه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شحم الکلیتین </w:t>
      </w:r>
      <w:r>
        <w:rPr>
          <w:rFonts w:eastAsia="IRNazanin" w:cs="IRNazanin"/>
          <w:color w:val="111111"/>
          <w:sz w:val="28"/>
          <w:szCs w:val="28"/>
          <w:rtl w:val="true"/>
          <w:lang w:bidi="fa-IR"/>
        </w:rPr>
        <w:t xml:space="preserve">. . . . </w:t>
      </w:r>
      <w:r>
        <w:rPr>
          <w:rStyle w:val="FootnoteAnchor"/>
          <w:rtl w:val="true"/>
        </w:rPr>
        <w:footnoteReference w:id="62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المجلسی الأوّل فی شرح هذا الحدیث 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کراهة الاتکاء فی الحمّام ، بأن یضطجع ویستلقی ، وظاهره الأعمّ من الاتّکاء بالید أیضاً ، لکن التعلیل</w:t>
      </w:r>
      <w:bookmarkStart w:id="582" w:name="pg2516_26690"/>
    </w:p>
    <w:p>
      <w:pPr>
        <w:pStyle w:val="BookText"/>
        <w:rPr/>
      </w:pPr>
      <w:bookmarkEnd w:id="582"/>
      <w:r>
        <w:rPr>
          <w:rFonts w:ascii="IRNazanin" w:hAnsi="IRNazanin" w:eastAsia="IRNazanin"/>
          <w:color w:val="111111"/>
          <w:sz w:val="28"/>
          <w:sz w:val="28"/>
          <w:szCs w:val="28"/>
          <w:rtl w:val="true"/>
          <w:lang w:bidi="fa-IR"/>
        </w:rPr>
        <w:t>بذهاب شحم الکلیتین ، یؤیّد المعنی الأوّل</w:t>
      </w:r>
      <w:r>
        <w:rPr>
          <w:rFonts w:eastAsia="IRNazanin" w:cs="IRNazanin"/>
          <w:color w:val="111111"/>
          <w:sz w:val="28"/>
          <w:szCs w:val="28"/>
          <w:rtl w:val="true"/>
          <w:lang w:bidi="fa-IR"/>
        </w:rPr>
        <w:t xml:space="preserve">» .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والّذی یسترعی الانتباه فی هذا المثال هو أنّ التخصیص الحاصل من التعلیل وإن توجه إلیه الفقهاء والمحدّثون ، ولکن لم یکن فیه رواج وشیوع التعمیم </w:t>
      </w:r>
      <w:r>
        <w:rPr>
          <w:rFonts w:eastAsia="IRNazanin" w:cs="IRNazanin"/>
          <w:color w:val="111111"/>
          <w:sz w:val="28"/>
          <w:szCs w:val="28"/>
          <w:rtl w:val="true"/>
          <w:lang w:bidi="fa-IR"/>
        </w:rPr>
        <w:t>.</w:t>
      </w:r>
    </w:p>
    <w:p>
      <w:pPr>
        <w:pStyle w:val="Heading6"/>
        <w:numPr>
          <w:ilvl w:val="5"/>
          <w:numId w:val="1"/>
        </w:numPr>
        <w:rPr/>
      </w:pPr>
      <w:bookmarkStart w:id="583" w:name="__RefHeading___Toc4159798_3804643083"/>
      <w:bookmarkStart w:id="584" w:name="_Toc230"/>
      <w:bookmarkEnd w:id="583"/>
      <w:r>
        <w:rPr>
          <w:rtl w:val="true"/>
        </w:rPr>
        <w:t>ب ـ سؤال الراوی</w:t>
      </w:r>
      <w:bookmarkEnd w:id="584"/>
    </w:p>
    <w:p>
      <w:pPr>
        <w:pStyle w:val="BookText"/>
        <w:rPr/>
      </w:pPr>
      <w:r>
        <w:rPr>
          <w:rFonts w:ascii="IRNazanin" w:hAnsi="IRNazanin" w:eastAsia="IRNazanin"/>
          <w:color w:val="111111"/>
          <w:sz w:val="28"/>
          <w:sz w:val="28"/>
          <w:szCs w:val="28"/>
          <w:rtl w:val="true"/>
          <w:lang w:bidi="fa-IR"/>
        </w:rPr>
        <w:t xml:space="preserve">صدرت الکثیر من الأحادیث جواباً لأسئلة رواة من ذوی المعرفة بالفقة والدین ، أو لأشخاص عادیین کانوا یواجهون مشکلة فی هذا المجال ، وقد کان أئمتنا مرجع الأسئلة العلمیة فی عصرهم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یجیبون عن الأسئلة الفقهیة والتفسیریة والأخلاقیة ، وقد أجابوا عن الأسئلة الصریحة والتلمیحیّة للرواة بالقول والعمل والمکتوب والرسالة ، وردّوا علی ما اُثیر من شبهات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فهناک کتب مثل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علی بن جعفر ومسائل الرجال والمکاتبات للحمیری ، والتوقیعات القیمة الّتی صدرت عن الإمام المهدی ـ عج ـ وآبائه الطاهرین تمثّل شواهد علی أنّ هذه الأحادیث لم تصدر فی فراغ ، بل صدرت فیما عاصرها من أجواء علمیة ، ولم تصدر علی شکل کتاب لا یأخذ بنظر الاعتبار الظروف السیاسیة والاجتماعیة الملتهبة فی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فإنّ العثور علی السؤال الخفی والذهنی ، أو الصریح والعلنی للراوی أو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المخاطب الأوّل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یقودنا إلی صُلب الجواب ونواته الداخلیة ، سواء جاء هذا السؤال والجواب فی مجلس وعُرضا شفویاً ، إن جاء بشکل مکتوب ، ووصل جوابه بعد أیام واسابیع ، أو أنّ السؤال کان شائعاً ومشهوراً ، وجاء جواب الإمام عنه من غیر أن یسأله أحد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الاهتمام بسؤال الراوی وما له من تأثیر فی فهم جواب الإمام فی مجال</w:t>
      </w:r>
    </w:p>
    <w:p>
      <w:pPr>
        <w:pStyle w:val="BookText"/>
        <w:rPr/>
      </w:pPr>
      <w:r>
        <w:rPr>
          <w:rFonts w:ascii="IRNazanin" w:hAnsi="IRNazanin" w:eastAsia="IRNazanin"/>
          <w:color w:val="111111"/>
          <w:sz w:val="28"/>
          <w:sz w:val="28"/>
          <w:szCs w:val="28"/>
          <w:rtl w:val="true"/>
          <w:lang w:bidi="fa-IR"/>
        </w:rPr>
        <w:t xml:space="preserve">الأحادیث العقائدیة والفقهیة أکثر من المجالات الأخری ، واستفاد کثیر من الفقهاء ، فی مباحثهم الفقهیة والحدیثیة ، من السؤال الموجود فی الحدیث واعتبروه قرینة لتعیین المقصود النهائی للإمام ، وفهموا أحیاناً من الحدیث معنی یختلف کلیاً عمّا نفهمه منه فیما لو کان من غیر سؤال ، </w:t>
      </w:r>
      <w:r>
        <w:rPr>
          <w:rStyle w:val="FootnoteAnchor"/>
          <w:rtl w:val="true"/>
        </w:rPr>
        <w:footnoteReference w:id="626"/>
      </w:r>
      <w:r>
        <w:rPr>
          <w:rFonts w:ascii="IRNazanin" w:hAnsi="IRNazanin" w:eastAsia="IRNazanin"/>
          <w:color w:val="111111"/>
          <w:sz w:val="28"/>
          <w:sz w:val="28"/>
          <w:szCs w:val="28"/>
          <w:rtl w:val="true"/>
          <w:lang w:bidi="fa-IR"/>
        </w:rPr>
        <w:t xml:space="preserve">أو أنّهم اختاروا بقرینة سؤال الراوی احتمالاً واحداً من عدّة معانٍ محتملة للحدیث وترکوا ما بقی منها </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وقد قیّد الفقهاء أحیاناً اطلاقات الجواب بناءً علی قرینة السؤال ، وخصصوا فی أحیان اُخری عموماته </w:t>
      </w:r>
      <w:r>
        <w:rPr>
          <w:rStyle w:val="FootnoteAnchor"/>
          <w:rtl w:val="true"/>
        </w:rPr>
        <w:footnoteReference w:id="628"/>
      </w:r>
      <w:r>
        <w:rPr>
          <w:rFonts w:ascii="IRNazanin" w:hAnsi="IRNazanin" w:eastAsia="IRNazanin"/>
          <w:color w:val="111111"/>
          <w:sz w:val="28"/>
          <w:sz w:val="28"/>
          <w:szCs w:val="28"/>
          <w:rtl w:val="true"/>
          <w:lang w:bidi="fa-IR"/>
        </w:rPr>
        <w:t xml:space="preserve">، ومنعوا أحیاناً انعقاد الإطلاق والعموم </w:t>
      </w:r>
      <w:r>
        <w:rPr>
          <w:rStyle w:val="FootnoteAnchor"/>
          <w:rtl w:val="true"/>
        </w:rPr>
        <w:footnoteReference w:id="629"/>
      </w:r>
      <w:r>
        <w:rPr>
          <w:rFonts w:ascii="IRNazanin" w:hAnsi="IRNazanin" w:eastAsia="IRNazanin"/>
          <w:color w:val="111111"/>
          <w:sz w:val="28"/>
          <w:sz w:val="28"/>
          <w:szCs w:val="28"/>
          <w:rtl w:val="true"/>
          <w:lang w:bidi="fa-IR"/>
        </w:rPr>
        <w:t xml:space="preserve">، وأزالوا أحیاناً بواسطة السؤال إجمال الحدیث </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وسنستعیض هنا عن ذکر أمثلة مشابهة لما ذکرناه ، بعرض مجموعة من الأحادیث الّتی فُهمت علی نحو مغلوط بسبب ما فیها من حصر وقلّة الانتباه إلی سؤال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إحدی ثمرات الاهتمام بسؤال الراوی هو إدراک إضافیة ونسبیة الحصر ولیس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الثمرة المهمة تستخدم کثیراً فی حل التعارض بین الأخبار ، و نکشف فیما یلی من خلال عرض عدد من الأمثلة التفات المجلسی الأوّل رحمه الله إلی تأثیر هذه الأسئلة فی صیاغة السیاق وتوفیر الأجواء لفهم طبیعة الحصر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المثال الأوّل فی أوائل شرح المجلسی الأوّل رحمه الله ، وفی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نعلم أنّ هناک أغسالاً متعددة واجبة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الجنابة إلی جانب غسل</w:t>
      </w:r>
    </w:p>
    <w:p>
      <w:pPr>
        <w:pStyle w:val="BookText"/>
        <w:rPr/>
      </w:pPr>
      <w:r>
        <w:rPr>
          <w:rFonts w:ascii="IRNazanin" w:hAnsi="IRNazanin" w:eastAsia="IRNazanin"/>
          <w:color w:val="111111"/>
          <w:sz w:val="28"/>
          <w:sz w:val="28"/>
          <w:szCs w:val="28"/>
          <w:rtl w:val="true"/>
          <w:lang w:bidi="fa-IR"/>
        </w:rPr>
        <w:t xml:space="preserve">المیّت ومس المیّت والحیض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إلاّ مفردات من هذه الأغسال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فإذا کان لدینا حدیث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الغسل من الماء الأکبر ، </w:t>
      </w:r>
      <w:r>
        <w:rPr>
          <w:rStyle w:val="FootnoteAnchor"/>
          <w:rtl w:val="true"/>
        </w:rPr>
        <w:footnoteReference w:id="631"/>
      </w:r>
      <w:r>
        <w:rPr>
          <w:rFonts w:ascii="IRNazanin" w:hAnsi="IRNazanin" w:eastAsia="IRNazanin"/>
          <w:color w:val="111111"/>
          <w:sz w:val="28"/>
          <w:sz w:val="28"/>
          <w:szCs w:val="28"/>
          <w:rtl w:val="true"/>
          <w:lang w:bidi="fa-IR"/>
        </w:rPr>
        <w:t xml:space="preserve">ولا نستطیع حلّه ، یجب علینا ترکه ؛ وذلک لأنّ الأدلة الاُخری علی الأغسال کثیرة ومحکمة ، بحیث إنّ الحصر الحاصل من هذا الحدیث لا یقوی علی معارضتها ، ولکن مثلما حکم المجلسی رحمه اللهـ بناءً علی سؤال الراوی ـ بإضافیة ونسبیة الحصر </w:t>
      </w:r>
      <w:r>
        <w:rPr>
          <w:rStyle w:val="FootnoteAnchor"/>
          <w:rtl w:val="true"/>
        </w:rPr>
        <w:footnoteReference w:id="632"/>
      </w:r>
      <w:r>
        <w:rPr>
          <w:rFonts w:ascii="IRNazanin" w:hAnsi="IRNazanin" w:eastAsia="IRNazanin"/>
          <w:color w:val="111111"/>
          <w:sz w:val="28"/>
          <w:sz w:val="28"/>
          <w:szCs w:val="28"/>
          <w:rtl w:val="true"/>
          <w:lang w:bidi="fa-IR"/>
        </w:rPr>
        <w:t xml:space="preserve">، نحن أیضاً إذا أخذنا بنظر الاعتبار سؤال الراوی فی هذا الحدیث ، سنقر بصحّة هذا الحکم بکلّ 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السؤال کما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عن الرجل ینام ویستیقظ فیمسّ ذکره فیری بللاً ولم یرَ فی منامه شیئا أیغتسل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افتراض الراوی یدخل ضمن دائرة الأغسال المتعلّقة بخروج سائل من مخرج البول ، وهو هل یوجب خروج سوائل اُخری ـ کالمذی والودی وهی تختلف عن المنی ـ یوجب الغسل أم لا؟ وقد حکم الإمام ضمن هذه الدائرة بعدم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الحصر استناداً إلی هذا المجال ، أو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هذه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 هذه الحالة منطقی وفقهی ومقبول ولا معارض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والمثال الآخر فی مجال عیوب النکاح ممّا یعطی للزوج حق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استنبط الفقهاء هذه العیوب من الأحادیث وعیّنوها واحصوا عیوب المرأة فی ستّة أو سبعة عیوب ، ولا نعرف أحداً توقّف فیها عند حد الثلاثة 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السبب یُستبعد حدیث محمّد بن مسلم عن الإمام الباقر علیه السلام الّذی حصر فیه العیوب بثلاثة ، وهذا الحدیث یحتاج إلی توجیه وتوضیح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استند المجلسی رحمه الله إلی مبدأ الحصر الإضافی اعتماداً علی سؤال الراوی ، وکشف دائرة الحصر ، ووجّه الحدیث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نأتی فی بدایة الأمر علی نقل نص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 محمّد بن مسلم عن رجل تزوّج</w:t>
      </w:r>
    </w:p>
    <w:p>
      <w:pPr>
        <w:pStyle w:val="BookText"/>
        <w:rPr/>
      </w:pPr>
      <w:r>
        <w:rPr>
          <w:rFonts w:ascii="IRNazanin" w:hAnsi="IRNazanin" w:eastAsia="IRNazanin"/>
          <w:color w:val="111111"/>
          <w:sz w:val="28"/>
          <w:sz w:val="28"/>
          <w:szCs w:val="28"/>
          <w:rtl w:val="true"/>
          <w:lang w:bidi="fa-IR"/>
        </w:rPr>
        <w:t xml:space="preserve">إلی قوم امرأةٌ فوجدها عوراء ولم یبیّنوا ، أله أن یردّها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یردّ النکاح من الجنون والجذام والبرص</w:t>
      </w:r>
      <w:r>
        <w:rPr>
          <w:rFonts w:eastAsia="IRNazanin" w:cs="IRNazanin"/>
          <w:color w:val="111111"/>
          <w:sz w:val="28"/>
          <w:szCs w:val="28"/>
          <w:rtl w:val="true"/>
          <w:lang w:bidi="fa-IR"/>
        </w:rPr>
        <w:t xml:space="preserve">» .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وکما یلاحظ هنا فإنّ الروایة لا تعتبر عور المرأة موجباً لحق الرجل فی الفسخ ، ولیس هذا فحسب ، بل استبعدت أیضاً عیوباً اُخری کالعفل والقرن ، وبهذا النفی تتعارض الروایة مع روایات عدیدة ومشهورة تدلّ علی العیب وجواز الفسخ المستند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المجلسی رحمه الله محّص سؤال الراوی الّذی یتضمن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والحصر الواقع فی الأخبار إضافی </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عدّة صفحات فی توجیه روایة مشابهة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الغالب فی العیوب الظاهرة ، العلم بها والحصر بالنسبة إلی العیوب الباطنة الّتی قلّ من یطّلع علیها</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العمی لیس بالضرورة من العیوب الخفیة ، وحتّی إذا کان من العیوب الخفیة فهو لیس ممّا یصعب 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فهو لیس من العیوب الخفیّة الّتی توجب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تکون فی المرأة عیوب توجب الفسخ مع ظهورها للعیان فهی خارج عن شمولیة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ودائرة النفی والحصر تقع فقط ضمن العیوب الخفیة ولیس الظاهریة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فالروایة المذکورة لا تقصد عیوباً کالعفل والقرن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هنا لسنا فی مقام التحکیم ولا بصدد الحکم علی توجیه المجلسی رحمه الله أو بیان علاقة العمی بجواز فسخ النکاح ، إذ إنّ هذا البحث موضع اختلاف وجدل بین الفقهاء ، وإنّما المهم بالنسبة إلینا هو الکشف عن حدود الحصر لتوجیه وحل الروایة عن طریق الالتفات إلی سؤال الراوی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تنبیـه</w:t>
      </w:r>
    </w:p>
    <w:p>
      <w:pPr>
        <w:pStyle w:val="BookText"/>
        <w:rPr/>
      </w:pPr>
      <w:r>
        <w:rPr>
          <w:rFonts w:ascii="IRNazanin" w:hAnsi="IRNazanin" w:eastAsia="IRNazanin"/>
          <w:color w:val="111111"/>
          <w:sz w:val="28"/>
          <w:sz w:val="28"/>
          <w:szCs w:val="28"/>
          <w:rtl w:val="true"/>
          <w:lang w:bidi="fa-IR"/>
        </w:rPr>
        <w:t xml:space="preserve">من القضایا الحدیثیة المهمّة ، حل مشکلة صیغة المفاضلة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القضیة لیس لها علاقة مباشرة بسؤال الراوی ، ولکن لها صلة وثیقة بمسألة الحصر الإضافی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هذه القضیة تدخل فی دائرة فقه الحدیث نطرحها علی بساط البحث ، ونذکر رأی المجلسی الأوّل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المشکلة هی أنّ هناک روایات عدیدة وصفت أشخاصاً کثیرین بصفات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أنّنا من جهة اُخری نعلم بأنّ صیغة المفاضلة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أضیفت إلی کلمة الناس ، لا یکون لها إلاّ مصداق واحد ، وهنا یحصل تناقض داخلی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 الأساسی لهذه المشکلة هو أن نعتبر التفضیل شیئاً إضافیاً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نعرض فیما یلی مثالین ممّا شرحه المجلسی الأوّل رحمه الله ونضیف إلیهما توضیحاً موجزاً لیتّضح أمامنا سبیل الحل هذا بشکل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المثالان عبارة عن فقرتین من متن وصیة رسول اللّه صلی الله علیه و آله لعلی علیه 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الفقرة الاُولی 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اللّه بما افترض علیه ، فهو من أعبد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أوردها الشَّیخ الصَّدوق فی باب النوادر ، وهو الباب الأخیر من کتاب من لا یحضره الفقیه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والسؤال الّذی یتبادر إلی الأذهان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حقاً أنّ من یکتفی بأداء الواجبات أعبد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الأمر کذلک ، إذا کان هناک من یؤدّی الواجبات کلّها ولا یترک شیئاً منها ، وإضافة إلیها یؤدّی المستحبّات أیضاً ، فهل هو أدنی منه أم مساوٍ له فی المرتبة؟ ومن هنا فقد ذهب المجلسی الأوّل رحمه الله إلی القول بأنّ هذه الأفضلیة نسبیة وبالمقارنة مع من یأتی بمستحبّات کثیرة ، ولکنه یترک فی بعض الأحیان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نص عبارته کالآتی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بالإضافة إلی من یفعل المستحبات الکثیرة ولا یأتی بواجب ولو کان بترک</w:t>
      </w:r>
    </w:p>
    <w:p>
      <w:pPr>
        <w:pStyle w:val="BookText"/>
        <w:rPr/>
      </w:pPr>
      <w:r>
        <w:rPr>
          <w:rFonts w:ascii="Amiri" w:hAnsi="Amiri" w:eastAsia="Amiri" w:cs="Amiri"/>
          <w:color w:val="111111"/>
          <w:sz w:val="28"/>
          <w:sz w:val="28"/>
          <w:szCs w:val="28"/>
          <w:rtl w:val="true"/>
          <w:lang w:bidi="ar-SA"/>
        </w:rPr>
        <w:t>واحدة منها</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کما اتّبع المجلسی رحمه الله الاُسلوب نفسه فی حل الفقرة التالیة من الحدیث ، أی 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وَرِعَ عن محارم اللّه ، فهو من أورع الناس ، </w:t>
      </w:r>
      <w:r>
        <w:rPr>
          <w:rStyle w:val="FootnoteAnchor"/>
          <w:rtl w:val="true"/>
        </w:rPr>
        <w:footnoteReference w:id="63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ویشتمل ترک الفرائض والحصر إضافی کالسابق وکونهم أورع من بعض لا ینافی أن یکون أحدا أورع منهم وإن احتمل المبالغة أیضا</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والواقع هو أنّ المجلسی رحمه الله یقیّد هذه القضیة هنا ویری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لیس کُلّ الناس وإنّما یشمل عدداً خاصاً منهم ، ویوصف تارک المحارم والآتی بالفرائض ، بأنّه أعبد وأورع بالقیاس إلی هذا العدد الخاص من الّذین یفترض بأنّهم مرتکبی المحارم وتارکی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بالقیاس إلی جمیع الناس ، وحتّی تارکی المحارم والآتین بالفرائض من الّذین یؤدّون المستحبّات ویجتنبون المکروهات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یمکن اعتبار معنی مثل هذا التعبیر تأکیداً علی أداء الواجبات وترک المحرمات ، إذ إنّ الواجب القلیل الّذی لا یدنّسه حرام خیر من الواجبات الکثیرة وحتّی المدعومة منها بالمستحبّات فیما إذا کان یخالطها الإثم وارتکاب الحرام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الثمرة الاُخری الّتی تتمخّض عن الالتفات إلی سؤال الراوی هی استبعاد الاحتمالات البعیدة ، وتقلیل المحتملات العدیدة الّتی قد ینطوی علیها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الراوی فقیهاً وواسع الفهم لا یمکن اعتبار جوابه بسیطاً وابتدائیاً ولا یمکن طرح احتمالات لا تنسجم مع شأنه ومکانته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بن جعفر أحد الرواة الأجلاء ، ومع إدراک المجلسی لجلالته وعظمته الروحیة والمعنویة والعلمیة ، لم یقبل التأویلات المتعلّقة</w:t>
      </w:r>
      <w:bookmarkStart w:id="585" w:name="pg2516_26703"/>
    </w:p>
    <w:p>
      <w:pPr>
        <w:pStyle w:val="BookText"/>
        <w:rPr/>
      </w:pPr>
      <w:bookmarkEnd w:id="585"/>
      <w:r>
        <w:rPr>
          <w:rFonts w:ascii="IRNazanin" w:hAnsi="IRNazanin" w:eastAsia="IRNazanin"/>
          <w:color w:val="111111"/>
          <w:sz w:val="28"/>
          <w:sz w:val="28"/>
          <w:szCs w:val="28"/>
          <w:rtl w:val="true"/>
          <w:lang w:bidi="fa-IR"/>
        </w:rPr>
        <w:t xml:space="preserve">بروایته حول وقوع النجاسة فی البئر ، وبما أنّ المسألة فقهیة ودقیقة ، فنحن نورد فیما یلی عبارة المجلسی فقط ، ونحیل الراغبین فی الاطلاع علی المزید من المعلومات إلی مراجعة الکتب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شرح المجلسی هو کالآتی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والتأویلات المذکورة فی الخبرین فی غایة الضعف مثل تأویل الصَّدوق ، هذا إذا کانت فی زبیل ولم ینزل منه شیء فی البئر ، لأنّ ظاهر الزبیل إذاکان مخلوطا بالعذرة ، کما هو الغالب فلا فائدة فی التأویل ، وإن لم یکن مخلوطا فلا فائدة فی السؤال ، بل هو قبیح سیّما من علی بن جعفر الّذی هو أحد الأرکان فی الدین ولم یوجد مثله من الهاشمیین ولا فی أولاد الأئمّة المعصومین ولا من أصحابهم علی ما هو الظاهر عندنا ، واللّه تعالی هو العالم بحقائق الأحوال</w:t>
      </w:r>
      <w:r>
        <w:rPr>
          <w:rFonts w:eastAsia="IRNazanin" w:cs="IRNazanin"/>
          <w:color w:val="111111"/>
          <w:sz w:val="28"/>
          <w:szCs w:val="28"/>
          <w:rtl w:val="true"/>
          <w:lang w:bidi="fa-IR"/>
        </w:rPr>
        <w:t xml:space="preserve">» . </w:t>
      </w:r>
      <w:r>
        <w:rPr>
          <w:rStyle w:val="FootnoteAnchor"/>
          <w:rtl w:val="true"/>
        </w:rPr>
        <w:footnoteReference w:id="640"/>
      </w:r>
    </w:p>
    <w:p>
      <w:pPr>
        <w:pStyle w:val="Heading6"/>
        <w:numPr>
          <w:ilvl w:val="5"/>
          <w:numId w:val="1"/>
        </w:numPr>
        <w:rPr/>
      </w:pPr>
      <w:bookmarkStart w:id="586" w:name="__RefHeading___Toc4159800_3804643083"/>
      <w:bookmarkStart w:id="587" w:name="_Toc231"/>
      <w:bookmarkEnd w:id="586"/>
      <w:r>
        <w:rPr>
          <w:rtl w:val="true"/>
        </w:rPr>
        <w:t>ج ـ فهم الراوی الأوّل</w:t>
      </w:r>
      <w:bookmarkEnd w:id="587"/>
    </w:p>
    <w:p>
      <w:pPr>
        <w:pStyle w:val="BookText"/>
        <w:rPr/>
      </w:pPr>
      <w:r>
        <w:rPr>
          <w:rFonts w:ascii="IRNazanin" w:hAnsi="IRNazanin" w:eastAsia="IRNazanin"/>
          <w:color w:val="111111"/>
          <w:sz w:val="28"/>
          <w:sz w:val="28"/>
          <w:szCs w:val="28"/>
          <w:rtl w:val="true"/>
          <w:lang w:bidi="fa-IR"/>
        </w:rPr>
        <w:t xml:space="preserve">من القرائن الکاشفة عن معنی ومقصود الإمام القائل للحدیث ، ما فهمه المخاطب الأوّل الّذی وُجّه الحدیث إلیه ، أی الراوی الأوّل لکلام وفعل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فالراوی من العارفین باللغة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ویفترض أن تکون لدیه الأهلیة لسؤال الإمام وروایة ما رآه أو سمعه ، وهو یری ویدرک حتّی لقرائن المقامیة بسبب وجوده فی جو الحوار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فهو یفهم مقصود الإمام بکلّ سهولة ، ولهذا الفهم حجیّة بالنسبة له ، وله أهمیّة بالنسبة لنا ، ولهذا السبب فقد نقل الرواة والمحدّثون فی حالات کثیرة فی ذیل الحدیث فهم الراوی الأوّل أو تفسیره أو حتّی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نقل الکلینی فی الروضة من الکافی حدیث مسعدة بن صدقة عن الإمام الصادق علیه السلام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ما ورّث الآباء لأبنائهم الأدب لا المال ، فإنّ المال یذهب والأدب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مسعدة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بالأدب ، العلم</w:t>
      </w:r>
      <w:r>
        <w:rPr>
          <w:rFonts w:eastAsia="IRNazanin" w:cs="IRNazanin"/>
          <w:color w:val="111111"/>
          <w:sz w:val="28"/>
          <w:szCs w:val="28"/>
          <w:rtl w:val="true"/>
          <w:lang w:bidi="fa-IR"/>
        </w:rPr>
        <w:t xml:space="preserve">» .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والمجلسی رحمه الله غیر مستثنیً من هذه القاعدة ، فهو یعیر أهمیة لفهم الراوی ، ویستفید من ذلک الإبداع الاحتمال وتمهید الأرضیة ، للرد علی ما یحتمل وقوعه من إشکال ، وإن کان لا یعتبر فهم الراوی حجّة ، وهو یصرّح بذلک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نستعرض فیما یلی الحدیث الّذی یروی فعل الإمام والراوی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الصادق علیه السلام من الحمّام فلبس وتعمّم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ترکت العمامة عند خروجی من الحمّام فی الشتاء والصیف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ورغم أنّ روایة الصَّدوق مرسلة ولا تذکر لنا اسم الراوی ، إلاّ أنّ روایة الکلینی لهذه الواقعة مسندة وتبیّن بأنَّ راوی الحدیث هو سیف بن عمیرة وهو من ثقات رواة الشیعة ، وهناک فی الروایة الأصلیة جملة إضافیة لم ینقلها الشَّیخ الصَّدوق ، ولکن الکلینی نقلها وهی أمر الإمام للراوی بشکل قاعدة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الحمّام فتعمّم ، </w:t>
      </w:r>
      <w:r>
        <w:rPr>
          <w:rStyle w:val="FootnoteAnchor"/>
          <w:rtl w:val="true"/>
        </w:rPr>
        <w:footnoteReference w:id="643"/>
      </w:r>
      <w:r>
        <w:rPr>
          <w:rFonts w:ascii="IRNazanin" w:hAnsi="IRNazanin" w:eastAsia="IRNazanin"/>
          <w:color w:val="111111"/>
          <w:sz w:val="28"/>
          <w:sz w:val="28"/>
          <w:szCs w:val="28"/>
          <w:rtl w:val="true"/>
          <w:lang w:bidi="fa-IR"/>
        </w:rPr>
        <w:t xml:space="preserve">وفی مثل هذه الأجواء یأتی بیان المجلسی رحمه الله کما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وفهم الراوی من عموم اللفظ استحبابه فی الصیف والشتاء ، ویمکن أن تکون الواقعة فی الصیف ، ففهم منه ومن عموم اللفظ أنّ فی الشتاء أحسن وأنفع وأدفع للضرر ولمّا کان فهمه حسناً ، نقل عنه الثقات وإلاّ ففعل الصحابی لیس بحجّة عندنا</w:t>
      </w:r>
      <w:r>
        <w:rPr>
          <w:rFonts w:eastAsia="IRNazanin" w:cs="IRNazanin"/>
          <w:color w:val="111111"/>
          <w:sz w:val="28"/>
          <w:szCs w:val="28"/>
          <w:rtl w:val="true"/>
          <w:lang w:bidi="fa-IR"/>
        </w:rPr>
        <w:t xml:space="preserve">» . </w:t>
      </w:r>
      <w:r>
        <w:rPr>
          <w:rStyle w:val="FootnoteAnchor"/>
          <w:rtl w:val="true"/>
        </w:rPr>
        <w:footnoteReference w:id="64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فبعد هذا البیان الّذی صرّح به المجلسی رحمه الله یزول الإشکال الّذی یقول بعبثیة العمامة فی الصیف ، وتخصیص حتمیة الحدیث بالشتاء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المجلسی رحمه الله أن یتوقّی طرح مثل هذا الإشکال عندما بیّن سر فعل الراوی ، ولکنه طبعاً لا یعتبر ذلک حجّة قطعیة </w:t>
      </w:r>
      <w:r>
        <w:rPr>
          <w:rFonts w:eastAsia="IRNazanin" w:cs="IRNazanin"/>
          <w:color w:val="111111"/>
          <w:sz w:val="28"/>
          <w:szCs w:val="28"/>
          <w:rtl w:val="true"/>
          <w:lang w:bidi="fa-IR"/>
        </w:rPr>
        <w:t>.</w:t>
      </w:r>
      <w:bookmarkStart w:id="588" w:name="pg2516_26706"/>
    </w:p>
    <w:p>
      <w:pPr>
        <w:pStyle w:val="Heading5"/>
        <w:numPr>
          <w:ilvl w:val="4"/>
          <w:numId w:val="1"/>
        </w:numPr>
        <w:rPr/>
      </w:pPr>
      <w:bookmarkStart w:id="589" w:name="__RefHeading___Toc4159802_3804643083"/>
      <w:bookmarkStart w:id="590" w:name="_Toc232"/>
      <w:bookmarkEnd w:id="588"/>
      <w:bookmarkEnd w:id="589"/>
      <w:r>
        <w:rPr/>
        <w:t>2</w:t>
      </w:r>
      <w:r>
        <w:rPr>
          <w:rtl w:val="true"/>
        </w:rPr>
        <w:t xml:space="preserve"> . </w:t>
      </w:r>
      <w:r>
        <w:rPr>
          <w:rtl w:val="true"/>
        </w:rPr>
        <w:t>القرائن المقامیة</w:t>
      </w:r>
      <w:bookmarkEnd w:id="590"/>
    </w:p>
    <w:p>
      <w:pPr>
        <w:pStyle w:val="BookText"/>
        <w:rPr/>
      </w:pPr>
      <w:r>
        <w:rPr>
          <w:rFonts w:ascii="IRNazanin" w:hAnsi="IRNazanin" w:eastAsia="IRNazanin"/>
          <w:color w:val="111111"/>
          <w:sz w:val="28"/>
          <w:sz w:val="28"/>
          <w:szCs w:val="28"/>
          <w:rtl w:val="true"/>
          <w:lang w:bidi="fa-IR"/>
        </w:rPr>
        <w:t xml:space="preserve">من الاُمور الّتی تحظی بأهمیة عند تقصّی القرائن ، معرفة جوّ التخاطب ومجلس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نری وندرک هذه القرائن فی زمن قول أو سماع الروایة ، ولکننا لا ندرک أهمیّتها بسبب حجاب القرب والحضور ، ولکننا نواجه لاحقاً وبعد انقطاع الکلام عن الفضاء الّذی جاء فیه وانقطاع علاقته بالخارج ، نواجه مشکلة فی فهم الحدیث أو سوء فهم له ، وهناک أمثلة کثیرة فی تاریخ الحدیث یمکن أن نسوقها هنا سواء عند الشیعة أو عند أهل السُنّة ، حصل فیها سوء فهم للأحادیث ، أو أنّها بقیت غامضة وغیر مفهومة المعنی لسنوات طویلة بسبب عدم نقل القرائن الحالیة والمقامیة أو عدم الالتفات لها ، ومنها الحدیث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بشّرنی بخروج آذار فله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شرّ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استجب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 الحاجم والمحجوم ، ومثلها أیضاً عشرات الأحادیث الاُخری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هناک مثال بسیط یبیّن بکلّ وضوح تأثیر قرائن مقام الحوار فیما نفهمه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أنّنا نقرأ النصّ التالی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احزموا أمتعتکم ، واستعدوا للرحیل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فأمامکم سفر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فتأهّبوا له وتزوّدوا فأمامنا عقبات کأداء وأراض موعرة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فمادامت الفرصة مؤاتیة الیوم ، خذوا لهذا السفر عدّته</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 هذا النصّ؟ فهل هو خطاب ألقاه أمیر قافلة إلی حجاج بیت اللّه الحرام قبل سنوات خلت؟ أو هو آخر وصایا قائد عسکری لجنوده؟ أم هو مواعظ ألقاها واعظ من فوق منبر خطابة؟ فنحن نلاحظ هنا أنّ معنی السفر هنا غیر واضح ، وقد یکون المراد منه سفر زیارة أو سفر جهاد أو سفر 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یعیّن نوع السفر هو مقام الحوار وجوّ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أکثر ما تقع فی النقل الشفوی ، إذ إنّ ناقل الخبر قلیلاً ما یهتم</w:t>
      </w:r>
    </w:p>
    <w:p>
      <w:pPr>
        <w:pStyle w:val="BookText"/>
        <w:rPr/>
      </w:pPr>
      <w:r>
        <w:rPr>
          <w:rFonts w:ascii="IRNazanin" w:hAnsi="IRNazanin" w:eastAsia="IRNazanin"/>
          <w:color w:val="111111"/>
          <w:sz w:val="28"/>
          <w:sz w:val="28"/>
          <w:szCs w:val="28"/>
          <w:rtl w:val="true"/>
          <w:lang w:bidi="fa-IR"/>
        </w:rPr>
        <w:t xml:space="preserve">بنقل الجو الجانبی المحیط بالقضیة ، ونادراً ما یأتی علی وصف کُلّ الأحوال والظروف والملابسات الّتی تقع إلی جانب الکلام ، وحتّی لو أنّه أراد ذلک فمن غیر الواضح أنّه یستطیع الإلمام بجمیع جوانب وظروف الکلام ، ثُمَّ تغطیتها کلّها أثناء نقل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یتوقّف علی النقل الصحیح والأمین للرواة اللاحقین وبقاء المتن سالماً من التصحیف والتحریف الّذی قد یقع عمداً أو سهواً ، والتقطیع غیر الصحیح وغیر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إحدی القرائن المقامیة ، هی وضع وحال مخاطب الإمام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الأئمّة علیهم السلام یأخذون بنظر الاعتبار وضع الراوی والمخاطب عملاً بحدیث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الناس علی قدر عقولهم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وبناءً علی ما تقتضیه فصاحتهم وبلاغتهم ، فکانوا یتفوّهون بکلامهم بما یتناسب مع مقتضی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فإنّ الکلام الّذی یتناسب مع وضعه وحاله یختص به ، ومن یعیشون فی وضعه ویشابهونه فیه ، فالحدیث یتّصف بالعمومیة ضمن هذه الحدود فقط ، ولا یشمل حال جمیع المکلّفین ومن لا یعیشون فی هذا الوضع الخاص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حکم الإمام عاماً وشاملاً ، وحتّی إن جاء علی شکل قضیّة طبیعیة وحقیقیة ، ویشمل کُلّ مصداق وفرد من موضوعه ویمتد حتّی إلی الأفراد الّذین سیأتون إلی الوجود فی المستقبل ، ولکن إذا کان حال المخاطب ووضعه الخاص یدخل ضمن الموضوع ، وجعل فیه کشرط وقید ، فالأفراد الآخرون فی غیر ذلک الوضع خارجون منه بالذات ، ولعلّ هذه الملاحظة الّتی أکّد علیها المجلسی رحمه اللهأیضاً ، تکشف عن سر اختلاف الأحادیث فی مدح وذم أعمال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والجوع والأکل والخوف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مخاطب الإمام کان قلیل المزاح وکان عبوساً، ولذلک</w:t>
      </w:r>
    </w:p>
    <w:p>
      <w:pPr>
        <w:pStyle w:val="BookText"/>
        <w:rPr/>
      </w:pPr>
      <w:r>
        <w:rPr>
          <w:rFonts w:ascii="IRNazanin" w:hAnsi="IRNazanin" w:eastAsia="IRNazanin"/>
          <w:color w:val="111111"/>
          <w:sz w:val="28"/>
          <w:sz w:val="28"/>
          <w:szCs w:val="28"/>
          <w:rtl w:val="true"/>
          <w:lang w:bidi="fa-IR"/>
        </w:rPr>
        <w:t>أوصاه الإمام علیه السلام بالمزاح</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ولعلّ مخاطب الإمام کان کثیر الأکل فأوصاه الإمام بالجوع، أو لعلّ المخاطب کان یائساً فأخذ الإمام یتحدّث عن الإرجاء إلی رحمة اللّه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الحالة الأخیرة أشار إلیها المجلسی رحمه الله ، فقد نقل الشَّیخ الصَّدوق حدیثاً بهذا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الصادق علیه السلام رجلاً بابن له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خیر لابنک منک وثواب اللّه خیر لک منه ، فبلغه جزعه بعد ذلک ، فعاده إلیه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رسول اللّه صلی الله علیه و آله أفما لک به أسوة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مراهقا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أمامه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ورحمة اللّه وشفاعة رسول اللّه صلی الله علیه و آله فلن تفوته واحدة منهنّ ، إن شاء اللّه عز و جل </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ثُمَّ إنّ المجلسی صوّر عند شرح هذا الحدیث ، جواب الرجل المفجوع ، ثُمَّ ذکر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جزعی لیس من موته ، بل بسبب إنّه کان فاسقا یقینا أو ظنّا ، وأعلم أو أظنّ أنّه معذّب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ـ صلوات اللّه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الیأس من رحمة اللّه ، فإنّ له من أسباب الرجاء ثلاثة ، ومن أسباب الخوف واحدة ، فینبغی أن یکون الرجاء غالبا ، سیّما بعد الموت ، ولا سیّما بالنظر إلی الغیر </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سیاق الکلام بیّن المجلسی رحمه الله أسباب الرجاء وشرحها ، ثُمَّ أشار إلی تعلیق الإمام الأمر إلی مشیئة اللّه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والتعلیق علی المشیئة ، لئلاّ یرتفع الخوف بالکلیّة فإنّه مضرّ أیضا</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تناول صراحة الموضوع المطروح علی بساط البحث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البلاغة تقتضی التکلّم بما یناسب حال المخاطب ، ولمّا کان حاله الخوف تکلّم فی الرجاء وأخبارهم بالعکس أکثر من أن تحصی ، فلا ینبغی للعبد أن یغترّ بأمثال هذه الأخبار ، بل ینبغی أن یکون مداویا لنفسه بالضدّ ، فإذا کان خوفه کثیرا ویخاف انجراره</w:t>
      </w:r>
    </w:p>
    <w:p>
      <w:pPr>
        <w:pStyle w:val="BookText"/>
        <w:rPr/>
      </w:pPr>
      <w:r>
        <w:rPr>
          <w:rFonts w:ascii="IRNazanin" w:hAnsi="IRNazanin" w:eastAsia="IRNazanin"/>
          <w:color w:val="111111"/>
          <w:sz w:val="28"/>
          <w:sz w:val="28"/>
          <w:szCs w:val="28"/>
          <w:rtl w:val="true"/>
          <w:lang w:bidi="fa-IR"/>
        </w:rPr>
        <w:t>الیأس من روح اللّه فلیداوها بأمثال هذه الآیات والأخبار ، وإذا کان العکس فبالعکس ، وإذا کان بینهم فمن هذه وهذه</w:t>
      </w:r>
      <w:r>
        <w:rPr>
          <w:rFonts w:eastAsia="IRNazanin" w:cs="IRNazanin"/>
          <w:color w:val="111111"/>
          <w:sz w:val="28"/>
          <w:szCs w:val="28"/>
          <w:rtl w:val="true"/>
          <w:lang w:bidi="fa-IR"/>
        </w:rPr>
        <w:t xml:space="preserve">» .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وأکّد علماء الأخلاق علی أنّ تعالیم الإسلام الأخلاقیة تتصف بالاعتدال ، إذ یجب صرف الشخص الجسور عن التهور والجرأة غیر المعقولة نحو الشجاعة العقلانیة ، وتقریب الشخص الجبان إلی الشجاعة بأمره بالإقدام والجرأة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النوع من رعایة حال المخاطب تظهر أحیاناً علی نحو آخر وهو أن تؤخذ بنظر الاعتبار ثقافة المخاطب وما لدیه ولدی أشباهه وأضرابه من افتراضات ذهنیة مسبقة ، وهذا یُعدُّ نوعاً من القرینة المقامیة ، وقد استفاد منها الفقهاء فی فهم الأخبار والجمع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هذه المسائل مقدار وحجم الماء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الّتی جاءت فی تعیین مقدار الماء الکر متفاوتة ؛ فتناولها البعض حسب الأَبعاد وحجمها ، والطول والعرض والارتفاع ، بینما قاسها البعض بالمکاییل المتعارفة والمتداولة ، وهذا القیاس بالمکیال یعتمد عددین متفاوتین کلّیاً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ومئتا رطل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وستمئة رطل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استخدم المجلسی رحمه الله هذه القاعدة لفهم الأخبار والجمع بین المتعارض منها ، وهذه القاعدة هی أنّ الأئمّة علیهم السلام کانوا یأخذون بنظر الاعتبار وضع المخاطب والسائل ، وبما أنّ أکثریة أصحاب الإمام الصادق علیه السلام کانوا من العراقیین والکوفیین ، فقد جعل مقدار الماء الکر برطل العراق الّذی هو نصف رطل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أراد أن یبیّن هذا المقدار نفسه برطل الحجاز قسمه إلی نصفین وقال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الّذی استدل به المجلسی علی هذا الأمر هو أنّ رواة الحدیث الّذی یذکر رقم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العدد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عند مخاطبة محمّد بن مسلم الطائفی وهو من طائف الحجاز ، ثُمَّ 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أیضا یؤیّد أنّهم علیهم السلام یعتبرون بلد السائل</w:t>
      </w:r>
    </w:p>
    <w:p>
      <w:pPr>
        <w:pStyle w:val="BookText"/>
        <w:rPr/>
      </w:pPr>
      <w:r>
        <w:rPr>
          <w:rFonts w:ascii="IRNazanin" w:hAnsi="IRNazanin" w:eastAsia="IRNazanin"/>
          <w:color w:val="111111"/>
          <w:sz w:val="28"/>
          <w:sz w:val="28"/>
          <w:szCs w:val="28"/>
          <w:rtl w:val="true"/>
          <w:lang w:bidi="fa-IR"/>
        </w:rPr>
        <w:t>لا بلدهم کما فی أرطال الفطر</w:t>
      </w:r>
      <w:r>
        <w:rPr>
          <w:rFonts w:eastAsia="IRNazanin" w:cs="IRNazanin"/>
          <w:color w:val="111111"/>
          <w:sz w:val="28"/>
          <w:szCs w:val="28"/>
          <w:rtl w:val="true"/>
          <w:lang w:bidi="fa-IR"/>
        </w:rPr>
        <w:t xml:space="preserve">» .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والمثیر للاهتمام هو أنّ هذه القاعدة المقبولة لیس سهلة التطبیق المصادیق ، وکشف الخصائص الدخیلة فی الحکم وعزل الخصائص عن المخاطب ، ممّا لها تأثیر فی الحکم عن الخصائص الّتی لا تأثیر لها فیه یتطلّب کثیراً من التأمّل والدقّة ، وقد خالف المجلسی رحمه اللهنفسه الشَّیخ الصَّدوق فی موضع ، ولم یقبل رأیه فی تطبیق هذه القاعدة علی مسألة مشهورة ، وهذه المسألة المشهورة هی اللحیة البیضاء والموقف إزاءها ، فللشعر الأبیض فی الإسلام احترامه ووقاره واعتبر زینة للمؤمن ، وقد جاءت توصیات باحترام ورعایة ذوی الشعر الأبیض من القوم ، ولکن هناک عدّة روایات أمرت بخضاب الشیب ، ولدینا أیضاً روایات معارضة علی الظاهر فی جواز نتف الشیب وقصّه وتقصیره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وبعدما نقل الشَّیخ الصَّدوق حدیثاً عن الرسول صلی الله علیه و آله فی النهی عن نتف الشیب </w:t>
      </w:r>
      <w:r>
        <w:rPr>
          <w:rStyle w:val="FootnoteAnchor"/>
          <w:rtl w:val="true"/>
        </w:rPr>
        <w:footnoteReference w:id="653"/>
      </w:r>
      <w:r>
        <w:rPr>
          <w:rFonts w:ascii="IRNazanin" w:hAnsi="IRNazanin" w:eastAsia="IRNazanin"/>
          <w:color w:val="111111"/>
          <w:sz w:val="28"/>
          <w:sz w:val="28"/>
          <w:szCs w:val="28"/>
          <w:rtl w:val="true"/>
          <w:lang w:bidi="fa-IR"/>
        </w:rPr>
        <w:t xml:space="preserve">، أورد أیضاً روایة عن الإمام علی علیه السلام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یری بجزّ الشیب بأسا ویکره نتفه </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ولذلک فهم بأنّ النهی عن نتف الشیب نهی کراهیة لا نهی تحریم ، ونقل فی هذا السیاق روایة عن الإمام الصادق علیه السلام فی تأیید هذا الرأی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بجزّ الشمط ونتفه ، وجزّه أحبّ إلیّ من نتفه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وقال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فأخبارهم لا تختلف فی حالة واحدة ؛ لأنّ مخرجها من عند اللّه تعالی ذکره ، وإنّما تختلف بحسب اختلاف الأحوال</w:t>
      </w:r>
      <w:r>
        <w:rPr>
          <w:rFonts w:eastAsia="IRNazanin" w:cs="IRNazanin"/>
          <w:color w:val="111111"/>
          <w:sz w:val="28"/>
          <w:szCs w:val="28"/>
          <w:rtl w:val="true"/>
          <w:lang w:bidi="fa-IR"/>
        </w:rPr>
        <w:t xml:space="preserve">» . </w:t>
      </w:r>
      <w:r>
        <w:rPr>
          <w:rStyle w:val="FootnoteAnchor"/>
          <w:rtl w:val="true"/>
        </w:rPr>
        <w:footnoteReference w:id="65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المرحوم المجلسی رحمه الله قال ضمن تأییده لهذه القاعدة العامّة والإتیان بعدّة أمثلة فی توضیحها ، مسجّلاً اعتراضه علی الشَّیخ الصَّدوق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تطبیق قول</w:t>
      </w:r>
    </w:p>
    <w:p>
      <w:pPr>
        <w:pStyle w:val="BookText"/>
        <w:rPr/>
      </w:pPr>
      <w:r>
        <w:rPr>
          <w:rFonts w:ascii="IRNazanin" w:hAnsi="IRNazanin" w:eastAsia="IRNazanin"/>
          <w:color w:val="111111"/>
          <w:sz w:val="28"/>
          <w:sz w:val="28"/>
          <w:szCs w:val="28"/>
          <w:rtl w:val="true"/>
          <w:lang w:bidi="fa-IR"/>
        </w:rPr>
        <w:t>الصَّدوق فی هذا المقام علی هذه القاعدة یحتاج إلی نوع تکلّف ؛ لأنّه لیست الأحوال بمختلفة ، بل النهی یحتمل الحرمة والکراهة ، فلمّا ورد نهی وورد خبر بالجواز ، علمنا أنّ النهی للتنزیه لکنّهم ـ صلوات اللّه علیهم ـ إن أطلقوا النهی ، فإنّما یطلقون ؛ بالنظر إلی شخص یفهم من کلامهم الکراهة وبالنظر إلی شخص لا یفهم أو لیس قرینة یفهم ، یصرّحون بها وبالنظر إلی شخص لا یناسب حاله مثل الفضلاء من أصحابه من أهل الورع والتقوی یطلقون ؛ لأنّهم یعلمون أنّهم یعملون بالواجب والمندوب أیّهما کان وینتهون عن الحرمة والکراهة ، مهما کان وإذا لم یکونوا فی هذه المرتبة یرخّصون لهم أو بحسب اختلاف أحوالهم فی الضرورة وغیرها ، وإذا أخذت هذه القاعدة یسهل لک توجیه الاختلافات وهذا الوجه وراء ما ذکره الأصحاب فی کتب الاُصول من العام والخاص والمطلق والمقیّد والمحکم والمتشابه وغیرها ، ونحن بعون اللّه نبیّن لک فی کُلّ اختلاف ما تیسّر</w:t>
      </w:r>
      <w:r>
        <w:rPr>
          <w:rFonts w:eastAsia="IRNazanin" w:cs="IRNazanin"/>
          <w:color w:val="111111"/>
          <w:sz w:val="28"/>
          <w:szCs w:val="28"/>
          <w:rtl w:val="true"/>
          <w:lang w:bidi="fa-IR"/>
        </w:rPr>
        <w:t xml:space="preserve">» . </w:t>
      </w:r>
      <w:r>
        <w:rPr>
          <w:rStyle w:val="FootnoteAnchor"/>
          <w:rtl w:val="true"/>
        </w:rPr>
        <w:footnoteReference w:id="65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المجلسی رحمه الله لا یقر أنّ نتف الشیب یجوز لبعض الناس ولا یجوز للبعض الآخر ، ولا یراه کالخضاب ، مُستحبّاً فی حالة الزینة وفی حالة قلّة عدد المسلمین ، وهو لا یستحب ولا ینبغی الأخذ به فی حالة الحزن والمصیبة علی شهادة شخصیات ورجال الإسلام ، کما حصل فی معرکة صفّین ، </w:t>
      </w:r>
      <w:r>
        <w:rPr>
          <w:rStyle w:val="FootnoteAnchor"/>
          <w:rtl w:val="true"/>
        </w:rPr>
        <w:footnoteReference w:id="658"/>
      </w:r>
      <w:r>
        <w:rPr>
          <w:rFonts w:ascii="IRNazanin" w:hAnsi="IRNazanin" w:eastAsia="IRNazanin"/>
          <w:color w:val="111111"/>
          <w:sz w:val="28"/>
          <w:sz w:val="28"/>
          <w:szCs w:val="28"/>
          <w:rtl w:val="true"/>
          <w:lang w:bidi="fa-IR"/>
        </w:rPr>
        <w:t xml:space="preserve">بل هو یتناول دراسة حال الراوی والمخاطب من زاویة اُخری ، وهی طریقة إلقاء وبیان الأئمّة علیهم السلام فی أحکام العزائم والرخص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لا یری نفسه ملزماً بالتحدّث صراحة مع من یستطیع فهم کراهة أو جواز أمر ما من خلال الرجوع إلی القرینة ، ولا بعدم استخدام الأمر فی</w:t>
      </w:r>
      <w:bookmarkStart w:id="591" w:name="pg2516_26718"/>
    </w:p>
    <w:p>
      <w:pPr>
        <w:pStyle w:val="BookText"/>
        <w:rPr/>
      </w:pPr>
      <w:bookmarkEnd w:id="591"/>
      <w:r>
        <w:rPr>
          <w:rFonts w:ascii="IRNazanin" w:hAnsi="IRNazanin" w:eastAsia="IRNazanin"/>
          <w:color w:val="111111"/>
          <w:sz w:val="28"/>
          <w:sz w:val="28"/>
          <w:szCs w:val="28"/>
          <w:rtl w:val="true"/>
          <w:lang w:bidi="fa-IR"/>
        </w:rPr>
        <w:t xml:space="preserve">الاستحباب والنهی فی الکراهة ، فالمجاز کان شائعاً وما کان الإمام یری فائدة فی التصریح باستحباب أمر معیّن ؛ وذلک لأنّه یعلم بأن المخاطب ینظر إلی الواجب والمستحب برؤیة أنّ هذین العملین محبوبان ومرغوبان عند اللّه ، ویؤدیهما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الاُمور الدقیقة هی الّتی تُبرز المحدّث وترفعه من مرحلة قراءة الحدیث ونقل الحدیث إلی منزلة الدرایة والفقاهة فی الحدیث ، وتخلق لدیه القدرة علی الفهم العمیق للأخبار والجمع بین موارد التعارض والاختلاف سواءً کانت هذه الموارد صغری أو کبری ، وخفیّة کانت أم علنیة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والمثال الآخر علی ذلک هو حدیث دخول الابن الحمّام مع أبیه ، حیث یعتبره المجلسی رحمه الله متعلّقاً بالزمن الماضی ، حیث لم یکن لدی عوام الناس مئزراً أو ساتراً ، أو أنّهم کانوا یخلعونه عند دخول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استفاد المجلسی هنا من التعلیل الّذی جاء فی المتن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الأخبار بالنهی عن إدخال الولد معه فی الحمّام ؛ لئلاّ یقطع نظر الرجل إلی عورة أبیه وبالعکس</w:t>
      </w:r>
      <w:r>
        <w:rPr>
          <w:rFonts w:eastAsia="IRNazanin" w:cs="IRNazanin"/>
          <w:color w:val="111111"/>
          <w:sz w:val="28"/>
          <w:szCs w:val="28"/>
          <w:rtl w:val="true"/>
          <w:lang w:bidi="fa-IR"/>
        </w:rPr>
        <w:t xml:space="preserve">» . </w:t>
      </w:r>
      <w:r>
        <w:rPr>
          <w:rStyle w:val="FootnoteAnchor"/>
          <w:rtl w:val="true"/>
        </w:rPr>
        <w:footnoteReference w:id="659"/>
      </w:r>
    </w:p>
    <w:p>
      <w:pPr>
        <w:pStyle w:val="Heading5"/>
        <w:numPr>
          <w:ilvl w:val="4"/>
          <w:numId w:val="1"/>
        </w:numPr>
        <w:rPr/>
      </w:pPr>
      <w:bookmarkStart w:id="592" w:name="__RefHeading___Toc4159804_3804643083"/>
      <w:bookmarkStart w:id="593" w:name="_Toc233"/>
      <w:bookmarkEnd w:id="592"/>
      <w:r>
        <w:rPr/>
        <w:t>3</w:t>
      </w:r>
      <w:r>
        <w:rPr>
          <w:rtl w:val="true"/>
        </w:rPr>
        <w:t xml:space="preserve"> . </w:t>
      </w:r>
      <w:r>
        <w:rPr>
          <w:rtl w:val="true"/>
        </w:rPr>
        <w:t xml:space="preserve">القرائن اللفظیة المنفصلة </w:t>
      </w:r>
      <w:r>
        <w:rPr>
          <w:rtl w:val="true"/>
        </w:rPr>
        <w:t xml:space="preserve">( </w:t>
      </w:r>
      <w:r>
        <w:rPr>
          <w:rtl w:val="true"/>
        </w:rPr>
        <w:t xml:space="preserve">فصیلة الحدیث </w:t>
      </w:r>
      <w:r>
        <w:rPr>
          <w:rtl w:val="true"/>
        </w:rPr>
        <w:t>)</w:t>
      </w:r>
      <w:bookmarkEnd w:id="5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أکثر ولعلّ أهم القرائن المفیدة فی عملیة البحث لفهم مقصود الحدیث هی القرائن اللفظیة المنفصلة ، فنحن عندما نسمع کلاماً تستحضر عادة مسموعاتنا السابقة خاصّة الکلمات الاُخری المشابهة الّتی قالها المتکلّم ، إذ إنّ ذلک یضفی علی کلامه مزیداً من الوضوح ، أو یعیّن دائرته وحدوده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مجال الحدیث نظراً إلی أنّ نور الأئمّة علیهم السلام واحد ، ومنشأ علمهم ومنهل حکمتهم واحد ، فإنّ دائرة البحث عن هذه القرائن تمتد إلی ماهو أبعد من کلام المتحدّث ، ویمکن بل ویتعیّن النظر فی أحادیث ومجموعة کلام الأئمّة الآخرین والسعی لاقتناص القرائن منها ، فقد قالوا هم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إن تحدّثنا ، حدّثنا بموافقة القرآن وموافقة السنّة ، إنّا عن اللّه ورسوله نحدّث ولا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وفلان ، فیتناقض کلامنا ، إنّ کلام آخرنا مثل کلام أوّلنا وکلام أوّلنا مصادق لکلام آخرنا </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وعلی هذا الأساس فإنَّ فهم مضمون الحدیث وإصدار الحکم النهائی وإیجاد الحجّة الشرعیة ، یتطلب جمع کُلّ الأحادیث المشابهة وذات المضمون الواحد الّتی تتعلّق بالسؤال والموضوع المطروح علی بساط البحث ، ثُمَّ یوجه النظر إلی الأحادیث المختلفة والمتعارضة والناسخة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أطلقنا علی المجموعة الاُولی ، أی الأحادیث ذات المضمون الواحد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وتحدّثنا فی موضع آخر عن ضرورة تشکیل مثل هذه الفصیلة والفوائد المتعددة الّتی تحصل من هذا العمل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وأکّدنا هناک أنّ محدّثی الشیعة أکّدوا علی هذا المنهج ، وهو جمع روایات الموضوع الواحد جهد الإمکان لأجل شرحها وتبیینها واستخلاص النتیجة منها ، وساروا علیه منذ بدایة ظهور المجموعات الحدیثیة القدیمة کمحاسن البرقی ، والکافی للکلینی ، وتهذیب الأحکام للشَّیخ الطوسی ، وکتاب من لا یحضره الفقیه للشَّیخ الصَّدوق ، إلی المجموعات المتأخّرة مثل بحار الأنوار ، ووسائل الشیعة وحتّی الکتب الحدیثیة ذات الموضوع الواحد ، حیث کانت تُطبّق فیها علی الدوام النظرة الموضوعیة إلی الحدیث ، وجمع الأحادیث المتشابهة المضمون فی موضع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والشروح الّتی قام بها الفیض الکاشانی علی الکتب الأربعة ، وعمله الضخم فی توحیدها کان جوهره الجمع الموضوعی لهذه الکتب ، وقد جاءت الشروح اللغویة ، والتأویلات وطریقة جمع الأخبار المتعارضة والمتناقضة إلی جانب ، وفی ظل هذا الجمع الموضوعی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لا نبالغ لو قلنا بأنّ النهج الّذی سار علیه شارحنا الکبیر الّذی نتحدّث عنه ، وهو المجلسی الأوّل رحمه الله یترکز علی اقتناص الأحادیث ذات الموضوع الواحد وذات</w:t>
      </w:r>
    </w:p>
    <w:p>
      <w:pPr>
        <w:pStyle w:val="BookText"/>
        <w:rPr/>
      </w:pPr>
      <w:r>
        <w:rPr>
          <w:rFonts w:ascii="IRNazanin" w:hAnsi="IRNazanin" w:eastAsia="IRNazanin"/>
          <w:color w:val="111111"/>
          <w:sz w:val="28"/>
          <w:sz w:val="28"/>
          <w:szCs w:val="28"/>
          <w:rtl w:val="true"/>
          <w:lang w:bidi="fa-IR"/>
        </w:rPr>
        <w:t xml:space="preserve">العلاقة بمتن کتاب من لا یحضره الفقیه وإدراجها عند نهایة کُلّ متن یتطلّب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أنّنا تصفّحنا أی مجلّد من مجلّدات کتاب روضة المتّقین لوجدنا بکلّ سهولة أنّ کُلّ صفحة من صفحاته فیها حدیث من کتاب الکافی ، أو من تهذیب الأحکام ، أو من الکتب الحدیثیة الاُخری ، وقد اعتمد علیها الشارح فی تفسیر مجملات المتن ، وفی رد أو تأیید أحکام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ولإثبات هذا المعنی نورد قریباً صفحتین بتمامهما من شرحه تتعلّقان بمسألة لیست فقهیة تماماً ولکنها موضع ابتلاء ، وهی تتحدّث عن آداب المکاتبة والکتابة </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أورد المجلسی رحمه الله فی هاتین الصفحتین حدیثین لکلّ واحد من الأحکام الثلاثة للکتابة ، یُعنی الحکم الأوّل من هذه الأحکام الثلاثة بتقدیم اسم المرسل إلیه علی اسمه ، والحکم الثانی یتعلّق بتجفیف الکتاب ، والحکم الثالث حول طریقة محو لفظ الجلالة الموجود فی الکتب والقراطیس </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وفی الموثّق کالصحیح ، عن سماعة ، قال سألت أبا عبداللّه علیه السلام عن الرجل یبدأ بالرجل فی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ذلک من الفضل یبدأ الرجل بأخیه یکرمه </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وفی الموثق کالصحیح ، عن حدید بن الحکیم ،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یبدأ الرجل باسم صاحبه فی الصحیفة قبل اسمه </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الحسن کالصحیح ، عن مرازم بن الحکیم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أبو عبداللّه علیه السلام بکتاب فی</w:t>
      </w:r>
    </w:p>
    <w:p>
      <w:pPr>
        <w:pStyle w:val="BookText"/>
        <w:rPr/>
      </w:pPr>
      <w:r>
        <w:rPr>
          <w:rFonts w:ascii="IRNazanin" w:hAnsi="IRNazanin" w:eastAsia="IRNazanin"/>
          <w:color w:val="111111"/>
          <w:sz w:val="28"/>
          <w:sz w:val="28"/>
          <w:szCs w:val="28"/>
          <w:rtl w:val="true"/>
          <w:lang w:bidi="fa-IR"/>
        </w:rPr>
        <w:t xml:space="preserve">حاجة فکتب ، ثُمَّ عرض علیه ولم یکن فیه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رجوتم أن یتمّ هذا ولیس فیه استثناء ؟ انظروا موضعاً لا یکون فیه استثناء ، فاستثنوا فیه </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وفی الصحیح ، عن البزنطی عن أبی الحسن الرضا علیه السلام أنّه کان یترّب الکتاب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وفی الحسن کالصحیح ، عن علی بن عطیة أنّه رأی کُتباً لأبی الحسن علیه السلام مترّبة </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وفی 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اتربوا الکتاب ، فإنّه أنجح للحاجة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أتربت الشیء ، إذا جعلت علیه التراب ، والظاهر جعل التراب علی المکتوب الرطب لیجف سریعاً ، کما هو المتعارف أو الأعم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عبد الملک بن عتبة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القراطیس تجتمع هل تحرق بالنار وفیها شیء من ذکر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بالماء أوّلاً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لا یبقی الاسم 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تحرقه إن شئت </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ولو لم یفعل الجمیع کان أنسب بالتعظیم ـ روی فی الحسن کالصحیح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الاسم من أسماء اللّه یمحوه الرجل بالثقل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امحوه بأطهر ما تجدون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الحسن کالصحیح ، عن محمّد بن إسحاق بن عمّار ، عن أبی الحسن موسی علیه السلام فی الظهور الّتی فیها ذکر اللّه عز و 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السکونی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امحو کتاب اللّه وذکره بأطهر ما تجدون ، ونهی أن یحرق کتاب اللّه ، ونهی أن یمحی بالأقلام ، أی بأن یضرب علیه ، والأولی إذا کان زائداً</w:t>
      </w:r>
      <w:bookmarkStart w:id="594" w:name="pg2516_26727"/>
    </w:p>
    <w:p>
      <w:pPr>
        <w:pStyle w:val="BookText"/>
        <w:rPr/>
      </w:pPr>
      <w:bookmarkEnd w:id="594"/>
      <w:r>
        <w:rPr>
          <w:rFonts w:ascii="IRNazanin" w:hAnsi="IRNazanin" w:eastAsia="IRNazanin"/>
          <w:color w:val="111111"/>
          <w:sz w:val="28"/>
          <w:sz w:val="28"/>
          <w:szCs w:val="28"/>
          <w:rtl w:val="true"/>
          <w:lang w:bidi="fa-IR"/>
        </w:rPr>
        <w:t xml:space="preserve">أن یجعل علیه حلقة من الخطّ ، لیدلّ علی الزیادة </w:t>
      </w:r>
      <w:r>
        <w:rPr>
          <w:rFonts w:eastAsia="IRNazanin" w:cs="IRNazanin"/>
          <w:color w:val="111111"/>
          <w:sz w:val="28"/>
          <w:szCs w:val="28"/>
          <w:rtl w:val="true"/>
          <w:lang w:bidi="fa-IR"/>
        </w:rPr>
        <w:t>.</w:t>
      </w:r>
    </w:p>
    <w:p>
      <w:pPr>
        <w:pStyle w:val="Heading5"/>
        <w:numPr>
          <w:ilvl w:val="4"/>
          <w:numId w:val="1"/>
        </w:numPr>
        <w:rPr/>
      </w:pPr>
      <w:bookmarkStart w:id="595" w:name="__RefHeading___Toc4159806_3804643083"/>
      <w:bookmarkStart w:id="596" w:name="_Toc234"/>
      <w:bookmarkEnd w:id="595"/>
      <w:r>
        <w:rPr>
          <w:rtl w:val="true"/>
        </w:rPr>
        <w:t>استنتاج المجلسی من القرائن اللفظیة</w:t>
      </w:r>
      <w:bookmarkEnd w:id="596"/>
    </w:p>
    <w:p>
      <w:pPr>
        <w:pStyle w:val="Heading6"/>
        <w:numPr>
          <w:ilvl w:val="5"/>
          <w:numId w:val="1"/>
        </w:numPr>
        <w:rPr/>
      </w:pPr>
      <w:bookmarkStart w:id="597" w:name="__RefHeading___Toc4159808_3804643083"/>
      <w:bookmarkStart w:id="598" w:name="_Toc235"/>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 xml:space="preserve">لم یتوقّف عمل العلاّمة المجلسی رحمه الله فی جمع الروایات المتشابهة عند حدَّ العثور علی تلک الروایات ، فهو کان یقوم ـ بعد حصوله علی الروایات ـ بعدّة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أحیاناً یستنیر بها لإزالة إجمال اللغة الصیاغة أو العامّة للأخبار ، وأحیاناً یقیّد حکمها العام والمطلق ، أو یحل الأخبار المتعارضة استدلالیاً ولیس سندیّاً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ونشرح فیما یلی جهوده فی کلّ واحد من هذه الطُرق الثلاثة </w:t>
      </w:r>
      <w:r>
        <w:rPr>
          <w:rFonts w:eastAsia="IRNazanin" w:cs="IRNazanin"/>
          <w:color w:val="111111"/>
          <w:sz w:val="28"/>
          <w:szCs w:val="28"/>
          <w:rtl w:val="true"/>
          <w:lang w:bidi="fa-IR"/>
        </w:rPr>
        <w:t>.</w:t>
      </w:r>
    </w:p>
    <w:p>
      <w:pPr>
        <w:pStyle w:val="Heading6"/>
        <w:numPr>
          <w:ilvl w:val="5"/>
          <w:numId w:val="1"/>
        </w:numPr>
        <w:rPr/>
      </w:pPr>
      <w:bookmarkStart w:id="599" w:name="__RefHeading___Toc4159810_3804643083"/>
      <w:bookmarkStart w:id="600" w:name="_Toc236"/>
      <w:bookmarkEnd w:id="599"/>
      <w:r>
        <w:rPr>
          <w:rtl w:val="true"/>
        </w:rPr>
        <w:t>أ ـ تبیین المجمل</w:t>
      </w:r>
      <w:bookmarkEnd w:id="600"/>
    </w:p>
    <w:p>
      <w:pPr>
        <w:pStyle w:val="BookText"/>
        <w:rPr/>
      </w:pPr>
      <w:r>
        <w:rPr>
          <w:rFonts w:ascii="IRNazanin" w:hAnsi="IRNazanin" w:eastAsia="IRNazanin"/>
          <w:color w:val="111111"/>
          <w:sz w:val="28"/>
          <w:sz w:val="28"/>
          <w:szCs w:val="28"/>
          <w:rtl w:val="true"/>
          <w:lang w:bidi="fa-IR"/>
        </w:rPr>
        <w:t xml:space="preserve">المجمل أمر نسبی ، والمتن الّذی یکون بالنسبة لنا مجملاً أحیاناً ، لا یکون مجملاً بالنسبة إلی شخص آخر ، وفی أحیان اُخری لا یکون مجملاً فی عهد من الزمن ، ولکن هذا الأمر الواضح یغدو مجملاً فی زمن آخر ، وفی حالة الإجمال نرجع إلی القائل ، وإذا لم یکن القائل موجوداً نستعین بکلامه المشابه وبقرائن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یشیر المجلسی رحمه الله إلی هذا الطریق إشارة مباشرة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العبارات مجملة محتملة لاُمور والأخبار الآتیة مفسّرة لها</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واستعان هو نفسه بهذه الطریقة لحل أخبار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صلواتی 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إلی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أجعل لک ثلث صلواتی ، لا بل أجعل لک نصف صلواتی ، لا ، بل أجعلها کلّها لک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تُکفی مؤونة الدنیا والآخرة </w:t>
      </w:r>
      <w:r>
        <w:rPr>
          <w:rStyle w:val="FootnoteAnchor"/>
          <w:rtl w:val="true"/>
        </w:rPr>
        <w:footnoteReference w:id="67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حسن الحظ أنّ هناک أحادیث اُخری نُقلت فی هذا المجال ، وقد أوردها الکلینی کلّها تقریباً فی باب أفرده لها فی کتاب الدعاء وهی توضّح مفهوم الروایة بکلّ 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المجلسی رحمه الله روایات الکافی</w:t>
      </w:r>
      <w:bookmarkStart w:id="601" w:name="pg2516_26729"/>
    </w:p>
    <w:p>
      <w:pPr>
        <w:pStyle w:val="BookText"/>
        <w:rPr/>
      </w:pPr>
      <w:bookmarkEnd w:id="601"/>
      <w:r>
        <w:rPr>
          <w:rFonts w:ascii="IRNazanin" w:hAnsi="IRNazanin" w:eastAsia="IRNazanin"/>
          <w:color w:val="111111"/>
          <w:sz w:val="28"/>
          <w:sz w:val="28"/>
          <w:szCs w:val="28"/>
          <w:rtl w:val="true"/>
          <w:lang w:bidi="fa-IR"/>
        </w:rPr>
        <w:t xml:space="preserve">من خلال اهتمامه بهذا الأمر </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نورد هنا روایة واحدة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أجعل صلواتی کلّها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 بین یدی کُلّ حاجة ، فلا یسأل اللّه عز و جل شیئا حتّی یبدأ بالنّبی صلی الله علیه و آله ، فیصلّی علیه ، ثُمَّ یسأل اللّه حوائجه </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یفهم من هذا المتن الأخیر ومن عدّة أحادیث اُخری إلی جانب هذا الحدیث ، بأنّ المراد من الصلاة هنا معناها اللغوی ، وإلاّ فلا معنی لجعل الصلاة بمعناها الفقهی لشخص آخر علی قید الحیاة ، وهذا التفسیر ینسجم ویتماشی مع روایات عدیدة تأمر بالصلاة علی النَّبی صلی الله علیه و آله قبل طلب الحاجات وبعدها </w:t>
      </w:r>
      <w:r>
        <w:rPr>
          <w:rFonts w:eastAsia="IRNazanin" w:cs="IRNazanin"/>
          <w:color w:val="111111"/>
          <w:sz w:val="28"/>
          <w:szCs w:val="28"/>
          <w:rtl w:val="true"/>
          <w:lang w:bidi="fa-IR"/>
        </w:rPr>
        <w:t xml:space="preserve">. </w:t>
      </w:r>
      <w:r>
        <w:rPr>
          <w:rStyle w:val="FootnoteAnchor"/>
          <w:rtl w:val="true"/>
        </w:rPr>
        <w:footnoteReference w:id="674"/>
      </w:r>
    </w:p>
    <w:p>
      <w:pPr>
        <w:pStyle w:val="Heading6"/>
        <w:numPr>
          <w:ilvl w:val="5"/>
          <w:numId w:val="1"/>
        </w:numPr>
        <w:rPr/>
      </w:pPr>
      <w:bookmarkStart w:id="602" w:name="__RefHeading___Toc4159812_3804643083"/>
      <w:bookmarkStart w:id="603" w:name="_Toc237"/>
      <w:bookmarkEnd w:id="602"/>
      <w:r>
        <w:rPr>
          <w:rtl w:val="true"/>
        </w:rPr>
        <w:t>ب ـ تقیید المطلق</w:t>
      </w:r>
      <w:bookmarkEnd w:id="603"/>
    </w:p>
    <w:p>
      <w:pPr>
        <w:pStyle w:val="BookText"/>
        <w:rPr/>
      </w:pPr>
      <w:r>
        <w:rPr>
          <w:rFonts w:ascii="IRNazanin" w:hAnsi="IRNazanin" w:eastAsia="IRNazanin"/>
          <w:color w:val="111111"/>
          <w:sz w:val="28"/>
          <w:sz w:val="28"/>
          <w:szCs w:val="28"/>
          <w:rtl w:val="true"/>
          <w:lang w:bidi="fa-IR"/>
        </w:rPr>
        <w:t xml:space="preserve">کان المجلسی رحمه الله یعلم جیداً ـ بعدما جمع الروایات المتشابهة وذات الموضوع الواحد ـ کیف یوجد تناسباً بینها وبین ما فی یده من الروایات الأولیة ، فهو یعلم بأنّه لا یمکن العمل بالروایات المطلقة مع وجود روایات مُقَیِّدة ، وحتّی احتمال وجود الروایة المقیّدة یمنعه من الاحتجاج باطلاق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دأب کُلّ الفقهاء المحدّثین ، وکلّ المحدّثین الفقهاء ، وهو مستقیً من اُسلوب الجمع العرفی المتداول فی المحاورات الیومیة بین الناس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المؤسف أنّ هذا الاُسلوب العرفی الشائع الّذی کان مقبولاً عند الأئمّة علیهم السلام أیضاً یُنسی أحیاناً ونتشبّث بروایة مطلقة ، ونطبّق الکثیر من مصادیقها غیر الحقیقیة وغیر الصحیحة دون الالتفات إلی قیودها ؛ فنخلق بذلک مشاکل لأنفسنا وللمجتمع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الأمثلة علی ذلک مفهوم الکف ء عند اختیار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فالبعض انتهج منهج الإفراط وأخذ</w:t>
      </w:r>
    </w:p>
    <w:p>
      <w:pPr>
        <w:pStyle w:val="BookText"/>
        <w:rPr/>
      </w:pPr>
      <w:r>
        <w:rPr>
          <w:rFonts w:ascii="IRNazanin" w:hAnsi="IRNazanin" w:eastAsia="IRNazanin"/>
          <w:color w:val="111111"/>
          <w:sz w:val="28"/>
          <w:sz w:val="28"/>
          <w:szCs w:val="28"/>
          <w:rtl w:val="true"/>
          <w:lang w:bidi="fa-IR"/>
        </w:rPr>
        <w:t xml:space="preserve">مفهوم الکف ء بمعنی التساوی فی جمیع الجوانب ولا یسمحون بالزواج بین الأغنیاء والفقراء ، ویعتقدون بالطبقیّة الاجتماعیة ورعایة حُرَمٍ وحدود وقیود فارغة ، بینما اتجه آخرون إلی التفریط مستندین بذلک إلی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کُف ء المؤمنة ، والمسلم کف ء المسلمة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المعروف أنّ هذه الروایة صدرت عن الرسول فی قضیة خطبة الذلفاء بنت زیاد بن لبید لجویبر السودانی الّذی کان من أهل الصفة ، وقد نقل الکلینی کامل القصّة فی الکافی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 المجلسی رحمه اللهإلی الروایات المقیّدة واختار طریق حل وسط ومقبول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 روایته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بعضهم أکفاء بعض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أقل صراحة من المتن السابق ، وقد صدرت عن الرسول صلی الله علیه و آله ـ کما نقل الکلینی ـ عند تزویج ضباعة بنت الزبیر بالمقداد بن الأسود ، حیث کانا مثل الحالة السابقة لا یستویان من حیث الشرف العائلی والطبقة والرتبة </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وعند شرح المجلسی رحمه الله لخبر الصَّدوق ، استند إلی حدیث أورده بعده مباشرة ، وإلی ما نقله الکلینی ، وإلی روایات تشترط قدرة الرجل علی تأمین معیشة الأسرة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الأخبار کالمقیّد للأخبار السابقة ، ویدلّ علی أنّه إذا کان فاسقا أو معسرا لا یقدر علی النفقة لا یحب إجابته وإن استحبّ کما تقدّم </w:t>
      </w:r>
      <w:r>
        <w:rPr>
          <w:rFonts w:eastAsia="IRNazanin" w:cs="IRNazanin"/>
          <w:color w:val="111111"/>
          <w:sz w:val="28"/>
          <w:szCs w:val="28"/>
          <w:rtl w:val="true"/>
          <w:lang w:bidi="fa-IR"/>
        </w:rPr>
        <w:t xml:space="preserve">» . </w:t>
      </w:r>
      <w:r>
        <w:rPr>
          <w:rStyle w:val="FootnoteAnchor"/>
          <w:rtl w:val="true"/>
        </w:rPr>
        <w:footnoteReference w:id="67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الأساسی بین مجموعة الأخبار المقیّدة وإن کان مرسلاً إلاّ أنّه صریح ویشرح مفهوم الکف 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 ء أن یکون عفیفا وعنده یسار</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یرفض المجلسی أن یکون الزوجان من طبقة اجتماعیة واحدة ، والاعتقاد بالفواصل</w:t>
      </w:r>
      <w:bookmarkStart w:id="604" w:name="pg2516_26733"/>
    </w:p>
    <w:p>
      <w:pPr>
        <w:pStyle w:val="BookText"/>
        <w:rPr/>
      </w:pPr>
      <w:bookmarkEnd w:id="604"/>
      <w:r>
        <w:rPr>
          <w:rFonts w:ascii="Amiri" w:hAnsi="Amiri" w:eastAsia="Amiri" w:cs="Amiri"/>
          <w:color w:val="111111"/>
          <w:sz w:val="28"/>
          <w:sz w:val="28"/>
          <w:szCs w:val="28"/>
          <w:rtl w:val="true"/>
          <w:lang w:bidi="ar-SA"/>
        </w:rPr>
        <w:t xml:space="preserve">الاجتماعیة ، وحتّی إنّه یرفض شرط المساواة الاقتصادیة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ویشترط أن یکون قادراً من الناحیة الاقتصادیة علی الاعتماد علی نفسه وتأمین نفقة الزوجة والاُسرة بکدّه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 ولی الفتاة رفض طلب من لا تتوفر لدیه هذه القدرة ، مهما کان متدیّناً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هذه الحالة قد ترک مستحبّاً وعقد أمله علی الوعد الإلهی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یَکُونُواْ فُقَرَآءَ یُغْنِهِمُ اللَّهُ مِن فَضْلِه</w:t>
      </w:r>
      <w:r>
        <w:rPr>
          <w:rFonts w:eastAsia="Amiri" w:cs="Amiri" w:ascii="Amiri" w:hAnsi="Amiri"/>
          <w:color w:val="111111"/>
          <w:sz w:val="28"/>
          <w:szCs w:val="28"/>
          <w:rtl w:val="true"/>
          <w:lang w:bidi="ar-SA"/>
        </w:rPr>
        <w:t xml:space="preserve">» . </w:t>
      </w:r>
      <w:r>
        <w:rPr>
          <w:rStyle w:val="FootnoteAnchor"/>
          <w:rtl w:val="true"/>
        </w:rPr>
        <w:footnoteReference w:id="680"/>
      </w:r>
    </w:p>
    <w:p>
      <w:pPr>
        <w:pStyle w:val="Heading6"/>
        <w:numPr>
          <w:ilvl w:val="5"/>
          <w:numId w:val="1"/>
        </w:numPr>
        <w:rPr/>
      </w:pPr>
      <w:bookmarkStart w:id="605" w:name="__RefHeading___Toc4159814_3804643083"/>
      <w:bookmarkStart w:id="606" w:name="_Toc238"/>
      <w:bookmarkEnd w:id="605"/>
      <w:r>
        <w:rPr>
          <w:rtl w:val="true"/>
        </w:rPr>
        <w:t>ج ـ حل و جمع الأخبار المتعارضة</w:t>
      </w:r>
      <w:bookmarkEnd w:id="606"/>
    </w:p>
    <w:p>
      <w:pPr>
        <w:pStyle w:val="BookText"/>
        <w:rPr/>
      </w:pPr>
      <w:r>
        <w:rPr>
          <w:rFonts w:ascii="IRNazanin" w:hAnsi="IRNazanin" w:eastAsia="IRNazanin"/>
          <w:color w:val="111111"/>
          <w:sz w:val="28"/>
          <w:sz w:val="28"/>
          <w:szCs w:val="28"/>
          <w:rtl w:val="true"/>
          <w:lang w:bidi="fa-IR"/>
        </w:rPr>
        <w:t xml:space="preserve">عملیة جمع الأحادیث المتعلّقة بموضوع واحد تواجه أحیاناً مشکلة اختلاف الأحادیث ورغم أنّ الروایات والأحادیث المتخالفة لا یمکن اعتبارها ضمن أخبار الفصیلة الواحدة ، غیر أنّها تماثلها من حیث التأثیر فی تعیین الحکم الشرعی النهائی ، واستنادها إلی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ومثلما أنّنا لا یمکننا تخصیص وتقیید الأخبار مالم نبحث ونحصل علی أخبار مخصصة ومقیّدة لها ، کذلک الحال عند نقل الأخبار المتعارضة ، إذ یجب البحث عنها ، وعند عدم العثور علیها یجب الحکم بحاصل الجمع والنتیجة النهائیة لأخبار کلا المجموعتین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یؤدّی الحصول علی الأخبار المعارضة إلی التأثیر فی فهمنا لأخبار المجموعة الاُولی ، وقد شرحنا أمثلة من هذا التأثیر سواءً کان فی الفهم الظاهری والابتدائی لمتن الحدیث أو فی فهم المقصود والمراد الحقیقی لقائل الحدیث فی کتابنا روش فهم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وسنتناوله فیما بقی من بحثنا هذا </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نشیر هنا إلی الأساس المقبول عند المجلسی رحمه الله فی الأخبار المتعارضة ، ونورد أمثلة تنم عن مقدرته فی جمع الأدلة بین الأخبار المختلفة ، وهو ما یدلّ علی جدارة محدّث ، ویکشف أیضاً عن قدراته الاُخری کالإلمام بأُصول الفقه ، واللغة والأداب</w:t>
      </w:r>
    </w:p>
    <w:p>
      <w:pPr>
        <w:pStyle w:val="BookText"/>
        <w:rPr/>
      </w:pPr>
      <w:r>
        <w:rPr>
          <w:rFonts w:ascii="IRNazanin" w:hAnsi="IRNazanin" w:eastAsia="IRNazanin"/>
          <w:color w:val="111111"/>
          <w:sz w:val="28"/>
          <w:sz w:val="28"/>
          <w:szCs w:val="28"/>
          <w:rtl w:val="true"/>
          <w:lang w:bidi="fa-IR"/>
        </w:rPr>
        <w:t xml:space="preserve">العربیة وعلم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فقد أظهر مسألة حل الأخبار المختلفة باعتبارها واحدة من أهم مباحث فقه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یهتمّ المجلسی رحمه الله عادة بجمع الأدلة فی أوّل الأمر ، وإذا تعذّر علیه ذلک یتّجه إلی التخییر وهو ما نصّت علیه بعض الروایات ، وسار علیه محدّثون کبار من المتقدّمین کالکلینی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فی مسألة کفارة حنث العهد والنذر إلی ما قام به الشَّیخ الطوسی فی الجمع بین الأخبار ، وقال 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النذر فجمع الشَّیخ بین الأخبار بالضرورة وغیرها وأیّده بخبر جمیل ولا دلالة له کما ذکرناه ، </w:t>
      </w:r>
      <w:r>
        <w:rPr>
          <w:rStyle w:val="FootnoteAnchor"/>
          <w:rtl w:val="true"/>
        </w:rPr>
        <w:footnoteReference w:id="683"/>
      </w:r>
      <w:r>
        <w:rPr>
          <w:rFonts w:ascii="IRNazanin" w:hAnsi="IRNazanin" w:eastAsia="IRNazanin"/>
          <w:color w:val="111111"/>
          <w:sz w:val="28"/>
          <w:sz w:val="28"/>
          <w:szCs w:val="28"/>
          <w:rtl w:val="true"/>
          <w:lang w:bidi="fa-IR"/>
        </w:rPr>
        <w:t>فالتخییر هو الأظهر وإن کان ما ذکر أحوط وسیجیء أخبار اُخر</w:t>
      </w:r>
      <w:r>
        <w:rPr>
          <w:rFonts w:eastAsia="IRNazanin" w:cs="IRNazanin"/>
          <w:color w:val="111111"/>
          <w:sz w:val="28"/>
          <w:szCs w:val="28"/>
          <w:rtl w:val="true"/>
          <w:lang w:bidi="fa-IR"/>
        </w:rPr>
        <w:t xml:space="preserve">» .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یظهر المجلسی رحمه الله أنّه یستطیع الحصول علی الأخبار الّتی نطلق علیها تسمیة شاهد الجمع ، ویستطیع عن طریقها تقدیم جمع مقبول وعرفی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نقل أخباراً متعددة ومخالفة لهذه المسألة ، أی مسألة النذور والیمین ، جاء بحدیث یؤید فیه الرأی النهائی للشَّیخ الصَّدوق ، وهو حدیث عبد الرحمن بن أبی عبداللّه ، وقال بعد ذکره بتمامه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من هذا الخبر أنّ المباح الراجح یقع علیه الیمین والمرجوح لا یقع علیه وبه تجمع بین الأخبار</w:t>
      </w:r>
      <w:r>
        <w:rPr>
          <w:rFonts w:eastAsia="IRNazanin" w:cs="IRNazanin"/>
          <w:color w:val="111111"/>
          <w:sz w:val="28"/>
          <w:szCs w:val="28"/>
          <w:rtl w:val="true"/>
          <w:lang w:bidi="fa-IR"/>
        </w:rPr>
        <w:t xml:space="preserve">» . </w:t>
      </w:r>
      <w:r>
        <w:rPr>
          <w:rStyle w:val="FootnoteAnchor"/>
          <w:rtl w:val="true"/>
        </w:rPr>
        <w:footnoteReference w:id="6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 یعنی أنّ المجلسی لا یحتمل أنّه قادر علی الإبداع ، ولا یحرص علی إیجاد وجوه للجمع بین الأخبار الّتی لا یمکن حل تعارضها بسهولة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مسألة تقسیم القرآن حیث قسّمته بعض الروایات إلی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 ، وربع فی عدوّنا ،</w:t>
      </w:r>
    </w:p>
    <w:p>
      <w:pPr>
        <w:pStyle w:val="BookText"/>
        <w:rPr/>
      </w:pPr>
      <w:r>
        <w:rPr>
          <w:rFonts w:ascii="IRNazanin" w:hAnsi="IRNazanin" w:eastAsia="IRNazanin"/>
          <w:color w:val="111111"/>
          <w:sz w:val="28"/>
          <w:sz w:val="28"/>
          <w:szCs w:val="28"/>
          <w:rtl w:val="true"/>
          <w:lang w:bidi="fa-IR"/>
        </w:rPr>
        <w:t xml:space="preserve">وربع سنن وأمثال ، وربع فرائض وأحکام، </w:t>
      </w:r>
      <w:r>
        <w:rPr>
          <w:rStyle w:val="FootnoteAnchor"/>
          <w:rtl w:val="true"/>
        </w:rPr>
        <w:footnoteReference w:id="686"/>
      </w:r>
      <w:r>
        <w:rPr>
          <w:rFonts w:ascii="IRNazanin" w:hAnsi="IRNazanin" w:eastAsia="IRNazanin"/>
          <w:color w:val="111111"/>
          <w:sz w:val="28"/>
          <w:sz w:val="28"/>
          <w:szCs w:val="28"/>
          <w:rtl w:val="true"/>
          <w:lang w:bidi="fa-IR"/>
        </w:rPr>
        <w:t xml:space="preserve">بینما قسّمته روایات اُخری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فینا وفی عدوّنا ، ثلث سنن وامثال ، وثلث فرائض وأحکام </w:t>
      </w:r>
      <w:r>
        <w:rPr>
          <w:rStyle w:val="FootnoteAnchor"/>
          <w:rtl w:val="true"/>
        </w:rPr>
        <w:footnoteReference w:id="687"/>
      </w:r>
      <w:r>
        <w:rPr>
          <w:rFonts w:ascii="IRNazanin" w:hAnsi="IRNazanin" w:eastAsia="IRNazanin"/>
          <w:color w:val="111111"/>
          <w:sz w:val="28"/>
          <w:sz w:val="28"/>
          <w:szCs w:val="28"/>
          <w:rtl w:val="true"/>
          <w:lang w:bidi="fa-IR"/>
        </w:rPr>
        <w:t xml:space="preserve">، باحتمال ، ثُمَّ استدلّ ببعض الروایات الّتی تدعم وتقوّی وجه الاحتمال الّذی جاء به ، فقد اعتبر المجلسی التقسیم الوارد فی هذه الروایات نوعاً من التسامح الّذی تشیر إلی أصل التقسیم ، ولیس المراد من الربع هو الربع الریاضی ، أو المراد من الثلث ، الثلث الدقیق ، بل یعتقد أنّ الروایات نظرت إلی القرآن من عدّة جوانب وقسّمته من عدّة حیثیات ، وعلی هذا الأساس یمکن تقسیم الروایة الثانیة الّتی جعلت ثلث القرآن فی أهل البیت علیهم السلاموأعدائهم ، إلی قسمین ، فیکون المجموع أربعة أقسام ، وهو ما جاء فی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البلیغة الّتی کتبها المجلسی رحمه الله والروایة المؤیّدة لها کالتالی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فیجمع بینهما بأنّه أربعة أقسام ولا یجب أن تکون مساویة فأحدهما علی القسمة ، الحقیقیة أو کلاهما علی مجرّد القسمة ، کما روی أیضا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أربعة أرباع ، ربع حلال ، وربع حرام ، وربع سنن وأحکام ، وربع خبر ما کان قبلکم ونبأ ما یکون بعدکم وفصل ما بینکم </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ترید هذه الروایات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القرآن لیس بحثاً فقهیاً أو أخلاقیاً أو تاریخیاً بحتاً مع أنّه ینطوی علی هذه الموضوعات کلّها ، وهو قادر علی ما تمیّز به من خصائص یتفرّد بها علی مخاطبة جمیع الناس ، واستخدام کُلّ الأدوات وکلّ مجالات الحیاة من أجل هدایة الناس ، إلاّ أنّ هذه الموضوعات لم ترد فیه علی نحو منظم ومنفصل وبنِسَبٍ متساویة ، کما فی القرآن فإنّنا نجد أنّ القرآن استفاد من کُلّ سورة ، بل من کُلّ آیة من آیاته علی قدر یتناسب مع الحاجة من کُلّ واحد من الموضوعات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یتصف بالتنوّع والدقّة مع الحفاظ علی الانسجام</w:t>
      </w:r>
    </w:p>
    <w:p>
      <w:pPr>
        <w:pStyle w:val="BookText"/>
        <w:rPr/>
      </w:pPr>
      <w:r>
        <w:rPr>
          <w:rFonts w:ascii="IRNazanin" w:hAnsi="IRNazanin" w:eastAsia="IRNazanin"/>
          <w:color w:val="111111"/>
          <w:sz w:val="28"/>
          <w:sz w:val="28"/>
          <w:szCs w:val="28"/>
          <w:rtl w:val="true"/>
          <w:lang w:bidi="fa-IR"/>
        </w:rPr>
        <w:t xml:space="preserve">والترابط الهادف </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لقد ابتعدنا قلیلاً عن صلب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ونورد فیما یلی مجموعة من الأمثلة للحالات الّتی انثنی فیها المجلسی رحمه الله عن الأخذ بالمعنی الظاهری للخبر بسبب تعارض الأخبار ، وحمل الأمر الوارد فیها علی الاستحباب ، والنهی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 ابتداءً أمثلة من الحمل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الفأرة الّتی نعلم طهارتها ، وهی لیست کالکلب والخنزیر اللذین هما نجسان ذاتیاً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روایات عدیدة دالّة علی هذا المعنی بعضها نقلها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مجموعته الحدیثیة ، وبعضها الآخر نقلها المجلسی رحمه الله فی شرحه علی تلک المجموعة </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وجاءت فی مقابلها روایة عن علی بن جعفر سأل فیها أخاه الإمام موسی الکاظم علیه السلام 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الفأرة الرطبة قد وقعت فی الماء تمشی علی الثیاب أیصلّی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ما رأیت من أثره وما لم تره فانضحه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یُستدل من الأمر بغسل الثیاب للصلاة علی تنجّسها بسبب مشی الفأرة علیها ، وهذا یعنی بالنتیجة أنّ الفأرة نجسة أیضاً ، لکن المجلسی استند إلی الأخبار الکثیرة من المجموعة الاُولی الّتی تثبت طهارة الفأرة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محمولة علی الاستحباب جمعا مع أنّ الغسل سیّما للصّلاة أعمّ من النجاسة</w:t>
      </w:r>
      <w:r>
        <w:rPr>
          <w:rFonts w:eastAsia="IRNazanin" w:cs="IRNazanin"/>
          <w:color w:val="111111"/>
          <w:sz w:val="28"/>
          <w:szCs w:val="28"/>
          <w:rtl w:val="true"/>
          <w:lang w:bidi="fa-IR"/>
        </w:rPr>
        <w:t xml:space="preserve">» . </w:t>
      </w:r>
      <w:r>
        <w:rPr>
          <w:rStyle w:val="FootnoteAnchor"/>
          <w:rtl w:val="true"/>
        </w:rPr>
        <w:footnoteReference w:id="69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المجلسی رحمه الله بهذا الاحتمال أیضاً فی روایة تأمر بغسل الثیاب من رطوبة المذی ، وروایة تأمر بإعادة الصلاة الّتی تُصلّی فی ثوب نجس وفی حالة الاضطرار ،</w:t>
      </w:r>
    </w:p>
    <w:p>
      <w:pPr>
        <w:pStyle w:val="BookText"/>
        <w:rPr/>
      </w:pPr>
      <w:r>
        <w:rPr>
          <w:rFonts w:ascii="IRNazanin" w:hAnsi="IRNazanin" w:eastAsia="IRNazanin"/>
          <w:color w:val="111111"/>
          <w:sz w:val="28"/>
          <w:sz w:val="28"/>
          <w:szCs w:val="28"/>
          <w:rtl w:val="true"/>
          <w:lang w:bidi="fa-IR"/>
        </w:rPr>
        <w:t xml:space="preserve">وکذلک الأخبار الّتی تأمر بوجوب الکفارة فی حالة مجامعة المرأة الحائض </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وهناک أیضاً حالات الحمل علی الکراهة والنهی التنزیهی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حمل المجلسی رحمه اللهالأخبار الّتی تنهی عن الغسل بغسالة الحمّام الّتی کانت تجتمع عادة فی البئر ، حملها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استعان طبعاً فی إثبات هذا الجمع بالأخبار المتعارضة الّتی أخذها من المجموعات الروائیة ، کما استفاد أیضاً من التعلیل الوارد فی ذیلها للتوضیح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ننقلها برمّتها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عن حمزة بن أحمد الّذی یعتبر فی علم الرجال مجهولاً ، وفی هذه الروایة کان هو أو ربّما شخص آخر قد سأل الإمام الکاظم علیه السلام عن الحمّام ، ونقل جواب الإمام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 بمئزر ، وغضّ بصرک ، ولا تغتسل من البئر الّتی یجتمع فیها ماء الحمّام ، فإنّه یسیل فیها ما یغتسل به الجنب وولد الزنا والناصب لنا أهل البیت ، وهو شرّهم </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الاُخری نقلها الکلینی بسند مرسل إلی الإمام الکاظم علیه السلام بهذا المضمون ولا تختلف عن سابقتها إلاّ فی العبارات ، وجاء النصّ الّذی هو موضع بحثنا فیها علی النحو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تغتسل من البئر الّتی تجتمع فیها غسالة الحمّام </w:t>
      </w:r>
      <w:r>
        <w:rPr>
          <w:rFonts w:eastAsia="IRNazanin" w:cs="IRNazanin"/>
          <w:color w:val="111111"/>
          <w:sz w:val="28"/>
          <w:szCs w:val="28"/>
          <w:rtl w:val="true"/>
          <w:lang w:bidi="fa-IR"/>
        </w:rPr>
        <w:t xml:space="preserve">. . .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المجلسی رحمه اللهروایات اُخری فی هذا الموضوع أیضاً بعضها فقهی ، وبعضها الآخر طبّی ویشیر أیضاً إلی الأضرار الناتجة عن مثل هذا العمل ومثل هذا الاغتسال ، ثُمَّ عرض الروایات الدالة علی جواز الاغتسال بماء الحمّام ، وجاء بأحادیث تعتبر ماء الحمّام بمثابة الماء الجاری لتأیید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وتوصّل عن طریق ذلک إلی حلٍّ للجمع بین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الختام حمل النواهی الواردة فی هذا المجال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کلام المجلسی کما 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الجمع بأنّ الأخبار السابقة ظاهرها الماء القلیل المجتمع من غسالة الناس ،</w:t>
      </w:r>
    </w:p>
    <w:p>
      <w:pPr>
        <w:pStyle w:val="BookText"/>
        <w:rPr/>
      </w:pPr>
      <w:r>
        <w:rPr>
          <w:rFonts w:ascii="IRNazanin" w:hAnsi="IRNazanin" w:eastAsia="IRNazanin"/>
          <w:color w:val="111111"/>
          <w:sz w:val="28"/>
          <w:sz w:val="28"/>
          <w:szCs w:val="28"/>
          <w:rtl w:val="true"/>
          <w:lang w:bidi="fa-IR"/>
        </w:rPr>
        <w:t xml:space="preserve">وظاهر هذه الأخبار الحیاض المغتسل منها ولا ریب فی أنّ الکثیر لا ینجس باغتسال الناس ولا یحصل له حکم الغسالة فلا تعارض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ظاهر بعضها الکراهة مع أنّ الأصل الطهارة والطهوریة ما لم یعلم النجاسة کما مرّ سابقا</w:t>
      </w:r>
      <w:r>
        <w:rPr>
          <w:rFonts w:eastAsia="IRNazanin" w:cs="IRNazanin"/>
          <w:color w:val="111111"/>
          <w:sz w:val="28"/>
          <w:szCs w:val="28"/>
          <w:rtl w:val="true"/>
          <w:lang w:bidi="fa-IR"/>
        </w:rPr>
        <w:t xml:space="preserve">» .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تجدر الإشارة إلی أنّ الحمل علی الکراهة له موارد اُخری أیضاً ، نُحیل القارئ إلی بعضها فقط </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الملاحظة الأخیرة هی أنّ الحمل علی الاستحباب والکراهة لا یختص بصیغة الأمر والنهی وصیغها اللفظیة ، بل إنّ الحکم هو الّذی یفقد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النهائیة الّتی تتمخض عن الأخذ والرد مع الأحادیث المعارضة هی تدنّی الحکم من الوجوب إلی الاستحباب ومن الحرمة إلی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التالی یبیّن هذا بکلّ جلاء ؛ وذلک لأنَّ دلالته حاصلة من جملة خبریة ولیست إنشائیة لا یفید ظهورها الأوّلی الوجوب والحرمة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فکر المجلسی تفکیراً صائباً فی هذا المجال ، وحل هذا التعارض بشکل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تتعلّق بإرسال وإعطاء قسم من مهر الزواج للمرأة قبل الدخول بها ، فهناک روایة صریحة تحرّم الدخول بالمرأة ومجامعتها قبل إعطائها قسماً من المهر ، ولذلک فهی تعتبر إعطاء هذا المبلغ واجباً شرطیاً ، وفی مقابل ذلک لدینا أحادیث اُخری لا تشترط هذا الإعطاء وتعتبره دیناً فی ذمّة الزوج کالدیون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المجلسی رحمه الله متن الروایة الاُولی وحملها علی الاستحباب ، واستشهد بروایات المجموعة الثانیة للاستدلال علی صواب اختیاره وحمله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نعرض فیما یلی متن کلا الروایتین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أن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کما رواه الشَّیخ فی القوی کالصحیح ، عن أبی بصیر</w:t>
      </w:r>
    </w:p>
    <w:p>
      <w:pPr>
        <w:pStyle w:val="BookText"/>
        <w:rPr/>
      </w:pPr>
      <w:r>
        <w:rPr>
          <w:rFonts w:ascii="IRNazanin" w:hAnsi="IRNazanin" w:eastAsia="IRNazanin"/>
          <w:color w:val="111111"/>
          <w:sz w:val="28"/>
          <w:sz w:val="28"/>
          <w:szCs w:val="28"/>
          <w:rtl w:val="true"/>
          <w:lang w:bidi="fa-IR"/>
        </w:rPr>
        <w:t xml:space="preserve">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فلا یحلّ له فرجها حتّی یسوق إلیها شیئا درهما فما فوقه أو هدیة من سویق أو غیره </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وإنّما حملنا علی الاستحباب لما رویاه فی الموثق کالصحیح عن ابن أبی عمیر عن بعض أصحابنا عن عبد الحمید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أتزوج المرأة وأدخل بها ولا أعطیها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یکون دینا علیک </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الکلام یطول حول کیفیة حل التعارض والجمع بین الأخبار وبحوث اُخری مثل الحمل علی الضرورة والاضطرار والتقیة ، وکذلک بحث الناسخ والمنسوخ والنظر إلی الوضع الزمانی وتأثیر الزمان والمکان فی الموضوع والحکم الشرعی ، إلاّ أنّنا نختم هذا البحث المتشعّب هنا بالإشارة إلی بعض الموانع الّتی تحول دون فهم الحدیث من وجهة نظر المجلسی رحمه الله </w:t>
      </w:r>
      <w:r>
        <w:rPr>
          <w:rFonts w:eastAsia="IRNazanin" w:cs="IRNazanin"/>
          <w:color w:val="111111"/>
          <w:sz w:val="28"/>
          <w:szCs w:val="28"/>
          <w:rtl w:val="true"/>
          <w:lang w:bidi="fa-IR"/>
        </w:rPr>
        <w:t>.</w:t>
      </w:r>
      <w:bookmarkStart w:id="607" w:name="pg2516_26750"/>
    </w:p>
    <w:p>
      <w:pPr>
        <w:pStyle w:val="Heading3"/>
        <w:numPr>
          <w:ilvl w:val="2"/>
          <w:numId w:val="1"/>
        </w:numPr>
        <w:rPr/>
      </w:pPr>
      <w:bookmarkStart w:id="608" w:name="__RefHeading___Toc4159816_3804643083"/>
      <w:bookmarkStart w:id="609" w:name="_Toc239"/>
      <w:bookmarkEnd w:id="607"/>
      <w:bookmarkEnd w:id="608"/>
      <w:r>
        <w:rPr>
          <w:rtl w:val="true"/>
        </w:rPr>
        <w:t xml:space="preserve">الفصل الرابع </w:t>
      </w:r>
      <w:r>
        <w:rPr>
          <w:rtl w:val="true"/>
        </w:rPr>
        <w:t xml:space="preserve">: </w:t>
      </w:r>
      <w:r>
        <w:rPr>
          <w:rtl w:val="true"/>
        </w:rPr>
        <w:t>کلمة حول موانع فهم الحدیث</w:t>
      </w:r>
      <w:bookmarkEnd w:id="609"/>
    </w:p>
    <w:p>
      <w:pPr>
        <w:pStyle w:val="BookText"/>
        <w:rPr/>
      </w:pPr>
      <w:r>
        <w:rPr>
          <w:rFonts w:ascii="IRNazanin" w:hAnsi="IRNazanin" w:eastAsia="IRNazanin"/>
          <w:color w:val="111111"/>
          <w:sz w:val="28"/>
          <w:sz w:val="28"/>
          <w:szCs w:val="28"/>
          <w:rtl w:val="true"/>
          <w:lang w:bidi="fa-IR"/>
        </w:rPr>
        <w:t xml:space="preserve">إنّ لفهم معنی الحدیث قواعد ومنهج مثل أی متنٍ آخر ذی معنی ، ولا یمکن فهمه بأی معنی کان ، وهذا الفهم یتطابق مع مقصود القائل والکاتب ، أو یقترب منه علی الأقل فیما إذا کان یتّبع المنهج العقلائی السائد فی فهم المتون ، ولا یقع فی دوّامة الموانع والآفات ، إذ إنّه فی مثل هذه الحالة ینتهی به المطاف إلی سوء فهم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عدم الاعتناء بهذا المنهج العقلائی وبالعوامل الّتی توفّر متطلبات فهم الحدیث ، تحول دون تحقیق هذه المهمّة ، ونحن ملزمون بتوفیر هذه المتطلّبات باعتبارها تمثل الجانب الأساسی للسبب الوجودی لفهم الحدیث بشکل صحیح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ولکننا إذا أغفلنا العوامل الّتی تحول دون فهم الحدیث بشکل صحیح ، وتمنع ما یقتضیه من التأثیر ، ولم نزِلها ، فمن الطبیعی أن تفشل التمهیدات والاستعدادات الّتی اُجریت لتحقیق عملیة فهم الحدیث ، ولا تُتاح لنا فرصة التوصّل إلی فهم صحیح له ، ونفقد کُلّ ما حصلنا علیه من مقوّمات لإنجاح هذا العمل ، 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المانع الّذی یتألّف من توفر العلّة التامّة من المقتضی وعدم وجود المانع ، یُعتبر الجزء الثانی والسبب الوجودی للفهم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والفهم الصحیح للحدیث یتوقّف علی کسب المؤهلات الأساسیة واللازمة لفهمه وتنقیة الذهن من الموانع الّتی تحول دون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لإزالة المانع أهمیة بقدر أهمیة توفیر المتطلّبات ، ولذلک فإنَّ الکثیر من المحدّثین والفقهاء والعلماء المسلمین وغیر المسلمین بیّنوه وذکروا بشأنه کثیراً من التوجیهات والتحذیرات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وأحد الموانع المهمة فی فهم الحدیث وهو ممّا یختصّ به فهم المتون المقدّسة ، عدم تساوی مستوی معلومات المخاطب وقارئ الحدیث مع مافیه من مضامین ، ففی حالة تقارب مستوی الفهم والحد الوجودی بین المخاطب والقائل الّذی یعد مصداقاً لـ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یتیح للقائل مجالاً للتحدّث عن معارف قیّمة أو حافلة بالأسرار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حالة تباعد هذین المستویین ، فالنتیجة التوریة والتقیة والکتمان ، وقد کان الأئمّة علیهم السلام ، فضلاً عن الالتفات إلی هذه الاُمور ورعایتها فی التخاطب والحوار ، فقد صرّحوا بها أحیاناً عند الإجابة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والمثال علی ذلک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المتعلّقة بأعمال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لْیَقْضُواْ تَفَثَهُمْ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حیث صرّح الإمام الصادق علیه السلام لابن ذریح بأنّ معناها الباطنی لقاء الإمام ، فی حین أنّه لم یخبر ابن سنان بهذا المعنی </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یتحقّق قسم من هذا التقارب الوجودی والروحی إلی ساحة المتحدّثین المعصومین من خلال المعرفة التوحیدیة والتربیة الأخلاقیة واکتساب الکمال الروحی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الملاحظة یؤکّدها بعض العارفین والمحدّثین ، وکانت موضع تجربة من قبل بعض المعاصرین ، وهذا ما یعتقد به المجلسی رحمه الله أیضاً الّذی یعد من العارفین السالکین والواصلین ، وهو یری أنّ إنکار بعض الأحادیث نتیجة لعدم وجود هذا التناسب ، ویری المجلسی رحمه الله فی تعلیقه علی حدیث رؤیة المحتضر للإمام علی علیه السلام إنّ الّذین لا یفهمون هذا الحدیث وینکرونه لاحظّ لهم من هذه المعرفة ، ویقول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بعض من لا معرفة بهم ینکر أمثال هذه الأخبار ؛ لأنّه لیس له المناسبة المعنویّة والمعرفة الکاملة بهم</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ولهذه الملاحظة وجه آخر أیضاً وهو لو أنّ أحداً کانت لدیه الأهلیة لهذا الفهم واستطاع التوصل إلی إفهام وإن کانت محتملة الصدق ، لا یمکنه أن یعتبر فهم الآخرین 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یعد فی حالات عدیدة مانعاً عاماً ومهمّاً خاصّة إذا کان الفهم المذکور متعلّقاً بمحدّث جلیل بمثل هذه المنزلة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المجلسی رحمه الله لا یبدی أیّ تعصّب وقاطعیّة إزاء ما توصل إلیه من فهم حدسی ، ویقول فی بعض الحالات بعد الانتهاء من فوائده وشروحه الصحیحة ، واللّه یعلم </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لم یتأثّر بفهم الشَّیخ الصَّدوق رحمه الله مع ما له من عظمة ، وحیثما وجد کلام الصَّدوق رحمه اللهغیر مقنع ، عزم علی البحث والعثور علی الفهم الصحیح للحدیث ، ویقدّم فهمه من خلال عمل فقهی واستخدام القواعد الفقهیة وشروح الفقهاء </w:t>
      </w:r>
      <w:r>
        <w:rPr>
          <w:rFonts w:eastAsia="IRNazanin" w:cs="IRNazanin"/>
          <w:color w:val="111111"/>
          <w:sz w:val="28"/>
          <w:szCs w:val="28"/>
          <w:rtl w:val="true"/>
          <w:lang w:bidi="fa-IR"/>
        </w:rPr>
        <w:t xml:space="preserve">. </w:t>
      </w:r>
      <w:r>
        <w:rPr>
          <w:rStyle w:val="FootnoteAnchor"/>
          <w:rtl w:val="true"/>
        </w:rPr>
        <w:footnoteReference w:id="703"/>
      </w:r>
      <w:bookmarkStart w:id="610" w:name="pg2516_26758"/>
    </w:p>
    <w:p>
      <w:pPr>
        <w:pStyle w:val="Heading2"/>
        <w:numPr>
          <w:ilvl w:val="1"/>
          <w:numId w:val="1"/>
        </w:numPr>
        <w:rPr/>
      </w:pPr>
      <w:bookmarkStart w:id="611" w:name="__RefHeading___Toc4159818_3804643083"/>
      <w:bookmarkStart w:id="612" w:name="_Toc240"/>
      <w:bookmarkEnd w:id="610"/>
      <w:bookmarkEnd w:id="611"/>
      <w:r>
        <w:rPr>
          <w:rtl w:val="true"/>
        </w:rPr>
        <w:t>الملحقات</w:t>
      </w:r>
      <w:bookmarkEnd w:id="612"/>
    </w:p>
    <w:p>
      <w:pPr>
        <w:pStyle w:val="Heading3"/>
        <w:numPr>
          <w:ilvl w:val="2"/>
          <w:numId w:val="1"/>
        </w:numPr>
        <w:rPr/>
      </w:pPr>
      <w:bookmarkStart w:id="613" w:name="__RefHeading___Toc4159820_3804643083"/>
      <w:bookmarkStart w:id="614" w:name="_Toc241"/>
      <w:bookmarkEnd w:id="613"/>
      <w:r>
        <w:rPr>
          <w:rtl w:val="true"/>
        </w:rPr>
        <w:t>اشاره</w:t>
      </w:r>
      <w:bookmarkEnd w:id="614"/>
    </w:p>
    <w:p>
      <w:pPr>
        <w:pStyle w:val="Heading3"/>
        <w:numPr>
          <w:ilvl w:val="2"/>
          <w:numId w:val="1"/>
        </w:numPr>
        <w:rPr/>
      </w:pPr>
      <w:bookmarkStart w:id="615" w:name="__RefHeading___Toc4159822_3804643083"/>
      <w:bookmarkStart w:id="616" w:name="_Toc242"/>
      <w:bookmarkEnd w:id="615"/>
      <w:r>
        <w:rPr>
          <w:rtl w:val="true"/>
        </w:rPr>
        <w:t xml:space="preserve">الملحق رقم </w:t>
      </w:r>
      <w:r>
        <w:rPr/>
        <w:t>1</w:t>
      </w:r>
      <w:bookmarkEnd w:id="616"/>
    </w:p>
    <w:p>
      <w:pPr>
        <w:pStyle w:val="BookText"/>
        <w:rPr/>
      </w:pPr>
      <w:r>
        <w:rPr>
          <w:rFonts w:ascii="IRNazanin" w:hAnsi="IRNazanin" w:eastAsia="IRNazanin"/>
          <w:color w:val="111111"/>
          <w:sz w:val="28"/>
          <w:sz w:val="28"/>
          <w:szCs w:val="28"/>
          <w:rtl w:val="true"/>
          <w:lang w:bidi="fa-IR"/>
        </w:rPr>
        <w:t xml:space="preserve">این معنا ظاهر است که مدار قدمای ما بر کتاب هایی بوده است که ثقات اصحاب ائمه معصومین ـ صلوات اللّه علیهم ـ از حضرات ، روایت کرده بودند ولیکن ، چون هر روز آنچه می شنیدند ، در کتاب خود می نوشتند و آن کتب نزد علما مضبوط بود ، ولیکن اخبار آنها منتشر بود ، جمعی دیگر از فضلای اصحاب ائمه ـ صلوات اللّه علیهم ـ مثل محمّد بن ابی عمیر و صفوان بن یحیی و حمّاد بن عیسی و بزنطی ، آن کتب را مرتب ساخته ، کتاب ها تصنیف نمودند به ترتیب کتب فقهی ، و روایات مثل زراره و محمّد بن مسلم و برید و فضیل و لیث و امثال ایشان را در کتب خود ، نقل می نمودند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معاصران ایشان ، ملاحظه اصول با فروع می نمودند ، هر کتابی که اصلاً غلط در آن نبود و روات آنها در نهایت عدالت و فضیلت بودند ، بلکه مدایح ایشان و کتاب های ایشان را از حضرات شنیده بودند ، از میان چندین هزار کتاب ، چهار صد کتاب را اعتبار نمودند و اجماع بر عمل به این کتب ، واقع شد </w:t>
      </w:r>
      <w:r>
        <w:rPr>
          <w:rFonts w:eastAsia="IRNazanin" w:cs="IRNazanin"/>
          <w:color w:val="111111"/>
          <w:sz w:val="28"/>
          <w:szCs w:val="28"/>
          <w:rtl w:val="true"/>
          <w:lang w:bidi="fa-IR"/>
        </w:rPr>
        <w:t>.</w:t>
      </w:r>
      <w:bookmarkStart w:id="617" w:name="pg2516_26760"/>
    </w:p>
    <w:p>
      <w:pPr>
        <w:pStyle w:val="Heading3"/>
        <w:numPr>
          <w:ilvl w:val="2"/>
          <w:numId w:val="1"/>
        </w:numPr>
        <w:rPr/>
      </w:pPr>
      <w:bookmarkStart w:id="618" w:name="__RefHeading___Toc4159824_3804643083"/>
      <w:bookmarkStart w:id="619" w:name="_Toc243"/>
      <w:bookmarkEnd w:id="617"/>
      <w:bookmarkEnd w:id="618"/>
      <w:r>
        <w:rPr>
          <w:rtl w:val="true"/>
        </w:rPr>
        <w:t xml:space="preserve">الملحق رقم </w:t>
      </w:r>
      <w:r>
        <w:rPr/>
        <w:t>2</w:t>
      </w:r>
      <w:bookmarkEnd w:id="619"/>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 احادیث ایشان که در کتاب کافی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 است ، همه را صحیح می توان گفت ؛ چون شهادت این دو شیخ بزرگوار ، کمتر از شهادت اَصحاب رجال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بلکه بهتر است ، از جهت آن که ایشان که صحیح می گویند ، معنی آن است که یقین که حضرات ائمه معصومین ـ صلوات اللّه علیهم ـ فرموده اند به وجوهی که ایشان را یقین حاصل شده است ، و متأخّران که صحیح می گویند ، معنی آن است که جماعتی که روایت کرده اند ، ثقه بوده اند و محتمل است کذب و سهو هر یک </w:t>
      </w:r>
      <w:r>
        <w:rPr>
          <w:rFonts w:eastAsia="IRNazanin" w:cs="IRNazanin"/>
          <w:color w:val="111111"/>
          <w:sz w:val="28"/>
          <w:szCs w:val="28"/>
          <w:rtl w:val="true"/>
          <w:lang w:bidi="fa-IR"/>
        </w:rPr>
        <w:t>.</w:t>
      </w:r>
    </w:p>
    <w:p>
      <w:pPr>
        <w:pStyle w:val="Heading3"/>
        <w:numPr>
          <w:ilvl w:val="2"/>
          <w:numId w:val="1"/>
        </w:numPr>
        <w:rPr/>
      </w:pPr>
      <w:bookmarkStart w:id="620" w:name="__RefHeading___Toc4159826_3804643083"/>
      <w:bookmarkStart w:id="621" w:name="_Toc244"/>
      <w:bookmarkEnd w:id="620"/>
      <w:r>
        <w:rPr>
          <w:rtl w:val="true"/>
        </w:rPr>
        <w:t xml:space="preserve">الملحق رقم </w:t>
      </w:r>
      <w:r>
        <w:rPr/>
        <w:t>3</w:t>
      </w:r>
      <w:bookmarkEnd w:id="621"/>
    </w:p>
    <w:p>
      <w:pPr>
        <w:pStyle w:val="BookText"/>
        <w:rPr/>
      </w:pPr>
      <w:r>
        <w:rPr>
          <w:rFonts w:ascii="IRNazanin" w:hAnsi="IRNazanin" w:eastAsia="IRNazanin"/>
          <w:color w:val="111111"/>
          <w:sz w:val="28"/>
          <w:sz w:val="28"/>
          <w:szCs w:val="28"/>
          <w:rtl w:val="true"/>
          <w:lang w:bidi="fa-IR"/>
        </w:rPr>
        <w:t xml:space="preserve">خبر بر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خبر متواتر ، و آن خبری است که اقلاً سه کس آن را روایت کرده باشند و از اخبار ایشان علم به هم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گاه باشد که از قول هزار نفر علم به هم نرسد ، مثل شهادت روستاییان از جهت ارباب در آب و زمین ، و گاه باشد که از گفته مرد متدیّن که خبر دهد که فلان شخص را دیدم ، علم حاصل شود ، و مدار این بر علم است ، نه بر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خبر ، متّبع است به اجماع ، و خلافی در وجوب عمل به این خبر نیست ، مگر آن که متواتر شود که حضرات ، خلاف آن را نیز گفته اند ، و یکی از اینها تقیّه خواهد بود و در این صورت ، جمع خواهیم نمود به یکی از وجوه جمعی که گذشت ، چنان که در قرآن مجید نیز مخالف یکدیگر هست ، و یکی ناسخ است و دیگری منسوخ و امثال آن ، که خواهد آمد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خبر محفوف به قرینه است که از خارج خبر ، قرائن بوده باشد ، آن قدر که علم به هم رسد ، مثل آن که شخصی راز خود را به شخصی گفته باشد و کسی دیگر بر</w:t>
      </w:r>
    </w:p>
    <w:p>
      <w:pPr>
        <w:pStyle w:val="BookText"/>
        <w:rPr/>
      </w:pPr>
      <w:r>
        <w:rPr>
          <w:rFonts w:ascii="IRNazanin" w:hAnsi="IRNazanin" w:eastAsia="IRNazanin"/>
          <w:color w:val="111111"/>
          <w:sz w:val="28"/>
          <w:sz w:val="28"/>
          <w:szCs w:val="28"/>
          <w:rtl w:val="true"/>
          <w:lang w:bidi="fa-IR"/>
        </w:rPr>
        <w:t xml:space="preserve">آن مطّلع نبوده باشد ، مردی ثقه از جانب او بیاید و کتابتی سر به مهر بیاورد و چون کتابت را باز کند ، جمیع آنچه با او گفته باشد ، در کتابت نوشته و خطّ و مُهر او را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از امثال این خبر با این قرائن علم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باب است هر گاه شخصی از جانب پادشاهی به حکومت ولایتی رود و حکم پادشاه را داشته باشد با خلعت پادشاه ، هیچ کس شک نمی کند که این شخص از جانب پادشاه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باب است آن که در احادیث سابقه گذشت که همین که دانید که کتاب از شیخ است ، به آن عمل می 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باب است کتبی که در این اوقات ظاهر می شود از کتب قدمای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کتب 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مربوط باشد به سخنان او و کتب او ، خصوصاً هر گاه کتابی مندرس از قم بیاورند که تاریخ کتابتش تاریخ زمان او یا قریب به زمان او باشد ، مثل کتاب امالی کذایی با خطوط جمعی از علما و مثل کتاب معانی الأخبار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بسیار است که از قرائن علم به هم می رسد و ظاهراً به این خبر نیز عمل واجب باشد ، چنان که اکثر علما به آن قائل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خبر واحد است ، و آن خبری است که علم از آن حاصل نشود ، خواه خبردهنده به آن یکی باشد یا هزار کس ، و اگر سه کس یا بیشتر خبری را نقل کنند و از آن خبر ، ظنّی متآخم علم و قریب به آن حاصل گردد ، این خبر را مستفیض می گویند ، و از افراد خبر واحد است ، و جمعی که خبر واحد را حجّت نمی دانند ، بعضی از ایشان این نوع را حجّت می دانند و غیر این را حجّت نمی دانند ، و جمعی همه را حجّت نمی دانند به آیات و اخباری که نهی نموده اند از متابعت غیر علم و از متابعت ظن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آن است که عمل به خبر واحد می توان کرد ، چون مدار اصحاب ائمه</w:t>
      </w:r>
      <w:bookmarkStart w:id="622" w:name="pg2516_26764"/>
    </w:p>
    <w:p>
      <w:pPr>
        <w:pStyle w:val="BookText"/>
        <w:rPr/>
      </w:pPr>
      <w:bookmarkEnd w:id="622"/>
      <w:r>
        <w:rPr>
          <w:rFonts w:ascii="IRNazanin" w:hAnsi="IRNazanin" w:eastAsia="IRNazanin"/>
          <w:color w:val="111111"/>
          <w:sz w:val="28"/>
          <w:sz w:val="28"/>
          <w:szCs w:val="28"/>
          <w:rtl w:val="true"/>
          <w:lang w:bidi="fa-IR"/>
        </w:rPr>
        <w:t xml:space="preserve">معصومین ـ صلوات اللّه علیهم ـ در زمان مدید ، زیاده از دویست سال بر این بود ، و همیشه هر یک از اصحاب حضرات ائمه هُدا ـ صلوات اللّه علیهم ـ خبری که به ایشان نقل می نمودند ، عمل به آن می نمودند و هرگز ملاحظه تواتر یا آحاد نمی نمودند ، و حضرات ائمه هُدا امر می کردند شیعیان خود را به اخذ احادیث از ایشان و به عمل به آن ، اگر چه در اخبار ایشان ، متواتر و محفوف به قرائن و مستفیض و خبر واحد بود ، ایشان فرق نمی کردند در میان آنها مگر در وقت ضرورت که معارضی به هم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اصحاب را رجوع به بسیاری از اصحاب کرده اند و نهایت مرتبه ایشان ، توثیق است با فضل و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رساله در این باب نوشتم مشتمل بر اخبار متواتره که دلالت می کند بر حجّیّت خبر واحد ، و ظواهر آیات نیز دلالت دارد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گذشت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جَآءَکُمْ فَاسِقٌ بِنَبَإٍ فَتَبَیَّنُوا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خبری به سوی شما بیاورد ، تأمل کنید و به آن خبر ، عمل مکنید تا ظاهر شود صدق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 این است که اگر غیر فاسق یا عادل خبری بیاورد ، تأمّل مکنید و به آن عمل کنید </w:t>
      </w:r>
      <w:r>
        <w:rPr>
          <w:rFonts w:eastAsia="IRNazanin" w:cs="IRNazanin"/>
          <w:color w:val="111111"/>
          <w:sz w:val="28"/>
          <w:szCs w:val="28"/>
          <w:rtl w:val="true"/>
          <w:lang w:bidi="fa-IR"/>
        </w:rPr>
        <w:t>.</w:t>
      </w:r>
    </w:p>
    <w:p>
      <w:pPr>
        <w:pStyle w:val="Heading3"/>
        <w:numPr>
          <w:ilvl w:val="2"/>
          <w:numId w:val="1"/>
        </w:numPr>
        <w:rPr/>
      </w:pPr>
      <w:bookmarkStart w:id="623" w:name="__RefHeading___Toc4159828_3804643083"/>
      <w:bookmarkStart w:id="624" w:name="_Toc245"/>
      <w:bookmarkEnd w:id="623"/>
      <w:r>
        <w:rPr>
          <w:rtl w:val="true"/>
        </w:rPr>
        <w:t xml:space="preserve">الملحق رقم </w:t>
      </w:r>
      <w:r>
        <w:rPr/>
        <w:t>4</w:t>
      </w:r>
      <w:bookmarkEnd w:id="624"/>
    </w:p>
    <w:p>
      <w:pPr>
        <w:pStyle w:val="BookText"/>
        <w:rPr/>
      </w:pPr>
      <w:r>
        <w:rPr>
          <w:rFonts w:ascii="IRNazanin" w:hAnsi="IRNazanin" w:eastAsia="IRNazanin"/>
          <w:color w:val="111111"/>
          <w:sz w:val="28"/>
          <w:sz w:val="28"/>
          <w:szCs w:val="28"/>
          <w:rtl w:val="true"/>
          <w:lang w:bidi="fa-IR"/>
        </w:rPr>
        <w:t xml:space="preserve">موافق اصطلاح متأخّرین از زمان علاّمه واندکی بالاتر ، حدیث بر پنج وجه است که فایده دارد ، و تقسیمات دیگر در کتب عامّه هست و بعضی از خاصّه متابعت ایشان کرده اند و چون فائده بر آن مترتّب نمی شود ، ذکر نکردیم آنها را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صحیح ، و آن خبری است که راویان آن خبر تا معصوم ، همه امامی مذهب باشند و عادل باشند که گناه کبیره نکنند و اصرار بر صغیره نداشته باشند و مروّت داشته باشند که از ایشان ، چیزی صادر نشود که دلالت بر خفّت عقل ایشان کند ، و مع هذا ، ثقه و معتمد باشند به آن که کثیر السهو و النسیان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خبر ابن حنظله</w:t>
      </w:r>
    </w:p>
    <w:p>
      <w:pPr>
        <w:pStyle w:val="BookText"/>
        <w:rPr/>
      </w:pPr>
      <w:r>
        <w:rPr>
          <w:rFonts w:ascii="IRNazanin" w:hAnsi="IRNazanin" w:eastAsia="IRNazanin"/>
          <w:color w:val="111111"/>
          <w:sz w:val="28"/>
          <w:sz w:val="28"/>
          <w:szCs w:val="28"/>
          <w:rtl w:val="true"/>
          <w:lang w:bidi="fa-IR"/>
        </w:rPr>
        <w:t xml:space="preserve">که گذشت ، دلالتی بر این دارد ، و نزد متأخّرین ، این خبر حجّت است ، مگر آن که معارضی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خبر حَسَن است ، و آن ، خبری است که رجال سند همه ایشان را مدح نموده باشند بدون توثیق یا بعضی را مدح کرده باشند و باقی را توثیق ، همین که یک ممدوح بدون توثیق در سند هست ،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 هر چند مابقی ثقه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موثّق ، و گاهی قوی نیز می گویند ، و آن ، خبری است که همه را توثیق کرده باشند و همه یا یکی از ایشان ، بد مذهب باشد به آن که سنّی یا زیدی یا فَطَحی یا واقفی یا کیسانی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خبری است که یک ممدوح داشته باشد یا بیشتر و یک موثّق بد مذهب داشته باشد یا بیشتر ، و این قسم خبر ، نامی ندارد ، ولیکن در میان اصحاب ، خلاف است که حَسَن بهتر است یا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که حسن را بهتر می دانند ، این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باید بنامند و اگر موثّق را بهتر می دانند ، می باید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 چون حدیث ، تابع اخسّ رجال است ، چنان که در منطق ، نتیجه ، تابع اخسّ مقدّمتین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ضعیف است ، و آن ، خبری است که یکی از آن چهار خبر نباشد به آن که یکی از راویان ، خبر را قدح نموده باشند به فسق ، یا مجهول الحال باشد ، یا مرسل باشد به آن که در میان ، شخصی را انداخته باشند یا گفته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مرفوع باشد به آن که راوی گفته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رفعه عن الصادق ـ صلوات اللّه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حضرت رسانید و رجال سند را گفت و در خاطر من نیست که آنها کیستند ، یا راوی بگوید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دانیم که راوی ، حضرت را ندیده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فقیر، فرقی می کند در میان این اخبار به آن که هر چه در آن فاسقی باشد،</w:t>
      </w:r>
      <w:bookmarkStart w:id="625" w:name="pg2516_26768"/>
    </w:p>
    <w:p>
      <w:pPr>
        <w:pStyle w:val="BookText"/>
        <w:rPr/>
      </w:pPr>
      <w:bookmarkEnd w:id="625"/>
      <w:r>
        <w:rPr>
          <w:rFonts w:ascii="IRNazanin" w:hAnsi="IRNazanin" w:eastAsia="IRNazanin"/>
          <w:color w:val="111111"/>
          <w:sz w:val="28"/>
          <w:sz w:val="28"/>
          <w:szCs w:val="28"/>
          <w:rtl w:val="true"/>
          <w:lang w:bidi="fa-IR"/>
        </w:rPr>
        <w:t xml:space="preserve">ضعیف می شمارم ، والاّ مجهول می نامم و هیچ دغدغه نیست که مرتبه اوّل پست تر است ، و ممکن است که این مجهول الحال ، ثقه باشد ، خصوصاً وقتی که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سیّما وقتی که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جماعة من أصحابنا </w:t>
      </w:r>
      <w:r>
        <w:rPr>
          <w:rFonts w:eastAsia="IRNazanin" w:cs="IRNazanin"/>
          <w:color w:val="111111"/>
          <w:sz w:val="28"/>
          <w:szCs w:val="28"/>
          <w:rtl w:val="true"/>
          <w:lang w:bidi="fa-IR"/>
        </w:rPr>
        <w:t>.. .» .</w:t>
      </w:r>
    </w:p>
    <w:p>
      <w:pPr>
        <w:pStyle w:val="Heading3"/>
        <w:numPr>
          <w:ilvl w:val="2"/>
          <w:numId w:val="1"/>
        </w:numPr>
        <w:rPr/>
      </w:pPr>
      <w:bookmarkStart w:id="626" w:name="__RefHeading___Toc4159830_3804643083"/>
      <w:bookmarkStart w:id="627" w:name="_Toc246"/>
      <w:bookmarkEnd w:id="626"/>
      <w:r>
        <w:rPr>
          <w:rtl w:val="true"/>
        </w:rPr>
        <w:t xml:space="preserve">الملحق رقم </w:t>
      </w:r>
      <w:r>
        <w:rPr/>
        <w:t>5</w:t>
      </w:r>
      <w:bookmarkEnd w:id="627"/>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مجهول الحال است ، او را قوی نامیده ام ، چنان که شهید اوّل ـ علیه الرحمة ـ نیز کرده است </w:t>
      </w:r>
      <w:r>
        <w:rPr>
          <w:rFonts w:eastAsia="IRNazanin" w:cs="IRNazanin"/>
          <w:color w:val="111111"/>
          <w:sz w:val="28"/>
          <w:szCs w:val="28"/>
          <w:rtl w:val="true"/>
          <w:lang w:bidi="fa-IR"/>
        </w:rPr>
        <w:t>.</w:t>
      </w:r>
    </w:p>
    <w:p>
      <w:pPr>
        <w:pStyle w:val="Heading3"/>
        <w:numPr>
          <w:ilvl w:val="2"/>
          <w:numId w:val="1"/>
        </w:numPr>
        <w:rPr/>
      </w:pPr>
      <w:bookmarkStart w:id="628" w:name="__RefHeading___Toc4159832_3804643083"/>
      <w:bookmarkStart w:id="629" w:name="_Toc247"/>
      <w:bookmarkEnd w:id="628"/>
      <w:r>
        <w:rPr>
          <w:rtl w:val="true"/>
        </w:rPr>
        <w:t xml:space="preserve">الملحق رقم </w:t>
      </w:r>
      <w:r>
        <w:rPr/>
        <w:t>6</w:t>
      </w:r>
      <w:bookmarkEnd w:id="629"/>
    </w:p>
    <w:p>
      <w:pPr>
        <w:pStyle w:val="BookText"/>
        <w:rPr/>
      </w:pPr>
      <w:r>
        <w:rPr>
          <w:rFonts w:ascii="IRNazanin" w:hAnsi="IRNazanin" w:eastAsia="IRNazanin"/>
          <w:color w:val="111111"/>
          <w:sz w:val="28"/>
          <w:sz w:val="28"/>
          <w:szCs w:val="28"/>
          <w:rtl w:val="true"/>
          <w:lang w:bidi="fa-IR"/>
        </w:rPr>
        <w:t xml:space="preserve">و آن که رعایت اصطلاح متأخّرین کرده ایم ، از آن جهت است که چون اکثر فضلا به طریقه ایشان مأنوس شده اند ، موجب تنفّر ایشان نشود ، با آن که در وقت معارضه احادیث به واسطه ترجیح به اصحیّت فایده دارد ،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630" w:name="__RefHeading___Toc4159834_3804643083"/>
      <w:bookmarkStart w:id="631" w:name="_Toc248"/>
      <w:bookmarkEnd w:id="630"/>
      <w:r>
        <w:rPr>
          <w:rtl w:val="true"/>
        </w:rPr>
        <w:t xml:space="preserve">الملحق رقم </w:t>
      </w:r>
      <w:r>
        <w:rPr/>
        <w:t>7</w:t>
      </w:r>
      <w:bookmarkEnd w:id="631"/>
    </w:p>
    <w:p>
      <w:pPr>
        <w:pStyle w:val="BookText"/>
        <w:rPr/>
      </w:pPr>
      <w:r>
        <w:rPr>
          <w:rFonts w:ascii="IRNazanin" w:hAnsi="IRNazanin" w:eastAsia="IRNazanin"/>
          <w:color w:val="111111"/>
          <w:sz w:val="28"/>
          <w:sz w:val="28"/>
          <w:szCs w:val="28"/>
          <w:rtl w:val="true"/>
          <w:lang w:bidi="fa-IR"/>
        </w:rPr>
        <w:t xml:space="preserve">جمعی واجب می دانند در نقل حدیث که راوی اجازه داشته باشد به یکی از این هفت 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است که شیخ ، حدیث را بر شاگرد خود بخواند ، و این ، بهترین انواع اجازه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در حدیث صحیح ، وارد شده است که عبداللّه بن سنان به حضرت امام جعفر صادق علیه السلام عرض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نزد من می آیند و حدیث شما را از من می شنوند ، و من دلگیر می شوم و قدرت ندارم که همه را بر ایشان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کثرت اشتغالی</w:t>
      </w:r>
    </w:p>
    <w:p>
      <w:pPr>
        <w:pStyle w:val="BookText"/>
        <w:rPr/>
      </w:pPr>
      <w:r>
        <w:rPr>
          <w:rFonts w:ascii="IRNazanin" w:hAnsi="IRNazanin" w:eastAsia="IRNazanin"/>
          <w:color w:val="111111"/>
          <w:sz w:val="28"/>
          <w:sz w:val="28"/>
          <w:szCs w:val="28"/>
          <w:rtl w:val="true"/>
          <w:lang w:bidi="fa-IR"/>
        </w:rPr>
        <w:t>که او را بود و خزینه دار خلفای عبّاسی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ایشان بخوان حدیثی از اوّل کتاب و حدیثی از وسط کتاب و حدیثی از آخر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حدیث ، دلالت بر اولویت اوّل می کند و با اضطرار این مرتبه دویم ، و این هر دو ، اجازه قرائت شیخ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آن که حدیث را شاگرد بر استاد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اجازه را مقدّم می دارند بر اوّل و ثانی ، و بعضی بر ثانی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که چون حدیث را بر استاد بخواند و کتاب تمام شود ، استاد ، سه حدیث را از کتاب به ترتیب مذکور بخواند تا هر دو قسم اجازه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سیُم مسمّاست به قرائت بر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شنیدن بر شیخ است به آن که دیگری بخواند و این شخص بشنود ، و این نیز بد نیست و بعد از مرتبه سیم است ، قریب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مُناوله است ، به آن که شیخ ، کتابی به شاگردش دهد و بگوید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این کتاب را یا این کتاب را از من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اگر نگوید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گاه دانیم که کتاب از روایات اوست ، جایز است از او روایت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منقول است از احمد بن عمر ثقه که من به حضرت امام ابی الحسن علی بن موسی الرضا ـ صلوات اللّه علیهما ـ عرض نمودم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از استادان من کتابی به من دهد و نگوید که این کتاب را از من روایت کن ، جایز است مرا که از او روایت کنم؟ حضرت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دانی که کتاب از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روایت کن</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اجازه است به معنی اخص ، به آن که شیخ به شاگرد بگوید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دادم که فلان کتاب و فلان کتاب را از من روایت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اِشعاری به این نوع اجازه دارد آنچه منقول است از مفضّل بن عمر که حضرت امام جعفر صادق ـ صلوات اللّه علیه ـ به من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ما می شنوی ، بنویس و علم خود را به برادران خود ، منتشر</w:t>
      </w:r>
    </w:p>
    <w:p>
      <w:pPr>
        <w:pStyle w:val="BookText"/>
        <w:rPr/>
      </w:pPr>
      <w:r>
        <w:rPr>
          <w:rFonts w:ascii="IRNazanin" w:hAnsi="IRNazanin" w:eastAsia="IRNazanin"/>
          <w:color w:val="111111"/>
          <w:sz w:val="28"/>
          <w:sz w:val="28"/>
          <w:szCs w:val="28"/>
          <w:rtl w:val="true"/>
          <w:lang w:bidi="fa-IR"/>
        </w:rPr>
        <w:t>ساز ، و در وقت مردن ، وصیّت کن که کتاب های تو را به میراث به پسران تو دهند که عن قریب ، چنین خواهد شد که از تقیّه نتوانند خواندن بر استاد ، و انس نخواهند گرفت ، مگر به کتب خودشان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احتمال مناوله و وجاده نیز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وِجاده است ، به آن که بدانیم که این کتاب به خطّ فلان شیخ است ، نقل کنیم که به خطّ فلان شیخ ، این حدیث را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مُوَثَّق کالصحیح از حضرت امام جعفر صادق ـ صلوات اللّه علیه منقول است که فرمودند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کنید کتاب های احادیث خود را که عن قریب ، محتاج به آنها خواهید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قوی از حضرت امام محمّد تقی ـ صلوات اللّه علیه ـ منقول است که راوی به آن حضرت عرض 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مشایخ ما از حضرت امام محمّد باقر و حضرت امام جعفر صادق ـ صلوات اللّه علیهما ـ روایت نموده اند و چون تقیّه شدید بود ، کتب خود را پنهان ساختند و کتاب ها را از ایشان روایت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مُردند ، کتاب ها به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کنید آن کتاب ها را که همه حق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خبرها با خبر احمد که سابق گذشت ، اشعاری دارد که عمل به کتاب می توان کرد ، هر گاه دانیم که کتاب از مصنّف آن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باب است کتب حدیث الیوم ، مثلاً چون به تواتر به ما رسیده است که کتاب کافی تصنیف محمّد بن یعقوب کلینی است ، و کتاب من لا یحضره الفقیه ، تصنیف محمّد بن بابویه قمی است و کتاب تهذیب و کتاب استبصار ، تصنیف شیخ طوسی است ، پس احتیاج به اجازه نباشد ، ولیکن احوط آن است که بدون اجازه به یکی از هفت اجازه ، بلکه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نقل حدیث نکنند </w:t>
      </w:r>
      <w:r>
        <w:rPr>
          <w:rFonts w:eastAsia="IRNazanin" w:cs="IRNazanin"/>
          <w:color w:val="111111"/>
          <w:sz w:val="28"/>
          <w:szCs w:val="28"/>
          <w:rtl w:val="true"/>
          <w:lang w:bidi="fa-IR"/>
        </w:rPr>
        <w:t>.</w:t>
      </w:r>
      <w:bookmarkStart w:id="632" w:name="pg2516_26775"/>
    </w:p>
    <w:p>
      <w:pPr>
        <w:pStyle w:val="Heading3"/>
        <w:numPr>
          <w:ilvl w:val="2"/>
          <w:numId w:val="1"/>
        </w:numPr>
        <w:rPr/>
      </w:pPr>
      <w:bookmarkStart w:id="633" w:name="__RefHeading___Toc4159836_3804643083"/>
      <w:bookmarkStart w:id="634" w:name="_Toc249"/>
      <w:bookmarkEnd w:id="632"/>
      <w:bookmarkEnd w:id="633"/>
      <w:r>
        <w:rPr>
          <w:rtl w:val="true"/>
        </w:rPr>
        <w:t xml:space="preserve">الملحق رقم </w:t>
      </w:r>
      <w:r>
        <w:rPr/>
        <w:t>8</w:t>
      </w:r>
      <w:bookmarkEnd w:id="634"/>
    </w:p>
    <w:p>
      <w:pPr>
        <w:pStyle w:val="BookText"/>
        <w:rPr/>
      </w:pPr>
      <w:r>
        <w:rPr>
          <w:rFonts w:ascii="IRNazanin" w:hAnsi="IRNazanin" w:eastAsia="IRNazanin"/>
          <w:color w:val="111111"/>
          <w:sz w:val="28"/>
          <w:sz w:val="28"/>
          <w:szCs w:val="28"/>
          <w:rtl w:val="true"/>
          <w:lang w:bidi="fa-IR"/>
        </w:rPr>
        <w:t xml:space="preserve">قانون مُحَدّثین ، این است که اگر استاد بر یک شاگرد ، حدیث را خوانده است ، 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بر جماعتی خوانده است که راوی با ایشان بوده است ، راوی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شاگرد بر استاد خوانده است و کسی دیگر شریک او نبوده است ،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دیگری با او بوده است ،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دیگری خوانده است و او شنیده است ،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من از او شنیدم در حالتی که بر او می خواندند ، و اگر حدیث را با اجازه از او داشته باشد ،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به خطّ شیخ دیده باشد ، گاهی می گوید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 گوید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بخطّ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یافتم به خطّ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کتاب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فلانی این حدیث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اکثر به چنین حدیثی عمل نمی کنند ، مگر آن که کتاب ، متواتر باشد از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کتب اربعه ، از مشایخ ثلاثه</w:t>
      </w:r>
      <w:r>
        <w:rPr>
          <w:rFonts w:eastAsia="IRNazanin" w:cs="IRNazanin"/>
          <w:color w:val="111111"/>
          <w:sz w:val="28"/>
          <w:szCs w:val="28"/>
          <w:rtl w:val="true"/>
          <w:lang w:bidi="fa-IR"/>
        </w:rPr>
        <w:t>) .</w:t>
      </w:r>
    </w:p>
    <w:p>
      <w:pPr>
        <w:pStyle w:val="Heading3"/>
        <w:numPr>
          <w:ilvl w:val="2"/>
          <w:numId w:val="1"/>
        </w:numPr>
        <w:rPr/>
      </w:pPr>
      <w:bookmarkStart w:id="635" w:name="__RefHeading___Toc4159838_3804643083"/>
      <w:bookmarkStart w:id="636" w:name="_Toc250"/>
      <w:bookmarkEnd w:id="635"/>
      <w:r>
        <w:rPr>
          <w:rtl w:val="true"/>
        </w:rPr>
        <w:t xml:space="preserve">الملحق رقم </w:t>
      </w:r>
      <w:r>
        <w:rPr/>
        <w:t>9</w:t>
      </w:r>
      <w:bookmarkEnd w:id="636"/>
    </w:p>
    <w:p>
      <w:pPr>
        <w:pStyle w:val="BookText"/>
        <w:rPr/>
      </w:pPr>
      <w:r>
        <w:rPr>
          <w:rFonts w:ascii="IRNazanin" w:hAnsi="IRNazanin" w:eastAsia="IRNazanin"/>
          <w:color w:val="111111"/>
          <w:sz w:val="28"/>
          <w:sz w:val="28"/>
          <w:szCs w:val="28"/>
          <w:rtl w:val="true"/>
          <w:lang w:bidi="fa-IR"/>
        </w:rPr>
        <w:t xml:space="preserve">اگر حدیث به معصوم نرسد ، آن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اکثر اوقات ، اشتباه می شود بر کسانی که تتبّع ندارند ودر واقع ، موقوف نیست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در آخر حدیث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این حدیث را مُضمَر می گویند که معلوم نیست سؤال از معصوم است یا غیر معصوم ، و اکثر اوقات ، این معنا نیز مشتبه می شود بر کسی که بی تتبّع است و وجه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و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بسیار است که زراره در کتاب خود ، اوّلاً ذکر می کند که حضرت امام محمّد باقر ـ صلوات اللّه علیه ـ چنین فرمود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را نقل می کند و نام حضرت را نمی برد ، به</w:t>
      </w:r>
      <w:bookmarkStart w:id="637" w:name="pg2516_26777"/>
    </w:p>
    <w:p>
      <w:pPr>
        <w:pStyle w:val="BookText"/>
        <w:rPr/>
      </w:pPr>
      <w:bookmarkEnd w:id="637"/>
      <w:r>
        <w:rPr>
          <w:rFonts w:ascii="IRNazanin" w:hAnsi="IRNazanin" w:eastAsia="IRNazanin"/>
          <w:color w:val="111111"/>
          <w:sz w:val="28"/>
          <w:sz w:val="28"/>
          <w:szCs w:val="28"/>
          <w:rtl w:val="true"/>
          <w:lang w:bidi="fa-IR"/>
        </w:rPr>
        <w:t xml:space="preserve">سبب آن که او نام حضرت را برده است ومحدّثان که از کتاب او برداشته اند ، به همان عنوان در کتاب خود ، نقل نموده اند ، بنا بر آن که نزد ایشان ظاهر بوده است ونمی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جماعتی مخفی خواهد ماند ، و همچنین در اوّل کتاب سماعه ذکر کرده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را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به واسطه تقیّه نادراً سبب اشتباه شده است </w:t>
      </w:r>
      <w:r>
        <w:rPr>
          <w:rFonts w:eastAsia="IRNazanin" w:cs="IRNazanin"/>
          <w:color w:val="111111"/>
          <w:sz w:val="28"/>
          <w:szCs w:val="28"/>
          <w:rtl w:val="true"/>
          <w:lang w:bidi="fa-IR"/>
        </w:rPr>
        <w:t>.</w:t>
      </w:r>
    </w:p>
    <w:p>
      <w:pPr>
        <w:pStyle w:val="Heading3"/>
        <w:numPr>
          <w:ilvl w:val="2"/>
          <w:numId w:val="1"/>
        </w:numPr>
        <w:rPr/>
      </w:pPr>
      <w:bookmarkStart w:id="638" w:name="__RefHeading___Toc4159840_3804643083"/>
      <w:bookmarkStart w:id="639" w:name="_Toc251"/>
      <w:bookmarkEnd w:id="638"/>
      <w:r>
        <w:rPr>
          <w:rtl w:val="true"/>
        </w:rPr>
        <w:t xml:space="preserve">الملحق رقم </w:t>
      </w:r>
      <w:r>
        <w:rPr/>
        <w:t>10</w:t>
      </w:r>
      <w:bookmarkEnd w:id="6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و طریق ، عبارت است از جمعی که حدیث را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 روایت می کنند ، به آن که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فلان ، عن فلان ، عن فلان</w:t>
      </w:r>
      <w:r>
        <w:rPr>
          <w:rFonts w:eastAsia="IRNazanin" w:cs="IRNazanin"/>
          <w:color w:val="111111"/>
          <w:sz w:val="28"/>
          <w:szCs w:val="28"/>
          <w:rtl w:val="true"/>
          <w:lang w:bidi="fa-IR"/>
        </w:rPr>
        <w:t>» .</w:t>
      </w:r>
      <w:bookmarkStart w:id="640" w:name="pg2516_26779"/>
    </w:p>
    <w:p>
      <w:pPr>
        <w:pStyle w:val="Heading2"/>
        <w:numPr>
          <w:ilvl w:val="1"/>
          <w:numId w:val="1"/>
        </w:numPr>
        <w:rPr/>
      </w:pPr>
      <w:bookmarkStart w:id="641" w:name="__RefHeading___Toc4159842_3804643083"/>
      <w:bookmarkStart w:id="642" w:name="_Toc252"/>
      <w:bookmarkEnd w:id="640"/>
      <w:bookmarkEnd w:id="641"/>
      <w:r>
        <w:rPr>
          <w:rtl w:val="true"/>
        </w:rPr>
        <w:t>فهرس المصادر والمراجع</w:t>
      </w:r>
      <w:bookmarkEnd w:id="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إجازات الحدیث للعلامة المجلسی ، السید أحمد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الاءرشاد فی معرفة حجج اللّه علی العباد ، أبو عبداللّه محمّدبن محمّدبن النعمان العکبریالبغدادی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الاءستبصار فیما إختلف من الأخبار ،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الفقه ،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الاسلامی ، الطبعة الرابعة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الخامسة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 النجف الأشرف ، مطبعة الآداب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فی علماء جبل العامل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علوم القرآن ، بدرالدین محمد بن عبدالله 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الکتب العربیة ، الطبعة الاولی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فی تفسیر القرآن ، السیّد أبوالقاسم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إلی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نجمی وهاشم هاشم زاده هریسی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نشر مهر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 أبو منصور الحسن بن یوسف بن المطهر ،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مصنّفات الشیخ المفید فی 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عبداللّه محمّد بن محمّد بن النعمان العکبری البغدادی الملقب بالمفید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المقال ، ملاّ علی الکنی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المولوی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الخرسان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الطبعة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الأردبیلی الغروی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الشعرانی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 السید أحمد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الطبعة الثانیة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الإیروانی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مصلح الدین المهدوی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المستدرک ، المیرزا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علیهم السلام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 جمال الدین حسن بن یوسف بن المطهر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الی تصانیف الشیعة ، آقا بزرک الطهرانی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الألفیة للشیخ الطوسی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مشهد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 أحمد بن الحسین الغضائری الواسطی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مشهد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موسی الشبیری الزنجانی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الشهید الثانی ، زین الدین بن أحمد العاملی الجبعی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واستفدنا من الطبعة المحقّقة أخیرا ، نشر مرکز الأبحاث و الدراسات الإسلامیة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الرعایة فی علم الدرایة ، زین الدین علی بن أحمد العاملی الملقّب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محمّد علی البقّال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فهم حدیث ، عبد الهادی مسعودی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فی أحوال العلماء والسادات ، محمّد باقر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اسماعیلیان ، قم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فی شرح کتاب من لا یحضره الفقیه ،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الکرمانی والشیخ علی پناه الإشتهاردی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الثقافة الإسلامیة لحاج محمّد حسین کوشانپور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وحیاض الفضلاء ، المیرزا عبداللّه افندی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تحقیق الأحکام بالدلائل ، السیّد علی الطباطبائی بن السیّد محمّد علی بن أبی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القدیمة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الطبعة المحقّقة منه من منشورات مؤسسة النشر الإسلامی ، 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الأدب ، محمّد علی المدرّس التبریزی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الخیام ، الطبعة الثانیة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 الشیخ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تحقیق تراث الشیخ الأعظم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باقری ، 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فی معرفة طبقات الرجال ، السید علی أصغر بن محمّد شفیع الجابَلَقی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الأُصول ، شیخ الطائفة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ستارة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فصلیة کلیة علوم الحدیث ، المدیر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رئیس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 قم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ـ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أبو عبداللّه محمّد بن إبراهیم بن جعفر الکاتب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الاصول، للشیخ محمدعلی الکاظمی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رحمتی أراکی،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الرضویة فی أحوال علماء المذهب الجعفریة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تذکر علیه مشخّصات النشر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آخر رجال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بن محمّد أکمل ـ الوحید البهبهانی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مدرسة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غرب ـ مدرسه آخوند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جواد مقصود الهمدانی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آذین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جامعة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مرکزی و مرکز اسناد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تقی دانش پژوه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المکتبة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براتعلی غلامی مقدم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الرضویة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المکتبة الرضویة ألف بائیا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 کتب خطی کتابخانه مرکزی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آصف فکرت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الرضویة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خطی آستان شاهچراغ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علینقی بهروزی ،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المکتبة العامة بإصفهان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عمومی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جواد مقصود الهمدانی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گوهر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جامع گوهر شاد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الفاضل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گوهر شاد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مجلس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مجلس شورای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الحسین الحائری ، طبع الکتاب 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المدرسة الحجتیة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مدرسه حجتیه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 اُستادی ، قم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المکتبة المرعشیة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عمومی حضرت آیة اللّه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أحمد الحسینی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المرعشیة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المسجد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مسجد 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 اُستادی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المسجد الأعظم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ملی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کتابهای خطی کتابخانه ملّی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الحجتی وأحمد المنزوی ، طبع الکتاب 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وزیری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الشیروانی ، طهران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الفیض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بحار الأنوار ، ج</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میرزا حسین بن محمد تقی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الاُصول ، میرزا أبو 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القدیمة الموجودة فی 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عن کتاب قواعد الأحکام ، محمّد بن تاج الدین بن محمّد الإصفهانی المعروف بالفاضل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 الشیخ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عرفان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صاحبقرانی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درودیان التفرشی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فی الإجازات وتراجم رجال الحدیث ، الشیخ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مبادئ الوصول إلی علم الأُصول ، أبو منصور جمال الدین الحسن بن یوسف الحلّی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البقال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مرآت الأحوال جهان نما ، آقا أحمد بن محمّد علی البهبهانی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الکتب ، علی بن موسی الخراسانی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التبریزی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الحائری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 فی أحکام الشریعة ، أحمد بن محمّد مهدی بن أبی ذر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السلاملإحیاء التراث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فی شرح الدروس ، آقا حسین بن جمال الدین محمّد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 الطبعة الثالثة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الفقیه ، رضا بن محمدهادی الهمدانی الغروی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الجعفریة لإحیاء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مصطلحات الرجال والدرایة ، محمّد رضا جدیدی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علوم الحدیث ،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الطبعة الرابعة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 الشیخ عباس بن محمّد رضا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الحسن المرتضوی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اسلامی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الدرّ ، منصور بن حسین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قرنة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 التراث ، الطبعة الاُولی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السماء فی تراجم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آزاد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هاشم محدّث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کبیر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 السید میر مصطفی الحسینی التفریشی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المصطفی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الإحکام فی معرفة الأحکام ، أبو منصور الحسن بن یوسف بن المطهر الحلّی ،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الأضواء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الاخیار ،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وقایع السنین والأعوام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عبد الحسین الحسینی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 إسماعیل باشا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bookmarkStart w:id="643" w:name="pg2516_26794"/>
    </w:p>
    <w:p>
      <w:pPr>
        <w:pStyle w:val="Heading2"/>
        <w:numPr>
          <w:ilvl w:val="1"/>
          <w:numId w:val="1"/>
        </w:numPr>
        <w:rPr/>
      </w:pPr>
      <w:bookmarkStart w:id="644" w:name="__RefHeading___Toc4159844_3804643083"/>
      <w:bookmarkStart w:id="645" w:name="_Toc253"/>
      <w:bookmarkEnd w:id="643"/>
      <w:bookmarkEnd w:id="644"/>
      <w:r>
        <w:rPr>
          <w:rtl w:val="true"/>
        </w:rPr>
        <w:t>الفهرس التفصیلی</w:t>
      </w:r>
      <w:bookmarkEnd w:id="645"/>
    </w:p>
    <w:p>
      <w:pPr>
        <w:pStyle w:val="BookText"/>
        <w:rPr/>
      </w:pPr>
      <w:r>
        <w:rPr>
          <w:rFonts w:ascii="IRNazanin" w:hAnsi="IRNazanin" w:eastAsia="IRNazanin"/>
          <w:color w:val="111111"/>
          <w:sz w:val="28"/>
          <w:sz w:val="28"/>
          <w:szCs w:val="28"/>
          <w:rtl w:val="true"/>
          <w:lang w:bidi="fa-IR"/>
        </w:rPr>
        <w:t>التصدیر</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التمهیـد</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نُبذة عن حیاة المُلاّ محمّدتقی المجلسی</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اسمه ونسبه ومولده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آراء العلماء فیه وثناؤهم علیه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بیته وتولّیه منصب إمامة الجمعة</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مکاشفاته وطریقه 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اتّهامه بالتصوّف</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شیوخه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تلامذته ومن روی عنه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lang w:bidi="fa-IR"/>
        </w:rPr>
        <w:t>23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الآثار المنسوبة إلیه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نظرة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منهج المؤلّف فی الشرح</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طبعة الکتاب وما یحتویه کلّ واحد من المجلّدات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محتوی شرح المشیخة</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تأریخ التألیف</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النسخ الخطّیة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نظرة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منهج المؤلّف فی الشرح</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طبعة الکتاب وما یحتویه کلّ واحد من المجلّدات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تأریخ تألیفه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النسخ الخطّیة 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الحدیث والرجال عند المُلاّ محمّدتقی المجلسی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الأولیة لحدیث الشیعة</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قصة الاُصول</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کیف صارت الاُصولُ أربعمئةً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تقسیم الاُصول إلی قسمین من جهة الاعتبار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إهمال عُلَماء الرجال فی ذکر التعدیل أو الجرح فی شأن مؤلّفی الاُصول</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کتب معتبرة غیر الاُصول</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ینبغی التنبیه علی أمرین</w:t>
      </w:r>
      <w:r>
        <w:rPr>
          <w:rFonts w:eastAsia="IRNazanin" w:cs="IRNazanin"/>
          <w:color w:val="111111"/>
          <w:sz w:val="28"/>
          <w:szCs w:val="28"/>
          <w:lang w:bidi="fa-IR"/>
        </w:rPr>
        <w:t>66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 ضیاع الاُصول والکتب المعتمدة</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القُدَماء</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معنی الغلوّ عند القُدَماء ، ورأی الشارح فی ذلک</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الصَدوق وشیخه والکلینی قالوا بإسهاء النّبی من اللّه تعالی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من معرِّفات المفوضة عند الصدوق</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الحدیث وکتبهم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صحَّة روایات الکتب الأربعة</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کیفیة علم الصَدوقَین بصحَّة أخبار کتبهما</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مراتب الصحَّة فی الأخبار المودعة فی الکتب الأربعة</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دأب الصدوق ذکر الصحاح</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سبب ترک الصَدوق الأخبار الصحیحة فی بعض الأبواب ونقل الخبر الضعیف</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أقوال الصَدوق فی أوائل الفقیه هی متون الأخبار لا اجتهاداته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دأب القُدَماء علی العمل بأخبار تکررت فی الکتب بأسانید مختلفة</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روایات الکتب الأربعة مأخوذة من الاُصول والکتب المعتبرة</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مصادر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کلّها من الاُصول</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للمشایخ الثلاثة طُرق کثیرة إلی أصحاب الاُصول</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الظن الحاصل من وصف الصَدوقین أخبار کتابیهما بالصحّة أقوی من أقوال </w:t>
      </w:r>
      <w:r>
        <w:rPr>
          <w:rFonts w:eastAsia="IRNazanin" w:cs="IRNazanin"/>
          <w:color w:val="111111"/>
          <w:sz w:val="28"/>
          <w:szCs w:val="28"/>
          <w:rtl w:val="true"/>
          <w:lang w:bidi="fa-IR"/>
        </w:rPr>
        <w:t>.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عذر المشایخ فی النقل عن کتب بعض الضُعَفاء</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اضطرار المشایخ الثلاثة فی النقل عن الغُلاة وتهذیب روایاتهم</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مراتب مؤلّفی الکتب الأربعة فی الضبط والإتقان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نقل الصدوق عن الکافی فی الفقیه ، والشَّیخ فی التهذیبین عن الفقیه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الجرح والتعدیل ومناهجهم</w:t>
      </w:r>
      <w:r>
        <w:rPr>
          <w:rFonts w:eastAsia="IRNazanin" w:cs="IRNazanin"/>
          <w:color w:val="111111"/>
          <w:sz w:val="28"/>
          <w:szCs w:val="28"/>
          <w:lang w:bidi="fa-IR"/>
        </w:rPr>
        <w:t>99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فی کلّیات علم الرجال</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المدار فی علم الرجال الاعتماد علی الظن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الأسماء المشترکة فی الأسناد تنصرف إلی المشهورین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ذکر تدلیس جماعة من المجتهدین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حجّیة توثیقات المتأخّرین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مدار القدماء فی توثیق الرواة عدم وجود الغلط فی کتبهم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إطلاق التوثیق فی الکتب الرجالیة یدلّ علی أنّ الرجل إمامی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قاله الشارح فی مشایخ الجرح والتعدیل</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النجاشی</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الشَّیخ</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منهج المشایخ الثلاثة فی التضعیف</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الجرح لعلو الحال</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قدح بعض الرجال لنقلهم خوارق العادات عن الأئمّة</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تضعیف بعض أصحاب الأسرار کسراً لمذهب الغُلاة</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التضعیف لذکر الأسانید من دون المتون والمتون من دون الأسانید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التسرع إلی نسبة وضع الأخبار إلی الرواة</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حکم الرجالی بالضعف لیس بجرح</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التضعیف لتخلیط الراوی فیما یسنده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التضعیف لاعتبار القراءة فی الإجازة</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الحدیث عند المُلاّ محمّدتقی المجلسی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الأخبار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دأب القُدَماء تصحیح الکتب لا النظر فی کلّ واحد من رجال السند</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المعتمد هو الکتاب</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منهج العلاّمة فی تصحیح الطرق</w:t>
      </w:r>
      <w:r>
        <w:rPr>
          <w:rFonts w:eastAsia="IRNazanin" w:cs="IRNazanin"/>
          <w:color w:val="111111"/>
          <w:sz w:val="28"/>
          <w:szCs w:val="28"/>
          <w:lang w:bidi="fa-IR"/>
        </w:rPr>
        <w:t>125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نحتاج إلی السند</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جواز العمل بالأخبار الّتی صححّها القُدَماء</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کتب الأجلاّء متواترة</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تکرار الخبر فی الاُصول والکتب کافٍ فی الصحَّة</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صحَّة أخبار أصحاب الإجماع والاُصول</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إلحاق بعض الرواة بأصحاب الإجماع</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مراسیل کلّ من أجمعت الطائفة علی النقل عنهم کالمسانید</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صحَّة مرسلات الأجلاّء</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حجّیة موقوفات الأجلاّء</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التواتر فی النقل عن المصادر الأوّلیة</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شهادة متن الخبر بصحّته</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ضعف الخبر ینجبر بعمل الأصحاب</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المکاتبات کالمشافهات فی الاعتبار</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الأصل فی الرواة عدالتهم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نقل شهادة الراوی لنفسه فی الکتب المعتبرة أمارة لصحّتها</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روایة الواقفی عن الرضا علیه السلام تدلّ علی رجوعه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نقص ضعف السند بالاشتراک فی الاسم</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 الوضع</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لا یجوز نسبة وضع الأخبار إلی أحد إلاّ بإقراره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المثوبات العظیمة علی الأفعال الصغیرة لیست موضوعة</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ذکر الوجه والید للّه فی الأخبار لا یوجب إنکارها</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مجرد عمل المفوّضة أو العامّة ببعض الأخبار لا یدلّ علی وضعها</w:t>
      </w:r>
      <w:r>
        <w:rPr>
          <w:rFonts w:eastAsia="IRNazanin" w:cs="IRNazanin"/>
          <w:color w:val="111111"/>
          <w:sz w:val="28"/>
          <w:szCs w:val="28"/>
          <w:lang w:bidi="fa-IR"/>
        </w:rPr>
        <w:t>147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الاضطراب فی الأخبار المرویة عن بعض الأئمّة علیهم السلام لایدلّ علی وضعها</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تنویع الخبر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تقسیم الخبر إلی متواتر وآحاد ومحفوف بالقرینة</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تقسیم خبر الواحد إلی اُصوله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الخبر القوی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الثمرة فی تنویع الخبر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مصطلحات تفرّد بذکرها الشارح</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تَحمّل الحدیث وصیغ أدائه</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صیغ أداء الحدیث</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المدح والذم</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إکثار الصَدوق من الروایة عن الراوی</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الترضّی والترحّم</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حظی عند الأئمّة علیهم السلام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صاحب الإمام</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عامل الإمام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فاضل ، أدیب ، فقیه ، زاهد ، ورع</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 أحادیثه مناکیر</w:t>
      </w:r>
      <w:r>
        <w:rPr>
          <w:rFonts w:eastAsia="IRNazanin" w:cs="IRNazanin"/>
          <w:color w:val="111111"/>
          <w:sz w:val="28"/>
          <w:szCs w:val="28"/>
          <w:lang w:bidi="fa-IR"/>
        </w:rPr>
        <w:t>172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الأمر</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کثرة الروایة</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کثرة المکاتبة مع الإمام</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کون الرجل ذا أصل</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لم یکن بذلک</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مخلّط</w:t>
      </w:r>
      <w:r>
        <w:rPr>
          <w:rFonts w:eastAsia="Amiri" w:cs="Amiri" w:ascii="Amiri" w:hAnsi="Amiri"/>
          <w:color w:val="111111"/>
          <w:sz w:val="28"/>
          <w:szCs w:val="28"/>
          <w:lang w:bidi="ar-SA"/>
        </w:rPr>
        <w:t>741</w:t>
      </w:r>
    </w:p>
    <w:p>
      <w:pPr>
        <w:pStyle w:val="BookText"/>
        <w:rPr/>
      </w:pPr>
      <w:r>
        <w:rPr>
          <w:rFonts w:ascii="IRNazanin" w:hAnsi="IRNazanin" w:eastAsia="IRNazanin"/>
          <w:color w:val="111111"/>
          <w:sz w:val="28"/>
          <w:sz w:val="28"/>
          <w:szCs w:val="28"/>
          <w:rtl w:val="true"/>
          <w:lang w:bidi="fa-IR"/>
        </w:rPr>
        <w:t>مرضی</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من أجلاّء هذه الطائفة وفقهائها</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من وجوه أهل الأدب</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موافقة روایات الرجل الأخبار الصحیحة وصحَّة مضمونها</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وافد</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ورع</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الوکالة عن الإمام</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یُعرف ویُنکر</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فی الدرایة والرجال</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أبو إبراهیم</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أبو جعفر الثانی</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أبو الحسن الماضی</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أبو عبداللّه</w:t>
      </w:r>
      <w:r>
        <w:rPr>
          <w:rFonts w:eastAsia="IRNazanin" w:cs="IRNazanin"/>
          <w:color w:val="111111"/>
          <w:sz w:val="28"/>
          <w:szCs w:val="28"/>
          <w:lang w:bidi="fa-IR"/>
        </w:rPr>
        <w:t>801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lang w:bidi="ar-SA"/>
        </w:rPr>
        <w:t>801</w:t>
      </w:r>
    </w:p>
    <w:p>
      <w:pPr>
        <w:pStyle w:val="BookText"/>
        <w:rPr/>
      </w:pPr>
      <w:r>
        <w:rPr>
          <w:rFonts w:ascii="IRNazanin" w:hAnsi="IRNazanin" w:eastAsia="IRNazanin"/>
          <w:color w:val="111111"/>
          <w:sz w:val="28"/>
          <w:sz w:val="28"/>
          <w:szCs w:val="28"/>
          <w:rtl w:val="true"/>
          <w:lang w:bidi="fa-IR"/>
        </w:rPr>
        <w:t>الأثر</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إرسال الحدیث</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التقطیع</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جـخ</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جـش</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جواز نقل الحدیث بالمعنی ورجحان النقل باللفظ</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الخبر المعلول</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رجحان إعراب الحدیث ونقله بالعربی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ست</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السند أو الطریق</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شرطة الخمیس</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الشَّیخ</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صاحب الناحیة</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صـه</w:t>
      </w:r>
      <w:r>
        <w:rPr>
          <w:rFonts w:eastAsia="IRNazanin" w:cs="IRNazanin"/>
          <w:color w:val="111111"/>
          <w:sz w:val="28"/>
          <w:szCs w:val="28"/>
          <w:lang w:bidi="fa-IR"/>
        </w:rPr>
        <w:t>187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ضـا</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ظـم</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العبد الصالح</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غـض</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الفرض</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فـی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قـر</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قمّی</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قـی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کر</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کـش</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کوفی</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لـم</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الماضی الأخیر</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مشایخ الإجازة</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الموقوف والمُضمَر</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lang w:bidi="fa-IR"/>
        </w:rPr>
        <w:t>193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یـب</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یـه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عند الملاّ محمّدتقی المجلسی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ومکانته</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التعریف بفقه الحدیث</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مکانة فقه الحدیث وأهمیته</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التمهیدیة لفهم متن الحدیث</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الالتفات إلی النسخ المتعددة</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التصحیفات</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العثور علی تمام المتن</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الالتفات إلی النقل بالمعنی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فهم الحدیث</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المتن</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معانی الکلمات</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المعانی الاصطلاحیة</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الکنایات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المقصود</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القرائن الداخلیة لفهم المقصود</w:t>
      </w:r>
      <w:r>
        <w:rPr>
          <w:rFonts w:eastAsia="IRNazanin" w:cs="IRNazanin"/>
          <w:color w:val="111111"/>
          <w:sz w:val="28"/>
          <w:szCs w:val="28"/>
          <w:lang w:bidi="fa-IR"/>
        </w:rPr>
        <w:t>233</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 تعلیل الإمام</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 ـ سؤال الراوی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تنبیـه</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 ـ فهم الراوی الأوّل</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القرائن المقامیة</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القرائن اللفظیة المنفصلة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فصیلة الحدیث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استنتاج المجلسی من القرائن اللفظیة</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 ـ تبیین المجمل</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 ـ تقیید المطلق</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ج ـ حل و جمع الأخبار المتعارضة</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حول موانع فهم الحدیث</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الملحقات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2270</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3270</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4272</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5274</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6274</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7274</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8277</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9277</w:t>
      </w:r>
    </w:p>
    <w:p>
      <w:pPr>
        <w:pStyle w:val="BookText"/>
        <w:rPr/>
      </w:pPr>
      <w:r>
        <w:rPr>
          <w:rFonts w:ascii="IRNazanin" w:hAnsi="IRNazanin" w:eastAsia="IRNazanin"/>
          <w:color w:val="111111"/>
          <w:sz w:val="28"/>
          <w:sz w:val="28"/>
          <w:szCs w:val="28"/>
          <w:rtl w:val="true"/>
          <w:lang w:bidi="fa-IR"/>
        </w:rPr>
        <w:t xml:space="preserve">الملحق رقم </w:t>
      </w:r>
      <w:r>
        <w:rPr>
          <w:rFonts w:eastAsia="IRNazanin" w:cs="IRNazanin"/>
          <w:color w:val="111111"/>
          <w:sz w:val="28"/>
          <w:szCs w:val="28"/>
          <w:lang w:bidi="fa-IR"/>
        </w:rPr>
        <w:t>10278</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lang w:bidi="fa-IR"/>
        </w:rPr>
        <w:t>279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 التفصیلی</w:t>
      </w:r>
      <w:r>
        <w:rPr>
          <w:rFonts w:eastAsia="IRNazanin" w:cs="IRNazanin"/>
          <w:color w:val="111111"/>
          <w:sz w:val="28"/>
          <w:szCs w:val="28"/>
          <w:lang w:bidi="fa-IR"/>
        </w:rPr>
        <w:t>286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ذکر اسمه ونسبه فی مواضع متعدّدة من تألیفاته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باب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بحار الأنوار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نعثر علی عبارة الأفندی فی ریاض العلماء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مرآة الأحوال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ریاض العلماء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نجوم السماء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الأحوال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ترجمتها فی 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بحار الأنوار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بنقله عن ریاض العلماء ومرآة الأحوال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بحار الأنوار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بحار الأنوار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ترجمته فی 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بحار الأنوار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الأحوال جهان نما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نجوم السماء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بحار الأنوار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زندگی نامه علاّمه مجلسی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سائر مناماته فی 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الفیض القدسی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المصدر نفسه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المجلسی ،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 مع التوحید للصَّدوق بإصفهان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مقدّمة 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یب</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بحار الأنوار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إجازة مطوّلة من المجلسی الأوّل للثانی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الذکری الألفیة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بذکره فی جملة مشایخ المجلسی الأوّل المحدّث النوری ولم یبیّن لنا کیف استفاد ذلک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البحرین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الکُنی والألقاب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العارفین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الحدیث للعلاّمة المجلسی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الحدیث للعلاّمة المجلسی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الألفیة للشَّیخ الطوسی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فی المصدر المذکور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ترجمة المجلسی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وقیل إنّه یروی عن عدّة من المشایخ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والأمیر إسحاق الإسترآبادی المعروف بطیّ الأرض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وتری فی إجازة مُحَمّد تَقی المَجلِسی لولده البار العلاّمة المجلسی ، روایة مُحَمّد تَقی المَجلِسی عن المیرزا محمّد الإسترآبادی بواسطة السیّد شرف الدین علی الشولستانی المتقدّم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الألفیة للشَّیخ الطوسی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أسماء هؤلاء الفضلاء فی فصل أولاد مُحَمّد تَقی المَجلِسی ، وذکرنا بعض مصادر ترجمتهم فی الهامش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الحدیث للعلاّمة المجلسی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ترجمته فی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ترجمته فی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 ترجمته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الأخیر أیضاً ترجمته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 ترجمته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 ترجمته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فی مرآة الکتب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فی 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ترجمة المولی محمّد زمان ؛ مرآة الکتب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 ترجمته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فی 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ترجمته فی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 ،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فی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إجازات الحدیث للعلاّمة المجلسی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فی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 ترجمته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جامعة طهران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مجلس الشوری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ملی ملک فی طهران ،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المسجد الأعظم ،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آیة اللّه العظمی المرعشی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مجلس الشوری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ترجمته فی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بعض الرسائل الّتی سنذکرها ـ إن شاء اللّه ـ ربما کانت غیر مستقلّة ، بل هی جزء من سائر موفاته الاُخری سیّما روضة المتّقین واللوامع القدسیـّة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وجدنا أسماءها فی فهرس بعض المکتبات ضمن مجموعات تجمع فیها عدّة رسائل من عدد من العلماء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حدیث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 السیّد مصلح الدین المهدوی فی زندگی نامه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گوهرشاد،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نفسه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هذه الرسالة إلی المجلسی الثانی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أیضاً المصدر نفسه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مکتبة جامعة طهران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جامعة طهران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البحرین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المرعشیة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 الدفتر الثالث ،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ملی ملک فی طهران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المجلسی ،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التوحید للصَّدوق بأصبهان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روضات الجنّات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جامعة طهران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مجلس الشوری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جامعة طهران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رقم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 الدفتر الثالث ،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المکتبة الرضویة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الرضویة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جامعة طهران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قید الطباعة حالیا وعنوانه باللغة الفارسیة فهرستگان نسخه های خطی حدیث و علوم حدیث شیعه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وزیری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شاه چراغ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الرضویة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مدرسة غرب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المرعشیة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أره ، وإنّما أخبرنا عنه صدیقنا الشَّیخ أبو الفضل حافظیان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وزیری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جامعة طهران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مجلس الشوری ،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وزیری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مکتبة المدرسة الحجتیة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سهو ؛ لأنّه ولد سنة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العامة بإصفهان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مرکز إحیاء التراث الإسلامی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المقال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إنّ الشَّیخ لم یذکر أکثر من سبعین أصلاً ، وهذا سهو من قلمه الشریف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لأنّه یکفی</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الاُصول الرجالیة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سجدهما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یعدّ من أجلاّء الأصحاب وقد ألّف کتاباً سمّاه نوادر الحکمة ، وکان محمّد بن الحسن بن الولید ـ وهو اُستاذ الصدوق ـ یستثنی من روایة محمّد بن أحمد ما رواه عن عدّة ، فقال بعض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هذا شهادة علی عدالة کلّ من روی عنه محمّد بن أحمد إذا لم یکن ممّن استثناه ابن الولید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الحسن بن الولید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تدبّر متدبّر</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الحسن بن علی الکوفی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أحمد بن یحیی ؛ لأنّ الشَّیخ روی الحدیث عنه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وستأتی تمام العبارة فی الفصل الأوّل من الباب الثانی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نحتاج إلی السند</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روایات الکتب الأربعة</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عمل الطائفة بأخباره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تساهلوا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الفقیه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المعتبر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حسن بن زین الدین صاحب المعالم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الراشحة العشرون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الغضائری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الغضائری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الأمالی ، للصدوق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المفضل بن عمر</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الغضائری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والدرایة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کانت فی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الرجال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للتفصیل اُنظر العنوان التالی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یرجع إلی عُلَماء الرجال کالنجاشی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والدرایة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البهبهانی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قوانین المتأخّرین فی تصحیح الأخبار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والدرایة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وقف الحدیث علی أبی بصیر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صحیح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أبو بکر 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الأنبیاء لا نورّث دینارا ولا درهماً ، ما ترکناه صدقة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المخالفین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المقال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ومقباس الهدایة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مثلها فی 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الحکم بن مسکین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بذلک</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وجوه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من وجوه هذه الطائفة</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الغضائری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الکلینی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الکلینی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خطبة الفقیه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الکلینی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وفیهما اختلاف یسیر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الکلینی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وللتفصیل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النص الأصلی باللغة الفارسیة فی نهایة الکتاب ، الملحق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المجلّدات 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تُقسم علوم الحدیث من خلال نظرة عامّة إلی قسمین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 الّتی تُعنی بدراسة رجال وسند الحدیث ، والعلوم المتعلّقة بالمتن ومحتواه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 الثالث من علوم الحدیث تُطل علی کلا القسمین الأوّلیْن ، أو أنّها تستعین بمعطیات کلا القسمین للإبداع وحل مسائلها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إبراهیم بن جعفر النعمانی ، المشهور بابن أبی زینب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للنعمانی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علی هذا النحو أیضاً فی النسخ المطبوعة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وللاطّلاع علی مثال آخر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اُحدث بلسانی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اُحدث 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 غسلی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 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کلّه ملیء بأمثال هذه الموارد ، ونحن نحیل القارئ إلی مورد واحد فقط حول کتابة الرسائل وتجفیف الکتابات الخطیّة ، وهو رسم کان شائعاً فی القدم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وسوف نذکر هذه المجموعة من المتون فی البحوث المتعلّقة بفصیلة الحدیث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الأئمّة یجیدون لغات اُخری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تکلّموا بها ، ولکن فی حالات نادرة وعرضیة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 عرفان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زبانْ آگاهی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الأئمّة باللغات</w:t>
      </w:r>
      <w:r>
        <w:rPr>
          <w:rFonts w:eastAsia="IRNazanin" w:cs="IRNazanin"/>
          <w:b w:val="false"/>
          <w:bCs w:val="false"/>
          <w:i w:val="false"/>
          <w:iCs w:val="false"/>
          <w:color w:val="333333"/>
          <w:sz w:val="20"/>
          <w:szCs w:val="20"/>
          <w:rtl w:val="true"/>
        </w:rPr>
        <w:t>) »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مجموعة الکتب الّتی تُعنی بشرح معانی الألفاظ غیر المعروفة فی الحدیث ، وأکثر ما یترکّز البحث فیها علی المعنی الّذی اُرید منها فی ذلک المجال ، وکانت علی الدوام خیر معین للمحدّثین علی فهم معانی ألفاظ الحدیث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عبدالهادی المسعودی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تدوین غریب الحدیث</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یخلط بسمن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کسمندر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کریه المنظر ، من 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الخشبة الّتی تمسک عضادتیه من فوق محاذیة الأسکنة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صحاح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الأعصم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نهایة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ذلک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تناول شرح کلمات ،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ضغطة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فواق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ملاحاة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الملح الجریش</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تجدر الإشارة إلی أنّ هذا الاصطلاح یستخدم أیضاً لطلب جدیّة المخاطب فی العمل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أخلص العبد الإیمان باللّه عز و جل أربعین یوماً </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أیضاً تفاسیر القرآن الکریم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الرغبة والرهبة والتضرّع والتبتّل والابتهال من کتاب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وأکثر أخبار هذا الباب بهذا المضمون فلاحظ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إلی علم الاُصول ، للعلاّمة الحلّی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الفقه ، محمّد رضا المظفّر ،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تحقّق فی الاُصول أنّ العلّة المنصوصة تتعدّی إلی کُلّ ما تحقّق فیه العلّة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الصلاة ، للشَّیخ الأنصاری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 للخوئی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 أهل السنّة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 للشوکانی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 لابن حجر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 للزرکشی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للشَّیخ الطوسی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الفقیه ، للهمدانی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قوانین الاُصول ، للقمّی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علوم الحدیث ، العددان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عرض الحدیث ، للمؤلّف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حول الوقف بقرینة سؤال الراوی عن صحّة الوقف ، لا یمکن حمل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میراثا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الإمام علی معناها الحقیقی ، وحملها علی المعنی المجازی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 للنراقی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الشکّ فی رکعات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مسّ قطعة مفصولة من بدن الحیوان</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إضافة قصد السفر إلی شروط الصلاة</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اللثام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المدارک ، للخوانساری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هذه الأمثلة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فهم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فهم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وشرحناها ، وبیّنّا علی أساس القرائن المقامیة معناها الأصلی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فهم الحدیث ،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ورود الحدیث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 للعلاّمة الحلّی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علیه السلام لیونس 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مداعبة بعضکم بعضاً؟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تفعلوا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نثر الدرّ خبر یفید أنّ الإمام علی علیه السلام عندما کان عائداً من صفّین کان رأسه ولحیته کأنّها قطنة بیضاء ، فقال له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اختضبت یا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الخضاب زینة ، ونحن قوم فی مصیبة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فهم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عبدالهادی المسعودی ، باب مسار فهم الحدیث ، فصل خانواده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فصیلة الحدیث</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فیما مضی یکتبون بالقلم والدواة ، وکان الکتاب بحاجة إلی التجفیف قبل إرساله ، ولاختصار الوقت کانوا یرشّون علی الکتاب عند الانتهاء من کتابته قلیلاً من تراب خاص لیمتصَّ الحبر الإضافی ویجف الکتاب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سبب صدور مثل هذه الأحادیث یرجع إلی احتمال وقوع استهانة بالأسماء المقدّسة الّتی ترد فی الکتب والرسائل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والثلاثة الّتی بعده فی اُصول الکافی ، باب النهی عن إحراق القراطیس ، الخبر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الحدیثیة المتعلّقة بالنکاح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فهم الحدیث ،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إلی الأخبار المعارضة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بأیّهما أخذتم من باب التسلیم وسعکم</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خبر جمیل بن صالح عن الإمام الکاظم علیه السلام بهذا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عجز عن نذر نذره فکفّارته کفّارة 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أورده المجلسی رحمه الله فی الصفحة السابقة ، ویعتبره دالاًّ علی الاستحباب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 ترجمة نجمی و هریسی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نشر مهر ،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شرحه علی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یسأل فی قبره إلاّ من محّض الإیمان محضا ، أو محّض الکفر محضا ، والباقون ملهوّ عنهم إلی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تردّد المجلسی رحمه الله هنا ناجم عن وجود أخبار معارضة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استند المجلسی رحمه الله إلی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 الصلاة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بعدم صحّة فهم الصَّدوق فی التخییر بین قطع الصلاة واستئنافها ثانیة ، وإتمام الصلاة ثُمَّ إعادتها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إلی أنّ القضیة تتعلّق بالإتیان بجنازة اُخری أثناء الصلاة علی الجنازة الاُولی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56169</Words>
  <Characters>223545</Characters>
  <CharactersWithSpaces>278121</CharactersWithSpaces>
  <Paragraphs>1594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2026-08-17T08:51:14Z</dcterms:created>
  <dc:creator>ghaemiyeh.com</dc:creator>
  <dc:description/>
  <dc:language>en-US</dc:language>
  <cp:lastModifiedBy/>
  <dcterms:modified xsi:type="dcterms:W3CDTF">2026-08-17T12:21:23Z</dcterms:modified>
  <cp:revision>1</cp:revision>
  <dc:subject/>
  <dc:title>الاسس الحدیثیه و الرجالیه عندالعلامه الشیخ محمدتقی المجلسی</dc:title>
</cp:coreProperties>
</file>

<file path=docProps/custom.xml><?xml version="1.0" encoding="utf-8"?>
<Properties xmlns="http://schemas.openxmlformats.org/officeDocument/2006/custom-properties" xmlns:vt="http://schemas.openxmlformats.org/officeDocument/2006/docPropsVTypes"/>
</file>