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القواعد السته عشر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98546_380464308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098548_3804643083">
            <w:r>
              <w:rPr>
                <w:webHidden/>
                <w:rStyle w:val="IndexLink"/>
                <w:rtl w:val="true"/>
              </w:rPr>
              <w:t>[</w:t>
            </w:r>
            <w:r>
              <w:rPr>
                <w:rStyle w:val="IndexLink"/>
                <w:rtl w:val="true"/>
              </w:rPr>
              <w:t>المقدمة</w:t>
            </w:r>
            <w:r>
              <w:rPr>
                <w:rStyle w:val="IndexLink"/>
                <w:rtl w:val="true"/>
              </w:rPr>
              <w:t>]</w:t>
              <w:tab/>
            </w:r>
            <w:r>
              <w:rPr>
                <w:rStyle w:val="IndexLink"/>
              </w:rPr>
              <w:t>4</w:t>
            </w:r>
          </w:hyperlink>
        </w:p>
        <w:p>
          <w:pPr>
            <w:pStyle w:val="Contents3"/>
            <w:tabs>
              <w:tab w:val="clear" w:pos="8459"/>
              <w:tab w:val="right" w:pos="9026" w:leader="dot"/>
            </w:tabs>
            <w:rPr/>
          </w:pPr>
          <w:hyperlink w:anchor="__RefHeading___Toc4098550_3804643083">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4098552_3804643083">
            <w:r>
              <w:rPr>
                <w:webHidden/>
                <w:rStyle w:val="IndexLink"/>
                <w:rtl w:val="true"/>
              </w:rPr>
              <w:t>الشیخ جعفر الکبیر</w:t>
            </w:r>
            <w:r>
              <w:rPr>
                <w:rStyle w:val="IndexLink"/>
                <w:rtl w:val="true"/>
              </w:rPr>
              <w:tab/>
            </w:r>
            <w:r>
              <w:rPr>
                <w:rStyle w:val="IndexLink"/>
              </w:rPr>
              <w:t>4</w:t>
            </w:r>
          </w:hyperlink>
        </w:p>
        <w:p>
          <w:pPr>
            <w:pStyle w:val="Contents4"/>
            <w:tabs>
              <w:tab w:val="clear" w:pos="8176"/>
              <w:tab w:val="right" w:pos="9026" w:leader="dot"/>
            </w:tabs>
            <w:rPr/>
          </w:pPr>
          <w:hyperlink w:anchor="__RefHeading___Toc4098554_3804643083">
            <w:r>
              <w:rPr>
                <w:webHidden/>
                <w:rStyle w:val="IndexLink"/>
                <w:rtl w:val="true"/>
              </w:rPr>
              <w:t>اسمه و نسبه</w:t>
            </w:r>
            <w:r>
              <w:rPr>
                <w:rStyle w:val="IndexLink"/>
                <w:rtl w:val="true"/>
              </w:rPr>
              <w:t>:</w:t>
              <w:tab/>
            </w:r>
            <w:r>
              <w:rPr>
                <w:rStyle w:val="IndexLink"/>
              </w:rPr>
              <w:t>4</w:t>
            </w:r>
          </w:hyperlink>
        </w:p>
        <w:p>
          <w:pPr>
            <w:pStyle w:val="Contents4"/>
            <w:tabs>
              <w:tab w:val="clear" w:pos="8176"/>
              <w:tab w:val="right" w:pos="9026" w:leader="dot"/>
            </w:tabs>
            <w:rPr/>
          </w:pPr>
          <w:hyperlink w:anchor="__RefHeading___Toc4098556_3804643083">
            <w:r>
              <w:rPr>
                <w:webHidden/>
                <w:rStyle w:val="IndexLink"/>
                <w:rtl w:val="true"/>
              </w:rPr>
              <w:t>أساتذته</w:t>
            </w:r>
            <w:r>
              <w:rPr>
                <w:rStyle w:val="IndexLink"/>
                <w:rtl w:val="true"/>
              </w:rPr>
              <w:t>:</w:t>
              <w:tab/>
            </w:r>
            <w:r>
              <w:rPr>
                <w:rStyle w:val="IndexLink"/>
              </w:rPr>
              <w:t>4</w:t>
            </w:r>
          </w:hyperlink>
        </w:p>
        <w:p>
          <w:pPr>
            <w:pStyle w:val="Contents4"/>
            <w:tabs>
              <w:tab w:val="clear" w:pos="8176"/>
              <w:tab w:val="right" w:pos="9026" w:leader="dot"/>
            </w:tabs>
            <w:rPr/>
          </w:pPr>
          <w:hyperlink w:anchor="__RefHeading___Toc4098558_3804643083">
            <w:r>
              <w:rPr>
                <w:webHidden/>
                <w:rStyle w:val="IndexLink"/>
                <w:rtl w:val="true"/>
              </w:rPr>
              <w:t>تلامذته</w:t>
            </w:r>
            <w:r>
              <w:rPr>
                <w:rStyle w:val="IndexLink"/>
                <w:rtl w:val="true"/>
              </w:rPr>
              <w:t>:</w:t>
              <w:tab/>
            </w:r>
            <w:r>
              <w:rPr>
                <w:rStyle w:val="IndexLink"/>
              </w:rPr>
              <w:t>4</w:t>
            </w:r>
          </w:hyperlink>
        </w:p>
        <w:p>
          <w:pPr>
            <w:pStyle w:val="Contents4"/>
            <w:tabs>
              <w:tab w:val="clear" w:pos="8176"/>
              <w:tab w:val="right" w:pos="9026" w:leader="dot"/>
            </w:tabs>
            <w:rPr/>
          </w:pPr>
          <w:hyperlink w:anchor="__RefHeading___Toc4098560_3804643083">
            <w:r>
              <w:rPr>
                <w:webHidden/>
                <w:rStyle w:val="IndexLink"/>
                <w:rtl w:val="true"/>
              </w:rPr>
              <w:t>نبذة من سیرته و أحواله</w:t>
            </w:r>
            <w:r>
              <w:rPr>
                <w:rStyle w:val="IndexLink"/>
                <w:rtl w:val="true"/>
              </w:rPr>
              <w:t>:</w:t>
              <w:tab/>
            </w:r>
            <w:r>
              <w:rPr>
                <w:rStyle w:val="IndexLink"/>
              </w:rPr>
              <w:t>4</w:t>
            </w:r>
          </w:hyperlink>
        </w:p>
        <w:p>
          <w:pPr>
            <w:pStyle w:val="Contents4"/>
            <w:tabs>
              <w:tab w:val="clear" w:pos="8176"/>
              <w:tab w:val="right" w:pos="9026" w:leader="dot"/>
            </w:tabs>
            <w:rPr/>
          </w:pPr>
          <w:hyperlink w:anchor="__RefHeading___Toc4098562_3804643083">
            <w:r>
              <w:rPr>
                <w:webHidden/>
                <w:rStyle w:val="IndexLink"/>
                <w:rtl w:val="true"/>
              </w:rPr>
              <w:t>آثاره العلمیة</w:t>
            </w:r>
            <w:r>
              <w:rPr>
                <w:rStyle w:val="IndexLink"/>
                <w:rtl w:val="true"/>
              </w:rPr>
              <w:t>:</w:t>
              <w:tab/>
            </w:r>
            <w:r>
              <w:rPr>
                <w:rStyle w:val="IndexLink"/>
              </w:rPr>
              <w:t>7</w:t>
            </w:r>
          </w:hyperlink>
        </w:p>
        <w:p>
          <w:pPr>
            <w:pStyle w:val="Contents4"/>
            <w:tabs>
              <w:tab w:val="clear" w:pos="8176"/>
              <w:tab w:val="right" w:pos="9026" w:leader="dot"/>
            </w:tabs>
            <w:rPr/>
          </w:pPr>
          <w:hyperlink w:anchor="__RefHeading___Toc4098564_3804643083">
            <w:r>
              <w:rPr>
                <w:webHidden/>
                <w:rStyle w:val="IndexLink"/>
                <w:rtl w:val="true"/>
              </w:rPr>
              <w:t>وفاته و عقبه</w:t>
            </w:r>
            <w:r>
              <w:rPr>
                <w:rStyle w:val="IndexLink"/>
                <w:rtl w:val="true"/>
              </w:rPr>
              <w:t>:</w:t>
              <w:tab/>
            </w:r>
            <w:r>
              <w:rPr>
                <w:rStyle w:val="IndexLink"/>
              </w:rPr>
              <w:t>8</w:t>
            </w:r>
          </w:hyperlink>
        </w:p>
        <w:p>
          <w:pPr>
            <w:pStyle w:val="Contents2"/>
            <w:tabs>
              <w:tab w:val="clear" w:pos="8743"/>
              <w:tab w:val="right" w:pos="9026" w:leader="dot"/>
            </w:tabs>
            <w:rPr/>
          </w:pPr>
          <w:hyperlink w:anchor="__RefHeading___Toc4098566_3804643083">
            <w:r>
              <w:rPr>
                <w:webHidden/>
                <w:rStyle w:val="IndexLink"/>
                <w:rtl w:val="true"/>
              </w:rPr>
              <w:t>خاتمة فی بیان قواعد کثیرة الاحتیاج إلیها فی الاستدلال</w:t>
            </w:r>
            <w:r>
              <w:rPr>
                <w:rStyle w:val="IndexLink"/>
                <w:rtl w:val="true"/>
              </w:rPr>
              <w:tab/>
            </w:r>
            <w:r>
              <w:rPr>
                <w:rStyle w:val="IndexLink"/>
              </w:rPr>
              <w:t>10</w:t>
            </w:r>
          </w:hyperlink>
        </w:p>
        <w:p>
          <w:pPr>
            <w:pStyle w:val="Contents3"/>
            <w:tabs>
              <w:tab w:val="clear" w:pos="8459"/>
              <w:tab w:val="right" w:pos="9026" w:leader="dot"/>
            </w:tabs>
            <w:rPr/>
          </w:pPr>
          <w:hyperlink w:anchor="__RefHeading___Toc4098568_380464308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4098570_3804643083">
            <w:r>
              <w:rPr>
                <w:webHidden/>
                <w:rStyle w:val="IndexLink"/>
                <w:rtl w:val="true"/>
              </w:rPr>
              <w:t xml:space="preserve">قاعدة </w:t>
            </w:r>
            <w:r>
              <w:rPr>
                <w:rStyle w:val="IndexLink"/>
              </w:rPr>
              <w:t>1</w:t>
            </w:r>
            <w:r>
              <w:rPr>
                <w:rStyle w:val="IndexLink"/>
                <w:rtl w:val="true"/>
              </w:rPr>
              <w:t xml:space="preserve"> </w:t>
            </w:r>
            <w:r>
              <w:rPr>
                <w:rStyle w:val="IndexLink"/>
                <w:rtl w:val="true"/>
              </w:rPr>
              <w:t>فی أنَّهُ لا سبیل علی المحسن فی تضمین ما یترتب علیه من الضمان مع عدم الإحسان</w:t>
            </w:r>
            <w:r>
              <w:rPr>
                <w:rStyle w:val="IndexLink"/>
                <w:rtl w:val="true"/>
              </w:rPr>
              <w:tab/>
            </w:r>
            <w:r>
              <w:rPr>
                <w:rStyle w:val="IndexLink"/>
              </w:rPr>
              <w:t>10</w:t>
            </w:r>
          </w:hyperlink>
        </w:p>
        <w:p>
          <w:pPr>
            <w:pStyle w:val="Contents3"/>
            <w:tabs>
              <w:tab w:val="clear" w:pos="8459"/>
              <w:tab w:val="right" w:pos="9026" w:leader="dot"/>
            </w:tabs>
            <w:rPr/>
          </w:pPr>
          <w:hyperlink w:anchor="__RefHeading___Toc4098572_3804643083">
            <w:r>
              <w:rPr>
                <w:webHidden/>
                <w:rStyle w:val="IndexLink"/>
                <w:rtl w:val="true"/>
              </w:rPr>
              <w:t xml:space="preserve">قاعدة </w:t>
            </w:r>
            <w:r>
              <w:rPr>
                <w:rStyle w:val="IndexLink"/>
              </w:rPr>
              <w:t>2</w:t>
            </w:r>
            <w:r>
              <w:rPr>
                <w:rStyle w:val="IndexLink"/>
                <w:rtl w:val="true"/>
              </w:rPr>
              <w:t xml:space="preserve"> </w:t>
            </w:r>
            <w:r>
              <w:rPr>
                <w:rStyle w:val="IndexLink"/>
                <w:rtl w:val="true"/>
              </w:rPr>
              <w:t>کل مأخوذ من مال محترم مضمون</w:t>
            </w:r>
            <w:r>
              <w:rPr>
                <w:rStyle w:val="IndexLink"/>
                <w:rtl w:val="true"/>
              </w:rPr>
              <w:tab/>
            </w:r>
            <w:r>
              <w:rPr>
                <w:rStyle w:val="IndexLink"/>
              </w:rPr>
              <w:t>13</w:t>
            </w:r>
          </w:hyperlink>
        </w:p>
        <w:p>
          <w:pPr>
            <w:pStyle w:val="Contents3"/>
            <w:tabs>
              <w:tab w:val="clear" w:pos="8459"/>
              <w:tab w:val="right" w:pos="9026" w:leader="dot"/>
            </w:tabs>
            <w:rPr/>
          </w:pPr>
          <w:hyperlink w:anchor="__RefHeading___Toc4098574_3804643083">
            <w:r>
              <w:rPr>
                <w:webHidden/>
                <w:rStyle w:val="IndexLink"/>
                <w:rtl w:val="true"/>
              </w:rPr>
              <w:t xml:space="preserve">قاعدة </w:t>
            </w:r>
            <w:r>
              <w:rPr>
                <w:rStyle w:val="IndexLink"/>
              </w:rPr>
              <w:t>3</w:t>
            </w:r>
            <w:r>
              <w:rPr>
                <w:rStyle w:val="IndexLink"/>
                <w:rtl w:val="true"/>
              </w:rPr>
              <w:t xml:space="preserve"> </w:t>
            </w:r>
            <w:r>
              <w:rPr>
                <w:rStyle w:val="IndexLink"/>
                <w:rtl w:val="true"/>
              </w:rPr>
              <w:t>مستفادة من بعض الأخبار و من بعض کلمات العلماء الأبرار من أنَّ المغرور یرجع علی من غرّه</w:t>
            </w:r>
            <w:r>
              <w:rPr>
                <w:rStyle w:val="IndexLink"/>
                <w:rtl w:val="true"/>
              </w:rPr>
              <w:tab/>
            </w:r>
            <w:r>
              <w:rPr>
                <w:rStyle w:val="IndexLink"/>
              </w:rPr>
              <w:t>16</w:t>
            </w:r>
          </w:hyperlink>
        </w:p>
        <w:p>
          <w:pPr>
            <w:pStyle w:val="Contents3"/>
            <w:tabs>
              <w:tab w:val="clear" w:pos="8459"/>
              <w:tab w:val="right" w:pos="9026" w:leader="dot"/>
            </w:tabs>
            <w:rPr/>
          </w:pPr>
          <w:hyperlink w:anchor="__RefHeading___Toc4098576_3804643083">
            <w:r>
              <w:rPr>
                <w:webHidden/>
                <w:rStyle w:val="IndexLink"/>
                <w:rtl w:val="true"/>
              </w:rPr>
              <w:t xml:space="preserve">قاعدة </w:t>
            </w:r>
            <w:r>
              <w:rPr>
                <w:rStyle w:val="IndexLink"/>
              </w:rPr>
              <w:t>4</w:t>
            </w:r>
            <w:r>
              <w:rPr>
                <w:rStyle w:val="IndexLink"/>
                <w:rtl w:val="true"/>
              </w:rPr>
              <w:t xml:space="preserve"> </w:t>
            </w:r>
            <w:r>
              <w:rPr>
                <w:rStyle w:val="IndexLink"/>
                <w:rtl w:val="true"/>
              </w:rPr>
              <w:t xml:space="preserve">مستفادة من قولهم علیهم السلام </w:t>
            </w:r>
            <w:r>
              <w:rPr>
                <w:rStyle w:val="IndexLink"/>
                <w:rtl w:val="true"/>
              </w:rPr>
              <w:t>( (</w:t>
            </w:r>
            <w:r>
              <w:rPr>
                <w:rStyle w:val="IndexLink"/>
                <w:rtl w:val="true"/>
              </w:rPr>
              <w:t>إنما یحلل الکلام و یحرّم الکلام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4098578_3804643083">
            <w:r>
              <w:rPr>
                <w:webHidden/>
                <w:rStyle w:val="IndexLink"/>
                <w:rtl w:val="true"/>
              </w:rPr>
              <w:t xml:space="preserve">قاعدة </w:t>
            </w:r>
            <w:r>
              <w:rPr>
                <w:rStyle w:val="IndexLink"/>
              </w:rPr>
              <w:t>5</w:t>
            </w:r>
            <w:r>
              <w:rPr>
                <w:rStyle w:val="IndexLink"/>
                <w:rtl w:val="true"/>
              </w:rPr>
              <w:t xml:space="preserve"> </w:t>
            </w:r>
            <w:r>
              <w:rPr>
                <w:rStyle w:val="IndexLink"/>
                <w:rtl w:val="true"/>
              </w:rPr>
              <w:t xml:space="preserve">مستفادة من قوله تعالی </w:t>
            </w:r>
            <w:r>
              <w:rPr>
                <w:rStyle w:val="IndexLink"/>
                <w:rtl w:val="true"/>
              </w:rPr>
              <w:t>[</w:t>
            </w:r>
            <w:r>
              <w:rPr>
                <w:rStyle w:val="IndexLink"/>
                <w:rtl w:val="true"/>
              </w:rPr>
              <w:t>من اعتدی علیکم فاعتدوا علیه بمثل ما اعتدی علیکم</w:t>
            </w:r>
            <w:r>
              <w:rPr>
                <w:rStyle w:val="IndexLink"/>
                <w:rtl w:val="true"/>
              </w:rPr>
              <w:t>]</w:t>
              <w:tab/>
            </w:r>
            <w:r>
              <w:rPr>
                <w:rStyle w:val="IndexLink"/>
              </w:rPr>
              <w:t>21</w:t>
            </w:r>
          </w:hyperlink>
        </w:p>
        <w:p>
          <w:pPr>
            <w:pStyle w:val="Contents3"/>
            <w:tabs>
              <w:tab w:val="clear" w:pos="8459"/>
              <w:tab w:val="right" w:pos="9026" w:leader="dot"/>
            </w:tabs>
            <w:rPr/>
          </w:pPr>
          <w:hyperlink w:anchor="__RefHeading___Toc4098580_3804643083">
            <w:r>
              <w:rPr>
                <w:webHidden/>
                <w:rStyle w:val="IndexLink"/>
                <w:rtl w:val="true"/>
              </w:rPr>
              <w:t xml:space="preserve">قاعدة </w:t>
            </w:r>
            <w:r>
              <w:rPr>
                <w:rStyle w:val="IndexLink"/>
              </w:rPr>
              <w:t>6</w:t>
            </w:r>
            <w:r>
              <w:rPr>
                <w:rStyle w:val="IndexLink"/>
                <w:rtl w:val="true"/>
              </w:rPr>
              <w:t xml:space="preserve"> </w:t>
            </w:r>
            <w:r>
              <w:rPr>
                <w:rStyle w:val="IndexLink"/>
                <w:rtl w:val="true"/>
              </w:rPr>
              <w:t>مستفادة مما اشتهر و شاع بین العلماء من أنَّ ما یضمن بصحیحه یضمن بفاسده</w:t>
            </w:r>
            <w:r>
              <w:rPr>
                <w:rStyle w:val="IndexLink"/>
                <w:rtl w:val="true"/>
              </w:rPr>
              <w:tab/>
            </w:r>
            <w:r>
              <w:rPr>
                <w:rStyle w:val="IndexLink"/>
              </w:rPr>
              <w:t>23</w:t>
            </w:r>
          </w:hyperlink>
        </w:p>
        <w:p>
          <w:pPr>
            <w:pStyle w:val="Contents3"/>
            <w:tabs>
              <w:tab w:val="clear" w:pos="8459"/>
              <w:tab w:val="right" w:pos="9026" w:leader="dot"/>
            </w:tabs>
            <w:rPr/>
          </w:pPr>
          <w:hyperlink w:anchor="__RefHeading___Toc4098582_3804643083">
            <w:r>
              <w:rPr>
                <w:webHidden/>
                <w:rStyle w:val="IndexLink"/>
                <w:rtl w:val="true"/>
              </w:rPr>
              <w:t xml:space="preserve">قاعدة </w:t>
            </w:r>
            <w:r>
              <w:rPr>
                <w:rStyle w:val="IndexLink"/>
              </w:rPr>
              <w:t>7</w:t>
            </w:r>
            <w:r>
              <w:rPr>
                <w:rStyle w:val="IndexLink"/>
                <w:rtl w:val="true"/>
              </w:rPr>
              <w:t xml:space="preserve"> </w:t>
            </w:r>
            <w:r>
              <w:rPr>
                <w:rStyle w:val="IndexLink"/>
                <w:rtl w:val="true"/>
              </w:rPr>
              <w:t xml:space="preserve">مستفادة من قوله </w:t>
            </w:r>
            <w:r>
              <w:rPr>
                <w:rStyle w:val="IndexLink"/>
                <w:rtl w:val="true"/>
              </w:rPr>
              <w:t>(</w:t>
            </w:r>
            <w:r>
              <w:rPr>
                <w:rStyle w:val="IndexLink"/>
                <w:rtl w:val="true"/>
              </w:rPr>
              <w:t>ع</w:t>
            </w:r>
            <w:r>
              <w:rPr>
                <w:rStyle w:val="IndexLink"/>
                <w:rtl w:val="true"/>
              </w:rPr>
              <w:t>) [</w:t>
            </w:r>
            <w:r>
              <w:rPr>
                <w:rStyle w:val="IndexLink"/>
                <w:rtl w:val="true"/>
              </w:rPr>
              <w:t>المسلمون عند شروطهم إلّا کل شرط خالف کتاب</w:t>
            </w:r>
            <w:r>
              <w:rPr>
                <w:rStyle w:val="IndexLink"/>
                <w:rtl w:val="true"/>
              </w:rPr>
              <w:t>]</w:t>
              <w:tab/>
            </w:r>
            <w:r>
              <w:rPr>
                <w:rStyle w:val="IndexLink"/>
              </w:rPr>
              <w:t>25</w:t>
            </w:r>
          </w:hyperlink>
        </w:p>
        <w:p>
          <w:pPr>
            <w:pStyle w:val="Contents3"/>
            <w:tabs>
              <w:tab w:val="clear" w:pos="8459"/>
              <w:tab w:val="right" w:pos="9026" w:leader="dot"/>
            </w:tabs>
            <w:rPr/>
          </w:pPr>
          <w:hyperlink w:anchor="__RefHeading___Toc4098584_3804643083">
            <w:r>
              <w:rPr>
                <w:webHidden/>
                <w:rStyle w:val="IndexLink"/>
                <w:rtl w:val="true"/>
              </w:rPr>
              <w:t xml:space="preserve">قاعدة </w:t>
            </w:r>
            <w:r>
              <w:rPr>
                <w:rStyle w:val="IndexLink"/>
              </w:rPr>
              <w:t>8</w:t>
            </w:r>
            <w:r>
              <w:rPr>
                <w:rStyle w:val="IndexLink"/>
                <w:rtl w:val="true"/>
              </w:rPr>
              <w:t xml:space="preserve"> </w:t>
            </w:r>
            <w:r>
              <w:rPr>
                <w:rStyle w:val="IndexLink"/>
                <w:rtl w:val="true"/>
              </w:rPr>
              <w:t xml:space="preserve">یخص الحکام من الأحکام أمور کثیرة تجمعها الدخول تحت ولایة الإمام </w:t>
            </w:r>
            <w:r>
              <w:rPr>
                <w:rStyle w:val="IndexLink"/>
                <w:rtl w:val="true"/>
              </w:rPr>
              <w:t>(</w:t>
            </w:r>
            <w:r>
              <w:rPr>
                <w:rStyle w:val="IndexLink"/>
                <w:rtl w:val="true"/>
              </w:rPr>
              <w:t>ع</w:t>
            </w:r>
            <w:r>
              <w:rPr>
                <w:rStyle w:val="IndexLink"/>
                <w:rtl w:val="true"/>
              </w:rPr>
              <w:t>)</w:t>
              <w:tab/>
            </w:r>
            <w:r>
              <w:rPr>
                <w:rStyle w:val="IndexLink"/>
              </w:rPr>
              <w:t>29</w:t>
            </w:r>
          </w:hyperlink>
        </w:p>
        <w:p>
          <w:pPr>
            <w:pStyle w:val="Contents3"/>
            <w:tabs>
              <w:tab w:val="clear" w:pos="8459"/>
              <w:tab w:val="right" w:pos="9026" w:leader="dot"/>
            </w:tabs>
            <w:rPr/>
          </w:pPr>
          <w:hyperlink w:anchor="__RefHeading___Toc4098586_3804643083">
            <w:r>
              <w:rPr>
                <w:webHidden/>
                <w:rStyle w:val="IndexLink"/>
                <w:rtl w:val="true"/>
              </w:rPr>
              <w:t xml:space="preserve">قاعدة </w:t>
            </w:r>
            <w:r>
              <w:rPr>
                <w:rStyle w:val="IndexLink"/>
              </w:rPr>
              <w:t>9</w:t>
            </w:r>
            <w:r>
              <w:rPr>
                <w:rStyle w:val="IndexLink"/>
                <w:rtl w:val="true"/>
              </w:rPr>
              <w:t xml:space="preserve"> </w:t>
            </w:r>
            <w:r>
              <w:rPr>
                <w:rStyle w:val="IndexLink"/>
                <w:rtl w:val="true"/>
              </w:rPr>
              <w:t>یعطی فعل النائب فعل المنوب عنه</w:t>
            </w:r>
            <w:r>
              <w:rPr>
                <w:rStyle w:val="IndexLink"/>
                <w:rtl w:val="true"/>
              </w:rPr>
              <w:tab/>
            </w:r>
            <w:r>
              <w:rPr>
                <w:rStyle w:val="IndexLink"/>
              </w:rPr>
              <w:t>30</w:t>
            </w:r>
          </w:hyperlink>
        </w:p>
        <w:p>
          <w:pPr>
            <w:pStyle w:val="Contents3"/>
            <w:tabs>
              <w:tab w:val="clear" w:pos="8459"/>
              <w:tab w:val="right" w:pos="9026" w:leader="dot"/>
            </w:tabs>
            <w:rPr/>
          </w:pPr>
          <w:hyperlink w:anchor="__RefHeading___Toc4098588_3804643083">
            <w:r>
              <w:rPr>
                <w:webHidden/>
                <w:rStyle w:val="IndexLink"/>
                <w:rtl w:val="true"/>
              </w:rPr>
              <w:t xml:space="preserve">قاعدة </w:t>
            </w:r>
            <w:r>
              <w:rPr>
                <w:rStyle w:val="IndexLink"/>
              </w:rPr>
              <w:t>10</w:t>
            </w:r>
            <w:r>
              <w:rPr>
                <w:rStyle w:val="IndexLink"/>
                <w:rtl w:val="true"/>
              </w:rPr>
              <w:t xml:space="preserve"> </w:t>
            </w:r>
            <w:r>
              <w:rPr>
                <w:rStyle w:val="IndexLink"/>
                <w:rtl w:val="true"/>
              </w:rPr>
              <w:t>یغتفر فی الثوانی و التوابع ما لا یغتفر فی الأوائل و المتبوعات</w:t>
            </w:r>
            <w:r>
              <w:rPr>
                <w:rStyle w:val="IndexLink"/>
                <w:rtl w:val="true"/>
              </w:rPr>
              <w:tab/>
            </w:r>
            <w:r>
              <w:rPr>
                <w:rStyle w:val="IndexLink"/>
              </w:rPr>
              <w:t>31</w:t>
            </w:r>
          </w:hyperlink>
        </w:p>
        <w:p>
          <w:pPr>
            <w:pStyle w:val="Contents3"/>
            <w:tabs>
              <w:tab w:val="clear" w:pos="8459"/>
              <w:tab w:val="right" w:pos="9026" w:leader="dot"/>
            </w:tabs>
            <w:rPr/>
          </w:pPr>
          <w:hyperlink w:anchor="__RefHeading___Toc4098590_3804643083">
            <w:r>
              <w:rPr>
                <w:webHidden/>
                <w:rStyle w:val="IndexLink"/>
                <w:rtl w:val="true"/>
              </w:rPr>
              <w:t xml:space="preserve">قاعدة </w:t>
            </w:r>
            <w:r>
              <w:rPr>
                <w:rStyle w:val="IndexLink"/>
              </w:rPr>
              <w:t>11</w:t>
            </w:r>
            <w:r>
              <w:rPr>
                <w:rStyle w:val="IndexLink"/>
                <w:rtl w:val="true"/>
              </w:rPr>
              <w:t xml:space="preserve"> </w:t>
            </w:r>
            <w:r>
              <w:rPr>
                <w:rStyle w:val="IndexLink"/>
                <w:rtl w:val="true"/>
              </w:rPr>
              <w:t>فی بیان ما یقبل النقل أو الصلح من الحقوق و الأعیان و المنافع الموافقة للشریعة</w:t>
            </w:r>
            <w:r>
              <w:rPr>
                <w:rStyle w:val="IndexLink"/>
                <w:rtl w:val="true"/>
              </w:rPr>
              <w:tab/>
            </w:r>
            <w:r>
              <w:rPr>
                <w:rStyle w:val="IndexLink"/>
              </w:rPr>
              <w:t>33</w:t>
            </w:r>
          </w:hyperlink>
        </w:p>
        <w:p>
          <w:pPr>
            <w:pStyle w:val="Contents3"/>
            <w:tabs>
              <w:tab w:val="clear" w:pos="8459"/>
              <w:tab w:val="right" w:pos="9026" w:leader="dot"/>
            </w:tabs>
            <w:rPr/>
          </w:pPr>
          <w:hyperlink w:anchor="__RefHeading___Toc4098592_3804643083">
            <w:r>
              <w:rPr>
                <w:webHidden/>
                <w:rStyle w:val="IndexLink"/>
                <w:rtl w:val="true"/>
              </w:rPr>
              <w:t xml:space="preserve">قاعدة </w:t>
            </w:r>
            <w:r>
              <w:rPr>
                <w:rStyle w:val="IndexLink"/>
              </w:rPr>
              <w:t>12</w:t>
            </w:r>
            <w:r>
              <w:rPr>
                <w:rStyle w:val="IndexLink"/>
                <w:rtl w:val="true"/>
              </w:rPr>
              <w:t xml:space="preserve"> </w:t>
            </w:r>
            <w:r>
              <w:rPr>
                <w:rStyle w:val="IndexLink"/>
                <w:rtl w:val="true"/>
              </w:rPr>
              <w:t>مستفادة من مضامین الأخبار کقولهم لا ضرر و لا ضرار</w:t>
            </w:r>
            <w:r>
              <w:rPr>
                <w:rStyle w:val="IndexLink"/>
                <w:rtl w:val="true"/>
              </w:rPr>
              <w:tab/>
            </w:r>
            <w:r>
              <w:rPr>
                <w:rStyle w:val="IndexLink"/>
              </w:rPr>
              <w:t>34</w:t>
            </w:r>
          </w:hyperlink>
        </w:p>
        <w:p>
          <w:pPr>
            <w:pStyle w:val="Contents3"/>
            <w:tabs>
              <w:tab w:val="clear" w:pos="8459"/>
              <w:tab w:val="right" w:pos="9026" w:leader="dot"/>
            </w:tabs>
            <w:rPr/>
          </w:pPr>
          <w:hyperlink w:anchor="__RefHeading___Toc4098594_3804643083">
            <w:r>
              <w:rPr>
                <w:webHidden/>
                <w:rStyle w:val="IndexLink"/>
                <w:rtl w:val="true"/>
              </w:rPr>
              <w:t xml:space="preserve">قاعدة </w:t>
            </w:r>
            <w:r>
              <w:rPr>
                <w:rStyle w:val="IndexLink"/>
              </w:rPr>
              <w:t>13</w:t>
            </w:r>
            <w:r>
              <w:rPr>
                <w:rStyle w:val="IndexLink"/>
                <w:rtl w:val="true"/>
              </w:rPr>
              <w:t xml:space="preserve"> </w:t>
            </w:r>
            <w:r>
              <w:rPr>
                <w:rStyle w:val="IndexLink"/>
                <w:rtl w:val="true"/>
              </w:rPr>
              <w:t xml:space="preserve">مستفادة من قوله تعالی </w:t>
            </w:r>
            <w:r>
              <w:rPr>
                <w:rStyle w:val="IndexLink"/>
                <w:rtl w:val="true"/>
              </w:rPr>
              <w:t>[</w:t>
            </w:r>
            <w:r>
              <w:rPr>
                <w:rStyle w:val="IndexLink"/>
                <w:rtl w:val="true"/>
              </w:rPr>
              <w:t>ما جعل علیکم فی الدین من حرج</w:t>
            </w:r>
            <w:r>
              <w:rPr>
                <w:rStyle w:val="IndexLink"/>
                <w:rtl w:val="true"/>
              </w:rPr>
              <w:t>]</w:t>
              <w:tab/>
            </w:r>
            <w:r>
              <w:rPr>
                <w:rStyle w:val="IndexLink"/>
              </w:rPr>
              <w:t>36</w:t>
            </w:r>
          </w:hyperlink>
        </w:p>
        <w:p>
          <w:pPr>
            <w:pStyle w:val="Contents3"/>
            <w:tabs>
              <w:tab w:val="clear" w:pos="8459"/>
              <w:tab w:val="right" w:pos="9026" w:leader="dot"/>
            </w:tabs>
            <w:rPr/>
          </w:pPr>
          <w:hyperlink w:anchor="__RefHeading___Toc4098596_3804643083">
            <w:r>
              <w:rPr>
                <w:webHidden/>
                <w:rStyle w:val="IndexLink"/>
                <w:rtl w:val="true"/>
              </w:rPr>
              <w:t xml:space="preserve">قاعدة </w:t>
            </w:r>
            <w:r>
              <w:rPr>
                <w:rStyle w:val="IndexLink"/>
              </w:rPr>
              <w:t>14</w:t>
            </w:r>
            <w:r>
              <w:rPr>
                <w:rStyle w:val="IndexLink"/>
                <w:rtl w:val="true"/>
              </w:rPr>
              <w:t xml:space="preserve"> </w:t>
            </w:r>
            <w:r>
              <w:rPr>
                <w:rStyle w:val="IndexLink"/>
                <w:rtl w:val="true"/>
              </w:rPr>
              <w:t>فی أنَّ الإذن فی ترک الواجب أو الندب فی بعض الأحوال أو لأجل بعض العوارض لا یفید سوی رفع الوجوب</w:t>
            </w:r>
            <w:r>
              <w:rPr>
                <w:rStyle w:val="IndexLink"/>
                <w:rtl w:val="true"/>
              </w:rPr>
              <w:tab/>
            </w:r>
            <w:r>
              <w:rPr>
                <w:rStyle w:val="IndexLink"/>
              </w:rPr>
              <w:t>38</w:t>
            </w:r>
          </w:hyperlink>
        </w:p>
        <w:p>
          <w:pPr>
            <w:pStyle w:val="Contents3"/>
            <w:tabs>
              <w:tab w:val="clear" w:pos="8459"/>
              <w:tab w:val="right" w:pos="9026" w:leader="dot"/>
            </w:tabs>
            <w:rPr/>
          </w:pPr>
          <w:hyperlink w:anchor="__RefHeading___Toc4098598_3804643083">
            <w:r>
              <w:rPr>
                <w:webHidden/>
                <w:rStyle w:val="IndexLink"/>
                <w:rtl w:val="true"/>
              </w:rPr>
              <w:t xml:space="preserve">قاعدة </w:t>
            </w:r>
            <w:r>
              <w:rPr>
                <w:rStyle w:val="IndexLink"/>
              </w:rPr>
              <w:t>15</w:t>
            </w:r>
            <w:r>
              <w:rPr>
                <w:rStyle w:val="IndexLink"/>
                <w:rtl w:val="true"/>
              </w:rPr>
              <w:t xml:space="preserve"> </w:t>
            </w:r>
            <w:r>
              <w:rPr>
                <w:rStyle w:val="IndexLink"/>
                <w:rtl w:val="true"/>
              </w:rPr>
              <w:t>فی أنَّ الحُکم الحرام فی الابتدائی ینجز الی اثره فی البقاء فی المحال و فی الإخراج</w:t>
            </w:r>
            <w:r>
              <w:rPr>
                <w:rStyle w:val="IndexLink"/>
                <w:rtl w:val="true"/>
              </w:rPr>
              <w:tab/>
            </w:r>
            <w:r>
              <w:rPr>
                <w:rStyle w:val="IndexLink"/>
              </w:rPr>
              <w:t>39</w:t>
            </w:r>
          </w:hyperlink>
        </w:p>
        <w:p>
          <w:pPr>
            <w:pStyle w:val="Contents3"/>
            <w:tabs>
              <w:tab w:val="clear" w:pos="8459"/>
              <w:tab w:val="right" w:pos="9026" w:leader="dot"/>
            </w:tabs>
            <w:rPr/>
          </w:pPr>
          <w:hyperlink w:anchor="__RefHeading___Toc4098600_3804643083">
            <w:r>
              <w:rPr>
                <w:webHidden/>
                <w:rStyle w:val="IndexLink"/>
                <w:rtl w:val="true"/>
              </w:rPr>
              <w:t xml:space="preserve">قاعدة </w:t>
            </w:r>
            <w:r>
              <w:rPr>
                <w:rStyle w:val="IndexLink"/>
              </w:rPr>
              <w:t>16</w:t>
            </w:r>
            <w:r>
              <w:rPr>
                <w:rStyle w:val="IndexLink"/>
                <w:rtl w:val="true"/>
              </w:rPr>
              <w:t xml:space="preserve"> </w:t>
            </w:r>
            <w:r>
              <w:rPr>
                <w:rStyle w:val="IndexLink"/>
                <w:rtl w:val="true"/>
              </w:rPr>
              <w:t>فی أنَّ مقدماته اختباریة</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08_19377"/>
      <w:bookmarkStart w:id="1" w:name="pg2508_19377"/>
      <w:bookmarkEnd w:id="1"/>
    </w:p>
    <w:p>
      <w:pPr>
        <w:pStyle w:val="Heading2"/>
        <w:numPr>
          <w:ilvl w:val="1"/>
          <w:numId w:val="1"/>
        </w:numPr>
        <w:rPr/>
      </w:pPr>
      <w:bookmarkStart w:id="2" w:name="pg2508_19377"/>
      <w:bookmarkStart w:id="3" w:name="__RefHeading___Toc4098546_380464308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الستة عشر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کاشف الغطاء، جعفر بن خضر مالکی تاریخ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کاشف الغطاء 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Heading2"/>
        <w:numPr>
          <w:ilvl w:val="1"/>
          <w:numId w:val="1"/>
        </w:numPr>
        <w:rPr/>
      </w:pPr>
      <w:bookmarkStart w:id="5" w:name="__RefHeading___Toc4098548_3804643083"/>
      <w:bookmarkStart w:id="6" w:name="_Toc2"/>
      <w:bookmarkEnd w:id="5"/>
      <w:r>
        <w:rPr>
          <w:rtl w:val="true"/>
        </w:rPr>
        <w:t>[</w:t>
      </w:r>
      <w:r>
        <w:rPr>
          <w:rtl w:val="true"/>
        </w:rPr>
        <w:t>المقدمة</w:t>
      </w:r>
      <w:r>
        <w:rPr>
          <w:rtl w:val="true"/>
        </w:rPr>
        <w:t>]</w:t>
      </w:r>
      <w:bookmarkEnd w:id="6"/>
    </w:p>
    <w:p>
      <w:pPr>
        <w:pStyle w:val="Heading3"/>
        <w:numPr>
          <w:ilvl w:val="2"/>
          <w:numId w:val="1"/>
        </w:numPr>
        <w:rPr/>
      </w:pPr>
      <w:bookmarkStart w:id="7" w:name="__RefHeading___Toc4098550_3804643083"/>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الْعٰالَمِینَ و الصلاة و السلام علی محمد و آله الطیبین الطاهرین</w:t>
      </w:r>
      <w:r>
        <w:rPr>
          <w:rFonts w:eastAsia="Amiri" w:cs="Amiri" w:ascii="Amiri" w:hAnsi="Amiri"/>
          <w:color w:val="111111"/>
          <w:sz w:val="28"/>
          <w:szCs w:val="28"/>
          <w:rtl w:val="true"/>
          <w:lang w:bidi="ar-SA"/>
        </w:rPr>
        <w:t>.</w:t>
      </w:r>
    </w:p>
    <w:p>
      <w:pPr>
        <w:pStyle w:val="Heading3"/>
        <w:numPr>
          <w:ilvl w:val="2"/>
          <w:numId w:val="1"/>
        </w:numPr>
        <w:rPr/>
      </w:pPr>
      <w:bookmarkStart w:id="9" w:name="__RefHeading___Toc4098552_3804643083"/>
      <w:bookmarkStart w:id="10" w:name="_Toc4"/>
      <w:bookmarkEnd w:id="9"/>
      <w:r>
        <w:rPr>
          <w:rtl w:val="true"/>
        </w:rPr>
        <w:t>الشیخ جعفر الکبیر</w:t>
      </w:r>
      <w:bookmarkEnd w:id="10"/>
    </w:p>
    <w:p>
      <w:pPr>
        <w:pStyle w:val="Heading4"/>
        <w:numPr>
          <w:ilvl w:val="3"/>
          <w:numId w:val="1"/>
        </w:numPr>
        <w:rPr/>
      </w:pPr>
      <w:bookmarkStart w:id="11" w:name="__RefHeading___Toc4098554_3804643083"/>
      <w:bookmarkStart w:id="12" w:name="_Toc5"/>
      <w:bookmarkEnd w:id="11"/>
      <w:r>
        <w:rPr>
          <w:rtl w:val="true"/>
        </w:rPr>
        <w:t>اسمه و نسبه</w:t>
      </w:r>
      <w:r>
        <w:rPr>
          <w:rtl w:val="true"/>
        </w:rPr>
        <w:t>:</w:t>
      </w:r>
      <w:bookmarkEnd w:id="12"/>
    </w:p>
    <w:p>
      <w:pPr>
        <w:pStyle w:val="BookText"/>
        <w:rPr/>
      </w:pPr>
      <w:r>
        <w:rPr>
          <w:rFonts w:ascii="IRNazanin" w:hAnsi="IRNazanin" w:eastAsia="IRNazanin"/>
          <w:color w:val="111111"/>
          <w:sz w:val="28"/>
          <w:sz w:val="28"/>
          <w:szCs w:val="28"/>
          <w:rtl w:val="true"/>
          <w:lang w:bidi="fa-IR"/>
        </w:rPr>
        <w:t xml:space="preserve">هو الشیخ جعفر بن الشیخ خضر بن یحیی بن مطر بن سید الدین من القبیلة المعروفة بآل علی من سلالة مالک الأشتر رضوان اللّه علیه، ولد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کما صرح به حفیده الشیخ علی فی کتابه الموسوم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 فی جو عابق بالأیمان مما هیأه أن تنتزع نفسه إلی طلب الفضائل و التحلی بمحاسن الخصال و الاستزادة من طلب العلم و الارتضاق من مناهل المعرفة</w:t>
      </w:r>
      <w:r>
        <w:rPr>
          <w:rFonts w:eastAsia="IRNazanin" w:cs="IRNazanin"/>
          <w:color w:val="111111"/>
          <w:sz w:val="28"/>
          <w:szCs w:val="28"/>
          <w:rtl w:val="true"/>
          <w:lang w:bidi="fa-IR"/>
        </w:rPr>
        <w:t>.</w:t>
      </w:r>
    </w:p>
    <w:p>
      <w:pPr>
        <w:pStyle w:val="Heading4"/>
        <w:numPr>
          <w:ilvl w:val="3"/>
          <w:numId w:val="1"/>
        </w:numPr>
        <w:rPr/>
      </w:pPr>
      <w:bookmarkStart w:id="13" w:name="__RefHeading___Toc4098556_3804643083"/>
      <w:bookmarkStart w:id="14" w:name="_Toc6"/>
      <w:bookmarkEnd w:id="13"/>
      <w:r>
        <w:rPr>
          <w:rtl w:val="true"/>
        </w:rPr>
        <w:t>أساتذته</w:t>
      </w:r>
      <w:r>
        <w:rPr>
          <w:rtl w:val="true"/>
        </w:rPr>
        <w:t>:</w:t>
      </w:r>
      <w:bookmarkEnd w:id="14"/>
    </w:p>
    <w:p>
      <w:pPr>
        <w:pStyle w:val="BookText"/>
        <w:rPr/>
      </w:pPr>
      <w:r>
        <w:rPr>
          <w:rFonts w:ascii="IRNazanin" w:hAnsi="IRNazanin" w:eastAsia="IRNazanin"/>
          <w:color w:val="111111"/>
          <w:sz w:val="28"/>
          <w:sz w:val="28"/>
          <w:szCs w:val="28"/>
          <w:rtl w:val="true"/>
          <w:lang w:bidi="fa-IR"/>
        </w:rPr>
        <w:t>کان أول أساتذته هو والده المقدس الورع الشیخ خضر فقد حضر برهةً من الزمن، ثمّ علی الشیخ محمد تقی الدروقی، و الشیخ محمد مهدی العاملی الفتونی و کان غالب تلمذته علیه، و السید صادق الأعرجی الشهیر بالفحام، و الفقیه المجدد الآقا محمد باقر الشهیر بالوحید البهبهانی، کما حضر علی السید مهدی الطباطبائی الشهیر ببحر العلوم ستة أشهر تقریباً للیمن و البرکة، لأن الشیخ کان من أقرانه فی العلم و الفضل، ثمّ ترقی فی مدارج العلوم حتی أصبح یشار إلیه بالبنان بین علماء عصره الأعلام بل أصبح المرجع الأعلی للعام و الخاص، و قد أطرأه و أشاد بذکره کل من تعرض إلی ترجمته من أعلام المؤلفین فی قدیم الدهر و حدیثه، و مظان ترجمته أکثر من أن یأتی علیها الحصر، و قد ترکناها روماً للاختصار و مراعاة للمقام</w:t>
      </w:r>
      <w:r>
        <w:rPr>
          <w:rFonts w:eastAsia="IRNazanin" w:cs="IRNazanin"/>
          <w:color w:val="111111"/>
          <w:sz w:val="28"/>
          <w:szCs w:val="28"/>
          <w:rtl w:val="true"/>
          <w:lang w:bidi="fa-IR"/>
        </w:rPr>
        <w:t>.</w:t>
      </w:r>
    </w:p>
    <w:p>
      <w:pPr>
        <w:pStyle w:val="Heading4"/>
        <w:numPr>
          <w:ilvl w:val="3"/>
          <w:numId w:val="1"/>
        </w:numPr>
        <w:rPr/>
      </w:pPr>
      <w:bookmarkStart w:id="15" w:name="__RefHeading___Toc4098558_3804643083"/>
      <w:bookmarkStart w:id="16" w:name="_Toc7"/>
      <w:bookmarkEnd w:id="15"/>
      <w:r>
        <w:rPr>
          <w:rtl w:val="true"/>
        </w:rPr>
        <w:t>تلامذته</w:t>
      </w:r>
      <w:r>
        <w:rPr>
          <w:rtl w:val="true"/>
        </w:rPr>
        <w:t>:</w:t>
      </w:r>
      <w:bookmarkEnd w:id="16"/>
    </w:p>
    <w:p>
      <w:pPr>
        <w:pStyle w:val="BookText"/>
        <w:rPr/>
      </w:pPr>
      <w:r>
        <w:rPr>
          <w:rFonts w:ascii="IRNazanin" w:hAnsi="IRNazanin" w:eastAsia="IRNazanin"/>
          <w:color w:val="111111"/>
          <w:sz w:val="28"/>
          <w:sz w:val="28"/>
          <w:szCs w:val="28"/>
          <w:rtl w:val="true"/>
          <w:lang w:bidi="fa-IR"/>
        </w:rPr>
        <w:t xml:space="preserve">تخرج من مدرسته جمهرة کبیرة من أعلام الفضل و فطاحل العلم و العلماء الأجلاء و من أبرزهم أولاده الأعلام الثلاثة الشیخ موسی مصلح الدولتین و الشیخ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صهره الشیخ أسد اللّه التستری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صهره الثانی محمد علی الضرار جریبی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صهره الثالث الشیخ محمد تقی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صهره الرابع السید صدر الدین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محمد والد الشیخ راضی من بنی عمه، و الشیخ محمد إبراهیم الکرباسی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محمد باقر الأصفهانی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خضر بن شلال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محسن الأعسم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محسن الأعرجی الکاظمی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محمد بن الأمیر معصوم الرضوی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جواد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محمد حسن النجفی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أحمد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السید عبد اللّه شبر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الشیخ قاسم محی الدین العاملی النجفی، و الشیخ إبراهیم البلاغی العاملی، و الأغا جمال، و السید باقر القزوینی و السید حسن القزوینی و غیرهم</w:t>
      </w:r>
      <w:r>
        <w:rPr>
          <w:rFonts w:eastAsia="IRNazanin" w:cs="IRNazanin"/>
          <w:color w:val="111111"/>
          <w:sz w:val="28"/>
          <w:szCs w:val="28"/>
          <w:rtl w:val="true"/>
          <w:lang w:bidi="fa-IR"/>
        </w:rPr>
        <w:t>.</w:t>
      </w:r>
    </w:p>
    <w:p>
      <w:pPr>
        <w:pStyle w:val="Heading4"/>
        <w:numPr>
          <w:ilvl w:val="3"/>
          <w:numId w:val="1"/>
        </w:numPr>
        <w:rPr/>
      </w:pPr>
      <w:bookmarkStart w:id="17" w:name="__RefHeading___Toc4098560_3804643083"/>
      <w:bookmarkStart w:id="18" w:name="_Toc8"/>
      <w:bookmarkEnd w:id="17"/>
      <w:r>
        <w:rPr>
          <w:rtl w:val="true"/>
        </w:rPr>
        <w:t>نبذة من سیرته و أحواله</w:t>
      </w:r>
      <w:r>
        <w:rPr>
          <w:rtl w:val="true"/>
        </w:rPr>
        <w:t>:</w:t>
      </w:r>
      <w:bookmarkEnd w:id="18"/>
    </w:p>
    <w:p>
      <w:pPr>
        <w:pStyle w:val="BookText"/>
        <w:rPr/>
      </w:pPr>
      <w:r>
        <w:rPr>
          <w:rFonts w:ascii="IRNazanin" w:hAnsi="IRNazanin" w:eastAsia="IRNazanin"/>
          <w:color w:val="111111"/>
          <w:sz w:val="28"/>
          <w:sz w:val="28"/>
          <w:szCs w:val="28"/>
          <w:rtl w:val="true"/>
          <w:lang w:bidi="fa-IR"/>
        </w:rPr>
        <w:t>یمکننا معرفة سلوک الشیخ مما وصفه الواصفون و ألفه المترجمون من بعض الحوادث و الذی یتلخص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الشیخ کان مواظباً علی السنن و الآداب، و مناجاته فی الاسحار، و مخاطبة نفسه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جعیفراً، ثمّ صرت جعفراً، ثمّ الشیخ جعفر، ثمّ شیخ العراق، ثمّ رئیس الإسلام، و بکائه و تذلله لرأیته من الذین وصفهم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أصحابه الاحنف بن قیس، کما ذکر ذلک المحدث النوری فی المستدرک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کان فی عصر کل یوم یجلس مع أولاده بمنطقة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قضاء إمام مسجد الهندی و کانت تسمی برکة قضاء الشیخ، لأن الشیخ إذا جلس بها عصراً أتی کل من المتداعیین فیقضی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صفاته کان شدید التواضع و الخفض و اللین، فاقد التجبر و الجبر علی المؤمنین مع ما فیه من الصولة و الوقار و الهیبة و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یری استیفاء حقوق اللّه من أموال الخلائق علی سبیل القهر، و یباشر ذلک بنفسه بالقبض و صرفه إلی مستحقیه الحاضرین من أهل الفاقة و الفقر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رحمه اللّه ذا عیلة شدیدة فی سبغة و مسکنة ذات متربة، فیؤجر نفسه للعبادة لیستغنی بأجرتها عن مئونات زمان التحصیل</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بلغ الشیخ من الرئاسة ذروتها، فقد کان مطاعاً معظماً محبوباً مقدراً، أمتد نفوذه، وسمت مکانته، فأفاض العلم و نشر الدعوة الإسلامیة، و اقام معالم الدین، و شاد دعائمه، و کان الملوک و السلاطین</w:t>
      </w:r>
    </w:p>
    <w:p>
      <w:pPr>
        <w:pStyle w:val="BookText"/>
        <w:rPr/>
      </w:pPr>
      <w:r>
        <w:rPr>
          <w:rFonts w:ascii="IRNazanin" w:hAnsi="IRNazanin" w:eastAsia="IRNazanin"/>
          <w:color w:val="111111"/>
          <w:sz w:val="28"/>
          <w:sz w:val="28"/>
          <w:szCs w:val="28"/>
          <w:rtl w:val="true"/>
          <w:lang w:bidi="fa-IR"/>
        </w:rPr>
        <w:t>فی عصره یرمقونه بعین التعظیم و الأکبار، و بذلک کانت له الموفقیة بالحصول علی غایات شریفة قلّ من کناهاه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الشیخ یخاطب فی الرسائل مکبل تبجیل و احترام منها تعرف مکانته و أهمیته فی المجتمع، فمنها جاء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المرجع للخلق، و المتکلم بالحق، و الناطق بالصدق، و المحیی علوم المرسلین، و المقتفی آثار الأئمة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جلالة شأنه و غزارة علمه لا یحتاج إلی بیان، لما هو محسوس بالعیان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 عنه أنه قال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باق علی بکارته لم یمسه أحد إلّا أنا و الشهیر و ابنی موسی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محی لی کتب الفقه لکتبت الفقه من أول الطهارة إلی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الشیخ الأعظم الأنصاری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أتقن القواعد الأصولیة التی أودعها الشیخ فی کشف الغطاء فهو عندی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صاحب الجواهر أنه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أعرضت عن شرح کشف الغطاء؟ تؤد حق صاحبه، و هو شیمتک و أستاذک و فی کتابه من المطالب العویصة و العبرات المشکلة ما لا یحصی،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ولدی أنا عجزان من أدوات الشیخ، أی لا أقدر علی استنباط مدارک الفروع المذکورة فیه، أو کذا أو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الشیخ رحمه اللّه یحفظ علی خاطره الکتب السماویة من انجیل و توراة بجمیع فقراتها و فصولها، و یوضح ذلک ما ذکره فی کتابه کشف الغطاء من تلک الکتب فی مقام الاستدلال علی نبوة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سرد هنالک ثلاث أوراق باللسان التی نزلت به ثمّ ترجمها بالعربیة و بین تناقضها و تحریفها عما نزلت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مواقفه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الشیخ رحمه اللّه أبا باراً للنجف الأشرف، و قائدها الروحی، یرجع إلیه فی الملمّات و الحوادث، و یستغاث به عند النوازل، فقد ذکر المترجمون من الحوادث و الوقائع ما یدل علی ذلک منها أنه ما زال ساعیاً فی قضاء حوائج الناس معیناً للفقراء و الضعفاء، و کان فی عصر کل یومٍ یجلس مع أولاده فی منطقة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الطمة</w:t>
      </w:r>
      <w:r>
        <w:rPr>
          <w:rFonts w:eastAsia="IRNazanin" w:cs="IRNazanin"/>
          <w:color w:val="111111"/>
          <w:sz w:val="28"/>
          <w:szCs w:val="28"/>
          <w:rtl w:val="true"/>
          <w:lang w:bidi="fa-IR"/>
        </w:rPr>
        <w:t>)</w:t>
      </w:r>
      <w:bookmarkStart w:id="19" w:name="pg2508_19381"/>
    </w:p>
    <w:p>
      <w:pPr>
        <w:pStyle w:val="BookText"/>
        <w:rPr/>
      </w:pPr>
      <w:bookmarkEnd w:id="19"/>
      <w:r>
        <w:rPr>
          <w:rFonts w:ascii="IRNazanin" w:hAnsi="IRNazanin" w:eastAsia="IRNazanin"/>
          <w:color w:val="111111"/>
          <w:sz w:val="28"/>
          <w:sz w:val="28"/>
          <w:szCs w:val="28"/>
          <w:rtl w:val="true"/>
          <w:lang w:bidi="fa-IR"/>
        </w:rPr>
        <w:t xml:space="preserve">و هی قضاء إمام مسجد الهندی و 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للقضاء لکل متداعیین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مواقفه المشرفة دفاعه عن النجف الأشرف من غارات أعراب البوادی منها غارات الوهابیة التی شنها ابن سعود الوهابی </w:t>
      </w:r>
      <w:r>
        <w:rPr>
          <w:rStyle w:val="FootnoteAnchor"/>
          <w:rtl w:val="true"/>
        </w:rPr>
        <w:footnoteReference w:id="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إخماد حادثة الانشقاق بین الشمرت و الزکرت التی أزهقت أرواح و نفوس الأبریاء و الفقراء و نهبت الأموال، فبحزمه و عزمه و شدة صولته و نفوذ أمره کان یذب عن الضعفاء، و یحرس الفقراء، فکان لهم حرزاً منیعاً، و سوراً رفیعاً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الشیخ الکبیر قدس سره مناضل مع المیرزا محمد الأخباری قتیل الکرخ بأمر الشیخ الکبیر، و له رسالة فی الرد علیه أرسلها إلی السلطان فتح علی شاه القاجار و ذلک حین ألتجئ المیرزا الأخباری إلی السلطان خوفاً علی نفسه و فراراً من یدی الشیخ الکبیر بعد مهاجمته علی العلماء و المجتهدین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قدس سره شدید الأمر بالمعروف و النهی عن المنکر، و فی سفره إلی إیران کانت له مواقف مشهورة فی إنکار المنکرات و منع بیع الخمور و عمله، وقصته فی شیراز مع أرباب المعامل التی تصنع الخمور معروفة، حیث أن الشیخ الکبیر لا تأخذه فی اللّه لومة لائم</w:t>
      </w:r>
      <w:r>
        <w:rPr>
          <w:rFonts w:eastAsia="IRNazanin" w:cs="IRNazanin"/>
          <w:color w:val="111111"/>
          <w:sz w:val="28"/>
          <w:szCs w:val="28"/>
          <w:rtl w:val="true"/>
          <w:lang w:bidi="fa-IR"/>
        </w:rPr>
        <w:t>.</w:t>
      </w:r>
    </w:p>
    <w:p>
      <w:pPr>
        <w:pStyle w:val="Heading4"/>
        <w:numPr>
          <w:ilvl w:val="3"/>
          <w:numId w:val="1"/>
        </w:numPr>
        <w:rPr/>
      </w:pPr>
      <w:bookmarkStart w:id="20" w:name="__RefHeading___Toc4098562_3804643083"/>
      <w:bookmarkStart w:id="21" w:name="_Toc9"/>
      <w:bookmarkEnd w:id="20"/>
      <w:r>
        <w:rPr>
          <w:rtl w:val="true"/>
        </w:rPr>
        <w:t>آثاره العلمیة</w:t>
      </w:r>
      <w:r>
        <w:rPr>
          <w:rtl w:val="true"/>
        </w:rPr>
        <w:t>:</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خفیات مبهمات الشریعة الغراء، و هو الذی أشتهر به، و عرفت ذریته بعد باسمه، و کان قد ألفه فی السفر إلی إیران، و لم یکن عنده من کتب الفقه غیر قواعد الأحکام للعلامة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الأعظم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أتقن القواعد الأصولیة التی أودعها الشیخ فی کشفه فهو عندی مجتهد، و قد طبع هذا الکتاب مرتین علی الحجر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الجعفریة فی شرح بعض أبواب المکاسب من قواعد العلامة الحلی، وصل إلی بیع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الهدایة للعلامة بحر العلوم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bookmarkStart w:id="22" w:name="pg2508_19384"/>
    </w:p>
    <w:p>
      <w:pPr>
        <w:pStyle w:val="BookText"/>
        <w:rPr/>
      </w:pPr>
      <w:bookmarkEnd w:id="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 الجعفریة رسالة فی أصول الدین طبعت فی مقدمة کتاب کشف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المأمول فی علم الأصول یشمل علی مباحث الألفاظ و الأدلة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بغیة الطالب فی معرفة المفروض و الواجب، و هی رسالة عملیة فی الطهارة و الصلاة، شرحها ولده الشیخ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المکاسب تشمل علی صحة بعض المکاسب و المنع عن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المبنی فی تصویب المجتهدین و تخطئة الأخباریین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انتقد فیه طریقة الأخباریین و آراءهم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حجری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الستة عشر التی یحتاج إلیها فی الاستدلال، و هو هذا الکتاب الذی بین یدیک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معائب میرزا محمد الأخباری عدو العلماء، رسالة ألفها الشیخ الکبیر و أرسلها إلی السلطان فتح علی شاه القاجاری، و دل فیها علی قبائح ذلک الرجل، و معایبه و فساد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 شرح علی المصابیح الذی هو منثور الدرّة للسید بحر العلوم، وصل فیها إلی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 و هو شرح علی شرائع الإسلام للمحقق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التحقیق و التنقیر فی المقادیر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الدماء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الرشاد لمن أراد السداد کتاب ألفه جواباً لرسالة وردت إلیه من عبد العزیز آل سعود رئیس الفرقة الوهابیة، بین فیها زیف دعائم العقیدة الوهابیة بالطرق الثابتة لدیها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 السماء رسالتان إحداهما فی إثبات الفرقة الناجیة، و الأخری فی أحکام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غیر ذلک من الرسائل و الأجوبة</w:t>
      </w:r>
      <w:r>
        <w:rPr>
          <w:rFonts w:eastAsia="IRNazanin" w:cs="IRNazanin"/>
          <w:color w:val="111111"/>
          <w:sz w:val="28"/>
          <w:szCs w:val="28"/>
          <w:rtl w:val="true"/>
          <w:lang w:bidi="fa-IR"/>
        </w:rPr>
        <w:t>.</w:t>
      </w:r>
    </w:p>
    <w:p>
      <w:pPr>
        <w:pStyle w:val="Heading4"/>
        <w:numPr>
          <w:ilvl w:val="3"/>
          <w:numId w:val="1"/>
        </w:numPr>
        <w:rPr/>
      </w:pPr>
      <w:bookmarkStart w:id="23" w:name="__RefHeading___Toc4098564_3804643083"/>
      <w:bookmarkStart w:id="24" w:name="_Toc10"/>
      <w:bookmarkEnd w:id="23"/>
      <w:r>
        <w:rPr>
          <w:rtl w:val="true"/>
        </w:rPr>
        <w:t>وفاته و عقبه</w:t>
      </w:r>
      <w:r>
        <w:rPr>
          <w:rtl w:val="true"/>
        </w:rPr>
        <w:t>:</w:t>
      </w:r>
      <w:bookmarkEnd w:id="24"/>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قدس سره فی النجف الأشرف یوم الأربعاء المصادف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 قیل یوم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منه، و دفن بمقبرته الخاصة جنب المدرسة و المسجد فی محلة العمارة، و ما زال قبره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أعقب خمسة أولاد هم الفقیه المجتهد الشیخ موسی مصلح الدولتین، و الفقیه المجتهد الشیخ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الفقیه المجتهد الشیخ 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عبد اللّه و الشیخ محمد، و المعروف أن عقبه المتَّصل من أولاده الثلاثة الأوائل، و ما زال العلم متصلا فی عقبه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کاشف الغطاء</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5" w:name="pg2508_19389"/>
    </w:p>
    <w:p>
      <w:pPr>
        <w:pStyle w:val="BookText"/>
        <w:rPr/>
      </w:pPr>
      <w:bookmarkEnd w:id="25"/>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ثقتی</w:t>
      </w:r>
    </w:p>
    <w:p>
      <w:pPr>
        <w:pStyle w:val="Heading2"/>
        <w:numPr>
          <w:ilvl w:val="1"/>
          <w:numId w:val="1"/>
        </w:numPr>
        <w:rPr/>
      </w:pPr>
      <w:bookmarkStart w:id="26" w:name="__RefHeading___Toc4098566_3804643083"/>
      <w:bookmarkStart w:id="27" w:name="_Toc11"/>
      <w:bookmarkEnd w:id="26"/>
      <w:r>
        <w:rPr>
          <w:rtl w:val="true"/>
        </w:rPr>
        <w:t>خاتمة فی بیان قواعد کثیرة الاحتیاج إلیها فی الاستدلال</w:t>
      </w:r>
      <w:bookmarkEnd w:id="27"/>
    </w:p>
    <w:p>
      <w:pPr>
        <w:pStyle w:val="Heading3"/>
        <w:numPr>
          <w:ilvl w:val="2"/>
          <w:numId w:val="1"/>
        </w:numPr>
        <w:rPr/>
      </w:pPr>
      <w:bookmarkStart w:id="28" w:name="__RefHeading___Toc4098568_3804643083"/>
      <w:bookmarkStart w:id="29" w:name="_Toc12"/>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ذکرت فی کلامهم العارض بالعرض و کان الأحری بها أن یذکر بالاستقلال و هی کثیرة لکنّا نقتصر علی المهم منها</w:t>
      </w:r>
      <w:r>
        <w:rPr>
          <w:rFonts w:eastAsia="IRNazanin" w:cs="IRNazanin"/>
          <w:color w:val="111111"/>
          <w:sz w:val="28"/>
          <w:szCs w:val="28"/>
          <w:rtl w:val="true"/>
          <w:lang w:bidi="fa-IR"/>
        </w:rPr>
        <w:t>.</w:t>
      </w:r>
    </w:p>
    <w:p>
      <w:pPr>
        <w:pStyle w:val="Heading3"/>
        <w:numPr>
          <w:ilvl w:val="2"/>
          <w:numId w:val="1"/>
        </w:numPr>
        <w:rPr/>
      </w:pPr>
      <w:bookmarkStart w:id="30" w:name="__RefHeading___Toc4098570_3804643083"/>
      <w:bookmarkStart w:id="31" w:name="_Toc13"/>
      <w:bookmarkEnd w:id="30"/>
      <w:r>
        <w:rPr>
          <w:rtl w:val="true"/>
        </w:rPr>
        <w:t xml:space="preserve">قاعدة </w:t>
      </w:r>
      <w:r>
        <w:rPr/>
        <w:t>1</w:t>
      </w:r>
      <w:r>
        <w:rPr>
          <w:rtl w:val="true"/>
        </w:rPr>
        <w:t xml:space="preserve"> </w:t>
      </w:r>
      <w:r>
        <w:rPr>
          <w:rtl w:val="true"/>
        </w:rPr>
        <w:t>فی أنَّهُ لا سبیل علی المحسن فی تضمین ما یترتب علیه من الضمان مع عدم الإحسان</w:t>
      </w:r>
      <w:bookmarkEnd w:id="31"/>
    </w:p>
    <w:p>
      <w:pPr>
        <w:pStyle w:val="BookText"/>
        <w:rPr/>
      </w:pPr>
      <w:r>
        <w:rPr>
          <w:rFonts w:ascii="Amiri" w:hAnsi="Amiri" w:eastAsia="Amiri" w:cs="Amiri"/>
          <w:color w:val="111111"/>
          <w:sz w:val="28"/>
          <w:sz w:val="28"/>
          <w:szCs w:val="28"/>
          <w:rtl w:val="true"/>
          <w:lang w:bidi="ar-SA"/>
        </w:rPr>
        <w:t xml:space="preserve">و هی مستفادة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 هَلْ جَزٰاءُ الْإِحْسٰانِ إِلَّا الْإِحْسٰانُ و بمضمونها فی الروایات ما لا حصر له و قد اورد علی الاحتجاج بها ما أورد، و لا ینبغی الشک فی دلالتها بعد تتبع الروایات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 الأصحاب و ما یظن من أنَّها معارضة بما دلّ من الکتاب و السنّة فی المتلفات مثلًا من الوهم لأنَّ رفع السبیل عن خصوص المحسنین إنما یحسن حیث تحصل سبب الضمان و إلّا فلا فرق بینه و بین غیره و لأنَّ هذهِ بمنزلة الدلیل العقلی فلا یخص و لا أقل من أنَّها تقوی علی غیرها لتلک المنزلة و تعتبر فی تحقق الحکم قصد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جلب نفعاً أو دفع ضرراً عن الغیر قاصداً عدم الإحسان أو خالیاً عن القصد لم یُعدّ محسناً أو شُکَّ فی قصده فیبقی مندرجاً تحت أدلّة الضمان، و فی اشتراط الواقعیة فیما حاوله من جلب نفع أو دفع ضرر یکفی زعمه لذلک وجهان أقواهما الأول و لا یبعد القول بالثانی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توقف صدق الإحسان علی تعذر الاستئذان و عدمه وجهان أقواهما الثانی و الأقوی تخصیصه بدفع المضار دون جلب النفع و إلّا لم یکن للولایة و الوکالة غالباً ثمرة و لزم أنَّ لا ضمان علی متبرّع عن صاحبه من الصناع و العماّل إذا أفسد</w:t>
      </w:r>
    </w:p>
    <w:p>
      <w:pPr>
        <w:pStyle w:val="BookText"/>
        <w:rPr/>
      </w:pPr>
      <w:r>
        <w:rPr>
          <w:rFonts w:ascii="IRNazanin" w:hAnsi="IRNazanin" w:eastAsia="IRNazanin"/>
          <w:color w:val="111111"/>
          <w:sz w:val="28"/>
          <w:sz w:val="28"/>
          <w:szCs w:val="28"/>
          <w:rtl w:val="true"/>
          <w:lang w:bidi="fa-IR"/>
        </w:rPr>
        <w:t>ثمّ علی ما ذکرنا لا ضمان علی المحسن إذا أتلف شیئاً مما یتعلق بالمحسن إلیه فی طریق إحسانه کما إذا أراد إخراج غریق أو حریق أو تخلیص شی‌ء من سبع أو أفعی أو دفع رمح أو سیف أو سهم أو حجر عنه أو و جر فی حلقه ماء أو غذاء أو دواء و قد اشرف علی الهلاک أو قطع منه عضو أو خوف سرایة السم أو دفع مفسداً عن ماله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دفع شیئاً قلیلًا من نفسه لتخلیص مالٍ کثیر لغیره بقلیلٍ من ماله أو بضمان عهدة و اشتغال ذمة غیر متبرع فهما مع عدم إمکان الاستئذان ففی الرجوع و عدمه وجهان أقواهما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لو قتل شخصاً خطأ أو أتلف من آخر شیئاً فی طریق إحسانه احتمل استقرار الضمان علی من علیه الإحسان، و الأقوی خلافه و لا سیما فیما یتعلق بالعاقلة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بضمان المال المدفوع إذا کان زائداً علی ما أرید تخلیصه هل یسقط الضمان أو یضمن ما نقص وجهان أقواهما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دفع شیئاً من ماله مع وجوب بذله لإشراف مؤمن علی الهلاک لعطش أو جوع أو برد أو بطش ظالم و نحوها فمع قصد التبرع لا رجوع و مع قصد الرجوع أو قصد الامتثال مع الذهول وجهان الرجوع و عدمه أقواهما الأول فی الأول و الثانی فی الثانی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توصل المحسن الی التخلیص بوجه معصیة کمال الغیر فترتب الضرر علی المُحسن إلیه قوی عدم الضمان و فی رجوع المُحسن بعوض المغصوب مع التلف فی طریق إحسانه و عدمه وجهان أقواهما الثانی لا سیما قبل الغرامة، و لو دفع أشیاء دفعة بعضها مشتملة علی الإحسان و بعض بخلافه جری علی کلٍ حکمه و لو وجد محسناً متبرعاً سواه لا یرجع فیما أتلفه أو إذا لم یکن محسناً فی دفعه مع إرادة الضمان، و هل یرجع بأجرة مثل عمله کما یرجع بعوض ماله أو لا وجهان أقواهما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الإحسان حلق الرأس بخلاف حلق اللحیة و یحتمل فیه الضمان مع الطلب أیضاً، و قلع السن و علاج الطبیب و الختان و قطع السلع و الأعضاء الفاسدة و إعطاء المرهم للجرح و وضع الجبیرة و عمل الصناع مع قصد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الحکّام و المفتون و المربّون و المعلمون و المؤدبون بل الحدادون لأنَّ التخلیص من شدائد الآخرة من أعظم الإحسان، و کذا دخول الدار المغصوبة و الصلاة فیها، و الأکل من الطعام و الشراب المغصوبین مع قصد الاستنفاذ و إعطاء العوض و عدم حضور المالک و من قام مقامه من الأولیاء و الوکلاء و المجتهدین، و لا یبعد دخول العمال من ایدی الظَّلمة إذا کان قصدهم تخلیص الرعیّة من الظلم الفاحش لیدفعون الأضر بالضار و إن لم یکن مقام تقیّة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کان الخوف علی الأموال، و أما إذا کان الخوف علی دمائهم أو أعراضهم فلا ریب و لا شکّ فی جواز أخذ المال منهم بل وجوبه و دفعه الی الظالم و من الإحسان إیقاظ النائم لمصلحة دنیاویة کأکل الطعام أو دفع فساد لقرب المؤذیات منه أو جری الماء تحته و نحو ذلک أو لمصلحة أخرویة کصلاة فریضة دخل وقتها و إن لم یتضیّق أو صلاة نافلة کذلک أو وقت زیارة أو دعاء أو نحو ذلک، فلو حدث فی الإیقاض حادث رفع الضمان الإحسان، و لو عُلِمَ أنَّ النائم حازم أو متردد فی فعل صلاة الفریضة وقتها کان إیقاظه من النهی عن المنکر و بعض ما ذکر مخرّج بأدلة خاصة</w:t>
      </w:r>
      <w:r>
        <w:rPr>
          <w:rFonts w:eastAsia="IRNazanin" w:cs="IRNazanin"/>
          <w:color w:val="111111"/>
          <w:sz w:val="28"/>
          <w:szCs w:val="28"/>
          <w:rtl w:val="true"/>
          <w:lang w:bidi="fa-IR"/>
        </w:rPr>
        <w:t>.</w:t>
      </w:r>
      <w:bookmarkStart w:id="32" w:name="pg2508_19395"/>
    </w:p>
    <w:p>
      <w:pPr>
        <w:pStyle w:val="Heading3"/>
        <w:numPr>
          <w:ilvl w:val="2"/>
          <w:numId w:val="1"/>
        </w:numPr>
        <w:rPr/>
      </w:pPr>
      <w:bookmarkStart w:id="33" w:name="__RefHeading___Toc4098572_3804643083"/>
      <w:bookmarkStart w:id="34" w:name="_Toc14"/>
      <w:bookmarkEnd w:id="32"/>
      <w:bookmarkEnd w:id="33"/>
      <w:r>
        <w:rPr>
          <w:rtl w:val="true"/>
        </w:rPr>
        <w:t xml:space="preserve">قاعدة </w:t>
      </w:r>
      <w:r>
        <w:rPr/>
        <w:t>2</w:t>
      </w:r>
      <w:r>
        <w:rPr>
          <w:rtl w:val="true"/>
        </w:rPr>
        <w:t xml:space="preserve"> </w:t>
      </w:r>
      <w:r>
        <w:rPr>
          <w:rtl w:val="true"/>
        </w:rPr>
        <w:t>کل مأخوذ من مال محترم مضمون</w:t>
      </w:r>
      <w:bookmarkEnd w:id="34"/>
    </w:p>
    <w:p>
      <w:pPr>
        <w:pStyle w:val="BookText"/>
        <w:rPr/>
      </w:pPr>
      <w:r>
        <w:rPr>
          <w:rFonts w:ascii="IRNazanin" w:hAnsi="IRNazanin" w:eastAsia="IRNazanin"/>
          <w:color w:val="111111"/>
          <w:sz w:val="28"/>
          <w:sz w:val="28"/>
          <w:szCs w:val="28"/>
          <w:rtl w:val="true"/>
          <w:lang w:bidi="fa-IR"/>
        </w:rPr>
        <w:t xml:space="preserve">و هی مستفادة من قولهم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مضمونه من الروایات و کلام الأصحاب لأنَّ اللغة و العرف قاضیان بأنَّ المفهوم منها أنَّ علی صاحب الید ضمان ما أخذت یده و أداء عینها و مع تلفها أداء بدلها من المثل و القیمة فی المثلی و القیمة و یبقی مخاطباً بذلک حتی یؤدی ما أخذ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الأخذ هو التناول فلا یدخل فیه ما وضع علیه القدم أو سقط فی الکف أو التصق بثیابه أو بدنه أو دابته أو وقع علی الرأس أو أطارته الریح الی الدار أو أوجر فی الحلق أو إلقاء شخص علیه فتلف بسقوطه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الأخذ إرادة الاستقلال مع الاختیار فلا تدخل الودیعة و العاریة و سائر الأمانات فی وجه قوی و لیس من الأخذ ما أخذ من الغاصب بغیر علی بالغصب منه أو التملک بأحد الوجوه بل بعنوان الودیعة و 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یضمن المنافع المستوفاة و لیس منه ما کان مجبوراً علیه لتقیة و غیرها لضعفه و قوة السبب من غیر فرق بین الإتلاف و غیره فمن حمل أو ساق شیئاً من المغصوب بأمر الظالم لا 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التأدیة الوصول الی صاحبها علی وجه تستقل یده فلو ردّها إلیه بعنوان بیع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أو صلح أو هبة أو ودیعة أو عاریة أو إجارة أو مضاربة أو مزارعة أو مراهنة أو من دون إعلام أو معه من دون إخبار بأنَّه ماله لا مع التعدد و انحصار الإیصال به لم یکن رداً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التأدیة کما یعتبر فی تحق الغصب الإقباض کل بالنسبة الی حاله فیختلف الحال فی العقار و غیر المنقول و الحیوان و باقی الأجناس علی اختلافها باختلافها و التأدیة الی الولی الشرعی إجباریا او غیره من التأدیة و الرد فی مقام الخطر و الخوف أو مع قصد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الرّد و من ردَّ عوض العین لتعسرها علیه إرجاعها أو أخذ ماله إلّا مع رضا الطرفین و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للمظلوم و لو تصرّف بوقف أو عتق أخذ عین ماله و أعطی القیمة و یحتمل التزلزل و الرجوع الی المال فی الأول و الإتلاف من المالک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متمشٍ فی اقتسام الأموال مع وقف عام أو خاص أو مملوک بنحوٍ آخر دون الجر و إن کان صغیراً أو مجنوناً، و الشریک فی الأخذ شریک فی الضمان و إجازة المالک لبیع الغاصب لا یرفع عنه ضمان الثمن، و إنما یرفع ضمان العین أو المثل أو القیمة و کذا إجازة القبض فی وجه قوی و لو کان للمشتری خیار بقی الضمان الی انقضائه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الدفع فی الآنیة المغصوبة و فی آنیة الذهب و الفضة تأدیة و لو اشترک جماعة و لم یستقل أحدهم کان الضمان موزعاً علیهم کل علی مقدار حصته، و التلف المستند الی أخذ المالک لا یدفع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یأخذه الحاکم فیدفعه ثمّ یظهر فساد الحکم یعد التلف لا ضمان فیه علیه و لا علی الشهود مع عدم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الأولیاء و الأوصیاء بذلک وجه قوی و المأخوذ من ید الظالمین مضمون إذا ردّه إلیه بعد العلم و مع الجهل نتبع جهة أخذه فی الاستقلال و عدمه و لا فرق فی صورة لتلف بین العاقل و المجنون، و البالغ و الصبی، و العامد و الجاهل، و الذاکر و الناسی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الضمان یستقر علی السبب القوی مع ضعف المباشرة، و هذا العموم المُستفاد مما سبق من الأدلة محکوم علیه فی کثیر آحاده بما دلّ علی نفی السبیل علی المُحسنین، و التأدیة للعین متعین مع بقائها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بقائه مع ضم مثل الباقی أو قیمته و مع حدوث العیب بها یردّه مع الأرش</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الاستحالة و تبدّل الحقیقة یتخیر بین أخذ ما صارت و مع التفاوت و بین البدل مثلًا أو القیمة مع تبدیل الصورة دون الحقیقة یقوی إلحاقه ببقاء البعض فیلزم القبول و أخذ التفاوت، و لو أخذها فی مکان کان له أخذها أو عوضها فی ذلک</w:t>
      </w:r>
    </w:p>
    <w:p>
      <w:pPr>
        <w:pStyle w:val="BookText"/>
        <w:rPr/>
      </w:pPr>
      <w:r>
        <w:rPr>
          <w:rFonts w:ascii="IRNazanin" w:hAnsi="IRNazanin" w:eastAsia="IRNazanin"/>
          <w:color w:val="111111"/>
          <w:sz w:val="28"/>
          <w:sz w:val="28"/>
          <w:szCs w:val="28"/>
          <w:rtl w:val="true"/>
          <w:lang w:bidi="fa-IR"/>
        </w:rPr>
        <w:t>المکان، و إذا وجده فی مکان آخر و لم یکن معذوراً فی أخذها منه فیه أخذ العین فیه أو قیمتها فیه إن تلفت فیه، و إن تلفت فی مکان آخر اعتبرت قیمته فی ذلک المکان و المدار علی قیمته حین التلف فی غصب و فی غیره، و إذا جهل صاحبها أو آیس من معرفته تصدّق بها مع بقائها أو بقیمتها علی الفقراء، و لو جهل القدر و علم صاحبها اصطلحا، و لو جهلها و اختلطت بأعیان أخر أعطی خمس المجموع للسادات و حلّ الباقی، و إذا ردّ ما وجب علیه علیه و لم یقبل ألقاه إلیه لا ضمان علیه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الذی یظهر من ظاهره أنَّ الأمراء إذا أمروا عمّالهم بأخذ شی‌ء من الرعیة ظالماً اختلف الحال بإختلاف الأحوال فإن أرباب الأمراء إن کانوا جائرین للعمال بإخافتهم علی نفوسهم أو أعراضهم أو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بحالهم فالضمان علی الجائرین و إن لم یکن باعثهم الخوف علی شی‌ء ممّا مرّ آمنون و الضمان علیهم، و کذا أی الضمان علی العمال لو خافوا علی مناصبهم أی الرئاسة الغیر الشرعیة</w:t>
      </w:r>
      <w:r>
        <w:rPr>
          <w:rFonts w:eastAsia="IRNazanin" w:cs="IRNazanin"/>
          <w:color w:val="111111"/>
          <w:sz w:val="28"/>
          <w:szCs w:val="28"/>
          <w:rtl w:val="true"/>
          <w:lang w:bidi="fa-IR"/>
        </w:rPr>
        <w:t>.</w:t>
      </w:r>
      <w:bookmarkStart w:id="35" w:name="pg2508_19401"/>
    </w:p>
    <w:p>
      <w:pPr>
        <w:pStyle w:val="Heading3"/>
        <w:numPr>
          <w:ilvl w:val="2"/>
          <w:numId w:val="1"/>
        </w:numPr>
        <w:rPr/>
      </w:pPr>
      <w:bookmarkStart w:id="36" w:name="__RefHeading___Toc4098574_3804643083"/>
      <w:bookmarkStart w:id="37" w:name="_Toc15"/>
      <w:bookmarkEnd w:id="35"/>
      <w:bookmarkEnd w:id="36"/>
      <w:r>
        <w:rPr>
          <w:rtl w:val="true"/>
        </w:rPr>
        <w:t xml:space="preserve">قاعدة </w:t>
      </w:r>
      <w:r>
        <w:rPr/>
        <w:t>3</w:t>
      </w:r>
      <w:r>
        <w:rPr>
          <w:rtl w:val="true"/>
        </w:rPr>
        <w:t xml:space="preserve"> </w:t>
      </w:r>
      <w:r>
        <w:rPr>
          <w:rtl w:val="true"/>
        </w:rPr>
        <w:t>مستفادة من بعض الأخبار و من بعض کلمات العلماء الأبرار من أنَّ المغرور یرجع علی من غرّه</w:t>
      </w:r>
      <w:bookmarkEnd w:id="37"/>
    </w:p>
    <w:p>
      <w:pPr>
        <w:pStyle w:val="BookText"/>
        <w:rPr/>
      </w:pPr>
      <w:r>
        <w:rPr>
          <w:rFonts w:ascii="IRNazanin" w:hAnsi="IRNazanin" w:eastAsia="IRNazanin"/>
          <w:color w:val="111111"/>
          <w:sz w:val="28"/>
          <w:sz w:val="28"/>
          <w:szCs w:val="28"/>
          <w:rtl w:val="true"/>
          <w:lang w:bidi="fa-IR"/>
        </w:rPr>
        <w:t>و عمدة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ما یحصل به الغرور و هو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 بما یخفی لبعدٍ أو حبس من مطعم أو ملبس مزرع أو مسکن و نحوها و هو متضمن المغرور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و هو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إبراز غیر المطلوب بصورة المطلوب للعامة أو الخاصة بنفس العمل أو بعوارضه، و قد یکون فی باب النکاح و المعاملات المالیة للشراء أو البیع او الصلح أو الإیجار و الاستئجار أو الوقف و العتق أو الغراوة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قولًا بشهادة علی وصف کاذب یبعث علی الرغبة فی أصل المعاملة، و فی الرغبة علی بذل الثمن الزائد من المشتری أو طلب الناقص من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اللبن بضرع البهیمة و إظهار الزینة و الحبس فی الثمار و المزارع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التدلیس بإظهار صفة کاذبة فی نفسه من شرف و نسب أو حسب لیرغب فی نکاحه و إنکاحه و ینال من الحقوق المترتبة علی دعواه من واجبات أو تبرعات بحیث یعلم أنَّهُ لو لم یُعلم أنَّهُ جامع للصفة لما نال شیئاً من عیال أو مال مستحق لأهل ذلک الوصف أو متبرع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یثبت صفات لشخص من أمانة و دیانة کاذبتین و نحوها لیظن الناس به خیراً فیسلّموا إلیه أموالهم أو نسائهم و نحو ذلک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المُلک أو الولایة أو الوکالة الکاذبة علی شی‌ء فینقله الی آخر و یتصرف المنقول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حفرٍ أو طمّ أو إعطاء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یدلّس فیری الناس أنَّهُ عالم فیقضی و یفتی فیعطی غیر المستحق شیئاً من مال غیره أو یُعطی مما جعل للعلماء، و مثله من دلّس فسقة فظنّت عدالته فحکم الحاکم و من أظهر فقره و هاشمیته و موسویته مثلًا لینال من وظائفهم شیئاً و یعتبر فی غیر من أخذ من حقوق غیره قصد التدلیس و من أعطی من التبرعات لأجل صفة لم تکن فیه فظنّ فیه کان ظنّ المعطی فیه وحدته المذهب أو محبّته أو دعائه أو إصلاحه و تقواه و نحو ذلک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شرطیة فالظاهر عدم البأس، و کذا یُشترط إخفاء الوصف المانع عن لتحقق معه الغرور و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کیفیة الرجوع و أحوالها مختلفة اما مع بقاء العین فی عنق او تدلیس فلا بدّ من ردّها إذا ردّها صاحبها و أما مع التلف فإن کان عالماً أو أهمل فلا شی‌ء علیه، و کذا مع الإتلاف و مع الجهل یرجع بجمیع المدفوع فی باب النکاح للدّلیل و بمقدار الضرر فی غیره فی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نقل شیئاً مظهراً تملکه أو الولایة أو الوکالة فیه کان ضامناً لما یترتب من الغرامات، ثمّ انهم لم یحکموا قضیة الفرد و تخیروا فی الرجوع بین السبب و المباشر بل بنوا علی تقدیم الأقوی و هو المباشر إلّا أن یقوی علیه السبب و یسند علیه الفعل فح و یختص بالضمان و لو تعدد الغادرون و المدلسون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علی الأضعف و مع التساوی تخیر و یحتمل التوزیع و لو ترتبوا رجع کل واحد الی من قبله و یستقر الضمان علی الأول و فی جواز الرجوع الی من سبق بأکثر من مرتبة وجه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 و لو عارض الغرو أو التدلیس إحسان فسخ اعتبارهما فوروده و قومه علیهما و من اغتر فی محل الغرور بخبر صبی أو مجنون أو فاسق أو شهادتهم أو فتوی من لم یکن أهلًا للإفتاء أو قضاء من لم یکن أهلًا مما یکون المغرور فیها غیر معذور فلا شی‌ء، و لو غرّه غاربان یفعلان فعلًا بسبب ضرراً صادراً من ثالث کان الضمان علی المباشر و المجبور علی فعل الغرر لا یعدّ غار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حکم الضمان علی الجابر و من أعطی النظر حقّه علی أنَّ الأخذ بالعمومات المذکورة علی عمومها مخالفة لطریقة الفقاهة، و إن الرجوع یختلف بإختلاف المقامات الخاصة و لو قارن الغرور و التدلیس هیباً أو نقصاً أو غبناً أضیف الی حکمها أخبار العیب او النقص أو الغبن و الذی یظهر منهم عدم العمل بالخبر فی صورة غرر الغیر و عدم الرجوع فی جمیع ما بذل بعد التلف و إن أمکن أن یُقال أنَّ الغار المدلس أو الغاش إذا دفع من ثمنه فقد دفع غیر المراد فکأنه متبرع بالدفع مسلّط علی التلف مجاناً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الوصف و إن کان الباعث علی دفع الغیر کان هو الباعث علی عدم وصول الحق و الأقوی عدم الرجوع عمّا علیه الفقهاء لأنَّ فهمهم هو المعتبر فی أمثاله</w:t>
      </w:r>
      <w:r>
        <w:rPr>
          <w:rFonts w:eastAsia="IRNazanin" w:cs="IRNazanin"/>
          <w:color w:val="111111"/>
          <w:sz w:val="28"/>
          <w:szCs w:val="28"/>
          <w:rtl w:val="true"/>
          <w:lang w:bidi="fa-IR"/>
        </w:rPr>
        <w:t>.</w:t>
      </w:r>
      <w:bookmarkStart w:id="38" w:name="pg2508_19407"/>
    </w:p>
    <w:p>
      <w:pPr>
        <w:pStyle w:val="Heading3"/>
        <w:numPr>
          <w:ilvl w:val="2"/>
          <w:numId w:val="1"/>
        </w:numPr>
        <w:rPr/>
      </w:pPr>
      <w:bookmarkStart w:id="39" w:name="__RefHeading___Toc4098576_3804643083"/>
      <w:bookmarkStart w:id="40" w:name="_Toc16"/>
      <w:bookmarkEnd w:id="38"/>
      <w:bookmarkEnd w:id="39"/>
      <w:r>
        <w:rPr>
          <w:rtl w:val="true"/>
        </w:rPr>
        <w:t xml:space="preserve">قاعدة </w:t>
      </w:r>
      <w:r>
        <w:rPr/>
        <w:t>4</w:t>
      </w:r>
      <w:r>
        <w:rPr>
          <w:rtl w:val="true"/>
        </w:rPr>
        <w:t xml:space="preserve"> </w:t>
      </w:r>
      <w:r>
        <w:rPr>
          <w:rtl w:val="true"/>
        </w:rPr>
        <w:t xml:space="preserve">مستفادة من قولهم علیهم السلام </w:t>
      </w:r>
      <w:r>
        <w:rPr>
          <w:rtl w:val="true"/>
        </w:rPr>
        <w:t>( (</w:t>
      </w:r>
      <w:r>
        <w:rPr>
          <w:rtl w:val="true"/>
        </w:rPr>
        <w:t>إنما یحلل الکلام و یحرّم الکلام</w:t>
      </w:r>
      <w:r>
        <w:rPr>
          <w:rtl w:val="true"/>
        </w:rPr>
        <w:t>))</w:t>
      </w:r>
      <w:bookmarkEnd w:id="40"/>
    </w:p>
    <w:p>
      <w:pPr>
        <w:pStyle w:val="BookText"/>
        <w:rPr/>
      </w:pPr>
      <w:r>
        <w:rPr>
          <w:rFonts w:ascii="IRNazanin" w:hAnsi="IRNazanin" w:eastAsia="IRNazanin"/>
          <w:color w:val="111111"/>
          <w:sz w:val="28"/>
          <w:sz w:val="28"/>
          <w:szCs w:val="28"/>
          <w:rtl w:val="true"/>
          <w:lang w:bidi="fa-IR"/>
        </w:rPr>
        <w:t>و یبنی علیها کثیر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النّذور و الایمان و العهود لا تنعقد بالعقد فی الضمیر بل لا بدّ من التلفظ بصیغتها خلافاً لمن خالف فی ذلک و هو محجوج بأنَّ ثبوت الحکم تابع للاسم و أصالة البراءة قاضیة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تحریم النافیات فی الصلاة لا تقضی منه النیة و إنما القاضی به تکبیرة الإحرام و کذا تحریم محرّمات الإحرام لا تجزئ فیه النیة بل یتوقف علی التلبیة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العقود و الإیقاعات لا یکفی فیها مع القدرة فعل و لا إشارة فالمعاطات الفعلیة لا تکون لازمة فی عقد بیع أو إجارة أو صلح أو مزارعة أو غیرها و لا یقع بدون الکلام إیقاع من طلاق أو خلع أو مبادلات أو إظهار أو إیلاء أو عتق أو إبراء و نحوها فی استفادة الإباحة، و عدم الصحة و لو علی طریق الجواز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 و المکفر لا یکفی فیهما فی ظاهر الشرع بمجرد الاعتقاد حتی یستفاد من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الذبائح لا تحل بمجرد تصور اسم اللّه تعالی بل لا بدّ من التلفظ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الوصایة و الوکالة و الإذن لا تثبت بمجرد 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التصورات فی جمیع العبادات إذا تضمنت کلاماً فی النفوس لا تحل لعدم دخولها فی الکلام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الإجازة فی العقد الفضولی و الفسخ لاسبابه فی نکاح أو غیره من العقود و الخیار و نحوه لا یکون إلّا بالکلام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القضاء و الإفتاء لا یکون إلّا بالکلام إلّا فیما استثنی من کتب الأحیاء و لا اعتبار بنقوش کلمات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الأمة المحللة لا یکفی فی إباحتها 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لعاة الناس أو إشارة إلیها بالرخصة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الزناء و وطی الشبهة و مباشرة المرأة من دون عقد نکاح لا تنشر حرمة المصاهرة غیر أنَّ الدلیل یعارضه فی القسمین الأولین و یُستفاد من عمومه أن لا تحریم مترتب علی فعل من رضاع أو جماع و نحوها لو لا قیام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الشروط المضرة لیست بمؤثرة و إن کان ظاهرها أن لا تنعقد صلاة الأخرس و إحرامه لعقد التکبیرة فی الأولی و التلبیة فی الثانی و عقوده و إیقاعاته و إشاراته لو لا ما دلّ علی خلافه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مدلولها حصر المحلّل و المحرّم بالکلام فلا تحلیل و لا تحریم إلّا به لا أنَّ کل کلام محلّل و محرّم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أستفید منه أنَّهُ لا یجوز للمحرم و المعتکف بعد الدخول فی الثلث القطع بإضمار الشرط</w:t>
      </w:r>
      <w:r>
        <w:rPr>
          <w:rFonts w:eastAsia="IRNazanin" w:cs="IRNazanin"/>
          <w:color w:val="111111"/>
          <w:sz w:val="28"/>
          <w:szCs w:val="28"/>
          <w:rtl w:val="true"/>
          <w:lang w:bidi="fa-IR"/>
        </w:rPr>
        <w:t>.</w:t>
      </w:r>
      <w:bookmarkStart w:id="41" w:name="pg2508_19410"/>
    </w:p>
    <w:p>
      <w:pPr>
        <w:pStyle w:val="Heading3"/>
        <w:numPr>
          <w:ilvl w:val="2"/>
          <w:numId w:val="1"/>
        </w:numPr>
        <w:rPr/>
      </w:pPr>
      <w:bookmarkStart w:id="42" w:name="__RefHeading___Toc4098578_3804643083"/>
      <w:bookmarkStart w:id="43" w:name="_Toc17"/>
      <w:bookmarkEnd w:id="41"/>
      <w:bookmarkEnd w:id="42"/>
      <w:r>
        <w:rPr>
          <w:rtl w:val="true"/>
        </w:rPr>
        <w:t xml:space="preserve">قاعدة </w:t>
      </w:r>
      <w:r>
        <w:rPr/>
        <w:t>5</w:t>
      </w:r>
      <w:r>
        <w:rPr>
          <w:rtl w:val="true"/>
        </w:rPr>
        <w:t xml:space="preserve"> </w:t>
      </w:r>
      <w:r>
        <w:rPr>
          <w:rtl w:val="true"/>
        </w:rPr>
        <w:t xml:space="preserve">مستفادة من قوله تعالی </w:t>
      </w:r>
      <w:r>
        <w:rPr>
          <w:rtl w:val="true"/>
        </w:rPr>
        <w:t>[</w:t>
      </w:r>
      <w:r>
        <w:rPr>
          <w:rtl w:val="true"/>
        </w:rPr>
        <w:t>من اعتدی علیکم فاعتدوا علیه بمثل ما اعتدی علیکم</w:t>
      </w:r>
      <w:r>
        <w:rPr>
          <w:rtl w:val="true"/>
        </w:rPr>
        <w:t>]</w:t>
      </w:r>
      <w:bookmarkEnd w:id="43"/>
    </w:p>
    <w:p>
      <w:pPr>
        <w:pStyle w:val="BookText"/>
        <w:rPr/>
      </w:pP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نحوها من الأخبار أکثر و لا شبهة فی تمشیة الحکم الی القصاص و القتل و الجرح فی جمیع الشرائط و یبقی الکلام فی مقامات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الأفعال مما عدا ما ذکر من ضربٍ و وکزٍ و دفع و نحوها و فی بدن إنسان أو حیوان، أو حمل و نقل فیهما، أو فی مال أو نقص مکان أو وضع قذارات فیه أو قلع شجرة أو حجر أو مدر أو حفر أو بصاق فی وجه أو إظهار غضب أو السعی علیه عند ظالم و نحوها مع المائلة أو استیفاء الأقل و عدم التفاوت بالنسبة الی الزمان و المکان و الأحوال التی تختلف بها الحال و ظاهر الکتاب و بعض مضامین الأخبار جری الحکم فیه و یظهر من کثیر من الفقهاء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الأقوال و له أنحاء شتی من التشبیه بالجمادات أو بالنساء أو بالعجم من الحیوانات کالکلب و الخنزیر و الحمار و البقر أو بالکافر و المجنون و الجاهل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علیه و خشونة الکلام مع التوجه إلیه و نسبة المعایب إلیه کنسبته علیه و عدم رد السلام کعدم ردّه السلام و إعلاء الصوت لإیقاظه من النوم علی نحو إیقاظه الی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الأوضاع و الکیفیات کأن یأتی بهیئة التحقیر من اضطجاعه أو من رجلیه أو من توجیه قدمیه إلیه فی حضرته أو عدم التواضع له الی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 البحث فیما جاء حکمه من جهة الاحترام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من الحرام کالتصرف بزوجته أو رحمه و النظر الی محارمه أو إهانة مصحفه و محترماته و شبهه و الکذب علیه و نحو ذلک مما یلزم منه الخروج</w:t>
      </w:r>
    </w:p>
    <w:p>
      <w:pPr>
        <w:pStyle w:val="BookText"/>
        <w:rPr/>
      </w:pPr>
      <w:r>
        <w:rPr>
          <w:rFonts w:ascii="IRNazanin" w:hAnsi="IRNazanin" w:eastAsia="IRNazanin"/>
          <w:color w:val="111111"/>
          <w:sz w:val="28"/>
          <w:sz w:val="28"/>
          <w:szCs w:val="28"/>
          <w:rtl w:val="true"/>
          <w:lang w:bidi="fa-IR"/>
        </w:rPr>
        <w:t>عن الشرع فإنه لا کلام فی منعه و فی إلحاق الغیبة و الهجاء و السب بأی القسمین بحث</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یظهر من الخوض فی کلمات القوم أنَّهُ لا قصاص فی ما عدا المستثنی و انه مؤخر الی الآخرة و العمل بظاهر الکتاب و المیل عن ظاهر الأصحاب لا یخلو من قوّة، لکن القصاص علی وجه الاستیفاء من دون زیادة و نقصان متعذر او متعسّر فی هذا المکان و لا ینبغی العدول عن طریق الاحتیاط فی مثل هذهِ المقامات</w:t>
      </w:r>
      <w:r>
        <w:rPr>
          <w:rFonts w:eastAsia="IRNazanin" w:cs="IRNazanin"/>
          <w:color w:val="111111"/>
          <w:sz w:val="28"/>
          <w:szCs w:val="28"/>
          <w:rtl w:val="true"/>
          <w:lang w:bidi="fa-IR"/>
        </w:rPr>
        <w:t>.</w:t>
      </w:r>
      <w:bookmarkStart w:id="44" w:name="pg2508_19414"/>
    </w:p>
    <w:p>
      <w:pPr>
        <w:pStyle w:val="Heading3"/>
        <w:numPr>
          <w:ilvl w:val="2"/>
          <w:numId w:val="1"/>
        </w:numPr>
        <w:rPr/>
      </w:pPr>
      <w:bookmarkStart w:id="45" w:name="__RefHeading___Toc4098580_3804643083"/>
      <w:bookmarkStart w:id="46" w:name="_Toc18"/>
      <w:bookmarkEnd w:id="44"/>
      <w:bookmarkEnd w:id="45"/>
      <w:r>
        <w:rPr>
          <w:rtl w:val="true"/>
        </w:rPr>
        <w:t xml:space="preserve">قاعدة </w:t>
      </w:r>
      <w:r>
        <w:rPr/>
        <w:t>6</w:t>
      </w:r>
      <w:r>
        <w:rPr>
          <w:rtl w:val="true"/>
        </w:rPr>
        <w:t xml:space="preserve"> </w:t>
      </w:r>
      <w:r>
        <w:rPr>
          <w:rtl w:val="true"/>
        </w:rPr>
        <w:t>مستفادة مما اشتهر و شاع بین العلماء من أنَّ ما یضمن بصحیحه یضمن بفاسده</w:t>
      </w:r>
      <w:bookmarkEnd w:id="46"/>
    </w:p>
    <w:p>
      <w:pPr>
        <w:pStyle w:val="BookText"/>
        <w:rPr/>
      </w:pPr>
      <w:r>
        <w:rPr>
          <w:rFonts w:ascii="IRNazanin" w:hAnsi="IRNazanin" w:eastAsia="IRNazanin"/>
          <w:color w:val="111111"/>
          <w:sz w:val="28"/>
          <w:sz w:val="28"/>
          <w:szCs w:val="28"/>
          <w:rtl w:val="true"/>
          <w:lang w:bidi="fa-IR"/>
        </w:rPr>
        <w:t xml:space="preserve">و ما لا یضمن بصحیحه لا یضمن بفاسده متعللین بأنَّ من أقدم علی الضمان کان ضامناً لإقدامه و کونه داخلًا تحت 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معارض و من أقدم علی عدم الضمان کان مأذوناً فی التصرف و الإتلاف مجاناً فقد هتک المال حرمة المال فلا ینبغی من جهته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أن یقیّد الأول إذا لم یکن الدافع عالماً بالفساد فیکون دافعاً من غیر عوض مع إضافة العروضیة یکون غار، أو یُرد علی الثانی أنَّ الإذن فی التصرف و الإتلاف مقیدة بوجه مخصوص فإذا لم تکن صحیحة ارتفع القید فارتفع المقید فیبنی عموم علی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 إلّا إذا دخل تحت عموم الإحسان کالودعی و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لزم منه الامتناع عن الاستبداع و انقطاع سبیل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صورة حصول سبب الضمان مع الصحة من إتلاف و تفریط و نحوهما دون الأمر السماوی یثبت الضمان بطریق أولی، و علی أی تقدیر إن قام دلیل فی المقام من إجماع و نحوه فلا کلام و إلّا أشکل الحال و هذه العبارة ذات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کانت غرامته علیه و خسرانه منه علی تقدیر الصحة و العقد کانت غرامته علیه لصاحبه علی تقدیر الفساد فیتقید نفی الضمان فی الأمانات بالنسبة الی الأعیان و المنافع المجانیة و المعوض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الفوائد المترتبة و التصرفات فمضمونة و یظهر لزومه بالنسبة الی أنواع التملیکات المجانیة فضلًا عن ذوات الأعواض من الأعیان و المنافع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یؤدی فی مقابلة عوض علی تقدیر الصحة فی العقد یلزم أن یؤدی عنه عوض من مثل المضمون أو قیمة علی تقدیر الفساد فکل تالف من عین</w:t>
      </w:r>
    </w:p>
    <w:p>
      <w:pPr>
        <w:pStyle w:val="BookText"/>
        <w:rPr/>
      </w:pPr>
      <w:r>
        <w:rPr>
          <w:rFonts w:ascii="IRNazanin" w:hAnsi="IRNazanin" w:eastAsia="IRNazanin"/>
          <w:color w:val="111111"/>
          <w:sz w:val="28"/>
          <w:sz w:val="28"/>
          <w:szCs w:val="28"/>
          <w:rtl w:val="true"/>
          <w:lang w:bidi="fa-IR"/>
        </w:rPr>
        <w:t>أو منفعة مستوفاة أو لا فی أحد الوجهین أو عمل یصیر فی مقابله عوض یضمن بمثله إن کان مثلیاً و قیمته إن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المدار علی أجرة مثل عمل الأجیر و یحتمل أقل الأمرین و أکثرها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المذکور فی العقد ذکر علی وجه الفساد أم یبعث علی فساد العقد کالمهر الفاسد بمثله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المال الجاری علی هذا النحو یضمن علی مثله أو المهر المثل عوضاً عنه و لا یضمن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یضمن بصحیح العقد بثمن أو أجرة یضمن بمثله أو قیمته بفاسد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المضمون بالفاسد مثل المعوض أو قیمته لا مثل العوض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ضمان العهدة فی العوض و المعوّض صحیحة لمضمونیتها علی تقدیر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یضمن بالصحیح کعوض بعض العمل فی الإجارة یضمن بفاسده بخلاف بعض عمل الجعالة، ثمّ لو کان العقد لا صحیح له کالمساقات و لم یکن فی البین من دون الغرو و إن الأمر بین لزوم القلع إذا أراد صاحب الأرض و لزوم الأجرة إذا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لحصول التصرف و الخیار من الأمر أو أنَّ الخیار لصاحب الغرس بین إعطاء الأجرة و القلع، و إذا قلع کما کان علیه کان النقش و طّم الحفر فی أحد الوجهین و مع الضرر لا شکّ فیه و لو دخل شی‌ء فی مسألة الإحسان جری حکمها علیه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مسألة فساد المضاربات و المزارعات و المشارکات و الأوقاف بالنسبة الی الأعیان و المنافع و الحوادث علی الأصل و الماء یشبهه علی ما تقدّم و یمکن أن یدخل فی ذلک صحیح الأعمال و الأقوال و فاسدها إذا ظهر فساد العمل أو القول المستأجر علیها، و قد یقال أنَّ استفادة تودیع الأجرة علی العمل المعیّن إذا عجز</w:t>
      </w:r>
      <w:bookmarkStart w:id="47" w:name="pg2508_19417"/>
    </w:p>
    <w:p>
      <w:pPr>
        <w:pStyle w:val="BookText"/>
        <w:rPr/>
      </w:pPr>
      <w:bookmarkEnd w:id="47"/>
      <w:r>
        <w:rPr>
          <w:rFonts w:ascii="IRNazanin" w:hAnsi="IRNazanin" w:eastAsia="IRNazanin"/>
          <w:color w:val="111111"/>
          <w:sz w:val="28"/>
          <w:sz w:val="28"/>
          <w:szCs w:val="28"/>
          <w:rtl w:val="true"/>
          <w:lang w:bidi="fa-IR"/>
        </w:rPr>
        <w:t>الأجیر عن إتمامه و حکّم مقدماته مع الدخول فی الإجارة حکّم أجزائها و مع جعلها فی مقابلة خصوص العمل لم یکن للمقدمات حصة من الأجرة</w:t>
      </w:r>
      <w:r>
        <w:rPr>
          <w:rFonts w:eastAsia="IRNazanin" w:cs="IRNazanin"/>
          <w:color w:val="111111"/>
          <w:sz w:val="28"/>
          <w:szCs w:val="28"/>
          <w:rtl w:val="true"/>
          <w:lang w:bidi="fa-IR"/>
        </w:rPr>
        <w:t>.</w:t>
      </w:r>
    </w:p>
    <w:p>
      <w:pPr>
        <w:pStyle w:val="Heading3"/>
        <w:numPr>
          <w:ilvl w:val="2"/>
          <w:numId w:val="1"/>
        </w:numPr>
        <w:rPr/>
      </w:pPr>
      <w:bookmarkStart w:id="48" w:name="__RefHeading___Toc4098582_3804643083"/>
      <w:bookmarkStart w:id="49" w:name="_Toc19"/>
      <w:bookmarkEnd w:id="48"/>
      <w:r>
        <w:rPr>
          <w:rtl w:val="true"/>
        </w:rPr>
        <w:t xml:space="preserve">قاعدة </w:t>
      </w:r>
      <w:r>
        <w:rPr/>
        <w:t>7</w:t>
      </w:r>
      <w:r>
        <w:rPr>
          <w:rtl w:val="true"/>
        </w:rPr>
        <w:t xml:space="preserve"> </w:t>
      </w:r>
      <w:r>
        <w:rPr>
          <w:rtl w:val="true"/>
        </w:rPr>
        <w:t xml:space="preserve">مستفادة من قوله </w:t>
      </w:r>
      <w:r>
        <w:rPr>
          <w:rtl w:val="true"/>
        </w:rPr>
        <w:t>(</w:t>
      </w:r>
      <w:r>
        <w:rPr>
          <w:rtl w:val="true"/>
        </w:rPr>
        <w:t>ع</w:t>
      </w:r>
      <w:r>
        <w:rPr>
          <w:rtl w:val="true"/>
        </w:rPr>
        <w:t>) [</w:t>
      </w:r>
      <w:r>
        <w:rPr>
          <w:rtl w:val="true"/>
        </w:rPr>
        <w:t>المسلمون عند شروطهم إلّا کل شرط خالف کتاب</w:t>
      </w:r>
      <w:r>
        <w:rPr>
          <w:rtl w:val="true"/>
        </w:rPr>
        <w:t>]</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إلّا کل شرط خالف کتاب اللّه أو احل حراماً أو حرّم حلالًا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مفید لوجوب بالوفاء بالشرط ما عدا المستثنی و الکلام فیه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الحکم المخرج منه و حیث أنَّ الشرط المستقل أو المتصل مع تقدمه علی العقد المنفصل مط لا یظهر دخوله تحت عنوان الشروط و إن سمی فی باب الإحرام و الاعتکاف و النکاح و اشتراط الخدمة فی عتق العبد شرطاً فیختص بالمتصل متأخراً مقیداً به مظهراً أو مضمراً بشبهة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امکن الاحتجاج علی ثبوته بما دلّ من کتاب أو سنّة أو إجماع علی وجوب الوفاء بالعقود و یمکن الاستدلال علیه بقوله تعالی 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فیفید بعمومه ذلک نعتبره بخصوص الوعد بیان لخفی الفرد و الإیراد علی الخبر بأنه من الخبر فلا یفید الإیجاب مردود بما مرّ من أنَّ الإیجاب مستفاد من مطلق الإرادة و الطلب فی الخبر تتقوی الدلالة علیه، ثمّ فی التعلیق علی الإسلام، و ذکر عند المفیدة للحد ما یفید الإیجاب عند أولی الألباب و ادعی أنَّهُ لا یفید سوی أنَّهُ یقلب العقد اللازم جائزاً لأنَّهُ خلاف ما یظهر من المستثنی و المستثنی منه و الذی یظهر بعد التأمل أنَّهُ لیس بمنزلة أحد العوضین فی جمیع الأشیاء فإنّه یصّ؛ فی المنافع و الحقوق، و یجتری فیه من العلم ما یجتری من العلم بما یجری به فی الصلح</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شبّه العوض فی بعض الوجوه فیثبت الخیار عند عدمه فیشبه ببعض الصفقة و یثبت الخیار لذلک أو لاقتضاء الشرطیة فإن جعل الشرط للصحة ینافی الصحة فیکون شرطاً للزوم و لا حاجة الی ادّعاء التعبّد و یزید علیه بأنه صحته</w:t>
      </w:r>
    </w:p>
    <w:p>
      <w:pPr>
        <w:pStyle w:val="BookText"/>
        <w:rPr/>
      </w:pPr>
      <w:r>
        <w:rPr>
          <w:rFonts w:ascii="IRNazanin" w:hAnsi="IRNazanin" w:eastAsia="IRNazanin"/>
          <w:color w:val="111111"/>
          <w:sz w:val="28"/>
          <w:sz w:val="28"/>
          <w:szCs w:val="28"/>
          <w:rtl w:val="true"/>
          <w:lang w:bidi="fa-IR"/>
        </w:rPr>
        <w:t>شرط فی صحّة العقد قضاءً لحق الشرطیة فإذا فسد فسد کما هو المشهور بین الأصحاب خلافاً لمن زعم أنَّهُ مستقل لا یلزم من فساده فساد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أنَّهُ ذو وجهین مرّة یراد به الربط فیلزم من فساده فساد العقد و مرّة یراد به الاستقلال کما أرید به ذلک فی الإحرام و الاعتکاف و کذا فی العتق و إن کان الإیقاع لا یدخل فیه الشرط لان الشرط بحکم العقد یستدعی إیجاباً و قبولًا لمنافاته له إلّا ما کان فیه بمنزلة المقوم کما فی القسم و الندب و العهد و الظهار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الأقوی هو الأول اقتصاراً فی الخارج عن الظاهر علی ما خرج بدلیل و الشروط متراخیة یجری فیه الحکم فیفسد العقد بفساد بعضها و یثبت الخیار بانتفائه و فی المتداخلة یثبت الحکمان فی الشرط السابق دون ما عداه و فساد اللواحق قاضٍ ببطلان الخیار فی وجه و لو تعددت العقود فسدت بفساد شرط واحد متحداً أو منضماً الی غیره و الشرط الثبوتی لا ینافی صحة العقد و یترتب علیه و لا یجری فی الإیقاعات فیما عدا ما أخذ فیه أو خرج بالدلیل و یصحّ التعلیق فی شرط الشرط علی الأقوی و التعلیقی یفسد فی العقود و الإیقاعات إلّا ما دخل فیه و علیه بناءً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وقع الشرط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رجوعه الأصل دون القید إلّا مع القرینة و معها یثبت الخیار فی التوابع دون الأصل و انتفاء الشرط و فساده قاضیان بفساد الإذن و الإباحة و فی العقود اللازمة بالعارض کالهبة المعوضة و للرحم و للثواب یقوی أجزاء حکم اللزوم الأصلی فیها و فی الجائزة قد یُجعل فائدتها رفع الرجحان أو یزاد قصد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الشروط المؤکدة کشرط المُلک فی المملکات و الجواز فی الجائزات و اللزوم فی اللازمات و نقل العین أو المنفعة و باقی التأثیرات علی إختلاف المقتضیات و لا شکّ فی صحتها فی العقود و یرجح ذلک فی الإیقاعات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المتعلقة بتملیک أعیان أو منافع أو حقوق کحق الاستطراق و الورود و نحوها مما یدخل فی قدرة، و له نقلها قبل الشرط و کالکلام هنا فی صحّة الاشتراط و ثبوت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الشروط الممتنعة عقلًا أو عادةً و لا کلام فی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مما حرّمه الشارع من أعیان کخمر و لحم میتة أو کلب أو خنزیر أو صنم أو آلات لهو أو ظروف فضة أو ذهب أو نحوها أو أعمال کلعب بقمار و غناء و عمل الملاهی و زناء و لواط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مقتضیات الشرع و أحکامه و لیس للمخلوق دخل فیه کحق الأبوة و البنوة و مطلق الرحم و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الشفعة و اللزوم فی موضع الجواز و الجواز فی موضع اللزوم إلّا مع إذنه و تحریم الحلال و تحلیل الحرام الأصلیین و تبدیل الأحکام إلّا ما قام الدلیل علی خلافه کشرط الرقیة فیمن أحد أبویه حرّ و إرث المتعة و شرط الصوم و حضراً و سفراً لو قلنا بها و شرط الإحلال فی الإحرام و الاعتکاف و شرط عدم وطء المتعة و اشتراط الإرث فی ضمان الجبیرة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منافیاً لصورة کاشتراط أن یکون البیع إجارة و الدوام متعة و المضاربة شرکة و السلم نقد أو بالعکس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منافیاً لمعنی العقد کاشتراط تملک العین بالإجارة و بعض رأس المال بالمضاربة و المنافع بالودیعة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منافیاً للوازم العقد کاشتراط بقاء سلطان البائع علی العین بعد بیعه و المؤجر علی المنفعة بعد إجارته و الراهن علی المرتهن بعد رهانته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منافیاً لمقتضیات العقد کاشتراط عدم الانتفاع بالکلیة أو فی بعض مقامات الخصوصیة کما لا یبیع و لا یعتق و لا یؤجر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منافیا لحصول الغرض بالعقد جنسه کاشتراط البیع حال الابتیاع و الإجارة حال الاستئجار و نحوها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یشترط ما لا نفع فیه من حیوانات و لحوم و نحوها، و لا یخفی مأخذ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إدراج التسعة الأخیرة تحت ما خالف الکتاب، و لا فرق فی الشروط المنافیة من اعتبارها فی ذلک العقد أو فی عقدٍ آخر، ثمّ الأوقف بالضوابط أن یجعل هذا اصلًا و یقال بصحة الشروط إلّا ما قام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یراد بما حلّ حراماً و حرّم حلالًا ما یعمّ العارض الذی یهدمه الشرط بل ما کان حراماً فی نفسه حرمةً لازمة، و ما کان حلالًا کذلک، و لو ذلک لکانت جمیع الشروط کما أحلّت حراماً أو حرّمت حلالًا فلا یبقی للاشتراط محل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یبنی علی ذلک جمیع ما یشترط الکفار علی المسلمین فیما اشترط علیهم من الأموال من أهل الحرب حتی لا یجوز خدعتهم فی الشروط کما أنَّهُ لیس لهم ذلک فی ودائعهم و أماناتهم فی وجه قوی</w:t>
      </w:r>
      <w:r>
        <w:rPr>
          <w:rFonts w:eastAsia="IRNazanin" w:cs="IRNazanin"/>
          <w:color w:val="111111"/>
          <w:sz w:val="28"/>
          <w:szCs w:val="28"/>
          <w:rtl w:val="true"/>
          <w:lang w:bidi="fa-IR"/>
        </w:rPr>
        <w:t>.</w:t>
      </w:r>
      <w:bookmarkStart w:id="50" w:name="pg2508_19425"/>
    </w:p>
    <w:p>
      <w:pPr>
        <w:pStyle w:val="Heading3"/>
        <w:numPr>
          <w:ilvl w:val="2"/>
          <w:numId w:val="1"/>
        </w:numPr>
        <w:rPr/>
      </w:pPr>
      <w:bookmarkStart w:id="51" w:name="__RefHeading___Toc4098584_3804643083"/>
      <w:bookmarkStart w:id="52" w:name="_Toc20"/>
      <w:bookmarkEnd w:id="50"/>
      <w:bookmarkEnd w:id="51"/>
      <w:r>
        <w:rPr>
          <w:rtl w:val="true"/>
        </w:rPr>
        <w:t xml:space="preserve">قاعدة </w:t>
      </w:r>
      <w:r>
        <w:rPr/>
        <w:t>8</w:t>
      </w:r>
      <w:r>
        <w:rPr>
          <w:rtl w:val="true"/>
        </w:rPr>
        <w:t xml:space="preserve"> </w:t>
      </w:r>
      <w:r>
        <w:rPr>
          <w:rtl w:val="true"/>
        </w:rPr>
        <w:t xml:space="preserve">یخص الحکام من الأحکام أمور کثیرة تجمعها الدخول تحت ولایة الإمام </w:t>
      </w:r>
      <w:r>
        <w:rPr>
          <w:rtl w:val="true"/>
        </w:rPr>
        <w:t>(</w:t>
      </w:r>
      <w:r>
        <w:rPr>
          <w:rtl w:val="true"/>
        </w:rPr>
        <w:t>ع</w:t>
      </w:r>
      <w:r>
        <w:rPr>
          <w:rtl w:val="true"/>
        </w:rPr>
        <w:t>)</w:t>
      </w:r>
      <w:bookmarkEnd w:id="52"/>
    </w:p>
    <w:p>
      <w:pPr>
        <w:pStyle w:val="BookText"/>
        <w:rPr/>
      </w:pPr>
      <w:r>
        <w:rPr>
          <w:rFonts w:ascii="IRNazanin" w:hAnsi="IRNazanin" w:eastAsia="IRNazanin"/>
          <w:color w:val="111111"/>
          <w:sz w:val="28"/>
          <w:sz w:val="28"/>
          <w:szCs w:val="28"/>
          <w:rtl w:val="true"/>
          <w:lang w:bidi="fa-IR"/>
        </w:rPr>
        <w:t xml:space="preserve">لأنَّ العلماء قوامه و نوابه و ورثة الأنبیاء و الرّاد علیهم رادّ علی اللّه، و هو علی حد الشرک بالله إلّا ما عُلِمَ و اختصاصه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فالبحث فی ثلاثة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غیرهما و هو الجهاد و الخمس و ملک الأموات و ما لا وارث له و صفایا المغنم و نصف الخمس و نصب القضاة و أئمة الجمعة و الأعیاد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یخص المجتهدین من بعد فقد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یقوم مقامهم فیه أحد و هو نصب الأجل المفقود و الخبر و طلبه فی الجهات و الحنین و إقامة الحدود و حکم الملاعنة و نصب الأجل للمظاهرة و حبس المدیون و قتل فاعل الکبیرة فی الرابعة و حبس المرتدة و الإفتاء و القضاء و طلب البینة و الیمین و العمل بمضمونها إلّا من باب النهی عن المنکر فإنه لیس من القضاء و الحکم بمقتضی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جهة الصلح فإنّه یدخل فی المعاملات و إرسال عمال الزکاة و الأخماس الی الرعیة و وجوب اتباعهم له و حمل الناس علی زیارة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و علی المقام بالحرمین لو ترکوها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یخصّ المجتهدین بعد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إلّا أنَّ عدول المسلمین یقومون مقامهم مع فقدهم و هو التحجیر علی المفلس و من تجدد سفهه بعد البلوغ و کذا الجنون المتجدد فی وجه و حکم الأمور العامة من الطرق النافذة و المقابر و الأسواق و جمیع المشترکة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فی التجهیز و نصب الحکم بین الزوجین و نصب الأولیاء لم لم یوصوا و تولی أمر الأطفال و الثلث حیث لا ولی و تولی مال الغائب و عیاله و أطفاله و نکاح المجنون و الطلاق عنه و تولی أطفاله و أمواله و قتل المرتد و قسمة أمواله و نکاح نسائه أما الأمر بالمعروف و النهی عن المنکر و التأدیب فی الجملة فمأذون لکل أحد مع جمع الشرائط و لو تعدد المجتهدون و تساووا فی الرتبة فالسابق أولی و مع التشاح یرجع الی القرعة و لو کان فیهم من</w:t>
      </w:r>
      <w:bookmarkStart w:id="53" w:name="pg2508_19427"/>
    </w:p>
    <w:p>
      <w:pPr>
        <w:pStyle w:val="BookText"/>
        <w:rPr/>
      </w:pPr>
      <w:bookmarkEnd w:id="53"/>
      <w:r>
        <w:rPr>
          <w:rFonts w:ascii="IRNazanin" w:hAnsi="IRNazanin" w:eastAsia="IRNazanin"/>
          <w:color w:val="111111"/>
          <w:sz w:val="28"/>
          <w:sz w:val="28"/>
          <w:szCs w:val="28"/>
          <w:rtl w:val="true"/>
          <w:lang w:bidi="fa-IR"/>
        </w:rPr>
        <w:t>هو أفضل فهو مقدّم مع التشاح و الأحوط مع عدمه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الحکم فی تعدد العدول و فیما یتعلق بالأموال إذا فقد العدول تولی غیرهم حسبه و المجتهد مخیر بین المباشرة و التوکیل لبعض العدول أو نصبهم أولیاء فی مواضع، و مع فقد العدول للمجتهد أن یوکل غیرهم ممن شاء من کافرٍ و مسلم مع تحری من هو الأصلح لذلک، فإن ظهر منهم خیانة عزلهم</w:t>
      </w:r>
      <w:r>
        <w:rPr>
          <w:rFonts w:eastAsia="IRNazanin" w:cs="IRNazanin"/>
          <w:color w:val="111111"/>
          <w:sz w:val="28"/>
          <w:szCs w:val="28"/>
          <w:rtl w:val="true"/>
          <w:lang w:bidi="fa-IR"/>
        </w:rPr>
        <w:t>.</w:t>
      </w:r>
    </w:p>
    <w:p>
      <w:pPr>
        <w:pStyle w:val="Heading3"/>
        <w:numPr>
          <w:ilvl w:val="2"/>
          <w:numId w:val="1"/>
        </w:numPr>
        <w:rPr/>
      </w:pPr>
      <w:bookmarkStart w:id="54" w:name="__RefHeading___Toc4098586_3804643083"/>
      <w:bookmarkStart w:id="55" w:name="_Toc21"/>
      <w:bookmarkEnd w:id="54"/>
      <w:r>
        <w:rPr>
          <w:rtl w:val="true"/>
        </w:rPr>
        <w:t xml:space="preserve">قاعدة </w:t>
      </w:r>
      <w:r>
        <w:rPr/>
        <w:t>9</w:t>
      </w:r>
      <w:r>
        <w:rPr>
          <w:rtl w:val="true"/>
        </w:rPr>
        <w:t xml:space="preserve"> </w:t>
      </w:r>
      <w:r>
        <w:rPr>
          <w:rtl w:val="true"/>
        </w:rPr>
        <w:t>یعطی فعل النائب فعل المنوب عنه</w:t>
      </w:r>
      <w:bookmarkEnd w:id="55"/>
    </w:p>
    <w:p>
      <w:pPr>
        <w:pStyle w:val="BookText"/>
        <w:rPr/>
      </w:pPr>
      <w:r>
        <w:rPr>
          <w:rFonts w:ascii="IRNazanin" w:hAnsi="IRNazanin" w:eastAsia="IRNazanin"/>
          <w:color w:val="111111"/>
          <w:sz w:val="28"/>
          <w:sz w:val="28"/>
          <w:szCs w:val="28"/>
          <w:rtl w:val="true"/>
          <w:lang w:bidi="fa-IR"/>
        </w:rPr>
        <w:t>فإنه یلزم النائب الإتیان بما وجب علی المنوب عنه من عدد رکعات أو خصوصیة نوع أو أفعاله أو أقواله أو جمیع ما یلحق العمل من جهة نفسه دون المقدمات فإنه لا ینابه فیها، أما ما یتبع العامل من لباس الحریر أو ذهب أو ستر تمام البدن أو جواز إخفات فی موضع الجهر أو کشف رأس أو نحو ذلک فلا دخل فیه للنیابة أو العجز عن قیام أو قعود أو قراءة أو کیفیاتها أو کشف وجه للإحرام فلا یلزم فیه المساواة، و أما ترتیب مقتضیاته فلولا ما ورد من الأدلة الدالة علی أنَّهُ یقع عن المیت جمیع ما یفعل عنه من عبادة واحدة أو متعددة و إنَّ ملاحظة الترتیب غالباً متعذرة أو متعسرة لقلنا بلزومه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حکم الذکر و الدعاء بدل القراءة من العاجز حکمها فی مقداره و جهر و إخفات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سرعة لحوق المأموم بالإمام لیقوم حین قراءته فإنَّه نائب فیها لا فی قیامه فیلزمه منه للقراءة المنوب فیها ما کان یلزمه لقراءته و إن کان الأقوی خلافه لظهور المسامحة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ینقض الإمام شیئاً مما یلزم المأموم علی تقدیر انفراده فی قراءته و کیفیاتها مع عجز الإمام و عدمه لنیابته عنه فیها فلو علم فی الابتداء أنَّهُ مستعجل بترک السورة لم یدخل معه و لو کان لسانه مئوفاً علی أشکال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إجراء حکم لزوم الابتداء بالأعلی فی بدل الوضوء من التیمم و کذا الموالاة بمعنی الجفاف التقدیری علی بعد</w:t>
      </w:r>
      <w:r>
        <w:rPr>
          <w:rFonts w:eastAsia="IRNazanin" w:cs="IRNazanin"/>
          <w:color w:val="111111"/>
          <w:sz w:val="28"/>
          <w:szCs w:val="28"/>
          <w:rtl w:val="true"/>
          <w:lang w:bidi="fa-IR"/>
        </w:rPr>
        <w:t>.</w:t>
      </w:r>
      <w:bookmarkStart w:id="56" w:name="pg2508_19429"/>
    </w:p>
    <w:p>
      <w:pPr>
        <w:pStyle w:val="BookText"/>
        <w:rPr/>
      </w:pPr>
      <w:bookmarkEnd w:id="5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الإخفات بالذکر بدل القراءة مع قیام الدلیل علی وجوب الإخفات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المکیّ إذا ناب عن النائی أن یأتی بحج التمتع و یلزم النائی إذا ناب عن المکی أن یأتی بأحد القسمین الأخیرین</w:t>
      </w:r>
      <w:r>
        <w:rPr>
          <w:rFonts w:eastAsia="IRNazanin" w:cs="IRNazanin"/>
          <w:color w:val="111111"/>
          <w:sz w:val="28"/>
          <w:szCs w:val="28"/>
          <w:rtl w:val="true"/>
          <w:lang w:bidi="fa-IR"/>
        </w:rPr>
        <w:t>.</w:t>
      </w:r>
    </w:p>
    <w:p>
      <w:pPr>
        <w:pStyle w:val="Heading3"/>
        <w:numPr>
          <w:ilvl w:val="2"/>
          <w:numId w:val="1"/>
        </w:numPr>
        <w:rPr/>
      </w:pPr>
      <w:bookmarkStart w:id="57" w:name="__RefHeading___Toc4098588_3804643083"/>
      <w:bookmarkStart w:id="58" w:name="_Toc22"/>
      <w:bookmarkEnd w:id="57"/>
      <w:r>
        <w:rPr>
          <w:rtl w:val="true"/>
        </w:rPr>
        <w:t xml:space="preserve">قاعدة </w:t>
      </w:r>
      <w:r>
        <w:rPr/>
        <w:t>10</w:t>
      </w:r>
      <w:r>
        <w:rPr>
          <w:rtl w:val="true"/>
        </w:rPr>
        <w:t xml:space="preserve"> </w:t>
      </w:r>
      <w:r>
        <w:rPr>
          <w:rtl w:val="true"/>
        </w:rPr>
        <w:t>یغتفر فی الثوانی و التوابع ما لا یغتفر فی الأوائل و المتبوعات</w:t>
      </w:r>
      <w:bookmarkEnd w:id="58"/>
    </w:p>
    <w:p>
      <w:pPr>
        <w:pStyle w:val="BookText"/>
        <w:rPr/>
      </w:pPr>
      <w:r>
        <w:rPr>
          <w:rFonts w:ascii="IRNazanin" w:hAnsi="IRNazanin" w:eastAsia="IRNazanin"/>
          <w:color w:val="111111"/>
          <w:sz w:val="28"/>
          <w:sz w:val="28"/>
          <w:szCs w:val="28"/>
          <w:rtl w:val="true"/>
          <w:lang w:bidi="fa-IR"/>
        </w:rPr>
        <w:t>و یبنی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الوکالة لعمال المضاربات و المزارعات و الشرکات و الخدمات المتسعة بالنسبة الی ما یلزمها من بیع بعض الأشیاء و استئجار بعض الأجزاء و یذل الجعالات و إعطاء بعض الهیئات من دون حاجة الی تصریح بالتوکیل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الإباحة فإذا اباح شخص شیئاً علی العموم أو الإطلاق أو وضع شیئاً بقصد الإباحة المطلقة من المیاه و نحوها و کذا ما یؤخذ من الأطفال فإنه بمنزلة إباحة الملک و ما کان علی ظهر الحیوان فی طریق و نحوه و نثار العرس و نثر الأموال من الناس و فضلة الطعام و ما تدعه القوافل فی المنازل و نحو ذلک صار بحکم و المأذون الوکیل فی جمیع التصرفات فیصح منه البیع و الإجارة و المزارعة و المضاربة و الهبة و نحوها و علیها تبنی مسألة المعاطاة لأنَّ البناء فیها علی الإذن فی جمیع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بالوقف معدوماً فإنه لا یجوز أصالة و یجوز تبعاً و ربما دخلت فی ذلک مسألة الأعراض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المالک فی عتق عبده و البیع و الشراء بماله عن المأذون فیه أو نال المغصوب بشی‌ء من مال المأذون له فیکون 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الاشتراط فی مشهوریة الشرط کما بین الزارعین من البناء علی خدمات الفلاحین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یبیح للزوجة الرخصة ما فی البیت عاماً أو خاصاً التصرف فیه کیف شاءت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یتساقط من الثمار أو یقطع فی طریق الناس و یُعلم الإذن بأخذه، و کما یجری فی الأقوال یجری فی الأفعال، و کما یجری فی الأعیان یجری فی المنافع، و کذا یجری فی المقدمات عن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الأحرار، و فی التوکیل علی الثمن و الأجرة و مال الخلع و الصداق و نحوها ما یلزم شرعاً أو عرفاً و یجوز العمل بظاهر الفعل کما یجوز بظاهر القول فمتی وجد شیئاً تردد إلیه المسلمون من موارد حیاض أو آبار أو نحوها أو یترددون فیه لا سور لها أو بستان کذلک أو غیر ذلک کان له أشیاع المسلمین و لیس علیه السؤال عن حقیقة الأحوال، و مثل ذلک الجداول الصغار التی یمرّ علیها المارة</w:t>
      </w:r>
      <w:r>
        <w:rPr>
          <w:rFonts w:eastAsia="IRNazanin" w:cs="IRNazanin"/>
          <w:color w:val="111111"/>
          <w:sz w:val="28"/>
          <w:szCs w:val="28"/>
          <w:rtl w:val="true"/>
          <w:lang w:bidi="fa-IR"/>
        </w:rPr>
        <w:t>.</w:t>
      </w:r>
      <w:bookmarkStart w:id="59" w:name="pg2508_19433"/>
    </w:p>
    <w:p>
      <w:pPr>
        <w:pStyle w:val="Heading3"/>
        <w:numPr>
          <w:ilvl w:val="2"/>
          <w:numId w:val="1"/>
        </w:numPr>
        <w:rPr/>
      </w:pPr>
      <w:bookmarkStart w:id="60" w:name="__RefHeading___Toc4098590_3804643083"/>
      <w:bookmarkStart w:id="61" w:name="_Toc23"/>
      <w:bookmarkEnd w:id="59"/>
      <w:bookmarkEnd w:id="60"/>
      <w:r>
        <w:rPr>
          <w:rtl w:val="true"/>
        </w:rPr>
        <w:t xml:space="preserve">قاعدة </w:t>
      </w:r>
      <w:r>
        <w:rPr/>
        <w:t>11</w:t>
      </w:r>
      <w:r>
        <w:rPr>
          <w:rtl w:val="true"/>
        </w:rPr>
        <w:t xml:space="preserve"> </w:t>
      </w:r>
      <w:r>
        <w:rPr>
          <w:rtl w:val="true"/>
        </w:rPr>
        <w:t>فی بیان ما یقبل النقل أو الصلح من الحقوق و الأعیان و المنافع الموافقة للشریعة</w:t>
      </w:r>
      <w:bookmarkEnd w:id="61"/>
    </w:p>
    <w:p>
      <w:pPr>
        <w:pStyle w:val="BookText"/>
        <w:rPr/>
      </w:pPr>
      <w:r>
        <w:rPr>
          <w:rFonts w:ascii="IRNazanin" w:hAnsi="IRNazanin" w:eastAsia="IRNazanin"/>
          <w:color w:val="111111"/>
          <w:sz w:val="28"/>
          <w:sz w:val="28"/>
          <w:szCs w:val="28"/>
          <w:rtl w:val="true"/>
          <w:lang w:bidi="fa-IR"/>
        </w:rPr>
        <w:t>، و کل منها ینقسم الی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الأعیان و هی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 بالفعل و لا بأس بدخوله فیها مع العلم أو الأول إلیه کان البناء علی التسلیم و إن بنینا علی افسقاط فلا لأنَّ ثمرته أن یظهر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ملکت مادیته القریبة کحبّ فی الأرض یعامل علی زرعه و شجر خالٍ یعامل علی ثمرته و حیوان یعامل علی نتاجه و صوفه و لبنه قبل وجودها و لا أری باساً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مُلکت مادیته البعیدة کزرع أرض یرجی حصوله أو أشجار یرجی ثمرتها و لا تبعد الصحة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له مادة کمالٍ یُرجی حصوله و أرضٍ یُرجی ملکها و دارٍ یُرجی بنائها أو عبدٍ یُرجی تملکه، و هکذا القول بالصحة هنا أبعد من القول بها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و الکلام علی نحو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و یجری فیه ما جری فی السابقین و کشف الحقیقة فیها یستدعی بیان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الحقوق التی اثبتها الشرع فی مقامات مخصوصة کحق الإرث و الرحم و الجوار و الحیاة و الطعمة و الولایة و الزوجیة و العبادة و الزیارة و التشییع و نحوها ما لم یرجع الی المال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المال کبعض هذهِ الأقسام إذا رجعت الی المال و حق الخیار و الرهن و حق النفقة و المسکن و الشفعة و القسم و الرضاع و الوطی و المبیت و حق الاستطراق فی الطرق المرفوعة و الحریم و التحجیر و الإحیاء و حق السبق</w:t>
      </w:r>
      <w:bookmarkStart w:id="62" w:name="pg2508_19435"/>
    </w:p>
    <w:p>
      <w:pPr>
        <w:pStyle w:val="BookText"/>
        <w:rPr/>
      </w:pPr>
      <w:bookmarkEnd w:id="62"/>
      <w:r>
        <w:rPr>
          <w:rFonts w:ascii="IRNazanin" w:hAnsi="IRNazanin" w:eastAsia="IRNazanin"/>
          <w:color w:val="111111"/>
          <w:sz w:val="28"/>
          <w:sz w:val="28"/>
          <w:szCs w:val="28"/>
          <w:rtl w:val="true"/>
          <w:lang w:bidi="fa-IR"/>
        </w:rPr>
        <w:t>بالوقف علی الإسقاط أو الإثبات فی البعض و قد یعرف کثیر من هذهِ الأحکام مما دلّ علی ترک ما خالف الکتاب أو حلّل حراماً أو حرّم حلالًا</w:t>
      </w:r>
      <w:r>
        <w:rPr>
          <w:rFonts w:eastAsia="IRNazanin" w:cs="IRNazanin"/>
          <w:color w:val="111111"/>
          <w:sz w:val="28"/>
          <w:szCs w:val="28"/>
          <w:rtl w:val="true"/>
          <w:lang w:bidi="fa-IR"/>
        </w:rPr>
        <w:t>.</w:t>
      </w:r>
    </w:p>
    <w:p>
      <w:pPr>
        <w:pStyle w:val="Heading3"/>
        <w:numPr>
          <w:ilvl w:val="2"/>
          <w:numId w:val="1"/>
        </w:numPr>
        <w:rPr/>
      </w:pPr>
      <w:bookmarkStart w:id="63" w:name="__RefHeading___Toc4098592_3804643083"/>
      <w:bookmarkStart w:id="64" w:name="_Toc24"/>
      <w:bookmarkEnd w:id="63"/>
      <w:r>
        <w:rPr>
          <w:rtl w:val="true"/>
        </w:rPr>
        <w:t xml:space="preserve">قاعدة </w:t>
      </w:r>
      <w:r>
        <w:rPr/>
        <w:t>12</w:t>
      </w:r>
      <w:r>
        <w:rPr>
          <w:rtl w:val="true"/>
        </w:rPr>
        <w:t xml:space="preserve"> </w:t>
      </w:r>
      <w:r>
        <w:rPr>
          <w:rtl w:val="true"/>
        </w:rPr>
        <w:t>مستفادة من مضامین الأخبار کقولهم لا ضرر و لا ضرار</w:t>
      </w:r>
      <w:bookmarkEnd w:id="64"/>
    </w:p>
    <w:p>
      <w:pPr>
        <w:pStyle w:val="BookText"/>
        <w:rPr/>
      </w:pPr>
      <w:r>
        <w:rPr>
          <w:rFonts w:ascii="IRNazanin" w:hAnsi="IRNazanin" w:eastAsia="IRNazanin"/>
          <w:color w:val="111111"/>
          <w:sz w:val="28"/>
          <w:sz w:val="28"/>
          <w:szCs w:val="28"/>
          <w:rtl w:val="true"/>
          <w:lang w:bidi="fa-IR"/>
        </w:rPr>
        <w:t>فإن المضرور یرجع الی من ضرّه و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القضیتین التالیتین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ففیه إشکال لأنَّهُ إن أرید بنفی الضرر و الضرار علی وجه العموم بمعنی انقضائهما بالنسبة الی الخالق و المخلوق أشکل الحال فی القسمین اما فی الأول فلأن معظم التکالیف الشرعیة فیه أعظم الضرر کالجهاد و الحج و الصیام فی العجز و بذل الأموال من زکاة و خمس و نحوهما، و دفعه بأنَّ بذل ما یتعقبه عوض یقابله أو یزید علیه لیس من الضرر فبذل النفوس و الأبدان و الأموال فی مقابلة ما یترتب علیه من النعیم الأبدی من النفع لا من الضرر کما إن کل تعب صادر من صاحب صناعة أو حرفة فی مقابله أجرة لا یعد ضرراً و یکون النفی فی حقه تعالی علی ظاهره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و هو المراد فلأنه إن أرید به معنی الخبر بمعنی أنَّهُ لا یقع ضرر من الإنسان علی نفسه و لا علی غیره أو یُبنی علی التوطئة للضرار فالمنفی هو الضرار لزم کذب الخبر فلا بدّ أن یبنی علی إرادة الترک و هی ظاهرة فی التحریم کما تقرر فی محله مضافاً الی أنَّ انتفاء الواقعی أقرب الی الانتفاع الشرعی فإذا بنی علی ذلک لزم القول بما لا یقول به أحد من تحریم أخذ الدیة من العاقلة و النفقات من المنفقین و تکلیف الأولیاء بحفظ المولی علیهم باقسامهم تکلیف من حصلت عنده أمانة شرعیة بحفظها أو تکلیف الموالی بطاعة المُوالی و تکلیف الکافر الداخل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 العبد المسلم و المحتکر ببیع الطعام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دفعه لأنَّ المتبادر من الضرر ما لم یکن مقروناً بحکم و مصالح تعود الی العامل مع ثبوت الأغراض الأخرویة لأنَّها متعلقات للخطابات الشرعیة علی ما نقول بأنَّ حکم الضرر و الإضرار لا یجری علی المالک المختار و کلها راجعة الی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المقام الثانی فأشدّ إشکالًا لأنَّهُ إن بُنی علی أنَّ المضرور یرجع الی من ضرّه لزم ما لا یُلتزم و خالف شرائع جمیع الأمم، و هو أنَّ کل من اصابه ضرر من شخص یرجع علیه به فالمغرور یرجع علی الغار بعوض ما غرّه و الغاش یرجع إلیه فی عوض ما غشّ به و صاحب المعیب فی العیب و المدلس فیما دلّس و الکاذب بل لوصف فی الموصوف، و هکذا حتی إذا أتلف شی‌ء منها رجع المضرور علی الضار بتمام المدفوع إلیه لأنَّ ما دفع غیر مراد و المراد غیر مدفوع فصار الدافع متبرعاً فیما دفع إذناً له فی التصرف فإذا أتلف و طولب حصل الضرر العظیم علیه، و ربما یقال بأنَّ من حصل منه ضرر من غیر قصد و لا عمل یسمی ضاراً و یجری علیه الحکم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مسألة الغرر یتعلق بها الحکم من وجهین الغرر و الضرر، و من ذلک أنَّهُ یلزم تضمین فاتح باب دار أو حصن کائناً ما کان أو حافر ثقب فی جدار و دال سارقٍ علی مال أو ساعٍ عند ظالم فی قتل أو أخذ مال أو فاتح فم ظرف فیه شی‌ء جامد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التلف علی فعله مع القصد و العمد أو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یضمن أیضاً من حفر بئراً فی غیر الطریق أو اتخّذ کلباً أو بهیمة غیر معتادی الضرر فیدخل جمیع انواع الضرر و هو مخالف لما یظهر من الأخبار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الأصحاب من أنَّ التضمین فی السبب موقوف علی عدم مباشرة أقوی منه مع وجود المباشر و علی صحّة إسناد الأثر إلیه مع عدمه و عدم تقصیره بالنسبة الی ما صدر من بهیمة لعدم معروفیتها بالأذیة أو معروفة بذلک و لکنه قصّر فی حفظها أو فی موضع الضمان لا ضمان إذا شمله دلیل نفی السبیل مع الإحسان و المجبور لا یدّعی ضاراً إنما الضار هو الجابر و لا فرق بین خروجه عن</w:t>
      </w:r>
      <w:bookmarkStart w:id="65" w:name="pg2508_19439"/>
    </w:p>
    <w:p>
      <w:pPr>
        <w:pStyle w:val="BookText"/>
        <w:rPr/>
      </w:pPr>
      <w:bookmarkEnd w:id="65"/>
      <w:r>
        <w:rPr>
          <w:rFonts w:ascii="IRNazanin" w:hAnsi="IRNazanin" w:eastAsia="IRNazanin"/>
          <w:color w:val="111111"/>
          <w:sz w:val="28"/>
          <w:sz w:val="28"/>
          <w:szCs w:val="28"/>
          <w:rtl w:val="true"/>
          <w:lang w:bidi="fa-IR"/>
        </w:rPr>
        <w:t>الاختیار و بین کونه فی مقام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الأقوی و لو تعدد الضارون فی موضع الضمان قدّم الأقوی و الضار مباشرةً مقدم علی ذی الواسطة و من قلّت واسطته مقدّم علی غیره و مع التساوی یتخیّر و یحتمل التوزیع و علی التخیر یقوی استقرار الضمان علی الآخر</w:t>
      </w:r>
      <w:r>
        <w:rPr>
          <w:rFonts w:eastAsia="IRNazanin" w:cs="IRNazanin"/>
          <w:color w:val="111111"/>
          <w:sz w:val="28"/>
          <w:szCs w:val="28"/>
          <w:rtl w:val="true"/>
          <w:lang w:bidi="fa-IR"/>
        </w:rPr>
        <w:t>.</w:t>
      </w:r>
    </w:p>
    <w:p>
      <w:pPr>
        <w:pStyle w:val="Heading3"/>
        <w:numPr>
          <w:ilvl w:val="2"/>
          <w:numId w:val="1"/>
        </w:numPr>
        <w:rPr/>
      </w:pPr>
      <w:bookmarkStart w:id="66" w:name="__RefHeading___Toc4098594_3804643083"/>
      <w:bookmarkStart w:id="67" w:name="_Toc25"/>
      <w:bookmarkEnd w:id="66"/>
      <w:r>
        <w:rPr>
          <w:rtl w:val="true"/>
        </w:rPr>
        <w:t xml:space="preserve">قاعدة </w:t>
      </w:r>
      <w:r>
        <w:rPr/>
        <w:t>13</w:t>
      </w:r>
      <w:r>
        <w:rPr>
          <w:rtl w:val="true"/>
        </w:rPr>
        <w:t xml:space="preserve"> </w:t>
      </w:r>
      <w:r>
        <w:rPr>
          <w:rtl w:val="true"/>
        </w:rPr>
        <w:t xml:space="preserve">مستفادة من قوله تعالی </w:t>
      </w:r>
      <w:r>
        <w:rPr>
          <w:rtl w:val="true"/>
        </w:rPr>
        <w:t>[</w:t>
      </w:r>
      <w:r>
        <w:rPr>
          <w:rtl w:val="true"/>
        </w:rPr>
        <w:t>ما جعل علیکم فی الدین من حرج</w:t>
      </w:r>
      <w:r>
        <w:rPr>
          <w:rtl w:val="true"/>
        </w:rPr>
        <w:t>]</w:t>
      </w:r>
      <w:bookmarkEnd w:id="67"/>
    </w:p>
    <w:p>
      <w:pPr>
        <w:pStyle w:val="BookText"/>
        <w:rPr/>
      </w:pPr>
      <w:r>
        <w:rPr>
          <w:rFonts w:ascii="Amiri" w:hAnsi="Amiri" w:eastAsia="Amiri" w:cs="Amiri"/>
          <w:color w:val="111111"/>
          <w:sz w:val="28"/>
          <w:sz w:val="28"/>
          <w:szCs w:val="28"/>
          <w:rtl w:val="true"/>
          <w:lang w:bidi="ar-SA"/>
        </w:rPr>
        <w:t xml:space="preserve">مٰا جَعَلَ عَلَیْکُمْ فِی الدِّینِ مِنْ حَرَجٍ و قوله تعالی لٰا یُکَلِّفُ اللّٰهُ نَفْساً إِلّٰا وُسْعَهٰا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أتیتکم بالشریعة السمحة، و إنَّ بنی إسرائیل کُلِّفوا بالمشاق و قد خفف اللّه عن هذهِ الأمة ببرکاته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موسی بن عمران قال فی حدیث المعراج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یکلف هذهِ الأمة بأکثر من خمس صلوات لأنهم لا یطیقون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و کشف حقیقة الحال یتوقف علی بیان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إما أن یدخل فی الحال العقلی أو العادی فی نفسها و فی حد ذاتها لا من جهة تقصیر العامل فی المقدمات و هذه لا یتعلق بها تکلیف عندنا، و من قال بخلاف ذلک فهو خارج عن مذهبنا و أما ما استند الی التقصیر فحکمه حکم الاختیاری، و أما أن یکون مما لا یدخل تحت الطاقة و یزید علی الوضع بمعنی أنا لو فرضنا أنَّ سیداً أمر عبده به استحق الذم عند العقلاء فهذه لا یقع من الشارع بالنسبة الی المکلفین إلّا مع تقصیرهم بالمقدمات و ما عدا ذلک لا مانع من التکلیف به و لکن آیة نفی الحرج تنافی ما ذکرناه لأنَّ الحرج مطلق الضیق و لا یناسب قصره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المذکورات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ذلک لا یلائم ما تکرر من أهل العصمة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الاستدلال بالآیة فی مقام أدنی الضیق مع أنَّ قضیة السهولة و ما صنع موسی بن عمران ابین شاهد علی ذلک، فلذلک جاء الإشکال العظیم من جهة التکلیف بالقصاص و الحدود و التعزیرات و بذل النفوس فی جهات و ارتکاب الجوع و العطش و الکف عن الجماع مع الحاجة</w:t>
      </w:r>
    </w:p>
    <w:p>
      <w:pPr>
        <w:pStyle w:val="BookText"/>
        <w:rPr/>
      </w:pPr>
      <w:r>
        <w:rPr>
          <w:rFonts w:ascii="IRNazanin" w:hAnsi="IRNazanin" w:eastAsia="IRNazanin"/>
          <w:color w:val="111111"/>
          <w:sz w:val="28"/>
          <w:sz w:val="28"/>
          <w:szCs w:val="28"/>
          <w:rtl w:val="true"/>
          <w:lang w:bidi="fa-IR"/>
        </w:rPr>
        <w:t>الشدیدة إلیها و لزوم التقریب الی الحج و فرق الأهل و العیال و الأموال الی غیر ذلک فینحصر الأمر بین القول بالتخصیص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ظاهر الآیة الامتنان و إظهار الشفقة و اللّطف فلو خصّصت ضاعت الثمرة بین أن یُراد أنَّ الحرج منفی فی وضع الدّین لا فی عوارضه الاتفاقیة فطبائع التکالیف خالیة، و بین أن یُراد الحرج لیس دیناً لکم کما أنَّ بنی إسرائیل یدینون بالحرج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أنَّ جملة الدین من حیث الهیئة الاجتماعیة لیس مبنیاً علی الحرج فیکون المُراد أنَّ ذلک فی شریعة نبیّنا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فیحمل التکلیف علی عدم الحرج حتی یثبت فیکون الامتنان کالامتنان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لکم الطیبات و حرّم علیکم الخبائث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آیات الإباحة المفیدة للعموم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مرجع الجمیع الی ما ذکرنا فاضل السعة کأصل الإباحة</w:t>
      </w:r>
      <w:r>
        <w:rPr>
          <w:rFonts w:eastAsia="IRNazanin" w:cs="IRNazanin"/>
          <w:color w:val="111111"/>
          <w:sz w:val="28"/>
          <w:szCs w:val="28"/>
          <w:rtl w:val="true"/>
          <w:lang w:bidi="fa-IR"/>
        </w:rPr>
        <w:t>.</w:t>
      </w:r>
      <w:bookmarkStart w:id="68" w:name="pg2508_19443"/>
    </w:p>
    <w:p>
      <w:pPr>
        <w:pStyle w:val="Heading3"/>
        <w:numPr>
          <w:ilvl w:val="2"/>
          <w:numId w:val="1"/>
        </w:numPr>
        <w:rPr/>
      </w:pPr>
      <w:bookmarkStart w:id="69" w:name="__RefHeading___Toc4098596_3804643083"/>
      <w:bookmarkStart w:id="70" w:name="_Toc26"/>
      <w:bookmarkEnd w:id="68"/>
      <w:bookmarkEnd w:id="69"/>
      <w:r>
        <w:rPr>
          <w:rtl w:val="true"/>
        </w:rPr>
        <w:t xml:space="preserve">قاعدة </w:t>
      </w:r>
      <w:r>
        <w:rPr/>
        <w:t>14</w:t>
      </w:r>
      <w:r>
        <w:rPr>
          <w:rtl w:val="true"/>
        </w:rPr>
        <w:t xml:space="preserve"> </w:t>
      </w:r>
      <w:r>
        <w:rPr>
          <w:rtl w:val="true"/>
        </w:rPr>
        <w:t>فی أنَّ الإذن فی ترک الواجب أو الندب فی بعض الأحوال أو لأجل بعض العوارض لا یفید سوی رفع الوجوب</w:t>
      </w:r>
      <w:bookmarkEnd w:id="70"/>
    </w:p>
    <w:p>
      <w:pPr>
        <w:pStyle w:val="BookText"/>
        <w:rPr/>
      </w:pPr>
      <w:r>
        <w:rPr>
          <w:rFonts w:ascii="IRNazanin" w:hAnsi="IRNazanin" w:eastAsia="IRNazanin"/>
          <w:color w:val="111111"/>
          <w:sz w:val="28"/>
          <w:sz w:val="28"/>
          <w:szCs w:val="28"/>
          <w:rtl w:val="true"/>
          <w:lang w:bidi="fa-IR"/>
        </w:rPr>
        <w:t>أو رفع شدّة الندب لقضاء العرف فی ذلک و الاستناد الی الاستصحاب فیها فیه، و یتفرع علیه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للعصر الجامع بین صلاتین و عصری الجمعة و عرفة و عشاء مزدلفة و من السامع و المتبرع و المرأة و المسافر و الحاضر صلاة الجمعة قبل التفرق و قاضی الصلاة فی الورد غیر الأولی و المغتسل یوم الخمیس إذا وجد الماء یوم الجمعة و ترک النوافل من صلاة العید و الزوال و ترک إتمام نافلة اللیل قبل تمام الأربع و تداخل الأغسال بعضها فی بعض و الإجزاء بالهدی بین الأضحیة و إعطاء الکفارة لمن لم یقضِ شیئاً ممن الرواتب و إعطاء غیر الشی‌ء المعین فی الزکاة و إعطاء المرتبة المتأخرة فی الکفارة و صلاة الطواف فی غیر المقام حیث یصح، و الغسل قبل الإحرام بأقل من خمسة عشر یوماً منن قدمه و ترک صلاة الجمعة من العبد و المرأة و المسافر و سائر من سقط وجوبها عنهم و طواف الحج و سعیه من عرفات و المکفّر بدرهم شرعی غیر المتصدق به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کفارة لما عساه یکون لحقه فی إحرامه من حک أو سقوط قملة أو شعرة أو نحوها إذا ظهر له بعد ذلک حصول موجب للصدقة و الصائم بدل الهدی إذا قدر علیه و الذابح بدل الهدی الواجب إذا وجده و الشاب و الشیخ القادمین من نافلة اللیل قبل الانتصاف إذا استیقظا فی وقتها و نحو ذلک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فیحتمل الإذن علی الرخصة دون العزیمة و المطلی و یزید قبل مضی خمسة عشر یوماً قبل الدخول فی الإحرام و نحو ذلک، فیکون الإذن محمولًا علی الرخصة فی الشراء دون العزیمة و الحکم غیر خالٍ عن الإشکال فیما عدا ما یظهر حکمه من صریح الأدلّة أو فحاویها و لعلّ ظهوره ثابت فی الأکثر</w:t>
      </w:r>
      <w:r>
        <w:rPr>
          <w:rFonts w:eastAsia="IRNazanin" w:cs="IRNazanin"/>
          <w:color w:val="111111"/>
          <w:sz w:val="28"/>
          <w:szCs w:val="28"/>
          <w:rtl w:val="true"/>
          <w:lang w:bidi="fa-IR"/>
        </w:rPr>
        <w:t>.</w:t>
      </w:r>
      <w:bookmarkStart w:id="71" w:name="pg2508_19445"/>
    </w:p>
    <w:p>
      <w:pPr>
        <w:pStyle w:val="Heading3"/>
        <w:numPr>
          <w:ilvl w:val="2"/>
          <w:numId w:val="1"/>
        </w:numPr>
        <w:rPr/>
      </w:pPr>
      <w:bookmarkStart w:id="72" w:name="__RefHeading___Toc4098598_3804643083"/>
      <w:bookmarkStart w:id="73" w:name="_Toc27"/>
      <w:bookmarkEnd w:id="71"/>
      <w:bookmarkEnd w:id="72"/>
      <w:r>
        <w:rPr>
          <w:rtl w:val="true"/>
        </w:rPr>
        <w:t xml:space="preserve">قاعدة </w:t>
      </w:r>
      <w:r>
        <w:rPr/>
        <w:t>15</w:t>
      </w:r>
      <w:r>
        <w:rPr>
          <w:rtl w:val="true"/>
        </w:rPr>
        <w:t xml:space="preserve"> </w:t>
      </w:r>
      <w:r>
        <w:rPr>
          <w:rtl w:val="true"/>
        </w:rPr>
        <w:t>فی أنَّ الحُکم الحرام فی الابتدائی ینجز الی اثره فی البقاء فی المحال و فی الإخراج</w:t>
      </w:r>
      <w:bookmarkEnd w:id="73"/>
    </w:p>
    <w:p>
      <w:pPr>
        <w:pStyle w:val="BookText"/>
        <w:rPr/>
      </w:pPr>
      <w:r>
        <w:rPr>
          <w:rFonts w:ascii="Amiri" w:hAnsi="Amiri" w:eastAsia="Amiri" w:cs="Amiri"/>
          <w:color w:val="111111"/>
          <w:sz w:val="28"/>
          <w:sz w:val="28"/>
          <w:szCs w:val="28"/>
          <w:rtl w:val="true"/>
          <w:lang w:bidi="ar-SA"/>
        </w:rPr>
        <w:t>حتی أنَّهُ لو دخل مشتبهاً فذکر و مکث أنتما مختاراً کان زانیاً لائطاً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دخل داراً مغصوبة اشتباهاً فصلّی حین الاشتباه صحت صلاته، و لو مکث بعد العلم و صلّی عصی و بطلت صلاته، و لو صلّی فی خروجه من دون تصرّف زائد علی الکون صحّت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حرّم أکله و شربه و إدخاله الی الجوف کخمر و لحم کلب و خنزیر و میتة و مطلق عین النجاسة و مس شی‌ء مغصوب و نحو ذلک حرّم إبقائه و وجب استفراغه مع عدم ترتب الضرّ و المعتبر، و لا یُبعد إلحاق المتنجس بها مع العلم حین إدخاله و مع عدمه یقوی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حرّم عمله لتضمنه غشّاً کالدراهم المغشوشة التی لم یضرب علیها سکّة السلطان و لم تتداول بین المسلمین، أما لو تداولت بینهم مع علمهم فلا مانع، و کذا ما یُصنع من تغلط جواهر أو أقمشة و نحوها لیغتر بها المسلمون، و کذا ما غُشّ لیبقی الی مجی‌ء طالب فیبیعهُ به و نحو ذلک یجب إخراجه عن تلک الهیئة المغشوشة لئلا یغتر بها المسلمون، و لا یُبعد وجوب الکسر و الإتلاف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کان فعلهُ حراماً لیترتب الحرام علیه کهیاکل العبادة و آلات اللهو و الأوانی المتخذة من الذهب و الفضة أو من جلود المیتة فیجب کسرها أو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الصور الحیوانیة المجسّمة و الزینة المقصود بها فی الابتداء و التدلیس وجه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وضعه للضلال من الکتب الضلالیة و ما یلزمه ذلک کوضع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القنادیل و الفرش و السبرح و الحصن و الأبواب و المفاتیح و الخدمة لأئمة الضلال، و کذا تعلیم علمائهم و إکرامهم و إعلاء شأنهم فی باب التقیة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فیما لم یکن فیه صلاح للمؤمنین برفع الأذیة و الإهانة عنهم</w:t>
      </w:r>
      <w:r>
        <w:rPr>
          <w:rFonts w:eastAsia="IRNazanin" w:cs="IRNazanin"/>
          <w:color w:val="111111"/>
          <w:sz w:val="28"/>
          <w:szCs w:val="28"/>
          <w:rtl w:val="true"/>
          <w:lang w:bidi="fa-IR"/>
        </w:rPr>
        <w:t>.</w:t>
      </w:r>
      <w:bookmarkStart w:id="74" w:name="pg2508_19447"/>
    </w:p>
    <w:p>
      <w:pPr>
        <w:pStyle w:val="Heading3"/>
        <w:numPr>
          <w:ilvl w:val="2"/>
          <w:numId w:val="1"/>
        </w:numPr>
        <w:rPr/>
      </w:pPr>
      <w:bookmarkStart w:id="75" w:name="__RefHeading___Toc4098600_3804643083"/>
      <w:bookmarkStart w:id="76" w:name="_Toc28"/>
      <w:bookmarkEnd w:id="74"/>
      <w:bookmarkEnd w:id="75"/>
      <w:r>
        <w:rPr>
          <w:rtl w:val="true"/>
        </w:rPr>
        <w:t xml:space="preserve">قاعدة </w:t>
      </w:r>
      <w:r>
        <w:rPr/>
        <w:t>16</w:t>
      </w:r>
      <w:r>
        <w:rPr>
          <w:rtl w:val="true"/>
        </w:rPr>
        <w:t xml:space="preserve"> </w:t>
      </w:r>
      <w:r>
        <w:rPr>
          <w:rtl w:val="true"/>
        </w:rPr>
        <w:t>فی أنَّ مقدماته اختباریة</w:t>
      </w:r>
      <w:bookmarkEnd w:id="76"/>
    </w:p>
    <w:p>
      <w:pPr>
        <w:pStyle w:val="BookText"/>
        <w:rPr/>
      </w:pPr>
      <w:r>
        <w:rPr>
          <w:rFonts w:ascii="IRNazanin" w:hAnsi="IRNazanin" w:eastAsia="IRNazanin"/>
          <w:color w:val="111111"/>
          <w:sz w:val="28"/>
          <w:sz w:val="28"/>
          <w:szCs w:val="28"/>
          <w:rtl w:val="true"/>
          <w:lang w:bidi="fa-IR"/>
        </w:rPr>
        <w:t>فیتعلّق به الحُکم و إن کان واجباً أو ممتنعاً بالعارض و یبنی علی ذلک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بعث أو حجر أو نحوها الی شخص بعید فبعد الانتقال من بلده و لزوم لا یدخل فی غیر المختار و إذا تاب لا تقبل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أولج فی فرج أو دبر کان غاصباً فی الإدخال و المکث و الإخراج و إذا تاب مخرجاً فلا اثر لتوبته إلّا أن یتفضّل اللّه علیه بلطفه، و مثله من دخل فی مکان مغصوب متعمداً فإنه عاصٍ بالدخول و الخروج و جمیع الأکوان فلا یُوصف خروجه بالجواز و یحرّم خروجه و إن تقدمت التوبة فلا تصحّ صلاته فی حال من الأحوال و کون من الأکوان بخلاف من دخل مشتبهاً فإنه لا یعد فی خروجه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أهمل مقدمات السفر الی الحج أو مقدمات الصلاة حتی ضاق الوقت مؤاخذ معاقب لا تقبل له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نام فی لیلة صوم معیّن جنباً عامداً علی عدم الغسل و کذا من نام عازماً علی عدم الصلاة و قد یُلحق بها المتردد یکون عاصیاً و یُوقظ من النوم من باب النهی عن المنکر لرجوعه الی حکم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سعی الی السلطان فی اذیّة مسلم فأذاه و بعد ذلک ندم علی ما فعل کأنه فعله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من یطیع أمره مطاعة بأمر فی أول هذا ما عثرت علیه من القواعد الفقهیة المنسوبة لجدی المرحوم المبرور الأکبر الشیخ جعفر کاشف الغطاء و قد حررتها بیدی الفانیة و أنا المذنب الأحقر موسی بن محمد رضا بن موسی بن جعفر طاب ثراهم رجاءً للدعاء ممّن نظر للتوفیق و الغفران فی یوم الجزاء فی یوم الخامس و العشرین من شهر صفر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دأب الشیخ رحمه اللّه أنه کلّما صلی یأخذ ذیله و یدور بین الصفوف و یجمع دراهم و دنانیر، و یعطی للفقراء و المساکین و إذا مشی إلی مجالس التجار بعنوان الضیافة یلاحظ الأطعمة و الأشربة، و لم یأکل منهما و لم یشرب، و لم یأذن لأحد بالأکل، حتی یقوَّم کلما فی الخوّان، فیبیع کلها لصاحب المجلس، و یأخذ ثمنها، ثمّ یأمر بالأکل، فیعطی الأثمان للمستحقین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غار علی النجف الأشرف و حاصرها، فحاربها الشیخ الکبیر مع أهالیها طیلة أربعة أیام ردَّه منکوصاً لم یتمکن من فتحها، و کان الشیخ الکبیر هو المسئول الأول عن حفظ النجف و الدفاع عنها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9849</Words>
  <Characters>38530</Characters>
  <CharactersWithSpaces>48061</CharactersWithSpaces>
  <Paragraphs>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2026-08-17T08:41:20Z</dcterms:created>
  <dc:creator>ghaemiyeh.com</dc:creator>
  <dc:description/>
  <dc:language>en-US</dc:language>
  <cp:lastModifiedBy/>
  <dcterms:modified xsi:type="dcterms:W3CDTF">2026-08-17T12:12:46Z</dcterms:modified>
  <cp:revision>1</cp:revision>
  <dc:subject/>
  <dc:title>القواعد السته عشر</dc:title>
</cp:coreProperties>
</file>

<file path=docProps/custom.xml><?xml version="1.0" encoding="utf-8"?>
<Properties xmlns="http://schemas.openxmlformats.org/officeDocument/2006/custom-properties" xmlns:vt="http://schemas.openxmlformats.org/officeDocument/2006/docPropsVTypes"/>
</file>