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 جلوه ای از حضور در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3565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53567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53569_380464308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053571_3804643083">
            <w:r>
              <w:rPr>
                <w:webHidden/>
                <w:rStyle w:val="IndexLink"/>
                <w:rtl w:val="true"/>
              </w:rPr>
              <w:t>زندگاني گروهي و همكاري جمعي، نياز غير قابل ترديد انسان‌ها</w:t>
            </w:r>
            <w:r>
              <w:rPr>
                <w:rStyle w:val="IndexLink"/>
                <w:rtl w:val="true"/>
              </w:rPr>
              <w:tab/>
            </w:r>
            <w:r>
              <w:rPr>
                <w:rStyle w:val="IndexLink"/>
              </w:rPr>
              <w:t>5</w:t>
            </w:r>
          </w:hyperlink>
        </w:p>
        <w:p>
          <w:pPr>
            <w:pStyle w:val="Contents2"/>
            <w:tabs>
              <w:tab w:val="clear" w:pos="8743"/>
              <w:tab w:val="right" w:pos="9026" w:leader="dot"/>
            </w:tabs>
            <w:rPr/>
          </w:pPr>
          <w:hyperlink w:anchor="__RefHeading___Toc3053573_3804643083">
            <w:r>
              <w:rPr>
                <w:webHidden/>
                <w:rStyle w:val="IndexLink"/>
                <w:rtl w:val="true"/>
              </w:rPr>
              <w:t>قانون و مُجري، نيازِ گريزناپذير مناسبات انساني</w:t>
            </w:r>
            <w:r>
              <w:rPr>
                <w:rStyle w:val="IndexLink"/>
                <w:rtl w:val="true"/>
              </w:rPr>
              <w:tab/>
            </w:r>
            <w:r>
              <w:rPr>
                <w:rStyle w:val="IndexLink"/>
              </w:rPr>
              <w:t>7</w:t>
            </w:r>
          </w:hyperlink>
        </w:p>
        <w:p>
          <w:pPr>
            <w:pStyle w:val="Contents2"/>
            <w:tabs>
              <w:tab w:val="clear" w:pos="8743"/>
              <w:tab w:val="right" w:pos="9026" w:leader="dot"/>
            </w:tabs>
            <w:rPr/>
          </w:pPr>
          <w:hyperlink w:anchor="__RefHeading___Toc3053575_3804643083">
            <w:r>
              <w:rPr>
                <w:webHidden/>
                <w:rStyle w:val="IndexLink"/>
                <w:rtl w:val="true"/>
              </w:rPr>
              <w:t>ضرورت نيروي اجرايي، اصل قطعي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3053577_3804643083">
            <w:r>
              <w:rPr>
                <w:webHidden/>
                <w:rStyle w:val="IndexLink"/>
                <w:rtl w:val="true"/>
              </w:rPr>
              <w:t>وابستگي تشريع و اجراي قانون به اراده‌ي حقّ متعال</w:t>
            </w:r>
            <w:r>
              <w:rPr>
                <w:rStyle w:val="IndexLink"/>
                <w:rtl w:val="true"/>
              </w:rPr>
              <w:tab/>
            </w:r>
            <w:r>
              <w:rPr>
                <w:rStyle w:val="IndexLink"/>
              </w:rPr>
              <w:t>17</w:t>
            </w:r>
          </w:hyperlink>
        </w:p>
        <w:p>
          <w:pPr>
            <w:pStyle w:val="Contents2"/>
            <w:tabs>
              <w:tab w:val="clear" w:pos="8743"/>
              <w:tab w:val="right" w:pos="9026" w:leader="dot"/>
            </w:tabs>
            <w:rPr/>
          </w:pPr>
          <w:hyperlink w:anchor="__RefHeading___Toc3053579_3804643083">
            <w:r>
              <w:rPr>
                <w:webHidden/>
                <w:rStyle w:val="IndexLink"/>
                <w:rtl w:val="true"/>
              </w:rPr>
              <w:t>وضعيّت جامعه در زمان غيبت معصوم</w:t>
            </w:r>
            <w:r>
              <w:rPr>
                <w:rStyle w:val="IndexLink"/>
                <w:rtl w:val="true"/>
              </w:rPr>
              <w:t xml:space="preserve">× </w:t>
            </w:r>
            <w:r>
              <w:rPr>
                <w:rStyle w:val="IndexLink"/>
                <w:rtl w:val="true"/>
              </w:rPr>
              <w:t>چگونه خواهد بود؟</w:t>
            </w:r>
            <w:r>
              <w:rPr>
                <w:rStyle w:val="IndexLink"/>
                <w:rtl w:val="true"/>
              </w:rPr>
              <w:tab/>
            </w:r>
            <w:r>
              <w:rPr>
                <w:rStyle w:val="IndexLink"/>
              </w:rPr>
              <w:t>21</w:t>
            </w:r>
          </w:hyperlink>
        </w:p>
        <w:p>
          <w:pPr>
            <w:pStyle w:val="Contents2"/>
            <w:tabs>
              <w:tab w:val="clear" w:pos="8743"/>
              <w:tab w:val="right" w:pos="9026" w:leader="dot"/>
            </w:tabs>
            <w:rPr/>
          </w:pPr>
          <w:hyperlink w:anchor="__RefHeading___Toc3053581_3804643083">
            <w:r>
              <w:rPr>
                <w:webHidden/>
                <w:rStyle w:val="IndexLink"/>
                <w:rtl w:val="true"/>
              </w:rPr>
              <w:t>پي‌آمد قطعي دو مطلب، ثبوت ولايت فقيه در بستر قرآن و سنّت</w:t>
            </w:r>
            <w:r>
              <w:rPr>
                <w:rStyle w:val="IndexLink"/>
                <w:rtl w:val="true"/>
              </w:rPr>
              <w:tab/>
            </w:r>
            <w:r>
              <w:rPr>
                <w:rStyle w:val="IndexLink"/>
              </w:rPr>
              <w:t>23</w:t>
            </w:r>
          </w:hyperlink>
        </w:p>
        <w:p>
          <w:pPr>
            <w:pStyle w:val="Contents2"/>
            <w:tabs>
              <w:tab w:val="clear" w:pos="8743"/>
              <w:tab w:val="right" w:pos="9026" w:leader="dot"/>
            </w:tabs>
            <w:rPr/>
          </w:pPr>
          <w:hyperlink w:anchor="__RefHeading___Toc3053583_3804643083">
            <w:r>
              <w:rPr>
                <w:webHidden/>
                <w:rStyle w:val="IndexLink"/>
                <w:rtl w:val="true"/>
              </w:rPr>
              <w:t>هيچ فقيهي، حكومت غير فقيه يا غير مأذون از فقيه را تجويز نمي‌كند</w:t>
            </w:r>
            <w:r>
              <w:rPr>
                <w:rStyle w:val="IndexLink"/>
                <w:rtl w:val="true"/>
              </w:rPr>
              <w:tab/>
            </w:r>
            <w:r>
              <w:rPr>
                <w:rStyle w:val="IndexLink"/>
              </w:rPr>
              <w:t>29</w:t>
            </w:r>
          </w:hyperlink>
        </w:p>
        <w:p>
          <w:pPr>
            <w:pStyle w:val="Contents2"/>
            <w:tabs>
              <w:tab w:val="clear" w:pos="8743"/>
              <w:tab w:val="right" w:pos="9026" w:leader="dot"/>
            </w:tabs>
            <w:rPr/>
          </w:pPr>
          <w:hyperlink w:anchor="__RefHeading___Toc3053585_3804643083">
            <w:r>
              <w:rPr>
                <w:webHidden/>
                <w:rStyle w:val="IndexLink"/>
                <w:rtl w:val="true"/>
              </w:rPr>
              <w:t>با مردود بودن حكومت غير فقيه عادل تنها گزينه فقيه عادل است</w:t>
            </w:r>
            <w:r>
              <w:rPr>
                <w:rStyle w:val="IndexLink"/>
                <w:rtl w:val="true"/>
              </w:rPr>
              <w:tab/>
            </w:r>
            <w:r>
              <w:rPr>
                <w:rStyle w:val="IndexLink"/>
              </w:rPr>
              <w:t>35</w:t>
            </w:r>
          </w:hyperlink>
        </w:p>
        <w:p>
          <w:pPr>
            <w:pStyle w:val="Contents2"/>
            <w:tabs>
              <w:tab w:val="clear" w:pos="8743"/>
              <w:tab w:val="right" w:pos="9026" w:leader="dot"/>
            </w:tabs>
            <w:rPr/>
          </w:pPr>
          <w:hyperlink w:anchor="__RefHeading___Toc3053587_3804643083">
            <w:r>
              <w:rPr>
                <w:webHidden/>
                <w:rStyle w:val="IndexLink"/>
                <w:rtl w:val="true"/>
              </w:rPr>
              <w:t>فقاهت و عدالت، مقتضي مشورت</w:t>
            </w:r>
            <w:r>
              <w:rPr>
                <w:rStyle w:val="IndexLink"/>
                <w:rtl w:val="true"/>
              </w:rPr>
              <w:tab/>
            </w:r>
            <w:r>
              <w:rPr>
                <w:rStyle w:val="IndexLink"/>
              </w:rPr>
              <w:t>39</w:t>
            </w:r>
          </w:hyperlink>
        </w:p>
        <w:p>
          <w:pPr>
            <w:pStyle w:val="Contents2"/>
            <w:tabs>
              <w:tab w:val="clear" w:pos="8743"/>
              <w:tab w:val="right" w:pos="9026" w:leader="dot"/>
            </w:tabs>
            <w:rPr/>
          </w:pPr>
          <w:hyperlink w:anchor="__RefHeading___Toc3053589_3804643083">
            <w:r>
              <w:rPr>
                <w:webHidden/>
                <w:rStyle w:val="IndexLink"/>
                <w:rtl w:val="true"/>
              </w:rPr>
              <w:t>بهره‌مندي‌هاي فراوان از ولايت فقيه</w:t>
            </w:r>
            <w:r>
              <w:rPr>
                <w:rStyle w:val="IndexLink"/>
                <w:rtl w:val="true"/>
              </w:rPr>
              <w:tab/>
            </w:r>
            <w:r>
              <w:rPr>
                <w:rStyle w:val="IndexLink"/>
              </w:rPr>
              <w:t>40</w:t>
            </w:r>
          </w:hyperlink>
        </w:p>
        <w:p>
          <w:pPr>
            <w:pStyle w:val="Contents2"/>
            <w:tabs>
              <w:tab w:val="clear" w:pos="8743"/>
              <w:tab w:val="right" w:pos="9026" w:leader="dot"/>
            </w:tabs>
            <w:rPr/>
          </w:pPr>
          <w:hyperlink w:anchor="__RefHeading___Toc3053591_3804643083">
            <w:r>
              <w:rPr>
                <w:webHidden/>
                <w:rStyle w:val="IndexLink"/>
                <w:rtl w:val="true"/>
              </w:rPr>
              <w:t>برخي مخالفت‌ها با ولايت فقيه</w:t>
            </w:r>
            <w:r>
              <w:rPr>
                <w:rStyle w:val="IndexLink"/>
                <w:rtl w:val="true"/>
              </w:rPr>
              <w:tab/>
            </w:r>
            <w:r>
              <w:rPr>
                <w:rStyle w:val="IndexLink"/>
              </w:rPr>
              <w:t>41</w:t>
            </w:r>
          </w:hyperlink>
        </w:p>
        <w:p>
          <w:pPr>
            <w:pStyle w:val="Contents2"/>
            <w:tabs>
              <w:tab w:val="clear" w:pos="8743"/>
              <w:tab w:val="right" w:pos="9026" w:leader="dot"/>
            </w:tabs>
            <w:rPr/>
          </w:pPr>
          <w:hyperlink w:anchor="__RefHeading___Toc3053593_3804643083">
            <w:r>
              <w:rPr>
                <w:webHidden/>
                <w:rStyle w:val="IndexLink"/>
                <w:rtl w:val="true"/>
              </w:rPr>
              <w:t>لزوم بيداري و ثبات در راه حقّ در زير و بم آزمايشات</w:t>
            </w:r>
            <w:r>
              <w:rPr>
                <w:rStyle w:val="IndexLink"/>
                <w:rtl w:val="true"/>
              </w:rPr>
              <w:tab/>
            </w:r>
            <w:r>
              <w:rPr>
                <w:rStyle w:val="IndexLink"/>
              </w:rPr>
              <w:t>45</w:t>
            </w:r>
          </w:hyperlink>
        </w:p>
        <w:p>
          <w:pPr>
            <w:pStyle w:val="Contents2"/>
            <w:tabs>
              <w:tab w:val="clear" w:pos="8743"/>
              <w:tab w:val="right" w:pos="9026" w:leader="dot"/>
            </w:tabs>
            <w:rPr/>
          </w:pPr>
          <w:hyperlink w:anchor="__RefHeading___Toc3053595_3804643083">
            <w:r>
              <w:rPr>
                <w:webHidden/>
                <w:rStyle w:val="IndexLink"/>
                <w:rtl w:val="true"/>
              </w:rPr>
              <w:t>تتميمي دقيق و لازم براي خواصّ</w:t>
            </w:r>
            <w:r>
              <w:rPr>
                <w:rStyle w:val="IndexLink"/>
                <w:rtl w:val="true"/>
              </w:rPr>
              <w:tab/>
            </w:r>
            <w:r>
              <w:rPr>
                <w:rStyle w:val="IndexLink"/>
              </w:rPr>
              <w:t>47</w:t>
            </w:r>
          </w:hyperlink>
        </w:p>
        <w:p>
          <w:pPr>
            <w:pStyle w:val="Contents2"/>
            <w:tabs>
              <w:tab w:val="clear" w:pos="8743"/>
              <w:tab w:val="right" w:pos="9026" w:leader="dot"/>
            </w:tabs>
            <w:rPr/>
          </w:pPr>
          <w:hyperlink w:anchor="__RefHeading___Toc3053597_3804643083">
            <w:r>
              <w:rPr>
                <w:webHidden/>
                <w:rStyle w:val="IndexLink"/>
                <w:rtl w:val="true"/>
              </w:rPr>
              <w:t>جوهر‌ه‌ي انقلاب اسلامي، دفاع از اسلام و مسلمين و قطعي بودن وجوب دفاع</w:t>
            </w:r>
            <w:r>
              <w:rPr>
                <w:rStyle w:val="IndexLink"/>
                <w:rtl w:val="true"/>
              </w:rPr>
              <w:tab/>
            </w:r>
            <w:r>
              <w:rPr>
                <w:rStyle w:val="IndexLink"/>
              </w:rPr>
              <w:t>53</w:t>
            </w:r>
          </w:hyperlink>
        </w:p>
        <w:p>
          <w:pPr>
            <w:pStyle w:val="Contents2"/>
            <w:tabs>
              <w:tab w:val="clear" w:pos="8743"/>
              <w:tab w:val="right" w:pos="9026" w:leader="dot"/>
            </w:tabs>
            <w:rPr/>
          </w:pPr>
          <w:hyperlink w:anchor="__RefHeading___Toc3053599_3804643083">
            <w:r>
              <w:rPr>
                <w:webHidden/>
                <w:rStyle w:val="IndexLink"/>
                <w:rtl w:val="true"/>
              </w:rPr>
              <w:t>خلاصه‌ي كتاب</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94_26019"/>
      <w:bookmarkStart w:id="1" w:name="pg2394_26019"/>
      <w:bookmarkEnd w:id="1"/>
    </w:p>
    <w:p>
      <w:pPr>
        <w:pStyle w:val="Heading2"/>
        <w:numPr>
          <w:ilvl w:val="1"/>
          <w:numId w:val="1"/>
        </w:numPr>
        <w:rPr/>
      </w:pPr>
      <w:bookmarkStart w:id="2" w:name="pg2394_26019"/>
      <w:bookmarkStart w:id="3" w:name="__RefHeading___Toc3053565_380464308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طباطبايي يزدي، سيّد محمّدرضا،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حضور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مدرّسي طباطبايي يزدي</w:t>
      </w:r>
    </w:p>
    <w:p>
      <w:pPr>
        <w:pStyle w:val="BookText"/>
        <w:rPr/>
      </w:pPr>
      <w:r>
        <w:rPr>
          <w:rFonts w:ascii="IRNazanin" w:hAnsi="IRNazanin" w:eastAsia="IRNazanin"/>
          <w:color w:val="111111"/>
          <w:sz w:val="28"/>
          <w:sz w:val="28"/>
          <w:szCs w:val="28"/>
          <w:rtl w:val="true"/>
          <w:lang w:bidi="fa-IR"/>
        </w:rPr>
        <w:t>ويرايش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موسّسه‌ي پرتوثقلين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كريمه اهل بيت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3567_3804643083"/>
      <w:bookmarkStart w:id="6" w:name="_Toc2"/>
      <w:bookmarkEnd w:id="5"/>
      <w:r>
        <w:rPr>
          <w:rtl w:val="true"/>
        </w:rPr>
        <w:t>اشاره</w:t>
      </w:r>
      <w:bookmarkStart w:id="7" w:name="pg2394_26025"/>
      <w:bookmarkEnd w:id="6"/>
    </w:p>
    <w:p>
      <w:pPr>
        <w:pStyle w:val="Heading2"/>
        <w:numPr>
          <w:ilvl w:val="1"/>
          <w:numId w:val="1"/>
        </w:numPr>
        <w:rPr/>
      </w:pPr>
      <w:bookmarkStart w:id="8" w:name="__RefHeading___Toc3053569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وصلّي الله علي محمّد وآله الطّاهرين</w:t>
      </w:r>
    </w:p>
    <w:p>
      <w:pPr>
        <w:pStyle w:val="BookText"/>
        <w:rPr/>
      </w:pPr>
      <w:r>
        <w:rPr>
          <w:rFonts w:ascii="Amiri" w:hAnsi="Amiri" w:eastAsia="Amiri" w:cs="Amiri"/>
          <w:color w:val="111111"/>
          <w:sz w:val="28"/>
          <w:sz w:val="28"/>
          <w:szCs w:val="28"/>
          <w:rtl w:val="true"/>
          <w:lang w:bidi="ar-SA"/>
        </w:rPr>
        <w:t>ولعنة الله علي أعدائهم أجمعين</w:t>
      </w:r>
    </w:p>
    <w:p>
      <w:pPr>
        <w:pStyle w:val="BookText"/>
        <w:rPr/>
      </w:pPr>
      <w:r>
        <w:rPr>
          <w:rFonts w:ascii="IRNazanin" w:hAnsi="IRNazanin" w:eastAsia="IRNazanin"/>
          <w:color w:val="111111"/>
          <w:sz w:val="28"/>
          <w:sz w:val="28"/>
          <w:szCs w:val="28"/>
          <w:rtl w:val="true"/>
          <w:lang w:bidi="fa-IR"/>
        </w:rPr>
        <w:t>بحثي را كه قرار است در اين جمع عظيم و در ميان دوستان بسيار خوب و با ايمان مطرح كنم، بحث ولايت فقيه و توابع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گفتن از ولايت فقيه در ابعاد مختلف و شاخه‌ها و آثار و اثرات آن، مجلس‌ها و ساعت‌ها بحث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مقداري كه شرايط و وقت به ما اجازه مي‌دهد اساس مطالب بحث ولايت فقيه را عرض خواهم كرد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0" w:name="__RefHeading___Toc3053571_3804643083"/>
      <w:bookmarkStart w:id="11" w:name="_Toc4"/>
      <w:bookmarkEnd w:id="10"/>
      <w:r>
        <w:rPr>
          <w:rtl w:val="true"/>
        </w:rPr>
        <w:t>زندگاني گروهي و همكاري جمعي، نياز غير قابل ترديد انسان‌ها</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مسلّمات نزد دانشمندان بلكه عقلاي عالم اين است كه انسان‌ها هرگز نمي‌توانند به شكل انفرادي به زندگي عادي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آنهايي كه به عنوان تارك دنيا در گوشه‌ي دَيري يا غار كوهي به سر مي‌برند چنين نيست كه بي‌نياز از جامعه باشند، بلكه به نوعي از جامعه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آن است كه فرد خودش در انزوا زندگي را سپري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شخص براي تأمين خوراك و پوشاك و دارو و برخي نيازهاي ديگرش نيازمند به جمع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او يك فرد است ـ و نمي‌توان او را ملاك و معيار قرار داد ـ در حالي كه نوع انسان‌ها چاره‌اي از زندگي اجتماعي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اصلي مطلب هم در اين است كه بشر براي ادامه‌ي حيات و بالندگيِ مطلوبِ خود نيازمند اموري است كه هيچ كس به تنهايي توان برآوردن همه‌ي آنها را در مقياس قابل قبول ندارد و در عين حال افراد ظرفيّت‌هاي متفاوتي را در تأمين اين‌گونه نيازها دارند؛ در نيتجه ناگزير از زندگي جمعي و همكاري با يكديگر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لِيَتَّخِذَ بَعْضُهُمْ بَعْضًا سُخْرِيًّا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برخي از آنها را بر برخي به رتبه‌هايي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كمالات 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 داده‌ايم تا بعضي از آنان بعض ديگر را به خدمت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نظام اتم و اصلح اداره‌ي مجتمع بشري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انسان‌ها را متفاوت آفريده تا محتاج يكديگر باشند، همديگر را ياري كنند تا زمينه براي رسيدن به هدف نهايي آفرينش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الاّ وَهُوَ مُحتاجٌ اِلَي النّاس</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مگر آنكه به مردم نيازمند است</w:t>
      </w:r>
      <w:r>
        <w:rPr>
          <w:rFonts w:eastAsia="IRNazanin" w:cs="IRNazanin"/>
          <w:color w:val="111111"/>
          <w:sz w:val="28"/>
          <w:szCs w:val="28"/>
          <w:rtl w:val="true"/>
          <w:lang w:bidi="fa-IR"/>
        </w:rPr>
        <w:t>.»</w:t>
      </w:r>
      <w:bookmarkStart w:id="12" w:name="pg2394_26027"/>
    </w:p>
    <w:p>
      <w:pPr>
        <w:pStyle w:val="Heading2"/>
        <w:numPr>
          <w:ilvl w:val="1"/>
          <w:numId w:val="1"/>
        </w:numPr>
        <w:rPr/>
      </w:pPr>
      <w:bookmarkStart w:id="13" w:name="__RefHeading___Toc3053573_3804643083"/>
      <w:bookmarkStart w:id="14" w:name="_Toc5"/>
      <w:bookmarkEnd w:id="12"/>
      <w:bookmarkEnd w:id="13"/>
      <w:r>
        <w:rPr>
          <w:rtl w:val="true"/>
        </w:rPr>
        <w:t>قانون و مُجري، نيازِ گريزناپذير مناسبات انساني</w:t>
      </w:r>
      <w:bookmarkEnd w:id="14"/>
    </w:p>
    <w:p>
      <w:pPr>
        <w:pStyle w:val="BookText"/>
        <w:rPr/>
      </w:pPr>
      <w:r>
        <w:rPr>
          <w:rFonts w:ascii="IRNazanin" w:hAnsi="IRNazanin" w:eastAsia="IRNazanin"/>
          <w:color w:val="111111"/>
          <w:sz w:val="28"/>
          <w:sz w:val="28"/>
          <w:szCs w:val="28"/>
          <w:rtl w:val="true"/>
          <w:lang w:bidi="fa-IR"/>
        </w:rPr>
        <w:t>همان‌طور كه روشن است زندگاني گروهي و همكاري افراد، مناسبات و روابطي را بر زندگي انسان‌ها تحميل مي‌كند كه بدون آنها زندگاني جمعي معنا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مناسبات و ارتباطات بين افراد نمي‌توان بدون هيچ ضابطه‌اي باشد؛ زيرا بدون ضابطه، همكاري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نقش هر عنصر در يك نظام جعي و حدود مسئوليّت‌ها و وظايف و اختيارات آن به نوعي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بين فرد و همسر، فرد و فرزند، فرد و همسايه، فرد و همكار، فرد و طبيعت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نيازمند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چگونه ما انسان‌ها بايد از طبيعت استفاده كنيم؟ سهم و بهره‌ي هر كس از طبيعت چقدر بايد باشد؟ در مبادلات و معاملات با يكديگر چه قوانيني بايد حاكم باشد و بر اساس چه ضوابطي بايد رفتار كنيم؟ و همين‌طور در ابعاد مختلفي كه لامحاله بر اساس نياز و به قهر طبيعت، ما محوم به زندگاني جمعي هستيم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شبهه‌اي نيست در اينكه انسان‌ها در روابط با يكديگر و مناسبات اجتماعي علاوه بر آنكه محتاج به قانون و ضابطه هستند، محتاج به نيرويي مي‌باشند كه ضامن اجراي اين ضابطه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قانون خوب و ضابطه ي درست وجود داشته باشد؛ امّا بعضي از مردم بلكه كثيري از ايشان آن را رعايت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زيادي به حقّ خودشان راضي نيستند، روحيّه‌ي تجاوز و استفاده از منافع و حقوق ديگران در آنها</w:t>
      </w:r>
    </w:p>
    <w:p>
      <w:pPr>
        <w:pStyle w:val="BookText"/>
        <w:rPr/>
      </w:pP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از قول حضرت داود نبيّ علي نبيّنا وآله وعليه السلاممي‌فرمايد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الْخُلَطَاءِ لَيَبْغِي بَعْضُهُمْ عَلَى بَعْضٍ إِلا الَّذِينَ آمَنُوا وَعَمِلُوا الصَّالِحَاتِ وَقَلِيلٌ مَا 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اين نكته‌ي بسيرا مهمّي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كَثِيرًا مِنَ الْخُلَطَاءِ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عدّه‌ي زيادي از كساني كه با يكديگر آميخته‌اند و با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الْخُلَطَاءِ لَيَبْغِي بَعْضُهُمْ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بعضي از آنها به ديگري تجاوز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كساني كه هم اهل ايمانند و هم اهل عمل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اينها اندكند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ستم‌پيشه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چه بسا وقتي شرايط براي او فراهم شود در صورتي كه پاك و مهذّب نبوده و خود را تربيت نكرده باشد، به حقّي كه براي او قرار داده شده است در بسياري از موارد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روحيّه‌ي تجاوز و ظلم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اشعار عربي كه خيلي معروف شده، شاعر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والظُّلمُ مِن شِيَمِ النُّفوسِ فَإن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عِفَّةٍ فَلِعِلَّةٍ لا يَظلِمُ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w:t>
      </w:r>
    </w:p>
    <w:p>
      <w:pPr>
        <w:pStyle w:val="BookText"/>
        <w:rPr/>
      </w:pPr>
      <w:r>
        <w:rPr>
          <w:rFonts w:ascii="Amiri" w:hAnsi="Amiri" w:eastAsia="Amiri" w:cs="Amiri"/>
          <w:color w:val="111111"/>
          <w:sz w:val="28"/>
          <w:sz w:val="28"/>
          <w:szCs w:val="28"/>
          <w:rtl w:val="true"/>
          <w:lang w:bidi="ar-SA"/>
        </w:rPr>
        <w:t>بعضي ظلم نمي‌كنند به دليل خاصّي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واقعاً در غير مؤمنينِ داراي عمل صالح اين شعر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مَثَل هم ـ كه منشأ روايي دارد ـ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 بَزَّ؛</w:t>
      </w:r>
      <w:r>
        <w:rPr>
          <w:rStyle w:val="FootnoteAnchor"/>
          <w:rtl w:val="true"/>
        </w:rPr>
        <w:footnoteReference w:id="7"/>
      </w:r>
      <w:r>
        <w:rPr>
          <w:rFonts w:ascii="Amiri" w:hAnsi="Amiri" w:eastAsia="Amiri" w:cs="Amiri"/>
          <w:color w:val="111111"/>
          <w:sz w:val="28"/>
          <w:sz w:val="28"/>
          <w:szCs w:val="28"/>
          <w:rtl w:val="true"/>
          <w:lang w:bidi="ar-SA"/>
        </w:rPr>
        <w:t>كسي كه به قدرتي برسد، دست‌اندازي مي‌كند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اينها همه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مسائل روان‌شناختي اجتماعي كار كرده‌اند به خوبي اين معنا را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ناگزير از زندگي اجتماعي و نيازمند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تنظيم روابط اجتماعي، جامعه‌هاي انساني به نيرو و قوّه‌ي اجرايي نيازمندند تا جريان صحيح قانون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جامعه بدون قانون و بدون مجري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گمان باطل دارند ـ و در حقيقت مي‌خواهند ديگران را فريب دهند ـ و نظرشان اين است كه نيازي به قوّه‌ي مجريه نداريم،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نظر ايشان را رد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خوارج كه با تفكّرِ منحطِّ عدمِ نياز به امير و حاكم ظهور كردند، وقتي در مقام عمل به مشكل برخورد نمودند دست از سخن خود كشيده و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امير پذيرفتند</w:t>
      </w:r>
      <w:r>
        <w:rPr>
          <w:rFonts w:eastAsia="IRNazanin" w:cs="IRNazanin"/>
          <w:color w:val="111111"/>
          <w:sz w:val="28"/>
          <w:szCs w:val="28"/>
          <w:rtl w:val="true"/>
          <w:lang w:bidi="fa-IR"/>
        </w:rPr>
        <w:t>.</w:t>
      </w:r>
      <w:bookmarkStart w:id="15" w:name="pg2394_26030"/>
    </w:p>
    <w:p>
      <w:pPr>
        <w:pStyle w:val="Heading2"/>
        <w:numPr>
          <w:ilvl w:val="1"/>
          <w:numId w:val="1"/>
        </w:numPr>
        <w:rPr/>
      </w:pPr>
      <w:bookmarkStart w:id="16" w:name="__RefHeading___Toc3053575_3804643083"/>
      <w:bookmarkStart w:id="17" w:name="_Toc6"/>
      <w:bookmarkEnd w:id="15"/>
      <w:bookmarkEnd w:id="16"/>
      <w:r>
        <w:rPr>
          <w:rtl w:val="true"/>
        </w:rPr>
        <w:t>ضرورت نيروي اجرايي، اصل قطعي اسلام</w:t>
      </w:r>
      <w:bookmarkEnd w:id="17"/>
    </w:p>
    <w:p>
      <w:pPr>
        <w:pStyle w:val="BookText"/>
        <w:rPr/>
      </w:pPr>
      <w:r>
        <w:rPr>
          <w:rFonts w:ascii="Amiri" w:hAnsi="Amiri" w:eastAsia="Amiri" w:cs="Amiri"/>
          <w:color w:val="111111"/>
          <w:sz w:val="28"/>
          <w:sz w:val="28"/>
          <w:szCs w:val="28"/>
          <w:rtl w:val="true"/>
          <w:lang w:bidi="ar-SA"/>
        </w:rPr>
        <w:t>رواياتي داريم كه معصوم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بُدَّ لِلنَّاسِ مِن أمِيرٍ بَرٍّ أو فاجِرٍ؛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هم‌چنين از حضرت علي عليه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فَإنَّ‌النّاسَ لا يُصلِحُهُم إلّا إمامٌ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 لا تَقومُ مَمْلَكَةُ الاّ بِتَدْبيرٍ وَلا بُدَّ مِنْ اِمْرَةٍ؛هيچ كشوري به پا نخواهد بود مگر به تدبير، و چاره‌اي از فرمان‌روايي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عن وقعة صفّين،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اِمارَةٍ وَرِزْقٍ لِلأَمير؛ چاره‌اي از فرمان‌روايي و روزي براي امير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الإمرَةِ بَرَّةً كانَت أَوْ فاجِرَةً؛ و چاره‌اي از فرمان‌روايي نيست، خوب باشد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عن الجعفريّات،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النّاسَ اِلاّ اِمامٌ عادِلٌ وَاِمامٌ فاجِر، اِنَّ‌الله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نمي‌آورد مردم را مگر پيشوايِ عادل و پيشواي فاجر،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پيشواياني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پيشواياني قرار داديم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بيان امام صادق عليه السلام درباره‌ي حضرت ابراهيم عليه السلام آمده است كه خداوند متعال به ابراهيم عليه السلام وحي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إمرَةٍ فِي الأرْضِ بَرَّةٍ أَوْ فاجِرَةٍ؛و چاره‌اي از فرمانروايي در زمين نيست، نيك يا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توضيح بيشتر و آگاهي بر تعدادي از منابع عامّه كه مثل اين احاديث را نقل كرده‌اند رجوع كنيد به كتاب تشيّع در تسنّن از مؤلف چاپ سوم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نيروي سامان‌بخش و تنظيم كننده‌ي اجتماع، حقيقتي است كه حتّي مردم جاهليّتِ قبل از اسلام نيز به ارتكاز خود آن را دريافته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اشعار جاهلي معروف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النّاس فَوْضي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اِذا جُهّالُهُم سادُوا</w:t>
      </w:r>
    </w:p>
    <w:p>
      <w:pPr>
        <w:pStyle w:val="BookText"/>
        <w:rPr/>
      </w:pPr>
      <w:r>
        <w:rPr>
          <w:rFonts w:ascii="IRNazanin" w:hAnsi="IRNazanin" w:eastAsia="IRNazanin"/>
          <w:color w:val="111111"/>
          <w:sz w:val="28"/>
          <w:sz w:val="28"/>
          <w:szCs w:val="28"/>
          <w:rtl w:val="true"/>
          <w:lang w:bidi="fa-IR"/>
        </w:rPr>
        <w:t>امور مردم با آشفتگي و بدون مِهتر، به صلاح نمي‌آيد، و مهتري هم ندارند اگر نادانان سرور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برخي اين شعر را به ابوالأسود دوئلي</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از اصحابِ اميرالمؤمنين عليه السلام نسبت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عمدتاً در منابع مورد ارجاع از نرم‌افزارهاي نور استفاده شده است؛ و نيز در ترجمه‌هاي آيات قرآن كريم و روايات از ترجمه‌هاي موجود در اين نرم‌افزار بهره برده شده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مردم</w:t>
      </w:r>
    </w:p>
    <w:p>
      <w:pPr>
        <w:pStyle w:val="BookText"/>
        <w:rPr/>
      </w:pPr>
      <w:r>
        <w:rPr>
          <w:rFonts w:ascii="IRNazanin" w:hAnsi="IRNazanin" w:eastAsia="IRNazanin"/>
          <w:color w:val="111111"/>
          <w:sz w:val="28"/>
          <w:sz w:val="28"/>
          <w:szCs w:val="28"/>
          <w:rtl w:val="true"/>
          <w:lang w:bidi="fa-IR"/>
        </w:rPr>
        <w:t>حاكمي لازم است چه نيكوكار و چه بدكار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حكومت و فرماندهي، جامعه نمي‌تواند به حيات خويش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هرج و مرج باشد و هيچ قدرت بادارنده‌اي نباشد، همه ظالمند، امّا وقتي جامعه حاكمي داشته باشد هرچند كه ظالم باشد، در اين حال تنها او و همراهانش ظالم هستند، امّا في الجمله نظمي وجود دارد و لذا در روايت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ظَلومٌ غَشومٌ خَيرٌ مِن فِتنَةٍ تَدوم؛</w:t>
      </w:r>
      <w:r>
        <w:rPr>
          <w:rStyle w:val="FootnoteAnchor"/>
          <w:rtl w:val="true"/>
        </w:rPr>
        <w:footnoteReference w:id="9"/>
      </w:r>
      <w:r>
        <w:rPr>
          <w:rFonts w:ascii="Amiri" w:hAnsi="Amiri" w:eastAsia="Amiri" w:cs="Amiri"/>
          <w:color w:val="111111"/>
          <w:sz w:val="28"/>
          <w:sz w:val="28"/>
          <w:szCs w:val="28"/>
          <w:rtl w:val="true"/>
          <w:lang w:bidi="ar-SA"/>
        </w:rPr>
        <w:t>حاكمِ ظالمِ متجاوز، از فتنه‌اي كه تداوم داشته باشد بهتر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فتنه هيچ كس در هيچ جا امنيّت نخواهد داشت ـ نه در جانش، نه مالش و نه عِرضش ـ و نبود حاكم، مساوي</w:t>
      </w:r>
    </w:p>
    <w:p>
      <w:pPr>
        <w:pStyle w:val="BookText"/>
        <w:rPr/>
      </w:pPr>
      <w:r>
        <w:rPr>
          <w:rFonts w:ascii="IRNazanin" w:hAnsi="IRNazanin" w:eastAsia="IRNazanin"/>
          <w:color w:val="111111"/>
          <w:sz w:val="28"/>
          <w:sz w:val="28"/>
          <w:szCs w:val="28"/>
          <w:rtl w:val="true"/>
          <w:lang w:bidi="fa-IR"/>
        </w:rPr>
        <w:t>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اسلام حقّ و عدالت فراگير را مي‌خواهد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 و عدل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جلوگيري از ظلم و ايستادگي در مقابل ظالم را مي‌طلبد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پيوسته به عدالت قيام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عدل و داد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از ديدگاه اسلام حكم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عالَم تكوين و چه در عالَم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سوره‌ي يوسف آيه‌ي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عَلَيْهِ تَوَكَّلْتُ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فرمان، تنها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توكّل كرده‌ام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آيه منحصر بودن حكم تكويني به ذات حضرت حقّ آشكار است؛ چون سخن حضرت يعقوب علي نبيّنا وآله وعليه السّلامدر مقابل توكّل بر خداوند متعال در حفظ فرزندانش از</w:t>
      </w:r>
    </w:p>
    <w:p>
      <w:pPr>
        <w:pStyle w:val="BookText"/>
        <w:rPr/>
      </w:pPr>
      <w:r>
        <w:rPr>
          <w:rFonts w:ascii="Amiri" w:hAnsi="Amiri" w:eastAsia="Amiri" w:cs="Amiri"/>
          <w:color w:val="111111"/>
          <w:sz w:val="28"/>
          <w:sz w:val="28"/>
          <w:szCs w:val="28"/>
          <w:rtl w:val="true"/>
          <w:lang w:bidi="ar-SA"/>
        </w:rPr>
        <w:t>حوادث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سوره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 أَمَرَ أَلا تَعْبُدُوا إِلا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تنها از آن خداست فرمان داده كه غير از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انحصار حيثيّت تشريع به ذات اقدس حقّ در آن روشن است؛ چون بيان حضرت يوسف علي نبيّنا وآله وعليه السّلام براي هم‌زندانيان است مبني بر فرمان خداوند متعال بر لزوم اخلاص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قانون و فرمان ديگري در طول قانون و فرمان الهي است و با اذن تكويني يا تشريعي خداوند متعال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قانون‌گذاري حقِّ خداست، بالطّبع مُجري قانون هم بايد از سوي خداي متعال معرّفي شود؛ چون تعيين مُجري و حدود و اختيارات او هم خود يك قانون است؛ و در غير اين صورت دين ناقص خواهد بود، در حالي كه مي‌دانيم دين كامل است، چنان كه 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برايتان كامل كردم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بالاي برخي روزنامه‌ها به عنوان شعار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حاكميّت از آنِ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اين كلام، خلاف قرآن است، چه مراد از حاكميّت، قانون حاكميّت باشد و چه مراد از حاكميّت، قدرت اجرايي به معناي اصلي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مراد چيزي باشد كه اگر فرصت شد توضيح خواهم داد و خلاف</w:t>
      </w:r>
    </w:p>
    <w:p>
      <w:pPr>
        <w:pStyle w:val="BookText"/>
        <w:rPr/>
      </w:pPr>
      <w:r>
        <w:rPr>
          <w:rFonts w:ascii="IRNazanin" w:hAnsi="IRNazanin" w:eastAsia="IRNazanin"/>
          <w:color w:val="111111"/>
          <w:sz w:val="28"/>
          <w:sz w:val="28"/>
          <w:szCs w:val="28"/>
          <w:rtl w:val="true"/>
          <w:lang w:bidi="fa-IR"/>
        </w:rPr>
        <w:t xml:space="preserve">ظاهر مفهوم از عبارت است مانعي ندارد، گرچه از همين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خواسته‌اند سوء استفاده كنند كه توضيحش را براي فرصت‌هاي ديگر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قانون از جانب خداوند متعال به واسطه‌ي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طبق توضيحات گشته قانون ضامن اجرا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نيرويي هم باشد كه آن را اجرا كرده و اگر كسي تخلّف كرد با او برخورد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بعضي از قوانين اساساً متصدّي خاصّي از عموم مردم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يك از زنِ زناكار و مردِ زناكار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جايي كه همسر نداشته و مَحْرَم يكديگر نباشند و زِناي به عُنْف و كافر با زن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تازيانه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حقوق خانوادگي تجاوز كرده و عمل شنيع زنا را مرتكب مي‌شود، اگر غير مُحصِن باشد بايد صد ضربه تازيانه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بايد بزند؟ اجراكننده كيست؟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دزد و زن دزد، دستشان را ببريد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حكم قرآن كريم در شرايط خاصّي بايد دست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غير ابهام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w:t>
      </w:r>
    </w:p>
    <w:p>
      <w:pPr>
        <w:pStyle w:val="BookText"/>
        <w:rPr/>
      </w:pPr>
      <w:r>
        <w:rPr>
          <w:rFonts w:ascii="IRNazanin" w:hAnsi="IRNazanin" w:eastAsia="IRNazanin"/>
          <w:color w:val="111111"/>
          <w:sz w:val="28"/>
          <w:sz w:val="28"/>
          <w:szCs w:val="28"/>
          <w:rtl w:val="true"/>
          <w:lang w:bidi="fa-IR"/>
        </w:rPr>
        <w:t>كسي بايد شرايط را تشخيص دهد و بعد دست دزد را قطع كند؟ متصدّي اين امر چه كسي است؟</w:t>
      </w:r>
    </w:p>
    <w:p>
      <w:pPr>
        <w:pStyle w:val="BookText"/>
        <w:rPr/>
      </w:pPr>
      <w:r>
        <w:rPr>
          <w:rFonts w:ascii="IRNazanin" w:hAnsi="IRNazanin" w:eastAsia="IRNazanin"/>
          <w:color w:val="111111"/>
          <w:sz w:val="28"/>
          <w:sz w:val="28"/>
          <w:szCs w:val="28"/>
          <w:rtl w:val="true"/>
          <w:lang w:bidi="fa-IR"/>
        </w:rPr>
        <w:t>هم‌چنين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مقابله با دشمن آنچه در توان داريد آماده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ياغي و متجاوز بجنگيد تا به امر خداوند بازگشت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فرماندهي دفاع در مقابل متجاوزين به حريم مسلمين بر عهده‌ي كيست؟مگر دفاع، إعداد و فراهم‌سازي نيروو بسيج امكانات براي ترساندن دشمن و كسب و حفظ آمادگي و جمع‌آوري و تحليل اخبار و گزارش‌ها و إشراف اطلاعاتي بر دشمن، بدون نظام و فرماندگي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مي‌شود از دفاع چشم پوشيد و مسلمانان و سرزمين‌هاي اسلامي را بي‌دفاع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مي‌تواند در وجوب دفاع به ويژه در شرايطي كه خطر تسلّط كفّار يا دست‌نشانده‌هاي آنان بر حوزه‌ي اسلام هست، اندك ترديدي به خود راه دهد؟</w:t>
      </w:r>
    </w:p>
    <w:p>
      <w:pPr>
        <w:pStyle w:val="BookText"/>
        <w:rPr/>
      </w:pPr>
      <w:r>
        <w:rPr>
          <w:rFonts w:ascii="IRNazanin" w:hAnsi="IRNazanin" w:eastAsia="IRNazanin"/>
          <w:color w:val="111111"/>
          <w:sz w:val="28"/>
          <w:sz w:val="28"/>
          <w:szCs w:val="28"/>
          <w:rtl w:val="true"/>
          <w:lang w:bidi="fa-IR"/>
        </w:rPr>
        <w:t>آيا بيرون راندن كفّارِ اشغال‌گر، هميشه بدون ايجاد جبهه‌ي منسجم و يك‌پارچه امكان‌پذير مي‌باشد؟ن آيا امتثال اين آيات قرآن كريم به خصوص در زمان حاضر و در دنياي پيچيده‌ي امروز با دشمناني كه بنيان‌هاي اسلامي را هدف قرار داده‌اند بدون نظام حكومتي ومديريّت فراگير امكان دارد؟</w:t>
      </w:r>
    </w:p>
    <w:p>
      <w:pPr>
        <w:pStyle w:val="BookText"/>
        <w:rPr/>
      </w:pPr>
      <w:r>
        <w:rPr>
          <w:rFonts w:ascii="IRNazanin" w:hAnsi="IRNazanin" w:eastAsia="IRNazanin"/>
          <w:color w:val="111111"/>
          <w:sz w:val="28"/>
          <w:sz w:val="28"/>
          <w:szCs w:val="28"/>
          <w:rtl w:val="true"/>
          <w:lang w:bidi="fa-IR"/>
        </w:rPr>
        <w:t xml:space="preserve">آيا مبارزه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كريم مسلمانان را بدان امر فرموده، هميشه بدون سازماندهي و مديريت ممكن است؟ آيا اجراي حكم خداوند متعال در مورد مُحارب، بدون سازماندهي و فرماندهي در بسياري از موارد عملي است؟ يا آنكه لزومي ندارد با افراد مُحارب، اشرارِ مسلّح و مخلِّ امنيّت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راهبردهاي كلان اقتصاد و تجارب بين‌الملل و مسأله‌ي صادرات و واردات و برنامه‌ريزي و كنترل آن بدون حكومت چگونه ميسّر مي‌شود؟ در حالي كه مي‌دانيم حدّاقلّ در برخي شرايط، رهايي صادرات و واردات چه بسا به زمين‌گير شدن بخش اقتصاد و سپس ساير بخش‌ها منجر شده و سبب سلطه‌ي همه جانبه‌ي دشمنان اسلام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رها بودن برخي امور منجر به هرج و مرج و اختلال در نظام معيشت و زندگي روزمرّه‌ي مردم و ضرر و زيان به جان، مال و عِرض مسلمانان مي‌شود كه خلاف غرض قطعي شارع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سياست‌هاي عمران، شهرسازي، مهندسي و كيفيّت آباداني شهرها و راه‌ها و سدّها و دَه‌ها مسأله‌ي ديگر، نظير رشد و توسعه‌ي علمي و توليد دانش و فن‌آوري كه نياز</w:t>
      </w:r>
      <w:bookmarkStart w:id="18" w:name="pg2394_26037"/>
    </w:p>
    <w:p>
      <w:pPr>
        <w:pStyle w:val="BookText"/>
        <w:rPr/>
      </w:pPr>
      <w:bookmarkEnd w:id="18"/>
      <w:r>
        <w:rPr>
          <w:rFonts w:ascii="IRNazanin" w:hAnsi="IRNazanin" w:eastAsia="IRNazanin"/>
          <w:color w:val="111111"/>
          <w:sz w:val="28"/>
          <w:sz w:val="28"/>
          <w:szCs w:val="28"/>
          <w:rtl w:val="true"/>
          <w:lang w:bidi="fa-IR"/>
        </w:rPr>
        <w:t>قطعيِ براي باقي ماندن جامعه‌ي اسلامي در دنياي امروز است، بدون حكومت و برنامه‌ريزي‌هاي فراگير و ايجاد هماهنگي بين بخش‌هاي مختلف ممكن است؟ آيا عبور و مرور وسائط نقليّه بدون مقرّرات حكومتي و نيروي اجرايي در دنياي امروز قابل تحقّق است؟ و آيا كسي مي‌تواند مدّعي شود مي‌توان عبور و مرور وسائط نقليّه را بدون وضع مقرّرات خاصّ و اجراي آن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قوانين راهنمايي و رانندگي مي‌خواهيم و متصدّي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و مشكلات آن در دالان‌هاي هوايي و مسيرهاي دريايي نيز وجود دارد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زمان‌هاي گذشته در جوامعي كه فارغ از دين بودند معمولاً افرادي با زور شمشير و قدرت مسلّط مي‌شدند و تصدّي اين كارها را به دست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همان اندازه‌اي كه دل‌خواهشان بود ضوابط را وضع و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مردم وقتي به ستوه مي‌آمدند و كسي نبود كه متصدّي اين امور گردد، جمع مي‌شدند و زمام امر را به دست يك نفر يا يك گروه مي‌سپردند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سپردن زمام امور به ديگري،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هم اين واگذاري در محدوده‌اي و يا با شرايطي صورت مي‌گرفت</w:t>
      </w:r>
      <w:r>
        <w:rPr>
          <w:rFonts w:eastAsia="IRNazanin" w:cs="IRNazanin"/>
          <w:color w:val="111111"/>
          <w:sz w:val="28"/>
          <w:szCs w:val="28"/>
          <w:rtl w:val="true"/>
          <w:lang w:bidi="fa-IR"/>
        </w:rPr>
        <w:t>.</w:t>
      </w:r>
    </w:p>
    <w:p>
      <w:pPr>
        <w:pStyle w:val="Heading2"/>
        <w:numPr>
          <w:ilvl w:val="1"/>
          <w:numId w:val="1"/>
        </w:numPr>
        <w:rPr/>
      </w:pPr>
      <w:bookmarkStart w:id="19" w:name="__RefHeading___Toc3053577_3804643083"/>
      <w:bookmarkStart w:id="20" w:name="_Toc7"/>
      <w:bookmarkEnd w:id="19"/>
      <w:r>
        <w:rPr>
          <w:rtl w:val="true"/>
        </w:rPr>
        <w:t>وابستگي تشريع و اجراي قانون به اراده‌ي حقّ متعال</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از ديدگاه اديان الهي و كتاب‌هاي آسماني بايد هم قانون از جانب خداوند متعال باشد و يا مورد امضايِ پروردگارِ عالَم قرار گرفته باشد ـ چنان‌كه توضيح آن گذشت ـ و هم اجرا كننده‌ي آن از جانب او برگزيده شده</w:t>
      </w:r>
    </w:p>
    <w:p>
      <w:pPr>
        <w:pStyle w:val="BookText"/>
        <w:rPr/>
      </w:pPr>
      <w:r>
        <w:rPr>
          <w:rFonts w:ascii="IRNazanin" w:hAnsi="IRNazanin" w:eastAsia="IRNazanin"/>
          <w:color w:val="111111"/>
          <w:sz w:val="28"/>
          <w:sz w:val="28"/>
          <w:szCs w:val="28"/>
          <w:rtl w:val="true"/>
          <w:lang w:bidi="fa-IR"/>
        </w:rPr>
        <w:t>باشد، و يا مورد امضا و تأييد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امّت‌هاي گذشته گاهي پيامبران هر دو سِمَت پيامبري و سلطنت اجرايي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حضرت داوود و حضرت سليمان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گاهي اين دو سِمَت مُنفك بود چنان كه از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لِنَبِيٍّ لَهُمُ ابْعَثْ لَنَا مَلِكًا نُقَاتِلْ فِي سَبِيلِ اللَّهِ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يكي از پيامبران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فرمانروايي برانگيز تا در راه خدا پيكار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عظيم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پيام‌آور بود و هم حاكم؛ يعني رئيس قوّه‌ي مجريه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كساني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اطاعت كنيد و از فرستاده‌ي او اطاعت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براي چيست؟ اگر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جانب خداوند متعال بيان قانون مي‌فرمود ديگر اطاعت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پيامبر، وجوبي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اطاعت از ايشان علاوه بر اطاعت از قوانين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علاوه بر اطاعت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علاوه بر اطاعت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 الأمر هم اطاعت كنيد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كساني كه ايمان آورده‌ايد، خدا را اطاعت كنيد و از فرستاده‌ي او و صاحبان امرتان اطاعت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صاحبان امرند و شأنيّت فرمان دارند، فرمانده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كريم مي‌فرمايد پيامبر علاوه بر اينكه رساننده‌ي احكام است، فرمانده‌ي مطلق شما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چه اموري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كنيم؟ هيچ استثنايي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امر فرمود، بايد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پيامبر امري كرد و حكمي نمود، هيچ مسلماني حقّ تخلّف ندارد و ديگر انتخاب معني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لِمُؤْمِنٍ وَلا مُؤْمِنَةٍ إِذَا قَضَي اللَّهُ وَرَسُولُهُ أَمْرًا أَنْ يَكُونَ لَهُمُ الْخِيَرَةُ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و زن با ايماني حق ندارد هنگامي كه خدا و پيامبري امري را لازم بدانند، اختياري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متعال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فرمودند هيچ كس، ديگر اختياري ندارد كه من در مقابل اين نظر، نظر ديگري دارم، مي‌خواهم نظرم را إعمال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ديگري براي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الهي و وصيّت ايشان أولي‌الأمر، أئمّه‌ي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روز غدير،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اميرالمؤمنين عليه السلام را بالا بُرد،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كسي كه من مولاي او هستم ـ فرمانده‌ي او هستم؛ هرچه بگويم بايد اطاعت كند ـ علي هم مولا و فرمانده‌ي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دعاي شريف ندبه ـ كه مشغول قرائت آن بوديد ـ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كسي كه من مولاي او هستم، فرمانده و أولي به امر او اميرالمؤمنين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اميرالمؤمنين عليه السلام اولاد معصومينش امام حسن عليه السلام ، امام حسين عليه السلام ، امام سجّاد عليه السلام و همين‌طور تا آقاي ما امام زمان صلوات الله وسلامه عليه وعجل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به گونه‌ي ديگر بود و دشمنان و نيروهاي اهريمني مانع از بسطِ يدِ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بودند و امّت از امام منتفع مي‌گرديد، اگر اميرالمؤمنين عليه السلام حكومت را در دست داشت، و اگر اولاد معصومينش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دست داشتند، جهانِ خاكي، بهشت برين شده بود و سير حيات بشر چيز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الهي چنين اقتضا كرد كه به روال عادي و به روش غير اجبار، مردم زندگي‌شان را سپري كنند و آزمايش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را خانه‌نشين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سالي هم كه حضرت حاكم بودند انواع مرارت‌ها را براي ايشان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شش ماه با آن همه رنج و تَعَب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با آن مظلوميّت به شهادت</w:t>
      </w:r>
      <w:bookmarkStart w:id="21" w:name="pg2394_26041"/>
    </w:p>
    <w:p>
      <w:pPr>
        <w:pStyle w:val="BookText"/>
        <w:rPr/>
      </w:pPr>
      <w:bookmarkEnd w:id="21"/>
      <w:r>
        <w:rPr>
          <w:rFonts w:ascii="IRNazanin" w:hAnsi="IRNazanin" w:eastAsia="IRNazanin"/>
          <w:color w:val="111111"/>
          <w:sz w:val="28"/>
          <w:sz w:val="28"/>
          <w:szCs w:val="28"/>
          <w:rtl w:val="true"/>
          <w:lang w:bidi="fa-IR"/>
        </w:rPr>
        <w:t>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عجل الله تعالي فرجه الشريف بايد در پس پرده‌ي غيبت قرار بگيرد تا مردم قابليّت و آمادگي ظهور حضرت را پيدا كنند و وقتي كه مشيّت الهي بر آن قرار گرفت، ظهور نمايند</w:t>
      </w:r>
      <w:r>
        <w:rPr>
          <w:rFonts w:eastAsia="IRNazanin" w:cs="IRNazanin"/>
          <w:color w:val="111111"/>
          <w:sz w:val="28"/>
          <w:szCs w:val="28"/>
          <w:rtl w:val="true"/>
          <w:lang w:bidi="fa-IR"/>
        </w:rPr>
        <w:t>.</w:t>
      </w:r>
    </w:p>
    <w:p>
      <w:pPr>
        <w:pStyle w:val="Heading2"/>
        <w:numPr>
          <w:ilvl w:val="1"/>
          <w:numId w:val="1"/>
        </w:numPr>
        <w:rPr/>
      </w:pPr>
      <w:bookmarkStart w:id="22" w:name="__RefHeading___Toc3053579_3804643083"/>
      <w:bookmarkStart w:id="23" w:name="_Toc8"/>
      <w:bookmarkEnd w:id="22"/>
      <w:r>
        <w:rPr>
          <w:rtl w:val="true"/>
        </w:rPr>
        <w:t>وضعيّت جامعه در زمان غيبت معصوم</w:t>
      </w:r>
      <w:r>
        <w:rPr>
          <w:rtl w:val="true"/>
        </w:rPr>
        <w:t xml:space="preserve">× </w:t>
      </w:r>
      <w:r>
        <w:rPr>
          <w:rtl w:val="true"/>
        </w:rPr>
        <w:t>چگونه خواهد بود؟</w:t>
      </w:r>
      <w:bookmarkEnd w:id="23"/>
    </w:p>
    <w:p>
      <w:pPr>
        <w:pStyle w:val="BookText"/>
        <w:rPr/>
      </w:pPr>
      <w:r>
        <w:rPr>
          <w:rFonts w:ascii="IRNazanin" w:hAnsi="IRNazanin" w:eastAsia="IRNazanin"/>
          <w:color w:val="111111"/>
          <w:sz w:val="28"/>
          <w:sz w:val="28"/>
          <w:szCs w:val="28"/>
          <w:rtl w:val="true"/>
          <w:lang w:bidi="fa-IR"/>
        </w:rPr>
        <w:t>امّا در اين فاصله‌اي كه به حَسَب ظاهر به امام معصوم عليه السلام دسترسي نداريم شرايط جامعه چه خواهد بود؟ آيا جامعه بايد دچار هرج و مرج باشد و يا اسلام حكومت ستمگران را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آن رواياتي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بايد حتماً سازمان اجرايي، نيروي اجرايي و تنظيم كنندة‌ي روابط داشته باشند ـ كجاست؟ در اين حالِ غيبت در مقام عمل، رهبر و مدير جامعه‌ي اسلامي كيست؟ اگر مردم با هم اختلاف پيدا كردند، كلام چه كسي فصل الخطاب است؟ چه كسي مشكلاتشان را حلّ مي‌كند؟ چه كسي تصميمات مربوط به مسائل اجتماعي را اتّخاذ كرده و چه نيرويي اجرا مي‌كند؟ آيا امام عليه السلام شيعيان را رها كرده است؟ يعني هر كاري كه بخواهند،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پيش آيد مهم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اسلام به بي‌سرپرستي مردم و هرج و مرج و در نتيجه فتنه راضي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از كشتن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اسلام به تصدّي امور توسّط حاكمِ ظالم به ويژه كافر يا دست‌نشانده‌ي كافر راضي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كساني كه ستم كردند ميل و اعتماد ننماييد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اسلام به تصدّي امور توسّط حاكم جاهل به احكام اسلام راضي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نَبْتَغِي الْجَاهِلِينَ</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نادان‌ها را برنمي‌گزينيم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دانش اداره‌ي جامعه را بر اساس احكام اسلام ندارد هرچند دانش ديگري داشته باشد از حيث سپردن حكومت اسلامي به او مشمول اين آيه و نظاير آن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اسلام نسبت به تصدّي امور توسّط حاكمي كه توانايي ندارد و مصداق آيه‌ي شريفه‌ي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يُوَجِّهْهُ لا يَأْتِ بِخَيْرٍ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سو كه روانه‌اش كند خيري نمي‌آورد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ـ و بود و نبودش مثل هم است ـ راضي نيست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كسي در زمان غيبت و يا حتّي هنگامي كه امام عليه السلام حاضر است امّا بسطِ يد ندارد، بايد متصدّي امور باشد؟ مگر امام صادق عليه السلام مي‌توانست آنچه كه مورد نظرش</w:t>
      </w:r>
      <w:bookmarkStart w:id="24" w:name="pg2394_26043"/>
    </w:p>
    <w:p>
      <w:pPr>
        <w:pStyle w:val="BookText"/>
        <w:rPr/>
      </w:pPr>
      <w:bookmarkEnd w:id="24"/>
      <w:r>
        <w:rPr>
          <w:rFonts w:ascii="IRNazanin" w:hAnsi="IRNazanin" w:eastAsia="IRNazanin"/>
          <w:color w:val="111111"/>
          <w:sz w:val="28"/>
          <w:sz w:val="28"/>
          <w:szCs w:val="28"/>
          <w:rtl w:val="true"/>
          <w:lang w:bidi="fa-IR"/>
        </w:rPr>
        <w:t>بود در جامعه اجرا نمايد؟ شخصي خدمت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شده‌ام به اين دادگاه‌هاي حكومت مراجعه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ابي‌ليلي كه قاضي حكومت بني‌اميّه و بني‌عبّاس است، اين‌چنين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 قضاوت باطلي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چه كار كنم؟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ابنِ أبِي لَيلَي فَلا أستَطِيعُ رَدَّه؛</w:t>
      </w:r>
      <w:r>
        <w:rPr>
          <w:rStyle w:val="FootnoteAnchor"/>
          <w:rtl w:val="true"/>
        </w:rPr>
        <w:footnoteReference w:id="25"/>
      </w:r>
      <w:r>
        <w:rPr>
          <w:rFonts w:ascii="Amiri" w:hAnsi="Amiri" w:eastAsia="Amiri" w:cs="Amiri"/>
          <w:color w:val="111111"/>
          <w:sz w:val="28"/>
          <w:sz w:val="28"/>
          <w:szCs w:val="28"/>
          <w:rtl w:val="true"/>
          <w:lang w:bidi="ar-SA"/>
        </w:rPr>
        <w:t>امّا نظري را كه ابن أبي ليلي داده، نمي‌توانم ردّ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مگر خود امام عليه السلام شخصاً مي‌توانست به امور همه‌ي شيعه در اطرافِ عالَم از هر جهت رسيدگي بفرمايد و يا حتّي دستور خاصّ براي رسيدگي صادر فرمايد؟</w:t>
      </w:r>
      <w:r>
        <w:rPr>
          <w:rFonts w:eastAsia="IRNazanin" w:cs="IRNazanin"/>
          <w:color w:val="111111"/>
          <w:sz w:val="28"/>
          <w:szCs w:val="28"/>
          <w:rtl w:val="true"/>
          <w:lang w:bidi="fa-IR"/>
        </w:rPr>
        <w:t>!</w:t>
      </w:r>
    </w:p>
    <w:p>
      <w:pPr>
        <w:pStyle w:val="Heading2"/>
        <w:numPr>
          <w:ilvl w:val="1"/>
          <w:numId w:val="1"/>
        </w:numPr>
        <w:rPr/>
      </w:pPr>
      <w:bookmarkStart w:id="25" w:name="__RefHeading___Toc3053581_3804643083"/>
      <w:bookmarkStart w:id="26" w:name="_Toc9"/>
      <w:bookmarkEnd w:id="25"/>
      <w:r>
        <w:rPr>
          <w:rtl w:val="true"/>
        </w:rPr>
        <w:t>پي‌آمد قطعي دو مطلب، ثبوت ولايت فقيه در بستر قرآن و سنّت</w:t>
      </w:r>
      <w:bookmarkEnd w:id="26"/>
    </w:p>
    <w:p>
      <w:pPr>
        <w:pStyle w:val="BookText"/>
        <w:rPr/>
      </w:pPr>
      <w:r>
        <w:rPr>
          <w:rFonts w:ascii="IRNazanin" w:hAnsi="IRNazanin" w:eastAsia="IRNazanin"/>
          <w:color w:val="111111"/>
          <w:sz w:val="28"/>
          <w:sz w:val="28"/>
          <w:szCs w:val="28"/>
          <w:rtl w:val="true"/>
          <w:lang w:bidi="fa-IR"/>
        </w:rPr>
        <w:t>از يك طرف ركون و اعتماد به ظالم، حرام است و بالخصوص روايات متعدّدي ـ به تَبَع قرآن كريم ـ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دادگاهي كه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دادگاه‌هايي كه در حكومت‌هاي جور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بني‌اميّه و بني‌عبّاس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غيراسلامي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دادگاه‌ها رجوع كند، رجوع به طاغوت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مي‌خواهند به طاغوت رجوع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طاغوت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امر شده‌اند كه به طاغوت كفر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جامعه مجبور است براي اين امور پناهي داشته باشد، و همان‌طور كه قبلاً روشن شد بدون آنكه نيرويي متصدّي اين امور شود جامعه نمي‌تواند به بقاء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در اين ميان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ياران امام صادق عليه السلام به نوعي اين مشكل را خدمت ايشان مطرح مي‌كند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عَن مُحَمَّدِ بنِ الحُسَينِ عَن مُحَمَّدِ بنِ عيسَي عَن صَفوانَ بنِ يَحيَي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رَجُلَينِ مِن أصحابِنا بَينَهُما مُناَعَةٌ في دَينٍ أو ميراثٍ فَتَحاكَما إلَي السُّلطانِ وإلَي القُضاةِ أيَحِلُّ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إلَي الطّاغوتِ وما يَحكُمُ لَهُ فَإنَّما يَأخُذُ سُحتاً وإن كانَ حَقّاً ثابِتاً لأنَّهُ أخَذَهُ بِحُكمِ الطّاغوتِ وقَد أمَرَ اللَّهُ أن يُكفَرَ بِهِ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إلَي مَن كانَ مِنكُم مِمَّن قَد رَوَي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اللَّهِ وهُوَ عَلَي حَدِّ الشِّركِ بِاللَّهِ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عمر بن حنظله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 عليه السلام پرسيدم درباره‌ي دو فرد از شيعيان كه بين آن دو منازعه و درگيري و مورد دَين يا ارث بود و دعوا به سلطان و قُضات رسمي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كاري جايز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دادخواهي به اينان بَرَد، حال چه بر حق باشد و چه بر باطل، دادخواهي به طاغوت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به نفع او كم شود به حرام گرفته است هرچند كه حقّ ثابت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حكم طاغوت گرفته است، در حال كه خداوند متعال دستور به انكار و نپذيرفتن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مي‌خواهند به طاغوت رجوع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طاغوت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امر شده‌اند كه به طاغوت كفر بورزند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حنظله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كه حكومت در دست حاكمان غاصب و جائر است چه كار 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كنيد و كسي را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و نظر در حلال و حرام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فهم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اسلامي را مي‌داند او را داور قرار دهيد چرا كه من او را حاكم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طبق نظر ما حكم نمود و كسي از او قبول</w:t>
      </w:r>
    </w:p>
    <w:p>
      <w:pPr>
        <w:pStyle w:val="BookText"/>
        <w:rPr/>
      </w:pPr>
      <w:r>
        <w:rPr>
          <w:rFonts w:ascii="IRNazanin" w:hAnsi="IRNazanin" w:eastAsia="IRNazanin"/>
          <w:color w:val="111111"/>
          <w:sz w:val="28"/>
          <w:sz w:val="28"/>
          <w:szCs w:val="28"/>
          <w:rtl w:val="true"/>
          <w:lang w:bidi="fa-IR"/>
        </w:rPr>
        <w:t>نكرد همانا حكم خداوند را سبك و ناچيز شمرده است و ردّ بر ما نموده است و ردّ كننده‌ي بر ما ردّ كننده‌ي بر خداوند است و اين عمل در حدّ شرك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هنگامي كه دسترسي به امام معصوم عليه السلام نداريم حتّي با وجود حضور ايشان ـ زيرا همه‌ي شيعيان هميشه نمي‌توانستند خدمت امام عليه السلام برسند ـ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نظير همين موضوع در نامه‌ي اسحاق بن يعقوب خدمت امام زمان صلوات الله عليه وعجل الله فرجه و جواب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ألَي رُواةِ حَدِيثِنا فَإنَّهُم حُجَّتِي عَلَيكُم وأنا حُجَّةُ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رويدادها رجوع كنيد به راويان احادث ما پس همانا ايشان حجّت من بر شما هستند و من حجّت خداوند بر ايشان مي‌باشم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كه تنها راوي بودن ملاك نيست؛ بلكه رُواتي مقصود هستند كه اهل فهم و فقاهت بوده وگرنه راوي بدون فهم و درايت كه قابليّت ارجاع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رواياتِ وارده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مسائل مهمّي از اين نوع مطرح مي‌شود، جز ارجاع به فقيه چيز ديگري نمي‌يابيم و در چنين مسائل كلّي و با اهمّيّتي، هيچ نشانه‌اي از ارجاع به غير فقيه</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فقهاي بزرگ شيعه از ابتداي تاريخ فقه، مرجع چنين امور با اهمّيّتي را فقط فقها مي‌دانسته‌اند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هنگام كه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 الله مقامه در كتاب شريفِ مُقْنِعه با استنباط از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عدم السلطان العادل فيما ذكرناه من هذه الأبواب كان لفقهاء اهل الحقّ العدول من ذوي الرأي والعقل والفضل أن يتولّوا ما تولّاه السلطان فإن لم يتمكّنوا من ذلك فلا تبعة عليهم فيه وبالله التوفيق</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حاكم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 يا نايب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آنچه ذكر كرديم در اين ابواب، براي فقهاي اهل حقّ، عادل، داراي رأي، عقل و فضل است كه متصدّي شوند آنچه را حاكم و سلطان متصدّي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قدرت بر اين كار نداشتند مؤاخذه‌اي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شيخ</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نيابت عامّه‌ي فقها از ائمّه‌ي معصومين عليهم السلام، در كلمات بزرگان فقها انعكاس يافته، و مثل تعبير مُقْنِعه يا نزديك به آن را ذكر كرده‌اند و يا آنكه به گونه‌اي سخن گفته‌اند كه اصلِ مطلبِ مُقْنِعه مفروض گرفته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سيّدمرتضي در انتصار 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p>
    <w:p>
      <w:pPr>
        <w:pStyle w:val="BookText"/>
        <w:rPr/>
      </w:pPr>
      <w:r>
        <w:rPr>
          <w:rFonts w:ascii="Amiri" w:hAnsi="Amiri" w:eastAsia="Amiri" w:cs="Amiri"/>
          <w:color w:val="111111"/>
          <w:sz w:val="28"/>
          <w:sz w:val="28"/>
          <w:szCs w:val="28"/>
          <w:rtl w:val="true"/>
          <w:lang w:bidi="ar-SA"/>
        </w:rPr>
        <w:t xml:space="preserve">طوسي در نهايه، صص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و في الجمله صص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در مبسوط،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ابي‌الصّلاح در الكافي، صص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در مراسم، صص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ابن برّاج در مهذّب،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و نيز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حمزه در وسيله،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ابوالمكارم إبن زهره در غنيه،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ادريس در سرائر،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 در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عبارت مفيد در مُقنِعه تصريح مي‌كند كه اين فتواي من نيز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در 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در مختلف،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 در قواعد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در لمعه،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در غاية المراد،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ثاني در شرح لمعه،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در مسالك،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مخصوصاً با تصريح عدّه‌اي از بزرگان فقها در موارد مختلف به اين مطلب كه هرگاه در عبارات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مراد امام عليه السلام يا نايب خاصّ يا نايب عامّ يعني فقهاي عدول مي‌باشد،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المحقّقين در ايضاح،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كركي در جامع المقاصد،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ثاني در مسالك،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شهيد ثاني سيّدمحمّد در غاية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مرحوم شهيد ثاني و برخي ديگر بر اين مطلب ادّعاي اجماع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شهيد در مسالك چنين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بالحاكم حيث يطلق في ابواب الفقه الفقيه</w:t>
      </w:r>
      <w:bookmarkStart w:id="27" w:name="pg2394_26049"/>
    </w:p>
    <w:p>
      <w:pPr>
        <w:pStyle w:val="BookText"/>
        <w:rPr/>
      </w:pPr>
      <w:bookmarkEnd w:id="27"/>
      <w:r>
        <w:rPr>
          <w:rFonts w:ascii="IRNazanin" w:hAnsi="IRNazanin" w:eastAsia="IRNazanin"/>
          <w:color w:val="111111"/>
          <w:sz w:val="28"/>
          <w:sz w:val="28"/>
          <w:szCs w:val="28"/>
          <w:rtl w:val="true"/>
          <w:lang w:bidi="fa-IR"/>
        </w:rPr>
        <w:t>الجامع لشرائط الفتوي اجماعاً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ابواب فقه استعمال مي‌شود، به اجماع علما، فقيه داراي شرايط فتواست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يكي از أعاظم مراجع عصر و ركن امروز عراق مدّ ظلّه العالي، در نجف اشرف علي مشرّفِه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 هزار شاهد بر ولايت فقيه احصا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برخي اختلاف‌ها در محدوده‌ي اختيارات فقيه، نفياً و اثباتاً در ميان بزرگان وجود دارد؛ چنان كه به طور نادر، برخي فتوا به جوازِ تصدّيِ مطلقِ ثقه نسبت به اموال ايتام را داده‌اند، امّا در مسائل مهمّ حاكميّتي، اجماعِ قطعي بر عدمِ جوازِ تصرّفِ غيرِ فقيه است</w:t>
      </w:r>
      <w:r>
        <w:rPr>
          <w:rFonts w:eastAsia="IRNazanin" w:cs="IRNazanin"/>
          <w:color w:val="111111"/>
          <w:sz w:val="28"/>
          <w:szCs w:val="28"/>
          <w:rtl w:val="true"/>
          <w:lang w:bidi="fa-IR"/>
        </w:rPr>
        <w:t xml:space="preserve">. </w:t>
      </w:r>
      <w:r>
        <w:rPr>
          <w:rStyle w:val="FootnoteAnchor"/>
          <w:rtl w:val="true"/>
        </w:rPr>
        <w:footnoteReference w:id="28"/>
      </w:r>
    </w:p>
    <w:p>
      <w:pPr>
        <w:pStyle w:val="Heading2"/>
        <w:numPr>
          <w:ilvl w:val="1"/>
          <w:numId w:val="1"/>
        </w:numPr>
        <w:rPr/>
      </w:pPr>
      <w:bookmarkStart w:id="28" w:name="__RefHeading___Toc3053583_3804643083"/>
      <w:bookmarkStart w:id="29" w:name="_Toc10"/>
      <w:bookmarkEnd w:id="28"/>
      <w:r>
        <w:rPr>
          <w:rtl w:val="true"/>
        </w:rPr>
        <w:t>هيچ فقيهي، حكومت غير فقيه يا غير مأذون از فقيه را تجويز نمي‌كند</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زير اين آسمان تا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بنيان‌گذار جمهوري اسلامي، هيچ فقيهي را سراغ نداريم كه گفته باشد غير فقيه يا غير مأذون از جانب فقيه مي‌تواند متصدّي امور جامعه‌ي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هيچ فقيهي قائل نيست كه حكومت در زمان غيبت امام زمان عجل الله تعالي فرجه</w:t>
      </w:r>
    </w:p>
    <w:p>
      <w:pPr>
        <w:pStyle w:val="BookText"/>
        <w:rPr/>
      </w:pPr>
      <w:r>
        <w:rPr>
          <w:rFonts w:ascii="IRNazanin" w:hAnsi="IRNazanin" w:eastAsia="IRNazanin"/>
          <w:color w:val="111111"/>
          <w:sz w:val="28"/>
          <w:sz w:val="28"/>
          <w:szCs w:val="28"/>
          <w:rtl w:val="true"/>
          <w:lang w:bidi="fa-IR"/>
        </w:rPr>
        <w:t>مي‌تواند به دستِ غيرِ فقيهِ جامعه الشرايط داده شود، مگر در وقت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عادي حكومت فقط در اختيار فقيه جامع الشرايط يا كسي كه مأذون از طرف فقيه است، مي‌باشد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فتاوي شيخ صدوق، شيخ مفيد، سيّد مرتضي، شيخ طوسي، ابي الصّلاح، قاضي ابن برّاج، سلّار، ابن حمزه، ابن زُهره، ابن ادريس، محقّق حلّي، علّامه‌ي حلّي، فخرالمحقّقين، شهيد اوّل، شهيد ثاني، محقّق كركي، شيخ بهايي، صاحب جواهر، صاحب رياض، صاحب مستند و شيخ انصاري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ببينيد، يك نفر از اين بزرگانِ فقهاي شيعه را پيدا نمي‌كنيد كه بگويد جايز است غيرِ فقيهِ عادل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مي‌گويند فلان مجتهد قائل به نظريه‌ي ولايت فقيه نيست، پس حاكم مي‌تواند غير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اشتباه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اشخاص، كلام برخي از فُقها را نفهميده‌اند يا نخواسته‌اند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بعضي از فقها، برخي از مراتب ولايت را قبول ندارند نه به اين معناست كه در نظر آنان جايز مي‌باشد حكومت به دست غيرِ فقيهِ عادل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چنين فقهايي در مسأله‌ي حكومت، داراي نظر سخت‌تري مي‌باشند و مخالفين نظام ولايت فقيه در اينجا مغالطه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سراسرِ فقهِ مدوّنِ ما تا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ـ‌كه پرچم‌دار نظريه‌ي ولايت فقيه بودند، به جرأت به شما مي‌گويم ـ نمي‌توانيم فقيهي از فقهاي شيعه را بيابيم كه حكومتِ حاكمِ غير فقيهِ عادل را در غير شرايط اضطرار، جايز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حضور امام معصوم عليه السلام ، بايد حكومت در اختيار ايشان باشد، و</w:t>
      </w:r>
    </w:p>
    <w:p>
      <w:pPr>
        <w:pStyle w:val="BookText"/>
        <w:rPr/>
      </w:pPr>
      <w:r>
        <w:rPr>
          <w:rFonts w:ascii="IRNazanin" w:hAnsi="IRNazanin" w:eastAsia="IRNazanin"/>
          <w:color w:val="111111"/>
          <w:sz w:val="28"/>
          <w:sz w:val="28"/>
          <w:szCs w:val="28"/>
          <w:rtl w:val="true"/>
          <w:lang w:bidi="fa-IR"/>
        </w:rPr>
        <w:t>در هنگام عدمِ بسطِ يدِ امام و غيبت امام عليه السلام ، بايد حكومت در اختيار فردي باشد كه ايشان تعيين نموده‌اند؛ حال چه به صورت تعيين خاصّ و يا به صورت تعيين عامّ كه حضرت با بيان ويژگي‌هاي حاكم اسلامي مردم را به او ارجاع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معيارهاي قرآني و بيانات معصومين عليهم السلام ، متصدّي اداره‌ي جامعه‌ي اسلامي نمي‌تواند جاهل به احكام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 اسلامي بايد با اِشراف خود، اسلام را در تمام ابعاد اجرايي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غير فقيه چگونه مي‌تواند چنين عملي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غير فقيه حتّي اگر تقليد صحيحي هم بكند، نمي‌تواند اسلام را با آن گستردگي و شمول اجرايي نمايد؛ زيرا چه بسا لحظه‌هاي حسّاسي فراروي حاكم قرار گيرد كه امكان مراجعه‌ي به غير نباشد و يا ريشه‌ها و لوازم احكام را نفهمد، هرچند مقلِّد بافهمي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چه بسا بايد حتّي در مورد مقلَّد خود در مسائل قضايي و اجتماعي تصميم بگيرد و رجوع به مقلَّد در حقيقت يعني حاكم بودن مقلَّد 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عالِم از روي تقليد، عالِم به معناي واقعي كلمه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آنكه لفظ عالِم و مشابه آنكه در چنين مواردي آمده به قرائن موجود اساساً شامل عالِم از روي تقليد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فِيها إلَي رُواةِ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به مناسبت حكمِ مترتّبِ بر موضوع، از مقلِّد منصرف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كسي كه اسلام را در تمام ابعاد اجرايي مي‌كند چه</w:t>
      </w:r>
    </w:p>
    <w:p>
      <w:pPr>
        <w:pStyle w:val="BookText"/>
        <w:rPr/>
      </w:pPr>
      <w:r>
        <w:rPr>
          <w:rFonts w:ascii="IRNazanin" w:hAnsi="IRNazanin" w:eastAsia="IRNazanin"/>
          <w:color w:val="111111"/>
          <w:sz w:val="28"/>
          <w:sz w:val="28"/>
          <w:szCs w:val="28"/>
          <w:rtl w:val="true"/>
          <w:lang w:bidi="fa-IR"/>
        </w:rPr>
        <w:t>در اموري كه مرتبط به شخص خود او مي‌باشد و چه در مسائلي كه مرتبط با جامعه است، چنين فردي قهراً عادل هم خواهد بود وگرنه التزامي به اجراي عدالت كه هدف اسلام است، نخواهد داشت و چون مجري است بايد آگاهي و توانايي و شجاعت و تدبير اجرا در ابعاد مورد نياز را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أحَقَّ النّاسِ بِهذا الأمرِ أقواهُم عَلَيهِ وأعلَمُهُم بِأمرِ اللَّهِ فِيه؛ </w:t>
      </w:r>
      <w:r>
        <w:rPr>
          <w:rStyle w:val="FootnoteAnchor"/>
          <w:rtl w:val="true"/>
        </w:rPr>
        <w:footnoteReference w:id="29"/>
      </w:r>
      <w:r>
        <w:rPr>
          <w:rFonts w:ascii="IRNazanin" w:hAnsi="IRNazanin" w:eastAsia="IRNazanin"/>
          <w:color w:val="111111"/>
          <w:sz w:val="28"/>
          <w:sz w:val="28"/>
          <w:szCs w:val="28"/>
          <w:rtl w:val="true"/>
          <w:lang w:bidi="fa-IR"/>
        </w:rPr>
        <w:t>اي مردم سزاوارترين اشخاص به ولايت و حكومت، آن كسي است كه در تحقّق حكومت نيرومندتر، و در آگاهي از فرمان خدا،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إمامَةً عَمياءَ وفِي الاُمَّةِ مَن هُوَ أعلَمُ مِنهُ فَقَد كَفَر؛</w:t>
      </w:r>
      <w:r>
        <w:rPr>
          <w:rStyle w:val="FootnoteAnchor"/>
          <w:rtl w:val="true"/>
        </w:rPr>
        <w:footnoteReference w:id="30"/>
      </w:r>
      <w:r>
        <w:rPr>
          <w:rFonts w:ascii="Amiri" w:hAnsi="Amiri" w:eastAsia="Amiri" w:cs="Amiri"/>
          <w:color w:val="111111"/>
          <w:sz w:val="28"/>
          <w:sz w:val="28"/>
          <w:szCs w:val="28"/>
          <w:rtl w:val="true"/>
          <w:lang w:bidi="ar-SA"/>
        </w:rPr>
        <w:t>بدانيد هر كس كه بر اريكه‌ي امامت و رهبري مردم كوركورانه تكيه زَنَد در حالي كه داناتر از او در اجتماع موجود باشد او كفر ورزيده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يَدعو النّاسَ وَفيهِم مَن هُوَ أعلَمُ مِنهُ فَهُوَ ضالٌّ مُبتَدعٌ ومَنِ ادَّعَي الإمامَةَ ولَيسَ بِإمامٍ فَهُوَ كافِرٌ؛</w:t>
      </w:r>
      <w:r>
        <w:rPr>
          <w:rStyle w:val="FootnoteAnchor"/>
          <w:rtl w:val="true"/>
        </w:rPr>
        <w:footnoteReference w:id="31"/>
      </w:r>
      <w:r>
        <w:rPr>
          <w:rFonts w:ascii="Amiri" w:hAnsi="Amiri" w:eastAsia="Amiri" w:cs="Amiri"/>
          <w:color w:val="111111"/>
          <w:sz w:val="28"/>
          <w:sz w:val="28"/>
          <w:szCs w:val="28"/>
          <w:rtl w:val="true"/>
          <w:lang w:bidi="ar-SA"/>
        </w:rPr>
        <w:t>كسي كه خروج كرده و مردم را به خود دعوت كند در حالي كه در ميان ايشان عالم‌تر از او وجود</w:t>
      </w:r>
    </w:p>
    <w:p>
      <w:pPr>
        <w:pStyle w:val="BookText"/>
        <w:rPr/>
      </w:pPr>
      <w:r>
        <w:rPr>
          <w:rFonts w:ascii="IRNazanin" w:hAnsi="IRNazanin" w:eastAsia="IRNazanin"/>
          <w:color w:val="111111"/>
          <w:sz w:val="28"/>
          <w:sz w:val="28"/>
          <w:szCs w:val="28"/>
          <w:rtl w:val="true"/>
          <w:lang w:bidi="fa-IR"/>
        </w:rPr>
        <w:t>داشته باشد، همانا او گمراه و بدعت‌گذار است، و هر كس ادّعاي امامت كند در حالي كه امام نيست، همانا او 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قَطُّ وفيهِم مَن هُوَ أعلَمُ مِنهُ إلّا لَم يَزَل أمرُهُم يَذهَبُ سَفالاً حَتَّي يَرجِعوا إلَي ما تَرَكوا؛</w:t>
      </w:r>
      <w:r>
        <w:rPr>
          <w:rStyle w:val="FootnoteAnchor"/>
          <w:rtl w:val="true"/>
        </w:rPr>
        <w:footnoteReference w:id="32"/>
      </w:r>
      <w:r>
        <w:rPr>
          <w:rFonts w:ascii="IRNazanin" w:hAnsi="IRNazanin" w:eastAsia="IRNazanin"/>
          <w:color w:val="111111"/>
          <w:sz w:val="28"/>
          <w:sz w:val="28"/>
          <w:szCs w:val="28"/>
          <w:rtl w:val="true"/>
          <w:lang w:bidi="fa-IR"/>
        </w:rPr>
        <w:t xml:space="preserve">هيچ امّتي هرگز امر خود را به مردي نسپارد در حالي كه در ميان آنها اعلم از او باشد مگر آنكه اين امّت رو به انحطاط مي‌رود تا آنكه بازگردد به آنچه كه آن را ترك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 امر به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لا تَصلُحُ إلّا لِأهلِها فَمَن دَعا النّاسَ إلَي نَفْسِهِ وفيهِم مَن هُوَ أعلَمُ مِنهُ لَم يَنظُرِ اللَّهُ إلَيهِ يَومَ القِيامَة؛</w:t>
      </w:r>
      <w:r>
        <w:rPr>
          <w:rStyle w:val="FootnoteAnchor"/>
          <w:rtl w:val="true"/>
        </w:rPr>
        <w:footnoteReference w:id="33"/>
      </w:r>
      <w:r>
        <w:rPr>
          <w:rFonts w:ascii="IRNazanin" w:hAnsi="IRNazanin" w:eastAsia="IRNazanin"/>
          <w:color w:val="111111"/>
          <w:sz w:val="28"/>
          <w:sz w:val="28"/>
          <w:szCs w:val="28"/>
          <w:rtl w:val="true"/>
          <w:lang w:bidi="fa-IR"/>
        </w:rPr>
        <w:t>همانا رياست شايسته نيست مگر براي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مردم را به سوي خود دعوت كند در حالي كه در ميان ايشان عالم‌تر از او وجود دارد، خداوند در روز قيامت به او نظر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حسنه‌ي كالصّحيحه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عُتبَةِ الهاشمي آمده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بِسَيفِهي ودَعاهُم إلَي نَفسِهِ وفي المُسلِمينَ مَن هُوَ أعلَمُ مِنهُ فَهُوَ</w:t>
      </w:r>
    </w:p>
    <w:p>
      <w:pPr>
        <w:pStyle w:val="BookText"/>
        <w:rPr/>
      </w:pPr>
      <w:r>
        <w:rPr>
          <w:rFonts w:ascii="Amiri" w:hAnsi="Amiri" w:eastAsia="Amiri" w:cs="Amiri"/>
          <w:color w:val="111111"/>
          <w:sz w:val="28"/>
          <w:sz w:val="28"/>
          <w:szCs w:val="28"/>
          <w:rtl w:val="true"/>
          <w:lang w:bidi="ar-SA"/>
        </w:rPr>
        <w:t>ضالٌّ مُتَكَلِّفٌ؛</w:t>
      </w:r>
      <w:r>
        <w:rPr>
          <w:rStyle w:val="FootnoteAnchor"/>
          <w:rtl w:val="true"/>
        </w:rPr>
        <w:footnoteReference w:id="34"/>
      </w:r>
      <w:r>
        <w:rPr>
          <w:rFonts w:ascii="IRNazanin" w:hAnsi="IRNazanin" w:eastAsia="IRNazanin"/>
          <w:color w:val="111111"/>
          <w:sz w:val="28"/>
          <w:sz w:val="28"/>
          <w:szCs w:val="28"/>
          <w:rtl w:val="true"/>
          <w:lang w:bidi="fa-IR"/>
        </w:rPr>
        <w:t>هر كس مردم را با شمشير بزند و ايشان را به سوي خود بخواند در حالي كه در ميان مسلمين شخصي عالم‌تر از او وجود داشته باشد، همانا او گمراه است و بي‌جا عمل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مجموع اين روايات استفاده مي‌شود كه اين شروط مربوط به ولايت عُظمي و رياست كبري مي‌باشد كه از آنِ امام معصوم عليه السلام است؛ چون مثلاً در روايتِ معتبرِ عبدالكريم آمده است كسي كه به خود دعوت كند؛ يعني خود را به عنوان خليفه و امام معرّفي نمايد؛ نه آنكه دعوت به امام معصوم كند، به ويژه با توجّه به فرازهاي پيش از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بقيّه‌ي روايات هم به همين قرينه يا نظري آن، حمل بر توبيخ كساني مي‌شود كه خود را به عنوان امام و خليفه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روايتِ دارايِ سندِ تامّ؛ يعني روايت عبدالكريم بن عتبه مي‌تواند مفسِّر ساير رواياتي باشد كه سندِ تامّ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روايات نظير رواياتي است كه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جز براي نبيّ و وصيِّ نبيّ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معتبرِ سلمان بن خالد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الحُكومَةَ إنَّما هِيَ للإمامِ العالِمِ بِالقَضاءِ العادِلِ في المُسلِمينَ لِنَبِيٍّ أو وَصِيِّ نَبِيٍّ؛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قضاوت فقط براي امامي است كه عالِم به قضاوت و عادل در ميان مسلمين است؛ براي پيامبر يا وصيِّ</w:t>
      </w:r>
      <w:bookmarkStart w:id="30" w:name="pg2394_26055"/>
    </w:p>
    <w:p>
      <w:pPr>
        <w:pStyle w:val="BookText"/>
        <w:rPr/>
      </w:pPr>
      <w:bookmarkEnd w:id="30"/>
      <w:r>
        <w:rPr>
          <w:rFonts w:ascii="IRNazanin" w:hAnsi="IRNazanin" w:eastAsia="IRNazanin"/>
          <w:color w:val="111111"/>
          <w:sz w:val="28"/>
          <w:sz w:val="28"/>
          <w:szCs w:val="28"/>
          <w:rtl w:val="true"/>
          <w:lang w:bidi="fa-IR"/>
        </w:rPr>
        <w:t>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با اذن نبيّ و وصيّ، ديگران هم مي‌توانند در همان محدوده‌اي كه شارع تعيين مي‌كند،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نيز بالاصالة از آنِ معصوم عليه السلام است كه او افضل و اعلم و اتقي و تواناترين فرد براي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ولايت منصبي الهي است كه از جانب خداوند متعال إعطا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ولايت خود، فقهاي عدولِ توانا را براي اداره‌ي جامعه نصب كرده‌اند</w:t>
      </w:r>
      <w:r>
        <w:rPr>
          <w:rFonts w:eastAsia="IRNazanin" w:cs="IRNazanin"/>
          <w:color w:val="111111"/>
          <w:sz w:val="28"/>
          <w:szCs w:val="28"/>
          <w:rtl w:val="true"/>
          <w:lang w:bidi="fa-IR"/>
        </w:rPr>
        <w:t>.</w:t>
      </w:r>
    </w:p>
    <w:p>
      <w:pPr>
        <w:pStyle w:val="Heading2"/>
        <w:numPr>
          <w:ilvl w:val="1"/>
          <w:numId w:val="1"/>
        </w:numPr>
        <w:rPr/>
      </w:pPr>
      <w:bookmarkStart w:id="31" w:name="__RefHeading___Toc3053585_3804643083"/>
      <w:bookmarkStart w:id="32" w:name="_Toc11"/>
      <w:bookmarkEnd w:id="31"/>
      <w:r>
        <w:rPr>
          <w:rtl w:val="true"/>
        </w:rPr>
        <w:t>با مردود بودن حكومت غير فقيه عادل تنها گزينه فقيه عادل است</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به روشني توضيح داديم از يك سو جامعه بدون مدير نمي‌تواند باشد كه اين از مطالبِ قطعي و بدون ترديد اسلام است، و از سوي ديگر هر نوع مديريّت و هر رياستي غير از مديريّت و رياست جعل شده از جانب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است و در روايات براي هيچ كس يا گروهي غير از فقيهِ عادل مقام و منصب ولايت عامّه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منصب ولايت و مقام اداره‌ي اجتماع، جز براي فقيهِ عادلِ توانا نمي‌تواند اثبات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اين چيزي است كه از مِثل مقبوله‌ي عمر بن حنظله </w:t>
      </w:r>
      <w:r>
        <w:rPr>
          <w:rStyle w:val="FootnoteAnchor"/>
          <w:rtl w:val="true"/>
        </w:rPr>
        <w:footnoteReference w:id="37"/>
      </w:r>
      <w:r>
        <w:rPr>
          <w:rFonts w:ascii="Amiri" w:hAnsi="Amiri" w:eastAsia="Amiri" w:cs="Amiri"/>
          <w:color w:val="111111"/>
          <w:sz w:val="28"/>
          <w:sz w:val="28"/>
          <w:szCs w:val="28"/>
          <w:rtl w:val="true"/>
          <w:lang w:bidi="ar-SA"/>
        </w:rPr>
        <w:t>و توقيع اسحاق بن</w:t>
      </w:r>
    </w:p>
    <w:p>
      <w:pPr>
        <w:pStyle w:val="BookText"/>
        <w:rPr/>
      </w:pPr>
      <w:r>
        <w:rPr>
          <w:rFonts w:ascii="Amiri" w:hAnsi="Amiri" w:eastAsia="Amiri" w:cs="Amiri"/>
          <w:color w:val="111111"/>
          <w:sz w:val="28"/>
          <w:sz w:val="28"/>
          <w:szCs w:val="28"/>
          <w:rtl w:val="true"/>
          <w:lang w:bidi="ar-SA"/>
        </w:rPr>
        <w:t xml:space="preserve">يعقوب </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در مقبوله‌ي عمر بن حنظله، تحاكم به سلطان و قُضات جور به شدّت مردود شناخته شده و تحاكم به آنها، تحاكم به طاغوت معرفي شده است، به ناچار وقتي امام عليه السلام براي رفع مشكل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راويِ حديث ناظرِ در حلال و حرام و عارفِ به احكام روي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قَد جَعَلتُهُ عَلَيكُم حاكِماً؛ پس همانا من او را بر شما حاكم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روايات يكي از دو معنا مي‌تواند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حاكم در اينجا كسي باشد كه در همه‌ي شئون اجتماعي بايد به او مراجعه شود از جمله مسئله‌ي قضاوت، و اين همان جعل ولايت تامّه براي فقيه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اينجا به معناي قاضي باشد كه در اين صورت بالاولويّة القطعيّة مي‌فهميم كه امام عليه السلام ولايت عامّه را كه يكي از شئون آن قضاوت مي‌باشد نيز جعل كرده است؛ زيرا نياز به ولايت براي تدبير اجتماع به مراتب بيش از نياز به قضاوت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آنكه كشمكش و منازعه‌اي كه نيازمند</w:t>
      </w:r>
    </w:p>
    <w:p>
      <w:pPr>
        <w:pStyle w:val="BookText"/>
        <w:rPr/>
      </w:pPr>
      <w:r>
        <w:rPr>
          <w:rFonts w:ascii="IRNazanin" w:hAnsi="IRNazanin" w:eastAsia="IRNazanin"/>
          <w:color w:val="111111"/>
          <w:sz w:val="28"/>
          <w:sz w:val="28"/>
          <w:szCs w:val="28"/>
          <w:rtl w:val="true"/>
          <w:lang w:bidi="fa-IR"/>
        </w:rPr>
        <w:t>به قضاوت باشد فقط گاهي براي برخي افراد اتّفاق مي‌افتد؛ در حالي كه اموري كه نيازمند به ولايت عامّه است تقريباً هميشه مورد ابتلا است؛ به ويژه در عصر حاضر كه بقاي اسلام و هويّت مسلمين نيازمند شديد سازماندهي و مديريّت عالمانه، مدبّرانه و شجاعانه است و إهمال در اين زمينهن قطعاً نقضِ غرض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موضوع حكومت را مهمل نگذاشته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اللَّهِ قَصدُ السَّبيلِ ومِنها جائِرٌ ولَو شاءَ لَهَداكُم أجمَعين؛ </w:t>
      </w:r>
      <w:r>
        <w:rPr>
          <w:rStyle w:val="FootnoteAnchor"/>
          <w:rtl w:val="true"/>
        </w:rPr>
        <w:footnoteReference w:id="39"/>
      </w:r>
      <w:r>
        <w:rPr>
          <w:rFonts w:ascii="IRNazanin" w:hAnsi="IRNazanin" w:eastAsia="IRNazanin"/>
          <w:color w:val="111111"/>
          <w:sz w:val="28"/>
          <w:sz w:val="28"/>
          <w:szCs w:val="28"/>
          <w:rtl w:val="true"/>
          <w:lang w:bidi="fa-IR"/>
        </w:rPr>
        <w:t xml:space="preserve">و بر عهده‌ي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كه به مقصد مي‌رساند و برخي از راه‌ها انحرافي است، و اگر مي‌خواست همگي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در انتخاب راه دين اجبار تكويني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وقتي اسحاق بن يعقوب توقيع حضرت را نقل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روات احاديث مراجعه كنيد، مراد نمي‌تواند خصوصِ حوادثِ مشخّصِ نزد اسحاق باشد؛ چون اين فقره، مستقل در توقيع شريف نيامده است؛ بلكه در سياق مسائلي است كه جواب حضرت حجّت عجّل الله تعالي فرجه الشّريف در آنها عامّ است و هر فقره با امّا شروع مي‌شود و ظاهر در آن است كه طبيعت حوادث به روش استغراق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اطلاقِ لزومِ مراجعه به روات در</w:t>
      </w:r>
    </w:p>
    <w:p>
      <w:pPr>
        <w:pStyle w:val="BookText"/>
        <w:rPr/>
      </w:pPr>
      <w:r>
        <w:rPr>
          <w:rFonts w:ascii="IRNazanin" w:hAnsi="IRNazanin" w:eastAsia="IRNazanin"/>
          <w:color w:val="111111"/>
          <w:sz w:val="28"/>
          <w:sz w:val="28"/>
          <w:szCs w:val="28"/>
          <w:rtl w:val="true"/>
          <w:lang w:bidi="fa-IR"/>
        </w:rPr>
        <w:t>حوادث حتّي صورتي را در بر مي‌گيرد كه حكم كلّي آن مشخّص باشد، ولي نياز به تصميم اجرايي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حوادث از هر نظر به فقيه ارجاع داده شده است، و اگر توقيع مبارك اختصاص به جعل ولايت نداشته باشد، حدّاقل ارجاع به فقيه در تمام شئون حوادث مستلزم جعل ولايت براي فقيه است و همين معنايِ ولايت فقيه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احتمال داده نمي‌شود كه شارع،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ظالم يا ناتوان را بر مقدّرات جامعه مسلّط كرده باشد، حتّي اگر مردم او را انتخاب كرده باشند؛ چون همه‌ي اينها از ديدگاه اسلام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موقعيّت در اختيار فقيهِ عادلِ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در شرايط مساوي، فقيهِ عادلِ منتخبِ مردم بر غير منتخب، رجحان دارد؛ هم به دليل توان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پشتيباني مردم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خاطر رعايت خواسته‌هاي مردم در محدوده‌ي حقّ و عدالت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چنان‌كه امتيازات ديگر علمي، فنّي، روحي و جسمي در شرايط مساوي، موجب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بايد با ساز و كارهاي عقلي و عقلايي و شرعي از جمله از طريق خبرگانِ مورد اعتمادِ خود، شخصِ واجد شرايط را شناسايي كرده و زمام امر را به دست او بسپرند و فرامين او را اطاعت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وقتي فردِ واجد شرايط عهده‌دار چنين منصبي شد تا</w:t>
      </w:r>
      <w:bookmarkStart w:id="33" w:name="pg2394_26059"/>
    </w:p>
    <w:p>
      <w:pPr>
        <w:pStyle w:val="BookText"/>
        <w:rPr/>
      </w:pPr>
      <w:bookmarkEnd w:id="33"/>
      <w:r>
        <w:rPr>
          <w:rFonts w:ascii="IRNazanin" w:hAnsi="IRNazanin" w:eastAsia="IRNazanin"/>
          <w:color w:val="111111"/>
          <w:sz w:val="28"/>
          <w:sz w:val="28"/>
          <w:szCs w:val="28"/>
          <w:rtl w:val="true"/>
          <w:lang w:bidi="fa-IR"/>
        </w:rPr>
        <w:t>مادامي كه واجد شرايط است هيچ دليلي بر ولايت ديگري در گستره‌ي ولايت او نداريم؛ چون با وجود ولايت، ديگر جعل ولايت معنا ندراد؛ پس هيچ كس حقّ مزاحمت با ولايت او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شَغَبَ شاغِبٌ اُستُعتِبَ فَإن أبَي قُوتِلَ؛ </w:t>
      </w:r>
      <w:r>
        <w:rPr>
          <w:rStyle w:val="FootnoteAnchor"/>
          <w:rtl w:val="true"/>
        </w:rPr>
        <w:footnoteReference w:id="41"/>
      </w:r>
      <w:r>
        <w:rPr>
          <w:rFonts w:ascii="IRNazanin" w:hAnsi="IRNazanin" w:eastAsia="IRNazanin"/>
          <w:color w:val="111111"/>
          <w:sz w:val="28"/>
          <w:sz w:val="28"/>
          <w:szCs w:val="28"/>
          <w:rtl w:val="true"/>
          <w:lang w:bidi="fa-IR"/>
        </w:rPr>
        <w:t>اگر كسي شرّ به پا كند از او خواسته مي‌شود به راه راست بازگردد، اگر نپذيرفت، بايد با او جنگيد</w:t>
      </w:r>
      <w:r>
        <w:rPr>
          <w:rFonts w:eastAsia="IRNazanin" w:cs="IRNazanin"/>
          <w:color w:val="111111"/>
          <w:sz w:val="28"/>
          <w:szCs w:val="28"/>
          <w:rtl w:val="true"/>
          <w:lang w:bidi="fa-IR"/>
        </w:rPr>
        <w:t>».</w:t>
      </w:r>
    </w:p>
    <w:p>
      <w:pPr>
        <w:pStyle w:val="Heading2"/>
        <w:numPr>
          <w:ilvl w:val="1"/>
          <w:numId w:val="1"/>
        </w:numPr>
        <w:rPr/>
      </w:pPr>
      <w:bookmarkStart w:id="34" w:name="__RefHeading___Toc3053587_3804643083"/>
      <w:bookmarkStart w:id="35" w:name="_Toc12"/>
      <w:bookmarkEnd w:id="34"/>
      <w:r>
        <w:rPr>
          <w:rtl w:val="true"/>
        </w:rPr>
        <w:t>فقاهت و عدالت، مقتضي مشورت</w:t>
      </w:r>
      <w:bookmarkEnd w:id="35"/>
    </w:p>
    <w:p>
      <w:pPr>
        <w:pStyle w:val="BookText"/>
        <w:rPr/>
      </w:pPr>
      <w:r>
        <w:rPr>
          <w:rFonts w:ascii="IRNazanin" w:hAnsi="IRNazanin" w:eastAsia="IRNazanin"/>
          <w:color w:val="111111"/>
          <w:sz w:val="28"/>
          <w:sz w:val="28"/>
          <w:szCs w:val="28"/>
          <w:rtl w:val="true"/>
          <w:lang w:bidi="fa-IR"/>
        </w:rPr>
        <w:t>البتّه فقيهِ عادل، مشورت مي‌كند؛ چون بايد موازين اسلامي را رعايت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كارها با آنان مشورت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كارشانم در ميان خودشان به مشاوره برگزار مي‌گردد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جزء دستورات اسلامي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عادلِ توانا مشورت و بررسي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همه‌ي جوانب را رعايت مي‌نمايد؛</w:t>
      </w:r>
      <w:bookmarkStart w:id="36" w:name="pg2394_26060"/>
    </w:p>
    <w:p>
      <w:pPr>
        <w:pStyle w:val="BookText"/>
        <w:rPr/>
      </w:pPr>
      <w:bookmarkEnd w:id="36"/>
      <w:r>
        <w:rPr>
          <w:rFonts w:ascii="IRNazanin" w:hAnsi="IRNazanin" w:eastAsia="IRNazanin"/>
          <w:color w:val="111111"/>
          <w:sz w:val="28"/>
          <w:sz w:val="28"/>
          <w:szCs w:val="28"/>
          <w:rtl w:val="true"/>
          <w:lang w:bidi="fa-IR"/>
        </w:rPr>
        <w:t>امّا وقتي كه فرمان داد، ديگر سرپيچي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خدمت اميرالمؤمنين عليه السلام رسيد و به ايشان مشورتي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اصرار كرد كه حرف من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تُشِيرَ عَلَيَّ وأرَي فَإن عَصَيتُكَ فَأطِعنِي؛ </w:t>
      </w:r>
      <w:r>
        <w:rPr>
          <w:rStyle w:val="FootnoteAnchor"/>
          <w:rtl w:val="true"/>
        </w:rPr>
        <w:footnoteReference w:id="44"/>
      </w:r>
      <w:r>
        <w:rPr>
          <w:rFonts w:ascii="IRNazanin" w:hAnsi="IRNazanin" w:eastAsia="IRNazanin"/>
          <w:color w:val="111111"/>
          <w:sz w:val="28"/>
          <w:sz w:val="28"/>
          <w:szCs w:val="28"/>
          <w:rtl w:val="true"/>
          <w:lang w:bidi="fa-IR"/>
        </w:rPr>
        <w:t>بر تو است كه رأي خود را به من بگويي، و من بايد پيرامون آن بينديشم، آن‌گاه اگر خلاف نظر تو فرمان دادم، بايد اطاعت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خطاب به پيامبر عظيم الشّأن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متعال بعد از اينكه فرمان مي‌دهد كه اي پيامبر با آنها مشاوره كن، مي‌فرمايد ـ امّا هرگاه كه عزم را جزم كردي و تصميم گرفتي، ديگر كاري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بر خدا به طرف كارت برو</w:t>
      </w:r>
      <w:r>
        <w:rPr>
          <w:rFonts w:eastAsia="IRNazanin" w:cs="IRNazanin"/>
          <w:color w:val="111111"/>
          <w:sz w:val="28"/>
          <w:szCs w:val="28"/>
          <w:rtl w:val="true"/>
          <w:lang w:bidi="fa-IR"/>
        </w:rPr>
        <w:t>.</w:t>
      </w:r>
    </w:p>
    <w:p>
      <w:pPr>
        <w:pStyle w:val="Heading2"/>
        <w:numPr>
          <w:ilvl w:val="1"/>
          <w:numId w:val="1"/>
        </w:numPr>
        <w:rPr/>
      </w:pPr>
      <w:bookmarkStart w:id="37" w:name="__RefHeading___Toc3053589_3804643083"/>
      <w:bookmarkStart w:id="38" w:name="_Toc13"/>
      <w:bookmarkEnd w:id="37"/>
      <w:r>
        <w:rPr>
          <w:rtl w:val="true"/>
        </w:rPr>
        <w:t>بهره‌مندي‌هاي فراوان از ولايت فقيه</w:t>
      </w:r>
      <w:bookmarkEnd w:id="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انصافاً آيا اگر حاكم، فقيهِ عادل تواناي اهلِ مشورت و مشاوره باشد بهتر است يا اينكه انساني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ظالم بوده و يا اينكه توانايي اداره‌ي جامعه‌ي اسلامي را نداشته و اهل مشاوره هم نباشد؟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كَيْفَ</w:t>
      </w:r>
      <w:bookmarkStart w:id="39" w:name="pg2394_26061"/>
    </w:p>
    <w:p>
      <w:pPr>
        <w:pStyle w:val="BookText"/>
        <w:rPr/>
      </w:pPr>
      <w:bookmarkEnd w:id="39"/>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ـ بهره‌هايي كه اين كشور تا به حال از ولايت فقيه بُرده،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بركت فقيه جامع الشّرايط و ولايت فقيه از حلقوم استعمار و استكبار جهاني بيرون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جمهوري اسلامي به بركت فقاهت و عدالت و ولايت فقيه استقرار پيدا كرد و با قدرت، راه خود را ادامه داد 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ولايت فقيه است كه طنين اسلام و قرآن در سراسر جهان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ولايت فقيه است كه رژيم صهيونيستي به سوي اضمحلال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ولايت فقيه است كه پايه‌هاي ظلم و فساد و تباهي در سراسر كشورهاي اسلامي به لرزه درآمده و طاغوت‌هاي مصر و تونس و يمن، سرنگون شدند و طاغوت‌هاي ديگر زير پاهايشان لرزان است</w:t>
      </w:r>
      <w:r>
        <w:rPr>
          <w:rFonts w:eastAsia="IRNazanin" w:cs="IRNazanin"/>
          <w:color w:val="111111"/>
          <w:sz w:val="28"/>
          <w:szCs w:val="28"/>
          <w:rtl w:val="true"/>
          <w:lang w:bidi="fa-IR"/>
        </w:rPr>
        <w:t>.</w:t>
      </w:r>
    </w:p>
    <w:p>
      <w:pPr>
        <w:pStyle w:val="Heading2"/>
        <w:numPr>
          <w:ilvl w:val="1"/>
          <w:numId w:val="1"/>
        </w:numPr>
        <w:rPr/>
      </w:pPr>
      <w:bookmarkStart w:id="40" w:name="__RefHeading___Toc3053591_3804643083"/>
      <w:bookmarkStart w:id="41" w:name="_Toc14"/>
      <w:bookmarkEnd w:id="40"/>
      <w:r>
        <w:rPr>
          <w:rtl w:val="true"/>
        </w:rPr>
        <w:t>برخي مخالفت‌ها با ولايت فقيه</w:t>
      </w:r>
      <w:bookmarkEnd w:id="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دشمني آنهايي كه با ولايت فقيه مخالفند چيست؟ دشمني با ولايت فقيه يعني دشمني با علم و عدالت، دشمني با توانايي و فكر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دشمنان اسلام، قدرت‌طلبان، دنياپرستان و متجاوزين به حقوق مردم، ولايت فقيه را برنمي‌تابند، و به صورت‌هاي مختلف مقابله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مخالفت‌ها در اينجا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ساده‌انديشي‌ها و كج‌فهمي‌هاي عدّه‌ي كمي، برخي از افراد از اساس با اسلام مخالفند و آن را به صورت مخالفتن با ولايت فقيه بروز</w:t>
      </w:r>
    </w:p>
    <w:p>
      <w:pPr>
        <w:pStyle w:val="BookText"/>
        <w:rPr/>
      </w:pPr>
      <w:r>
        <w:rPr>
          <w:rFonts w:ascii="Amiri" w:hAnsi="Amiri" w:eastAsia="Amiri" w:cs="Amiri"/>
          <w:color w:val="111111"/>
          <w:sz w:val="28"/>
          <w:sz w:val="28"/>
          <w:szCs w:val="28"/>
          <w:rtl w:val="true"/>
          <w:lang w:bidi="ar-SA"/>
        </w:rPr>
        <w:t>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برخي با تشيّع و برخي با روحانيّت و علماي دين مخالفند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قبل از انقلاب بودند كه الآن هم به نوعي ديگر سر و كلّه‌شان دوباره پيدا شده، تزشان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منهاي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اسلام منهاي روحانيّت، مثل تز طبابت بدون پزشك واقعاً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منهاي روحانيّت يعني پزشكي منهاي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منحرفاني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بيمار شدي قانون بوعلي‌سينا وجود دارد، تحفه‌ي حكيم مؤمن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 قديم ـ بيماري شدي طبِّ هريسون وجود دارد، طبِّ سيسيل وجود دارد، نرم‌افزار </w:t>
      </w:r>
      <w:r>
        <w:rPr>
          <w:rFonts w:eastAsia="Times New Roman" w:cs="Times New Roman" w:ascii="Times New Roman" w:hAnsi="Times New Roman"/>
          <w:color w:val="111111"/>
          <w:sz w:val="28"/>
          <w:szCs w:val="28"/>
          <w:lang w:val="en-US" w:bidi="en-US"/>
        </w:rPr>
        <w:t>up to 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كتاب روي هم گذاشته شده، برويد خود را معالجه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مي‌گويد اسلام بدون روحانيّت، دقيقاً مثل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كتاب‌هاي پزشكي را هم پزشك‌ها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اسلامي را هم علماي اسلام با فداكاري‌ها و تلاش‌هاي فرساينده حفظ كرده و 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روحانيّت يعني طبِّ بدون طبيب، پزشكي بدون پزشك، معماري بدون معمار، مهندسي بدون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پيدا شدند متأسّفانه هنوز هم وجود دارند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ولايت فقيه را قبول داريم؛ ولايت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هم قبول داريم؛ امّا ولايت بعد از حضرت امام را قبول نداريم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p>
    <w:p>
      <w:pPr>
        <w:pStyle w:val="BookText"/>
        <w:rPr/>
      </w:pPr>
      <w:r>
        <w:rPr>
          <w:rFonts w:ascii="IRNazanin" w:hAnsi="IRNazanin" w:eastAsia="IRNazanin"/>
          <w:color w:val="111111"/>
          <w:sz w:val="28"/>
          <w:sz w:val="28"/>
          <w:szCs w:val="28"/>
          <w:rtl w:val="true"/>
          <w:lang w:bidi="fa-IR"/>
        </w:rPr>
        <w:t>به بخشي از كتاب، ايمان مي‌آوريد و بخش ديگر را انكار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بيچاره‌هايي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نماز بخوانيم، روزه بگيريم، زكات بپردازيم، اينها همه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براي خودت جانشين تعيين كني، آن را ديگر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جانشيني حضرت امير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از آسمان سنگي بيايد مرا نابود كند؛ كه آمد و نابودش كرد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بعد از امام را هم قبول داريم، امّا به شرط اينكه ما هم سهمي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آنجايي كه اينها فسادي نكرده بودند، نظام هم با آنها مدارا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آنكه دندان‌هاي طَمعشان را تيزتر كردند و مي‌خواستند به حقوق مردم و حدود اسلامي تجاوز كنند، رهبري و مردم در مقابل آنها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حتّي گروه اخير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ولايت فقيه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 آنها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ولايت فقيه بخواهد جلوي منافع نامشروع ما را بگيرد، ديگر آن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برخي از آنان به نوعي آشكارا و زشت به اين سخن تصريح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ديگري كه از همه خطرناك‌ترند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ولايت فقيه را</w:t>
      </w:r>
    </w:p>
    <w:p>
      <w:pPr>
        <w:pStyle w:val="BookText"/>
        <w:rPr/>
      </w:pPr>
      <w:r>
        <w:rPr>
          <w:rFonts w:ascii="Amiri" w:hAnsi="Amiri" w:eastAsia="Amiri" w:cs="Amiri"/>
          <w:color w:val="111111"/>
          <w:sz w:val="28"/>
          <w:sz w:val="28"/>
          <w:szCs w:val="28"/>
          <w:rtl w:val="true"/>
          <w:lang w:bidi="ar-SA"/>
        </w:rPr>
        <w:t>قبول داريم، امّا بيايم محتوا را خالي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حمايت از ولايت فقيه را سر داده، امّا در عمل مطيع اوامر او نباشيم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ترفند، خيلي خطرناك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لِي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عَلَي أمَّتِي مُؤمِناً ولا مُشرِكاً أمّا المُؤمِنُ فَيَمنَعُهُ اللَّهُ بِإيمانِهِ وأمّا المُشرِكُ فَيَقمَعُهُ اللَّهُ بِشِركِهِ ولَكِنِّي أخافُ عَلَيكُم كُلَّ مُنافِقِ الجَنانِ عالِمِ اللِّسانِ يَقُولُ ما تَعرِفونَ ويَفعَلُ ما تُنكِرُونَ؛ </w:t>
      </w:r>
      <w:r>
        <w:rPr>
          <w:rStyle w:val="FootnoteAnchor"/>
          <w:rtl w:val="true"/>
        </w:rPr>
        <w:footnoteReference w:id="48"/>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 نه از مؤمن و نه از مشرك هراسي ندارم؛ زيرا مؤمن را از ايمانش باز داشته، و مشرك را خداوند به جهت شرك او نابود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مرد منافقي مي‌ترسم كه دروني دو چهره، و زباني عالمانه دارد، گفتارش دلپسند و رفتارش زشت و ناپسند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نمي‌ترسم كه از ناحيه‌ي كفّار ضربه‌اي به جامعه‌ي اسلامي وارد شود؛ زيرا مشركي كه رسماً با عنوان كفر بيايد، مردم او را شناخته و در مقابلش مقاومت مي‌كنند و به هر حال يك روزي نابودش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 خوفي كه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جامعه‌ي اسلامي دارند، از جانب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دورو و زبان‌آور باشد و با كلمات و سخنراني‌ها و نوشته‌هايش دل‌هاي شما را به دست آوَرَد و خود را به عنوان جزيي از شما قلمداد كند، ولي عملاً در بزنگاه‌ها كار دل‌پسند</w:t>
      </w:r>
      <w:bookmarkStart w:id="42" w:name="pg2394_26065"/>
    </w:p>
    <w:p>
      <w:pPr>
        <w:pStyle w:val="BookText"/>
        <w:rPr/>
      </w:pPr>
      <w:bookmarkEnd w:id="42"/>
      <w:r>
        <w:rPr>
          <w:rFonts w:ascii="IRNazanin" w:hAnsi="IRNazanin" w:eastAsia="IRNazanin"/>
          <w:color w:val="111111"/>
          <w:sz w:val="28"/>
          <w:sz w:val="28"/>
          <w:szCs w:val="28"/>
          <w:rtl w:val="true"/>
          <w:lang w:bidi="fa-IR"/>
        </w:rPr>
        <w:t>خويش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تاكتيك از اوّل تاريخ اسلام تا به امروز در خيلي از جاهان اثر كاربردي داشه و مردم و حتّي خواصّ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نفاق بود كمه معاويه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شهات تاريخ و به گفتار و اقرار خودش، تلاش مي‌كرد رسالت پيامبر را از بين ببرد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امّا وقتي كه به مرحله‌ي شكست نهايي رسيد، قرآن بر نيزه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بني‌عبّاس به اسم خون‌خواهي امام حسين عليه السلام قيام كردند، امّا وقتي بر قدرت مسلّط شدند، هر كاري كه خواستند انجام دادند و مثل بني‌اميّه نسبت به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ظلم و ستم نمودند</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053593_3804643083"/>
      <w:bookmarkStart w:id="44" w:name="_Toc15"/>
      <w:bookmarkEnd w:id="43"/>
      <w:r>
        <w:rPr>
          <w:rtl w:val="true"/>
        </w:rPr>
        <w:t>لزوم بيداري و ثبات در راه حقّ در زير و بم آزمايشات</w:t>
      </w:r>
      <w:bookmarkEnd w:id="44"/>
    </w:p>
    <w:p>
      <w:pPr>
        <w:pStyle w:val="BookText"/>
        <w:rPr/>
      </w:pPr>
      <w:r>
        <w:rPr>
          <w:rFonts w:ascii="IRNazanin" w:hAnsi="IRNazanin" w:eastAsia="IRNazanin"/>
          <w:color w:val="111111"/>
          <w:sz w:val="28"/>
          <w:sz w:val="28"/>
          <w:szCs w:val="28"/>
          <w:rtl w:val="true"/>
          <w:lang w:bidi="fa-IR"/>
        </w:rPr>
        <w:t>بايد خيلي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ابتداي كار، نفاق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وقتي كه مزه‌ي قدرت به دهان كسي نشست و بر مصدر قرار گرفت و تملّق‌ها و چاپلوسي‌ها را ديد، آن وقت از آن معياري كه دارد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زبير روايات متعدّد داريم كه واقعاً بر طريق اسلامِ حقيقي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وارد شده است كه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مَشَي الزُّبَيرُ في ضَوءِ الإيمانِ ونورِهِ حينَ قُبِضَ رَسولُ اللَّهِ حَتَّي مَشَي بِالسَّيفِ وهُوَ يَقولُ لا نُبايِعُ إلّا عَليّاً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زبير در پرتو اسلام و نور ايمان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هيچ كس به نفع اميرالمؤمنين عليه السلام شمشير نكشيد، زبير در حالي كه شمشير به دست بود، از حضرت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كه اموال بيت‌المال</w:t>
      </w:r>
    </w:p>
    <w:p>
      <w:pPr>
        <w:pStyle w:val="BookText"/>
        <w:rPr/>
      </w:pPr>
      <w:r>
        <w:rPr>
          <w:rFonts w:ascii="IRNazanin" w:hAnsi="IRNazanin" w:eastAsia="IRNazanin"/>
          <w:color w:val="111111"/>
          <w:sz w:val="28"/>
          <w:sz w:val="28"/>
          <w:szCs w:val="28"/>
          <w:rtl w:val="true"/>
          <w:lang w:bidi="fa-IR"/>
        </w:rPr>
        <w:t>به جيبش سرازير شد و مزه‌ي هم‌نشيني با قدرت‌مندان و استفاده‌ي نامشروع از بيت‌المال را چشيد، آن شمشير نه تنها غلاف شد بلكه در يك لحظه‌ي حسّاس در مقابل اميرالمؤمنين عليه السلام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هر روز و هر آن به خداوند متعال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گمان‌مان بر اين نباشد كه امتحان نمي‌شويم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خداوند بر آن نيست كه شما مؤمنان را بدين حال كه اكنون هستيد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مي‌آزمايد تا ناپاك، را از پاك،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بسيجي، فرمانده‌ي بسيجي، سپاهي عزيز، استاد بزرگوار، بدانيد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خداوند شما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خوب و مخلص هستي، در همين شرايط بماني؛ آن‌چنان تو را امتحان كرده و به تلاطم مي‌اندازد تا معلوم شود عنصر وجوديت تا چه حد در اعماقش پاك و ملتزم به اسلام و قرآن و اهل بيت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لِيَذَرَ الْمُؤْمِنِينَ عَلَى مَا أَنْتُمْ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نيست كه خداوند متعال شما را به آن وضعي كه هستيد، رها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همه‌ي مؤمنين، درون‌مايه‌ي خويش را بيرون بريزند تا حقيقتِ لايه‌هاي درونيِ وجودشان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همه‌ي</w:t>
      </w:r>
      <w:bookmarkStart w:id="45" w:name="pg2394_26067"/>
    </w:p>
    <w:p>
      <w:pPr>
        <w:pStyle w:val="BookText"/>
        <w:rPr/>
      </w:pPr>
      <w:bookmarkEnd w:id="45"/>
      <w:r>
        <w:rPr>
          <w:rFonts w:ascii="IRNazanin" w:hAnsi="IRNazanin" w:eastAsia="IRNazanin"/>
          <w:color w:val="111111"/>
          <w:sz w:val="28"/>
          <w:sz w:val="28"/>
          <w:szCs w:val="28"/>
          <w:rtl w:val="true"/>
          <w:lang w:bidi="fa-IR"/>
        </w:rPr>
        <w:t>آنها سالم و خالص بود و اخلاص همه جايش را گرفته بود،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كُلُّهُ رِياءٌ إلّا ما كانَ مُخلَصاً والإخلاصُ عَلَي خَطَرٍ حَتَّي يَنظُرَ العَبدُ بِما يُختَمُ‌لَهُ؛</w:t>
      </w:r>
      <w:r>
        <w:rPr>
          <w:rStyle w:val="FootnoteAnchor"/>
          <w:rtl w:val="true"/>
        </w:rPr>
        <w:footnoteReference w:id="52"/>
      </w:r>
      <w:r>
        <w:rPr>
          <w:rFonts w:ascii="IRNazanin" w:hAnsi="IRNazanin" w:eastAsia="IRNazanin"/>
          <w:color w:val="111111"/>
          <w:sz w:val="28"/>
          <w:sz w:val="28"/>
          <w:szCs w:val="28"/>
          <w:rtl w:val="true"/>
          <w:lang w:bidi="fa-IR"/>
        </w:rPr>
        <w:t>عمل تمامش ريا است الّا آنچه كه با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اخلاص در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رهزني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هنگامي كه عبد نظر كند عاقبتش به چه ختم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همه‌ي ما توفيق بقاي در راه حقّ و اخلاصِ در علم و عمل تا آخرين لحظه‌اي كه جان به جان‌آفرين تسليم مي‌كنيم، عنايت بفرمايد</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053595_3804643083"/>
      <w:bookmarkStart w:id="47" w:name="_Toc16"/>
      <w:bookmarkEnd w:id="46"/>
      <w:r>
        <w:rPr>
          <w:rtl w:val="true"/>
        </w:rPr>
        <w:t>تتميمي دقيق و لازم براي خواصّ</w:t>
      </w:r>
      <w:bookmarkEnd w:id="47"/>
    </w:p>
    <w:p>
      <w:pPr>
        <w:pStyle w:val="BookText"/>
        <w:rPr/>
      </w:pPr>
      <w:r>
        <w:rPr>
          <w:rFonts w:ascii="IRNazanin" w:hAnsi="IRNazanin" w:eastAsia="IRNazanin"/>
          <w:color w:val="111111"/>
          <w:sz w:val="28"/>
          <w:sz w:val="28"/>
          <w:szCs w:val="28"/>
          <w:rtl w:val="true"/>
          <w:lang w:bidi="fa-IR"/>
        </w:rPr>
        <w:t>دريغم مي‌آيد در اينجا از ذكر مطلبي درگذرم و آن اينكه با توجّه به نكاتي كه در لزومن برقراري حكومت و سازماندهي جامعه ذكر شد معلوم مي‌شود حتّي اگر مسلمانان زماني قدرت چنين اقدامي را نداشته باشند، تكليف از آنان ساقط نيست و بايد ابتدا از راه‌هاي شرعي كسب قدرت كرده و سپس اقدام به برقراري حكومت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قدرت بر اقامه‌ي نظام اسلامي، دخيل در ملاكِ مطلوبيّتِ نظام اسلامي نيست، در نتيجه اين قدرت بايد تحصيل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در اينجا پرسشي براي مخاطبان اهل فكر و دانش</w:t>
      </w:r>
    </w:p>
    <w:p>
      <w:pPr>
        <w:pStyle w:val="BookText"/>
        <w:rPr/>
      </w:pPr>
      <w:r>
        <w:rPr>
          <w:rFonts w:ascii="IRNazanin" w:hAnsi="IRNazanin" w:eastAsia="IRNazanin"/>
          <w:color w:val="111111"/>
          <w:sz w:val="28"/>
          <w:sz w:val="28"/>
          <w:szCs w:val="28"/>
          <w:rtl w:val="true"/>
          <w:lang w:bidi="fa-IR"/>
        </w:rPr>
        <w:t>مي‌تواند مطرح شود كه چرا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رواياتي كه در دست ماست ـ علي‌رغم نهي‌هاي شديد از نزديك شدن به ظالمين ـ در بسياري از اوقات شيعه را از حركت‌هاي انقلابي عليه خلفاي جور باز مي‌داشتند و بلكه در برخي از رواياتِ معتبر، كلّاً قيام‌هاي قبل از قيام قائم آل محمّد عجّل الله تعالي فرجه مردود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هفده روايت از اين نوع را در كتاب خود جمع‌آوري فرموده است، كه يكي از واضح‌ترين آنها از نظر دلالت و سند، صحيحه‌ي ابي‌بصير از امام صادق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رايَةٍ تُرفَعُ قَبلَ قِيامِ القائِمِ عليه السلام فَصاحِبُها طاغوتٌ يُعبَدُ مِنن دونِ اللَّهِ عَزَّوَجَل؛ </w:t>
      </w:r>
      <w:r>
        <w:rPr>
          <w:rStyle w:val="FootnoteAnchor"/>
          <w:rtl w:val="true"/>
        </w:rPr>
        <w:footnoteReference w:id="53"/>
      </w:r>
      <w:r>
        <w:rPr>
          <w:rFonts w:ascii="IRNazanin" w:hAnsi="IRNazanin" w:eastAsia="IRNazanin"/>
          <w:color w:val="111111"/>
          <w:sz w:val="28"/>
          <w:sz w:val="28"/>
          <w:szCs w:val="28"/>
          <w:rtl w:val="true"/>
          <w:lang w:bidi="fa-IR"/>
        </w:rPr>
        <w:t>هر پرچمي كه قبل از قيام قائم عليه السلام برافراشته شود، صاحب آن طاغوت است كه به جاي فرمانبرداري از خداوند عزّوجلّ، او مورد فرمان‌برداري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روايت و روايات مشابه آن ـ كه از نظر سند و دلالت به قوّت اين روايت نيستند ـ به قرينه‌ي ساير روايات و وقايع تاريخي و قيام‌هاي انحرافي كه در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مربوط به يكي از چند گروه يا شرايط زير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كساني است كه براي حركت‌هاي خود استقلال قائل بوده و در صورت پيروزي خود را خليفه‌ي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و دعوت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نمي‌كردند حتّي</w:t>
      </w:r>
    </w:p>
    <w:p>
      <w:pPr>
        <w:pStyle w:val="BookText"/>
        <w:rPr/>
      </w:pPr>
      <w:r>
        <w:rPr>
          <w:rFonts w:ascii="IRNazanin" w:hAnsi="IRNazanin" w:eastAsia="IRNazanin"/>
          <w:color w:val="111111"/>
          <w:sz w:val="28"/>
          <w:sz w:val="28"/>
          <w:szCs w:val="28"/>
          <w:rtl w:val="true"/>
          <w:lang w:bidi="fa-IR"/>
        </w:rPr>
        <w:t>اگر علوي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مطلب به روشني از صحيحه‌ي عيص بن القاسم از امام صادق عليه السلام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صحيحه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أتاكُم آتٍ مِنّا فَانظُروا عَلَي أيِّ شَيءٍ تَخرُجونَ وللا تَقولوا خَرَجَ زَيدٌ فَإنَّ زَيداً كانَ عالِماً وكانَ صَدوقاً ولَم يَدعُكُم إلَي نَفسِهِ وإنَّما دَعاكُم إلَي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لَوَفَي؛</w:t>
      </w:r>
      <w:r>
        <w:rPr>
          <w:rStyle w:val="FootnoteAnchor"/>
          <w:rtl w:val="true"/>
        </w:rPr>
        <w:footnoteReference w:id="54"/>
      </w:r>
      <w:r>
        <w:rPr>
          <w:rFonts w:ascii="IRNazanin" w:hAnsi="IRNazanin" w:eastAsia="IRNazanin"/>
          <w:color w:val="111111"/>
          <w:sz w:val="28"/>
          <w:sz w:val="28"/>
          <w:szCs w:val="28"/>
          <w:rtl w:val="true"/>
          <w:lang w:bidi="fa-IR"/>
        </w:rPr>
        <w:t xml:space="preserve">اگر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دعوت به همراهيِ در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معياري قيام مي‌كنيد؟ نگوييد زيد قيام كرد، همانا زيد عالم بود و راستگو، و شما را به خود دعوت نكرد و فقط شما را به رضاي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اگر پيروز مي‌شد، به قول خود حتماً وفا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كساني است كه با دروغ به عنوان مهدي موعود كه مورد اتّفاق شيعه و سنّي است، قيام مي‌كردند و مردم را به اين عنوان فريب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شده برخي اتباع محمّد بن عبدالله معروف به نفس زكيّه، براي پيش‌برد كار خود او را ملقّب به مهدي كردند هرچند پدر و خانواده‌اش اين مطلب را انكار مي‌كردند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كساني است كه بدون رعايت تقيّه و از روي احساسات به دور از محاسبات درست، دست به اقدامات</w:t>
      </w:r>
    </w:p>
    <w:p>
      <w:pPr>
        <w:pStyle w:val="BookText"/>
        <w:rPr/>
      </w:pPr>
      <w:r>
        <w:rPr>
          <w:rFonts w:ascii="Amiri" w:hAnsi="Amiri" w:eastAsia="Amiri" w:cs="Amiri"/>
          <w:color w:val="111111"/>
          <w:sz w:val="28"/>
          <w:sz w:val="28"/>
          <w:szCs w:val="28"/>
          <w:rtl w:val="true"/>
          <w:lang w:bidi="ar-SA"/>
        </w:rPr>
        <w:t>نسنجيده زده و جان خود و شيعه را در معرض خطر قرار داده و برنامه‌هاي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 مي‌ريختند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كمبود ياران و طرفدار بود كه اوّلاً پيروزي بر دشمن ممكن نبود و ثانياً بر فرض پيروزي، نمي‌توانستند احكام اسلام را در خارج عملي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حقيت آنچه از مال و جان در آن شرايط هزينه مي‌شد، بيشتر از دست‌آوردهاي قيام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بود كه حتّي اميرالمؤمنين عليه السلام وقتي مردم بعد از قتل عثمان به سوي حضرت براي خلافت رفتند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دَعُوني والتَمِسوا غَيري؛مرا رها كنيد و ديگري را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لَكُم وَزيراً خَيرٌ لَكُم مِنِّي أميراً؛ </w:t>
      </w:r>
      <w:r>
        <w:rPr>
          <w:rStyle w:val="FootnoteAnchor"/>
          <w:rtl w:val="true"/>
        </w:rPr>
        <w:footnoteReference w:id="56"/>
      </w:r>
      <w:r>
        <w:rPr>
          <w:rFonts w:ascii="IRNazanin" w:hAnsi="IRNazanin" w:eastAsia="IRNazanin"/>
          <w:color w:val="111111"/>
          <w:sz w:val="28"/>
          <w:sz w:val="28"/>
          <w:szCs w:val="28"/>
          <w:rtl w:val="true"/>
          <w:lang w:bidi="fa-IR"/>
        </w:rPr>
        <w:t>من، وزير و مشاورتان باشم بهتر است كه امير و رهبر شما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بعد از اصرار و حضور يك‌پارچه‌ي مردم خلافت را پذيرفتند چنان‌كه خود مي‌فرمايد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حُضورُ الحاضِرِ وقِيامُ الحُجَّةِ بِوُجودِ النّاصِرِ وما أخَذَ اللَّهُ عَلَي العُلَماءِ ألّا يُقارّوا عَلَي كِظَّةِ ظالِمٍ ولا سَغَبِ مَظلومٍ لَألقَيتُ حَبلَها عَلَي غارِبِها؛ </w:t>
      </w:r>
      <w:r>
        <w:rPr>
          <w:rStyle w:val="FootnoteAnchor"/>
          <w:rtl w:val="true"/>
        </w:rPr>
        <w:footnoteReference w:id="57"/>
      </w:r>
      <w:r>
        <w:rPr>
          <w:rFonts w:ascii="IRNazanin" w:hAnsi="IRNazanin" w:eastAsia="IRNazanin"/>
          <w:color w:val="111111"/>
          <w:sz w:val="28"/>
          <w:sz w:val="28"/>
          <w:szCs w:val="28"/>
          <w:rtl w:val="true"/>
          <w:lang w:bidi="fa-IR"/>
        </w:rPr>
        <w:t>اگر حضور فراوان بيعت‌كنندگان نبود، و ياران، حجّت را بر من تمام نمي‌كردند، و اگر خداوند از علما عهد و پيمان نگرفته بود كه برابر شكم‌بارگيِ ستمگران، و گرسنگي</w:t>
      </w:r>
    </w:p>
    <w:p>
      <w:pPr>
        <w:pStyle w:val="BookText"/>
        <w:rPr/>
      </w:pPr>
      <w:r>
        <w:rPr>
          <w:rFonts w:ascii="Amiri" w:hAnsi="Amiri" w:eastAsia="Amiri" w:cs="Amiri"/>
          <w:color w:val="111111"/>
          <w:sz w:val="28"/>
          <w:sz w:val="28"/>
          <w:szCs w:val="28"/>
          <w:rtl w:val="true"/>
          <w:lang w:bidi="ar-SA"/>
        </w:rPr>
        <w:t>مظلومان، سكوت نكنند، مهار شتر خلافت را بر كوهان آن انداخته، رهايش مي‌ساختم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معلوم مي‌شود كه چرا فقهاي اسلام در طول تاريخ بيشتر در صدد اصلاح وضع موجود بودند نه حركت انقلابي و قيام براي به دست آوردن حكومت؛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تحصيل قدرت براي آنان ممكن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مسلّط شدن موقّت بر حكومت، نمي‌توانستند در درازمدّت آن را ادامه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از احكام اسلام را كه با قيام ممكن بود عملي كنند، بدون هزينه كردن جان و مال شيعه مي‌توانستند از طريق امر به معروف و نهي از منكر و نصيحت كردن و همكاري كردن با حكمرانان موجود، عملي سازند، و مصداق كلام اميرالمؤمنين عليه السلام باشند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 لَكُم مِنِّي أميراً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روايات هم مي‌تواند مربوط به حضور در جهاد ابتدايي و دعوت به اسلام، در زير پرچم ظالمين باشد؛ مثل روايت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هم‌چنين است روايات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عليه دشمن، از كتاب وسائل الشّيعه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كدام از اين احتمالات، در قيام مردم ايران به رهبري امام عظيم الشأناعلي الله مقامه نبود چون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سيف و حركت مسلّحانه نبود، در حالي كه احتمال قوي آن است كه اين روايات ـ چنان‌كه صاحب وسائل اشاره دارد ـ مربوط به حركت‌هاي مسلّحانه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انقلاب اسلامي، دفاع در مقابل متجاوزين به دين و ناموس و اموال مردم خصوصاً كفّار و دست‌نشانده‌هاي آنها بود؛ زيرا با تسلّط آشكار و غير آشكار خود، اركان و شعائر دين را نشانه رفته بودند و در خيلي از موارد مقاصد ضدّ اسلامي خود را عملي كرده بودند و تقريباً بر همه‌ي شئون كشور مسلّط بودند و تصميم جدّي بر ادامه‌ي اين روش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عمق نفوذ كافرِ بيگانه در كشور، سخني كه از فروغيسياست‌مدار كهنه‌كار و دانشمند عصر قاجار و پهلوي در كلاسِ درسِ تاريخ نقل مي‌شود، كمك‌كار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آشنايي كامل به لايه‌هاي مختلف حاكميّتِ رژيم ايران و ارتباط تنگاتنگ خود را بيگانگان به ويژه انگليس،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ايراني‌ها به منزله‌ي لباسي هستيد كه آستين دارد ولي حركت ندارد؛ چون دستي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ايراني‌ها بدون انگليس، هيچ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مثل دستي در داخل اين آستين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چيرگي اجانب و كفّار در اواخر رژيم پهلوي شديدتر شد، تا آنجا كه علاوه بر آنكه گردانندگان اصلي حكومت، دست‌پرورده و دست‌نشانده و عامل اجراي تصميم‌هاي آمريكا و انگليس و فرانسه و رژيم صهيونيستي بودند بسياري از آنان خود رسماً خارج از دين بوده، و وابسته به پليدترين فرقه‌هاي ساخته‌ي استعمار مي‌بودند، هرچند برخي از آنان خيلي مذهب خود را اظهار نمي‌كردند</w:t>
      </w:r>
      <w:r>
        <w:rPr>
          <w:rFonts w:eastAsia="IRNazanin" w:cs="IRNazanin"/>
          <w:color w:val="111111"/>
          <w:sz w:val="28"/>
          <w:szCs w:val="28"/>
          <w:rtl w:val="true"/>
          <w:lang w:bidi="fa-IR"/>
        </w:rPr>
        <w:t>.</w:t>
      </w:r>
      <w:bookmarkStart w:id="48" w:name="pg2394_26073"/>
    </w:p>
    <w:p>
      <w:pPr>
        <w:pStyle w:val="Heading2"/>
        <w:numPr>
          <w:ilvl w:val="1"/>
          <w:numId w:val="1"/>
        </w:numPr>
        <w:rPr/>
      </w:pPr>
      <w:bookmarkStart w:id="49" w:name="__RefHeading___Toc3053597_3804643083"/>
      <w:bookmarkStart w:id="50" w:name="_Toc17"/>
      <w:bookmarkEnd w:id="48"/>
      <w:bookmarkEnd w:id="49"/>
      <w:r>
        <w:rPr>
          <w:rtl w:val="true"/>
        </w:rPr>
        <w:t>جوهر‌ه‌ي انقلاب اسلامي، دفاع از اسلام و مسلمين و قطعي بودن وجوب دفاع</w:t>
      </w:r>
      <w:bookmarkEnd w:id="50"/>
    </w:p>
    <w:p>
      <w:pPr>
        <w:pStyle w:val="BookText"/>
        <w:rPr/>
      </w:pPr>
      <w:r>
        <w:rPr>
          <w:rFonts w:ascii="IRNazanin" w:hAnsi="IRNazanin" w:eastAsia="IRNazanin"/>
          <w:color w:val="111111"/>
          <w:sz w:val="28"/>
          <w:sz w:val="28"/>
          <w:szCs w:val="28"/>
          <w:rtl w:val="true"/>
          <w:lang w:bidi="fa-IR"/>
        </w:rPr>
        <w:t>پس در حقيقت جوهره‌ي انقلاب اسلامي يك حركت دفاعي بود كه با رهبري‌هاي داهيانه‌ي امام اعلي الله مقامه به پيروزي رسيد و با همه‌ي دشمني‌هاي تبه‌كاران خارجي و داخلي، با عظمت و پوينده تداوم يافت، و سپس با رهبري‌هاي هوشيارانه‌ي خَلَف عظيم القدرش حضرت آيت الله خامنه‌اي زاد الله سُؤدَدَه وتأييده وتسديده علي‌رغم كارشكني‌ها و توطئه‌هاي پيوسته و پيچيده‌ي كفر و استكبار جهاني و ابزارهاي داخلي آنان براي براندازي و محو نظام اسلامي، با قدرت در زمينه‌هاي گوناگون به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به نصّ روايات و فتاوي جميع فقها، جايز و در وقتي كه حوزه‌ي اسلام و سرزمين‌هاي اسلامي در خطر سيطره‌ي كفّار قرار بگيرد، واجب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خافَ عَلَي بَيضَةِ الإسلامِ والمُسلِمينَ قاتَلَ فَيَكونُ قِتالُهُ لِنَفسِهِ لا لِلسُّلطانِ لِأنَّ في دُروسِ الإسلامِ دُروسَ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اگر خوفي بر مجتمع اسلام و مسلمين باشد، نبرد كند و جنگيدنش به قصد خودش باشد نه براي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با اضمحلال مجتمع اسلامي، ياد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صحيح و معتبر را مشايخ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 صدوق و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به مضمون اين روايت و روايات مشابه آن، همه‌ي اصحاب به ضِرس قاطع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ملاحظه مي‌فرماييد موضوع وجوب دفاع، ترس بر حوزه‌ي اسلام و مسلمين است نه يقين به محذور؛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خافَ عَلَي بَيضَةِ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 از آن نيز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يَخافَ عَلَي دارِ المُسلِمين؛اينكه بترسد بر سرزمين مسلمان‌ها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مجتمع اسلامي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 يك استفهام انكاري و ارجاع به ارتكاز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لَو أنَّ الرّومَ دَخَلوا عَلَي المُسلِمينَ لَم يَنبَغِ لَهُم أن يَمنَعوهُم؟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آيا نظر مي‌دهي اگر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مسملين وارد شدند، سزاوار نيست مانع آنان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وجوب چنين دفاعي، امري آشكار و غير قابل ترديد است و اين وجوب، به حكم عقل و به دلالت روايات و تعليل‌هايي كه در آنها آمده است، به قدري مهم است كه در</w:t>
      </w:r>
    </w:p>
    <w:p>
      <w:pPr>
        <w:pStyle w:val="BookText"/>
        <w:rPr/>
      </w:pPr>
      <w:r>
        <w:rPr>
          <w:rFonts w:ascii="IRNazanin" w:hAnsi="IRNazanin" w:eastAsia="IRNazanin"/>
          <w:color w:val="111111"/>
          <w:sz w:val="28"/>
          <w:sz w:val="28"/>
          <w:szCs w:val="28"/>
          <w:rtl w:val="true"/>
          <w:lang w:bidi="fa-IR"/>
        </w:rPr>
        <w:t>مقام تزاحم بدون شك بر تكاليف ديگر اعم از وجوب و حرمت، مقدّم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توجّه كرد حضرت عليه السلام خصوص خوفِ بر دارالمؤمنين را موضوعِ حكم قرار ندادند؛ بلكه در كلام حضرت عليه السلام خوف بر دارالمسلمين موضوع حكم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جا كه سرزمين اسلامي تلقّي شود، هرچند دارالايمان نباشد، و اين پاسخي روشن است بر خرده‌گيراني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جمهوري اسلامي از ديگر كشورهاي اسلاميِ مورد تجاوز، دفاع مي‌كند؟</w:t>
      </w:r>
    </w:p>
    <w:p>
      <w:pPr>
        <w:pStyle w:val="BookText"/>
        <w:rPr/>
      </w:pPr>
      <w:r>
        <w:rPr>
          <w:rFonts w:ascii="IRNazanin" w:hAnsi="IRNazanin" w:eastAsia="IRNazanin"/>
          <w:color w:val="111111"/>
          <w:sz w:val="28"/>
          <w:sz w:val="28"/>
          <w:szCs w:val="28"/>
          <w:rtl w:val="true"/>
          <w:lang w:bidi="fa-IR"/>
        </w:rPr>
        <w:t xml:space="preserve">استدلال بر لزوم دفاع از كشور و سرزمين‌هاي اسلامي به وسيله‌ي تشكيل حكومت اسلامي به ويژه با توجّه به اشغال رسمي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صهيونيست‌ها آن‌قدر قوي است كه وقتي با برخي از نقّادان از بزرگان فقها و اساتيد خود، پيش از پيروزي انقلاب در ميان گذاشتم؛ يعني مرحوم آيت‌الله حاج شيخ مرتضي حائري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ـ كه لطف زيادي هم نسبت به من داشتند و برخي از مطالب خصوصي را به من مي‌فرمودند ـ اين استدلال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علي‌رغم سليقه‌ي خاصّي كه در مسائل اجتماعي داشتند، در كبراي استدلال هيچ مناقشه‌اي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اظهار ترديدي صغروي و مصداقي ابراز فرمود كه با پيروزي انقلاب، اصلاً موضوعي براي آن باقي نماند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وقتي همين استدلال را بعد از پيروزي انقلاب با برخي ديگر از اساتيد بزرگوار و از مراجع بزرگ حاضر ادام الله</w:t>
      </w:r>
    </w:p>
    <w:p>
      <w:pPr>
        <w:pStyle w:val="BookText"/>
        <w:rPr/>
      </w:pPr>
      <w:r>
        <w:rPr>
          <w:rFonts w:ascii="IRNazanin" w:hAnsi="IRNazanin" w:eastAsia="IRNazanin"/>
          <w:color w:val="111111"/>
          <w:sz w:val="28"/>
          <w:sz w:val="28"/>
          <w:szCs w:val="28"/>
          <w:rtl w:val="true"/>
          <w:lang w:bidi="fa-IR"/>
        </w:rPr>
        <w:t>تعالي ظلّه العالي در ميان گذاشتم، ايشان نيز استدلال را تامّ يافت؛ با آنكه شايد برخي استدلال‌هاي ديگر مورد مناقشه‌ي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نكات بوده است كه در جريان مشروطه بزرگانِ از علما و مراجعِ مخالف مثل شهيد حاج شيخ فضل الله نوري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سيّد صاحب عروه</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در كبراي مسأله و لزوم استقرار حقّ و عدالت مناقشه‌اي نداشتند و همه‌ي اشكال آنان در مصاديق بود كه بعد سردمداران متديّن مشروطه نيز به صحّت آن پي بردند و حتّي تلاش‌هايي را جهت جبران انجام دادند كه نتوانست لطمات ناشي از سادگي و اعتماد بي‌جاي قبلي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قضيه‌ي پيروزي انقلاب اسلامي و برپايي جمهوري اسلامي، عكس قضيّه اتّفاق افتاد و معلوم شد برخي شبهه‌ها بي‌جا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افراد سالم و متديّن، بعد از پيروزي انقلاب بالاترين همكاري‌ها را براي پيش‌برد اهداف انقلاب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بعد از تحقّق انقلاب و روي كار آمدن نظام اسلامي و قانون اساسيِ مبتني بر احكام اسلام و انتخابات، ديگر به هيچ وجه جاي آن شبهه‌ها باقي نمي‌ماند و همه بايد از نظام اسلامي به بهترين وجه حمايت كنند؛ زيرا مصداق قيام به قسط و اقامه‌ي عدل و تعاون بر بِرّ است و به تعبير روايت تحف العقول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في وِلايَةِ والِي العَدلِ ووُلاتِهِ إحياءُ كُلِّ حَقٍّ وكُلِّ عَدلٍ وإماتَةُ كُلِّ ظُلمٍ وجَورٍ وفَسادٍ فَلِذَلِكَ كانَ السّاعي في تَقويَةِ سُلطانِهِ والمُعينُ لَهُ عَلَي ولايَتِهِ</w:t>
      </w:r>
    </w:p>
    <w:p>
      <w:pPr>
        <w:pStyle w:val="BookText"/>
        <w:rPr/>
      </w:pPr>
      <w:r>
        <w:rPr>
          <w:rFonts w:ascii="Amiri" w:hAnsi="Amiri" w:eastAsia="Amiri" w:cs="Amiri"/>
          <w:color w:val="111111"/>
          <w:sz w:val="28"/>
          <w:sz w:val="28"/>
          <w:szCs w:val="28"/>
          <w:rtl w:val="true"/>
          <w:lang w:bidi="ar-SA"/>
        </w:rPr>
        <w:t>ساعياً في طاعَةِ اللَّهِ مُقَوِّياً لِدينِه؛</w:t>
      </w:r>
      <w:r>
        <w:rPr>
          <w:rStyle w:val="FootnoteAnchor"/>
          <w:rtl w:val="true"/>
        </w:rPr>
        <w:footnoteReference w:id="60"/>
      </w:r>
      <w:r>
        <w:rPr>
          <w:rFonts w:ascii="IRNazanin" w:hAnsi="IRNazanin" w:eastAsia="IRNazanin"/>
          <w:color w:val="111111"/>
          <w:sz w:val="28"/>
          <w:sz w:val="28"/>
          <w:szCs w:val="28"/>
          <w:rtl w:val="true"/>
          <w:lang w:bidi="fa-IR"/>
        </w:rPr>
        <w:t>چون كه در ولايت حاكم عادل و فرمان‌روايان او، زنده كردن هر حقّي و هر عدلي، و باطل نمودن هر ستم و زورگويي و فساد است؛ بدين جهت كسي كه تلاش در نيرومند نمودن حكومت او بكند و ياور او بر ولايتش باشد، تلاش‌گر در فرمان‌برداري خداوند و تقويت‌كننده‌ي دين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خداي نكرده اگر با إهمال يا تقصير مسئولين يا مردم در انجام وظايف، ضربه‌اي به نظام وارد شود همه در پيشگاه خداوند متعال مسئول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چند نكته‌ي مهمّ را يادآوري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ارزيابي‌ها نسبت به عملكرد و كارآيي نظام فقط افكار و خواسته‌هاي خود را معيار قرار دهيم بلكه اسلام و معيارها را درست بشناسيم و بعد از شناخت درست اسلام و معيارها، آن را ملاك سنجش مواضع و عملكردها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جايي و زماني آنچه كه شايسته بود انجام نشد، بايد توجّه كنيم كه آيا شرايطِ انجام آن فراهم بود و در عين حال كوتاهي شده است يا آنكه انجام كار هرچند خوب، از توان نظام خارج بوده يا عذر موجّهي وجود داشته است، و حتّي اگر ديگران هم متصدّي بودند چندان فرقي نمي‌كرد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انتقادي يا پيشنهادي وجود دارد، با دل‌سوزي و خيرخواهي، با بستن راه‌هاي سوء استفاده‌ي دشمن، به</w:t>
      </w:r>
    </w:p>
    <w:p>
      <w:pPr>
        <w:pStyle w:val="BookText"/>
        <w:rPr/>
      </w:pPr>
      <w:r>
        <w:rPr>
          <w:rFonts w:ascii="IRNazanin" w:hAnsi="IRNazanin" w:eastAsia="IRNazanin"/>
          <w:color w:val="111111"/>
          <w:sz w:val="28"/>
          <w:sz w:val="28"/>
          <w:szCs w:val="28"/>
          <w:rtl w:val="true"/>
          <w:lang w:bidi="fa-IR"/>
        </w:rPr>
        <w:t>مسئولين منتقل شود و انجام مناسب آن از راه‌هاي صحيح با جدّيت پيگيري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هوشيار باشيم در شبكه‌هاي تبليغات دشمن گرفتار نشويم كه با شگردها و ترفندهاي متعدّد و پيچيده، مستقيم و غيرمستقيم، افراد جامعه را زير پوششِ القائاتِ مسموم خود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باشيم كه مبادا ابزار دشمن در پخش بذر كينه، اختلاف، يأس و فتنه در جامعه شويم و هميشه اين كلام وحي را در برابر خود ببينيم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خبري از ايمني يا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يا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 را شايع مي‌سازند در حالي كه اگر آن را به پيامبر و صاحبان فرمان از خودشان ـ كه قدرت تشخيص كافي دارند ـ بازگردانند، از ريشه‌هاي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همگي از شيطان پيروي مي‌كرديد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مي‌شديد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عدّه‌ي كمي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bookmarkStart w:id="51" w:name="pg2394_26079"/>
    </w:p>
    <w:p>
      <w:pPr>
        <w:pStyle w:val="Heading2"/>
        <w:numPr>
          <w:ilvl w:val="1"/>
          <w:numId w:val="1"/>
        </w:numPr>
        <w:rPr/>
      </w:pPr>
      <w:bookmarkStart w:id="52" w:name="__RefHeading___Toc3053599_3804643083"/>
      <w:bookmarkStart w:id="53" w:name="_Toc18"/>
      <w:bookmarkEnd w:id="51"/>
      <w:bookmarkEnd w:id="52"/>
      <w:r>
        <w:rPr>
          <w:rtl w:val="true"/>
        </w:rPr>
        <w:t>خلاصه‌ي كتاب</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انسان، ناچار از زندگي جمعي و همكاري گروهي است و اين مورد تأييد شارع نيز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جمعي و همكاري گروهي به حكم عقل و شرع بدون قانون، و بدون نيروي تصميم‌گيرنده در تطبيق قوانين و اجراي آنها،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آيات قرآن كريم و منابع اسلامي، هم قانون بايد از جانب خداوند متعال باشد و هم مجري، و تصرّف در نفس، مال و آبروي مسلمان ـ كه لازمه‌ي حكومت است ـ براي هيچ‌كس جايز نمي‌باشد، مگر به اندازه‌اي كه شارع اجازه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تتبّع در آيات قرآن كريم و ساير منابع اسلامي مي‌يابيم كه به هيچ كس يا گروهي بعد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ولايت و حكومت داده نشده است مگر به افرادِ خاصِّ مذكور در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و تأمّل در قرآن كريم و ساير منابع اسلامي مي‌يابيم، تنها كساني براي ولايت و حكومت مطرح هستند كه حدّاقل داراي سه شرط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مديريّت</w:t>
      </w:r>
    </w:p>
    <w:p>
      <w:pPr>
        <w:pStyle w:val="BookText"/>
        <w:rPr/>
      </w:pPr>
      <w:r>
        <w:rPr>
          <w:rFonts w:ascii="IRNazanin" w:hAnsi="IRNazanin" w:eastAsia="IRNazanin"/>
          <w:color w:val="111111"/>
          <w:sz w:val="28"/>
          <w:sz w:val="28"/>
          <w:szCs w:val="28"/>
          <w:rtl w:val="true"/>
          <w:lang w:bidi="fa-IR"/>
        </w:rPr>
        <w:t>با توجّه به اين پنج مقدّمه، در غيبت امام معصوم عليه السلام هيچ كس يا گروهي حقِّ حكومت ندارد مگر فقيهِ عادلِ توانا كه به اقتضاي فقاهت، عدالت و مديريّتِ خود و با مشاوره و ياري ديگران، بر اساس مُقْتَضيات زمان، عناصر نظام حكومتي اسلام را محكم و پويا سامان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لزوم تشكيل حكومت توسّط فقيهِ عادل به گونه‌اي ديگر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سرزمين‌هاي اسلامي در مقابل تهاجم كفّار، واجبِ قطعيِ غير قابلِ ترديد است كه هيچ فقيهي در آن تشكيكي ندارد، و در مقام تزاحم، مقدّم بر ساير تكاليف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عصر حاضر، سرزمين‌هاي متعدّدي از اسلام مورد اشغال، تهاجم يا در معرض تهديد جدّي كفّار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واجب در عصر حاضر، بدون تشكيل حكومت به هيچ وجه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وجود فقيه عادل توانا، تشكيل حكومت كه مستلزم تصرّف در نفوس و اموال و اعراض مي‌باشد، براي غير فقيه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حكومت، به عنوان مقدّمه‌ي منحصرِ دفاعِ واجب، توسّط فقيه تشكيل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جمهوري اسلامي ايران نيز مي‌تواند بر اين اساس باشد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تاريخ بيستم خردادماه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جمع بسيجيان استان يزد ارائه شده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زخرف، آيه‌ي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 آيه‌ي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ونَحنُ نَرَي النّاسَ في هَذِهِ الدُّنيا مَن عَزَّ بَزَّ فَالقَوِيُّ يَظلِمُ ويَغضِبُ والضَّعِيفُ يُظلَم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حَتَّي يَستَرِيحَ بَرٌّ ويُستَراحَ مِن 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مردم حاكمي لازم است چه نيكوكار و چه بدكار، كه مؤمن در عرصه‌ي حكومت او به راه حقّش ادامه دهد، و كافر بهره‌مند از زندگي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هم روزگار مؤمن و كافر را در آن حكومت به سر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وسيله‌ي آن حاكم عوائد جمع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توسّط او جنگ با دشمن سامان گيرد و راه‌ها به سبب او امن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امارت وي حق ناتوان از قوي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مؤمن نيكوكار راحت شود، و مردم از شرّ بدكار در امان 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خطبه‌ي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464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بِالْبَيِّنَاتِ وَأَنْزَلْنَا مَعَهُمُ الْكِتَابَ وَالْمِيزَانَ لِيَقُومَ النَّاسُ بِالْقِسْطِ؛ به يقين ما فرستادگان خود را با دلايلي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منطق و 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فرستاديم و با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وسيله‌ي سنجشِ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و شناسايي حق از باطل و وزن اشياء 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فرستاديم تا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زندگي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قسط و عدل برخيزند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آيه‌ي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38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 وَمِنْ رِبَاطِ الْخَيْلِ تُرْهِبُونَ بِهِ عَدُوَّ اللَّهِ وَعَدُوَّكُمْ وَآخَرِينَ مِنْ دُونِهِمْ لا تَعْلَمُونَهُمُ اللَّهُ يَعْلَمُهُمْ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برابر آنها آنچه توانستيد از نيرو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انساني، سلاح‌هاي روز و هزينه‌ي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اسبان بسته و آماده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نقليه‌ي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سازيد كه بدين وسيله دشمن خدا و دشمن خود و دشمنان ديگري را غير آنها كه شما آنها را نمي‌شناسيد، خداوند آنها را مي‌شناسد، بترسانيد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حجرات، آيه‌ي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آية‌ي </w:t>
      </w:r>
      <w:r>
        <w:rPr>
          <w:rFonts w:eastAsia="IRNazanin" w:cs="IRNazanin"/>
          <w:b w:val="false"/>
          <w:bCs w:val="false"/>
          <w:i w:val="false"/>
          <w:iCs w:val="false"/>
          <w:color w:val="333333"/>
          <w:sz w:val="20"/>
          <w:szCs w:val="20"/>
        </w:rPr>
        <w:t>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113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آيه‌ي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به نوعي به همين مطلب اشاره دارد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و اطلاقات، تصرّف در جان، مال، و عرض مسلمانان را بر هر كس حرام كرده است و فقط به اندازه‌اي كه دليل قائم بر خروج از حرمت است اين عمومات و اطلاقات تخصيص و تقييد مي‌خورد و تنها افرادي كه دليلي بر جواز تصرّف آنان باشد، اجازه يا وظيفه‌ي تصرّف دارند، و مخصّص و مقيّد چه لبّي باشد و چه لفظي، غير فقيه را شامل نمي‌شود و بر فرضِ اجمال در مخصّص و مقيّدِ منفصل، معلوم است كه بايد به عمومات و اطلاقات دالّ بر حرمت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مقتضاي اصول نيز عدمِ جعلِ ولايت در مورد شكّ است و نيز عدمِ وجوبِ اطاعت از متصدّيِ مشكوك الولاية مي‌باشد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خطبه‌ي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تتميمي در آخر بحث اضافه شده است كه بايد مورد ملاحظه قرار گيرد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إكمالِ الدِّينِ وإتمامِ النِّعمَةِ عَن مُحَمَّدِ بنِ مُحَمَّدِ بنِ عِصامٍ عَن مُحَمَّدِ بنِ يَعقُوبَ عَن إسحاقَ بنِ يَعقُوبَ قالَ سألتُ مُحَمَّدَ بنَ عُثمانَ العَمرِيَّ أن يُوصِلَ لي كِتاباً قَد سَألتُ فيهِ عَن مَسائِلَ أشكَلَت عَلَيَّ فَوَرَدَ التَّوقيعُ بِخَطِ مَولانا صاحِبِ الزَّمانِ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أرشَدَكَ اللهُ وثَبَّتَكَ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إلَي رُواةِ حَدِيثِنا فَإنَّهُم حُجَّتي عَلَيكُم وأنَا حُجَّةُ اللَّهِ وأمّا مُحَمَّدُ بنُ عُثمانَ العَمريُّ رَضِيَ اللهُ عَنْهُ وعَن أبيهِ مِن قَبلُ فَإنَّهُ ثِقَتي وكِتابُهُ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وليّ فقيه بايد در تصميمات خود در محدوده‌ي حقّ و عدالت، خواسته‌ها و رضايت توده‌هاي مردم را رعايت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توضيح بيشتر رجوع شد به كتاب بر مائده‌ي آسماني، از مؤلّف، ص </w:t>
      </w:r>
      <w:r>
        <w:rPr>
          <w:rFonts w:eastAsia="IRNazanin" w:cs="IRNazanin"/>
          <w:b w:val="false"/>
          <w:bCs w:val="false"/>
          <w:i w:val="false"/>
          <w:iCs w:val="false"/>
          <w:color w:val="333333"/>
          <w:sz w:val="20"/>
          <w:szCs w:val="20"/>
        </w:rPr>
        <w:t>58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إنَّ‌أحَقَّ النّاسِ بِهَذَا الأمرِ أقواهُم عَلَيهِ وأعلَمُهُم بِأمرِ اللهِ فيهِ فَإن شَغَبَ شاغِبٌ اُستُعتِبَ فَإن أبَي قُوتِلَ؛ اي مردم سزاوارترين اشخاص به خلافت، آن كسي است كه در تحقّق حكومت نيرومندتر، و در آگاهي از فرمان خدا، داناتر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آشوب‌گري به فتنه‌انگيزي برخيزد، به حق بازگردانده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سر باز زد، با او مبارزه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آل‌عمران، آيه‌ي </w:t>
      </w:r>
      <w:r>
        <w:rPr>
          <w:rFonts w:eastAsia="IRNazanin" w:cs="IRNazanin"/>
          <w:b w:val="false"/>
          <w:bCs w:val="false"/>
          <w:i w:val="false"/>
          <w:iCs w:val="false"/>
          <w:color w:val="333333"/>
          <w:sz w:val="20"/>
          <w:szCs w:val="20"/>
        </w:rPr>
        <w:t>159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شوري، آيه‌ي </w:t>
      </w:r>
      <w:r>
        <w:rPr>
          <w:rFonts w:eastAsia="IRNazanin" w:cs="IRNazanin"/>
          <w:b w:val="false"/>
          <w:bCs w:val="false"/>
          <w:i w:val="false"/>
          <w:iCs w:val="false"/>
          <w:color w:val="333333"/>
          <w:sz w:val="20"/>
          <w:szCs w:val="20"/>
        </w:rPr>
        <w:t>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حكمت </w:t>
      </w:r>
      <w:r>
        <w:rPr>
          <w:rFonts w:eastAsia="IRNazanin" w:cs="IRNazanin"/>
          <w:b w:val="false"/>
          <w:bCs w:val="false"/>
          <w:i w:val="false"/>
          <w:iCs w:val="false"/>
          <w:color w:val="333333"/>
          <w:sz w:val="20"/>
          <w:szCs w:val="20"/>
        </w:rPr>
        <w:t>321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صافات، آيه‌ي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چه شده، چگونه قضاوت مي‌كنيد؟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النُّعمانُ بنُ المُنذِرِ الفِهرِيُّ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هشذا شَيءٌ قُلتَهُ مِن عِندِكَ أو شَيءٌ أمَرَكَ بِهِ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أمَرَني بِهِ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أنزِل عَلَينا حِجارَةً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 رَحلَهُ حَتَّي جاءَهُ حَجَرٌ فَأدماهُ فَخَرَّ مَيِّتاً فَأنزَلَ اللهُ تَعالَي 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آل‌عمران، آيه‌ي </w:t>
      </w:r>
      <w:r>
        <w:rPr>
          <w:rFonts w:eastAsia="IRNazanin" w:cs="IRNazanin"/>
          <w:b w:val="false"/>
          <w:bCs w:val="false"/>
          <w:i w:val="false"/>
          <w:iCs w:val="false"/>
          <w:color w:val="333333"/>
          <w:sz w:val="20"/>
          <w:szCs w:val="20"/>
        </w:rPr>
        <w:t>179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مراجعه شود به كتاب تشيّع در تسنّن از مؤلّف، پاورقي ص </w:t>
      </w:r>
      <w:r>
        <w:rPr>
          <w:rFonts w:eastAsia="IRNazanin" w:cs="IRNazanin"/>
          <w:b w:val="false"/>
          <w:bCs w:val="false"/>
          <w:i w:val="false"/>
          <w:iCs w:val="false"/>
          <w:color w:val="333333"/>
          <w:sz w:val="20"/>
          <w:szCs w:val="20"/>
        </w:rPr>
        <w:t>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خطبه‌ي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نهج‌البلاغهي صبحي صالح، خطبه‌ي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12174</Words>
  <Characters>48584</Characters>
  <CharactersWithSpaces>60396</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2026-08-17T07:39:41Z</dcterms:created>
  <dc:creator>ghaemiyeh.com</dc:creator>
  <dc:description/>
  <dc:language>en-US</dc:language>
  <cp:lastModifiedBy/>
  <dcterms:modified xsi:type="dcterms:W3CDTF">2026-08-17T11:09:43Z</dcterms:modified>
  <cp:revision>1</cp:revision>
  <dc:subject/>
  <dc:title>ولایت فقیه جلوه ای از حضور در عصر غیبت</dc:title>
</cp:coreProperties>
</file>

<file path=docProps/custom.xml><?xml version="1.0" encoding="utf-8"?>
<Properties xmlns="http://schemas.openxmlformats.org/officeDocument/2006/custom-properties" xmlns:vt="http://schemas.openxmlformats.org/officeDocument/2006/docPropsVTypes"/>
</file>